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10-K</w:t>
      </w:r>
    </w:p>
    <w:p>
      <w:pPr>
        <w:spacing w:after="0" w:line="8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ANNUAL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1-10686</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MANPOWERGROUP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36" w:right="239" w:bottom="1440" w:gutter="0" w:footer="0" w:header="0"/>
        </w:sectPr>
      </w:pPr>
    </w:p>
    <w:p>
      <w:pPr>
        <w:spacing w:after="0" w:line="70"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55" w:lineRule="exact"/>
        <w:rPr>
          <w:sz w:val="24"/>
          <w:szCs w:val="24"/>
          <w:color w:val="auto"/>
        </w:rPr>
      </w:pPr>
    </w:p>
    <w:p>
      <w:pPr>
        <w:sectPr>
          <w:pgSz w:w="11900" w:h="16838" w:orient="portrait"/>
          <w:cols w:equalWidth="0" w:num="2">
            <w:col w:w="7420" w:space="720"/>
            <w:col w:w="3280"/>
          </w:cols>
          <w:pgMar w:left="240" w:top="436" w:right="239" w:bottom="1440" w:gutter="0" w:footer="0" w:header="0"/>
          <w:type w:val="continuous"/>
        </w:sectPr>
      </w:pPr>
    </w:p>
    <w:p>
      <w:pPr>
        <w:ind w:left="10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62" w:lineRule="exact"/>
        <w:rPr>
          <w:sz w:val="24"/>
          <w:szCs w:val="24"/>
          <w:color w:val="auto"/>
        </w:rPr>
      </w:pPr>
    </w:p>
    <w:p>
      <w:pPr>
        <w:sectPr>
          <w:pgSz w:w="11900" w:h="16838" w:orient="portrait"/>
          <w:cols w:equalWidth="0" w:num="2">
            <w:col w:w="6740" w:space="720"/>
            <w:col w:w="3960"/>
          </w:cols>
          <w:pgMar w:left="240" w:top="436" w:right="239" w:bottom="1440" w:gutter="0" w:footer="0" w:header="0"/>
          <w:type w:val="continuous"/>
        </w:sectPr>
      </w:pPr>
    </w:p>
    <w:p>
      <w:pPr>
        <w:ind w:left="640"/>
        <w:spacing w:after="0"/>
        <w:rPr>
          <w:sz w:val="20"/>
          <w:szCs w:val="20"/>
          <w:color w:val="auto"/>
        </w:rPr>
      </w:pPr>
      <w:r>
        <w:rPr>
          <w:rFonts w:ascii="Arial" w:cs="Arial" w:eastAsia="Arial" w:hAnsi="Arial"/>
          <w:sz w:val="18"/>
          <w:szCs w:val="18"/>
          <w:b w:val="1"/>
          <w:bCs w:val="1"/>
          <w:color w:val="auto"/>
        </w:rPr>
        <w:t>100 MANPOWER PLACE, MILWAUKEE, WISCONSIN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53212</w:t>
      </w:r>
    </w:p>
    <w:p>
      <w:pPr>
        <w:spacing w:after="0" w:line="49" w:lineRule="exact"/>
        <w:rPr>
          <w:sz w:val="24"/>
          <w:szCs w:val="24"/>
          <w:color w:val="auto"/>
        </w:rPr>
      </w:pPr>
    </w:p>
    <w:p>
      <w:pPr>
        <w:sectPr>
          <w:pgSz w:w="11900" w:h="16838" w:orient="portrait"/>
          <w:cols w:equalWidth="0" w:num="2">
            <w:col w:w="7620" w:space="720"/>
            <w:col w:w="3080"/>
          </w:cols>
          <w:pgMar w:left="240" w:top="436" w:right="23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62" w:lineRule="exact"/>
        <w:rPr>
          <w:sz w:val="24"/>
          <w:szCs w:val="24"/>
          <w:color w:val="auto"/>
        </w:rPr>
      </w:pPr>
    </w:p>
    <w:p>
      <w:pPr>
        <w:sectPr>
          <w:pgSz w:w="11900" w:h="16838" w:orient="portrait"/>
          <w:cols w:equalWidth="0" w:num="2">
            <w:col w:w="7520" w:space="720"/>
            <w:col w:w="3180"/>
          </w:cols>
          <w:pgMar w:left="240" w:top="436"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436" w:right="239" w:bottom="1440" w:gutter="0" w:footer="0" w:header="0"/>
          <w:type w:val="continuous"/>
        </w:sectPr>
      </w:pPr>
    </w:p>
    <w:p>
      <w:pPr>
        <w:spacing w:after="0" w:line="99"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Title of each class</w:t>
      </w:r>
    </w:p>
    <w:p>
      <w:pPr>
        <w:spacing w:after="0" w:line="50"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500"/>
        <w:spacing w:after="0"/>
        <w:rPr>
          <w:sz w:val="20"/>
          <w:szCs w:val="20"/>
          <w:color w:val="auto"/>
        </w:rPr>
      </w:pPr>
      <w:r>
        <w:rPr>
          <w:rFonts w:ascii="Arial" w:cs="Arial" w:eastAsia="Arial" w:hAnsi="Arial"/>
          <w:sz w:val="15"/>
          <w:szCs w:val="15"/>
          <w:b w:val="1"/>
          <w:bCs w:val="1"/>
          <w:color w:val="auto"/>
        </w:rPr>
        <w:t>Name of Exchange on which registered</w:t>
      </w:r>
    </w:p>
    <w:p>
      <w:pPr>
        <w:spacing w:after="0" w:line="84"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New York Stock Exchange</w:t>
      </w:r>
    </w:p>
    <w:p>
      <w:pPr>
        <w:spacing w:after="0" w:line="104" w:lineRule="exact"/>
        <w:rPr>
          <w:sz w:val="24"/>
          <w:szCs w:val="24"/>
          <w:color w:val="auto"/>
        </w:rPr>
      </w:pPr>
    </w:p>
    <w:p>
      <w:pPr>
        <w:sectPr>
          <w:pgSz w:w="11900" w:h="16838" w:orient="portrait"/>
          <w:cols w:equalWidth="0" w:num="3">
            <w:col w:w="4300" w:space="720"/>
            <w:col w:w="2200" w:space="720"/>
            <w:col w:w="3480"/>
          </w:cols>
          <w:pgMar w:left="240" w:top="436"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20"/>
          </w:cols>
          <w:pgMar w:left="240" w:top="436" w:right="239" w:bottom="1440" w:gutter="0" w:footer="0" w:header="0"/>
          <w:type w:val="continuous"/>
        </w:sectPr>
      </w:pP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7620" w:space="160"/>
            <w:col w:w="220" w:space="180"/>
            <w:col w:w="140" w:space="160"/>
            <w:col w:w="200" w:space="160"/>
            <w:col w:w="2580"/>
          </w:cols>
          <w:pgMar w:left="240" w:top="436"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jc w:val="cente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5">
            <w:col w:w="7760" w:space="160"/>
            <w:col w:w="240" w:space="160"/>
            <w:col w:w="140" w:space="160"/>
            <w:col w:w="200" w:space="160"/>
            <w:col w:w="2440"/>
          </w:cols>
          <w:pgMar w:left="240" w:top="436" w:right="239" w:bottom="1440" w:gutter="0" w:footer="0" w:header="0"/>
          <w:type w:val="continuous"/>
        </w:sect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36" w:right="239" w:bottom="1440" w:gutter="0" w:footer="0" w:header="0"/>
          <w:type w:val="continuous"/>
        </w:sectPr>
      </w:pPr>
    </w:p>
    <w:p>
      <w:pPr>
        <w:spacing w:after="0" w:line="49" w:lineRule="exact"/>
        <w:rPr>
          <w:sz w:val="24"/>
          <w:szCs w:val="24"/>
          <w:color w:val="auto"/>
        </w:rPr>
      </w:pPr>
    </w:p>
    <w:p>
      <w:pPr>
        <w:ind w:left="580"/>
        <w:spacing w:after="0" w:line="36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329" w:lineRule="auto"/>
        <w:rPr>
          <w:sz w:val="20"/>
          <w:szCs w:val="20"/>
          <w:color w:val="auto"/>
        </w:rPr>
      </w:pPr>
      <w:r>
        <w:rPr>
          <w:rFonts w:ascii="Arial" w:cs="Arial" w:eastAsia="Arial" w:hAnsi="Arial"/>
          <w:sz w:val="15"/>
          <w:szCs w:val="15"/>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76" w:lineRule="exact"/>
        <w:rPr>
          <w:sz w:val="24"/>
          <w:szCs w:val="24"/>
          <w:color w:val="auto"/>
        </w:rPr>
      </w:pPr>
    </w:p>
    <w:p>
      <w:pPr>
        <w:sectPr>
          <w:pgSz w:w="11900" w:h="16838" w:orient="portrait"/>
          <w:cols w:equalWidth="0" w:num="6">
            <w:col w:w="2360" w:space="400"/>
            <w:col w:w="160" w:space="700"/>
            <w:col w:w="1780" w:space="400"/>
            <w:col w:w="220" w:space="720"/>
            <w:col w:w="1380" w:space="320"/>
            <w:col w:w="2980"/>
          </w:cols>
          <w:pgMar w:left="240" w:top="436" w:right="23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7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p>
    <w:p>
      <w:pPr>
        <w:spacing w:after="0" w:line="116"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color w:val="auto"/>
        </w:rPr>
        <w:t>The aggregate market value of the voting stock held by nonaffiliates of the registrant was $5,779,906,730 as of June 30, 2019. As of February 19, 2020, there were 58,778,496 of the registrant’s shares of common stock outstanding.</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Part III is incorporated by reference from the Proxy Statement for the Annual Meeting of Shareholders to be held on May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2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w w:val="93"/>
              </w:rPr>
              <w:t>ManpowerGroup Inc.</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2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6"/>
              </w:rPr>
              <w:t>Form 10-K</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0" w:type="dxa"/>
            <w:vAlign w:val="bottom"/>
            <w:gridSpan w:val="12"/>
          </w:tcPr>
          <w:p>
            <w:pPr>
              <w:jc w:val="center"/>
              <w:ind w:right="2300"/>
              <w:spacing w:after="0"/>
              <w:rPr>
                <w:sz w:val="20"/>
                <w:szCs w:val="20"/>
                <w:color w:val="auto"/>
              </w:rPr>
            </w:pPr>
            <w:r>
              <w:rPr>
                <w:rFonts w:ascii="Arial" w:cs="Arial" w:eastAsia="Arial" w:hAnsi="Arial"/>
                <w:sz w:val="18"/>
                <w:szCs w:val="18"/>
                <w:b w:val="1"/>
                <w:bCs w:val="1"/>
                <w:color w:val="auto"/>
                <w:w w:val="90"/>
              </w:rPr>
              <w:t>For the Fiscal Year Ended December 31, 2019</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8"/>
            <w:shd w:val="clear" w:color="auto" w:fill="CFF0FC"/>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w:t>
              </w:r>
            </w:hyperlink>
          </w:p>
        </w:tc>
        <w:tc>
          <w:tcPr>
            <w:tcW w:w="680" w:type="dxa"/>
            <w:vAlign w:val="bottom"/>
            <w:tcBorders>
              <w:top w:val="single" w:sz="8" w:color="CFF0FC"/>
            </w:tcBorders>
            <w:gridSpan w:val="6"/>
          </w:tcPr>
          <w:p>
            <w:pPr>
              <w:spacing w:after="0"/>
              <w:rPr>
                <w:sz w:val="15"/>
                <w:szCs w:val="15"/>
                <w:color w:val="auto"/>
              </w:rPr>
            </w:pPr>
          </w:p>
        </w:tc>
        <w:tc>
          <w:tcPr>
            <w:tcW w:w="9140" w:type="dxa"/>
            <w:vAlign w:val="bottom"/>
            <w:tcBorders>
              <w:top w:val="single" w:sz="8" w:color="CFF0FC"/>
            </w:tcBorders>
            <w:gridSpan w:val="23"/>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060" w:type="dxa"/>
            <w:vAlign w:val="bottom"/>
            <w:tcBorders>
              <w:top w:val="single" w:sz="8" w:color="CFF0FC"/>
            </w:tcBorders>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4"/>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1B</w:t>
              </w:r>
            </w:hyperlink>
          </w:p>
        </w:tc>
        <w:tc>
          <w:tcPr>
            <w:tcW w:w="620" w:type="dxa"/>
            <w:vAlign w:val="bottom"/>
            <w:gridSpan w:val="4"/>
          </w:tcPr>
          <w:p>
            <w:pPr>
              <w:spacing w:after="0"/>
              <w:rPr>
                <w:sz w:val="15"/>
                <w:szCs w:val="15"/>
                <w:color w:val="auto"/>
              </w:rPr>
            </w:pPr>
          </w:p>
        </w:tc>
        <w:tc>
          <w:tcPr>
            <w:tcW w:w="9140" w:type="dxa"/>
            <w:vAlign w:val="bottom"/>
            <w:gridSpan w:val="23"/>
          </w:tcPr>
          <w:p>
            <w:pPr>
              <w:ind w:lef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 w:type="dxa"/>
            <w:vAlign w:val="bottom"/>
            <w:shd w:val="clear" w:color="auto" w:fill="CFF0FC"/>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2</w:t>
              </w:r>
            </w:hyperlink>
          </w:p>
        </w:tc>
        <w:tc>
          <w:tcPr>
            <w:tcW w:w="740" w:type="dxa"/>
            <w:vAlign w:val="bottom"/>
            <w:gridSpan w:val="7"/>
            <w:shd w:val="clear" w:color="auto" w:fill="CFF0FC"/>
          </w:tcPr>
          <w:p>
            <w:pPr>
              <w:spacing w:after="0"/>
              <w:rPr>
                <w:sz w:val="15"/>
                <w:szCs w:val="15"/>
                <w:color w:val="auto"/>
              </w:rPr>
            </w:pPr>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 w:type="dxa"/>
            <w:vAlign w:val="bottom"/>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3</w:t>
              </w:r>
            </w:hyperlink>
          </w:p>
        </w:tc>
        <w:tc>
          <w:tcPr>
            <w:tcW w:w="740" w:type="dxa"/>
            <w:vAlign w:val="bottom"/>
            <w:gridSpan w:val="7"/>
          </w:tcPr>
          <w:p>
            <w:pPr>
              <w:spacing w:after="0"/>
              <w:rPr>
                <w:sz w:val="15"/>
                <w:szCs w:val="15"/>
                <w:color w:val="auto"/>
              </w:rPr>
            </w:pPr>
          </w:p>
        </w:tc>
        <w:tc>
          <w:tcPr>
            <w:tcW w:w="9140" w:type="dxa"/>
            <w:vAlign w:val="bottom"/>
            <w:gridSpan w:val="23"/>
          </w:tcPr>
          <w:p>
            <w:pPr>
              <w:ind w:lef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 w:type="dxa"/>
            <w:vAlign w:val="bottom"/>
            <w:shd w:val="clear" w:color="auto" w:fill="CFF0FC"/>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4</w:t>
              </w:r>
            </w:hyperlink>
          </w:p>
        </w:tc>
        <w:tc>
          <w:tcPr>
            <w:tcW w:w="740" w:type="dxa"/>
            <w:vAlign w:val="bottom"/>
            <w:gridSpan w:val="7"/>
            <w:shd w:val="clear" w:color="auto" w:fill="CFF0FC"/>
          </w:tcPr>
          <w:p>
            <w:pPr>
              <w:spacing w:after="0"/>
              <w:rPr>
                <w:sz w:val="15"/>
                <w:szCs w:val="15"/>
                <w:color w:val="auto"/>
              </w:rPr>
            </w:pPr>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140" w:type="dxa"/>
            <w:vAlign w:val="bottom"/>
            <w:gridSpan w:val="23"/>
          </w:tcPr>
          <w:p>
            <w:pPr>
              <w:ind w:left="1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ManpowerGroup</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82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20" w:type="dxa"/>
            <w:vAlign w:val="bottom"/>
            <w:tcBorders>
              <w:top w:val="single" w:sz="8" w:color="CFF0FC"/>
            </w:tcBorders>
            <w:gridSpan w:val="4"/>
          </w:tcPr>
          <w:p>
            <w:pPr>
              <w:spacing w:after="0"/>
              <w:rPr>
                <w:sz w:val="15"/>
                <w:szCs w:val="15"/>
                <w:color w:val="auto"/>
              </w:rPr>
            </w:pPr>
          </w:p>
        </w:tc>
        <w:tc>
          <w:tcPr>
            <w:tcW w:w="9140" w:type="dxa"/>
            <w:vAlign w:val="bottom"/>
            <w:tcBorders>
              <w:top w:val="single" w:sz="8" w:color="CFF0FC"/>
            </w:tcBorders>
            <w:gridSpan w:val="23"/>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Shareholder Matters and Issuer Purchases of Equity Securities</w:t>
              </w:r>
            </w:hyperlink>
          </w:p>
        </w:tc>
        <w:tc>
          <w:tcPr>
            <w:tcW w:w="1060" w:type="dxa"/>
            <w:vAlign w:val="bottom"/>
            <w:tcBorders>
              <w:top w:val="single" w:sz="8" w:color="CFF0FC"/>
            </w:tcBorders>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 w:type="dxa"/>
            <w:vAlign w:val="bottom"/>
            <w:shd w:val="clear" w:color="auto" w:fill="CFF0FC"/>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6</w:t>
              </w:r>
            </w:hyperlink>
          </w:p>
        </w:tc>
        <w:tc>
          <w:tcPr>
            <w:tcW w:w="740" w:type="dxa"/>
            <w:vAlign w:val="bottom"/>
            <w:gridSpan w:val="7"/>
            <w:shd w:val="clear" w:color="auto" w:fill="CFF0FC"/>
          </w:tcPr>
          <w:p>
            <w:pPr>
              <w:spacing w:after="0"/>
              <w:rPr>
                <w:sz w:val="15"/>
                <w:szCs w:val="15"/>
                <w:color w:val="auto"/>
              </w:rPr>
            </w:pPr>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 w:type="dxa"/>
            <w:vAlign w:val="bottom"/>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7</w:t>
              </w:r>
            </w:hyperlink>
          </w:p>
        </w:tc>
        <w:tc>
          <w:tcPr>
            <w:tcW w:w="740" w:type="dxa"/>
            <w:vAlign w:val="bottom"/>
            <w:gridSpan w:val="7"/>
          </w:tcPr>
          <w:p>
            <w:pPr>
              <w:spacing w:after="0"/>
              <w:rPr>
                <w:sz w:val="15"/>
                <w:szCs w:val="15"/>
                <w:color w:val="auto"/>
              </w:rPr>
            </w:pPr>
          </w:p>
        </w:tc>
        <w:tc>
          <w:tcPr>
            <w:tcW w:w="9140" w:type="dxa"/>
            <w:vAlign w:val="bottom"/>
            <w:gridSpan w:val="23"/>
          </w:tcPr>
          <w:p>
            <w:pPr>
              <w:ind w:left="1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4"/>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620" w:type="dxa"/>
            <w:vAlign w:val="bottom"/>
            <w:gridSpan w:val="4"/>
          </w:tcPr>
          <w:p>
            <w:pPr>
              <w:spacing w:after="0"/>
              <w:rPr>
                <w:sz w:val="15"/>
                <w:szCs w:val="15"/>
                <w:color w:val="auto"/>
              </w:rPr>
            </w:pPr>
          </w:p>
        </w:tc>
        <w:tc>
          <w:tcPr>
            <w:tcW w:w="9140" w:type="dxa"/>
            <w:vAlign w:val="bottom"/>
            <w:gridSpan w:val="23"/>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 w:type="dxa"/>
            <w:vAlign w:val="bottom"/>
            <w:shd w:val="clear" w:color="auto" w:fill="CFF0FC"/>
          </w:tcPr>
          <w:p>
            <w:pPr>
              <w:spacing w:after="0" w:line="17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Item 9</w:t>
              </w:r>
            </w:hyperlink>
          </w:p>
        </w:tc>
        <w:tc>
          <w:tcPr>
            <w:tcW w:w="740" w:type="dxa"/>
            <w:vAlign w:val="bottom"/>
            <w:gridSpan w:val="7"/>
            <w:shd w:val="clear" w:color="auto" w:fill="CFF0FC"/>
          </w:tcPr>
          <w:p>
            <w:pPr>
              <w:spacing w:after="0"/>
              <w:rPr>
                <w:sz w:val="15"/>
                <w:szCs w:val="15"/>
                <w:color w:val="auto"/>
              </w:rPr>
            </w:pPr>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80" w:type="dxa"/>
            <w:vAlign w:val="bottom"/>
            <w:tcBorders>
              <w:top w:val="single" w:sz="8" w:color="0000EE"/>
            </w:tcBorders>
            <w:shd w:val="clear" w:color="auto" w:fill="CFF0FC"/>
          </w:tcPr>
          <w:p>
            <w:pPr>
              <w:spacing w:after="0" w:line="20" w:lineRule="exact"/>
              <w:rPr>
                <w:sz w:val="1"/>
                <w:szCs w:val="1"/>
                <w:color w:val="auto"/>
              </w:rPr>
            </w:pPr>
          </w:p>
        </w:tc>
        <w:tc>
          <w:tcPr>
            <w:tcW w:w="10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Item 9A</w:t>
              </w:r>
            </w:hyperlink>
          </w:p>
        </w:tc>
        <w:tc>
          <w:tcPr>
            <w:tcW w:w="9140" w:type="dxa"/>
            <w:vAlign w:val="bottom"/>
            <w:gridSpan w:val="23"/>
          </w:tcPr>
          <w:p>
            <w:pPr>
              <w:ind w:left="10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9B</w:t>
              </w:r>
            </w:hyperlink>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Other Information</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82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PART III</w:t>
              </w:r>
            </w:hyperlink>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10</w:t>
              </w:r>
            </w:hyperlink>
          </w:p>
        </w:tc>
        <w:tc>
          <w:tcPr>
            <w:tcW w:w="560" w:type="dxa"/>
            <w:vAlign w:val="bottom"/>
            <w:tcBorders>
              <w:top w:val="single" w:sz="8" w:color="CFF0FC"/>
            </w:tcBorders>
            <w:gridSpan w:val="3"/>
          </w:tcPr>
          <w:p>
            <w:pPr>
              <w:spacing w:after="0"/>
              <w:rPr>
                <w:sz w:val="15"/>
                <w:szCs w:val="15"/>
                <w:color w:val="auto"/>
              </w:rPr>
            </w:pPr>
          </w:p>
        </w:tc>
        <w:tc>
          <w:tcPr>
            <w:tcW w:w="9140" w:type="dxa"/>
            <w:vAlign w:val="bottom"/>
            <w:tcBorders>
              <w:top w:val="single" w:sz="8" w:color="CFF0FC"/>
            </w:tcBorders>
            <w:gridSpan w:val="23"/>
          </w:tcPr>
          <w:p>
            <w:pPr>
              <w:ind w:left="10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1060" w:type="dxa"/>
            <w:vAlign w:val="bottom"/>
            <w:tcBorders>
              <w:top w:val="single" w:sz="8" w:color="CFF0FC"/>
            </w:tcBorders>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 w:type="dxa"/>
            <w:vAlign w:val="bottom"/>
            <w:gridSpan w:val="3"/>
            <w:shd w:val="clear" w:color="auto" w:fill="CFF0FC"/>
          </w:tcPr>
          <w:p>
            <w:pPr>
              <w:spacing w:after="0" w:line="176"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Item 11</w:t>
              </w:r>
            </w:hyperlink>
          </w:p>
        </w:tc>
        <w:tc>
          <w:tcPr>
            <w:tcW w:w="660" w:type="dxa"/>
            <w:vAlign w:val="bottom"/>
            <w:gridSpan w:val="5"/>
            <w:shd w:val="clear" w:color="auto" w:fill="CFF0FC"/>
          </w:tcPr>
          <w:p>
            <w:pPr>
              <w:spacing w:after="0"/>
              <w:rPr>
                <w:sz w:val="15"/>
                <w:szCs w:val="15"/>
                <w:color w:val="auto"/>
              </w:rPr>
            </w:pPr>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12</w:t>
              </w:r>
            </w:hyperlink>
          </w:p>
        </w:tc>
        <w:tc>
          <w:tcPr>
            <w:tcW w:w="9140" w:type="dxa"/>
            <w:vAlign w:val="bottom"/>
            <w:gridSpan w:val="23"/>
          </w:tcPr>
          <w:p>
            <w:pPr>
              <w:ind w:left="10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13</w:t>
              </w:r>
            </w:hyperlink>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 Independence</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80" w:type="dxa"/>
            <w:vAlign w:val="bottom"/>
            <w:tcBorders>
              <w:top w:val="single" w:sz="8" w:color="0000EE"/>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14</w:t>
              </w:r>
            </w:hyperlink>
          </w:p>
        </w:tc>
        <w:tc>
          <w:tcPr>
            <w:tcW w:w="9140" w:type="dxa"/>
            <w:vAlign w:val="bottom"/>
            <w:gridSpan w:val="23"/>
          </w:tcPr>
          <w:p>
            <w:pPr>
              <w:ind w:left="10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Principal Accounting Fees and Services</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PART IV</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shd w:val="clear" w:color="auto" w:fill="CFF0FC"/>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Item 15</w:t>
              </w:r>
            </w:hyperlink>
          </w:p>
        </w:tc>
        <w:tc>
          <w:tcPr>
            <w:tcW w:w="9140" w:type="dxa"/>
            <w:vAlign w:val="bottom"/>
            <w:gridSpan w:val="23"/>
            <w:shd w:val="clear" w:color="auto" w:fill="CFF0FC"/>
          </w:tcPr>
          <w:p>
            <w:pPr>
              <w:ind w:left="10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Exhibits and Financial Statement Schedules</w:t>
              </w:r>
            </w:hyperlink>
          </w:p>
        </w:tc>
        <w:tc>
          <w:tcPr>
            <w:tcW w:w="10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16</w:t>
              </w:r>
            </w:hyperlink>
          </w:p>
        </w:tc>
        <w:tc>
          <w:tcPr>
            <w:tcW w:w="9140" w:type="dxa"/>
            <w:vAlign w:val="bottom"/>
            <w:gridSpan w:val="23"/>
          </w:tcPr>
          <w:p>
            <w:pPr>
              <w:ind w:left="10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Form 10-K Summary</w:t>
              </w:r>
            </w:hyperlink>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gridSpan w:val="8"/>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SIGNATURES</w:t>
              </w:r>
            </w:hyperlink>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932"/>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u w:val="single" w:color="auto"/>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terms “we,” “our,” “us,” "ManpowerGroup," or “the Company” refer to ManpowerGroup Inc. and its consolidated subsidiaries.</w:t>
      </w:r>
    </w:p>
    <w:p>
      <w:pPr>
        <w:spacing w:after="0" w:line="1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ManpowerGroup Inc. is a world leader in innovative workforce solutions and services. Through our global network of over 2,500 offices in 75 countries and territories, we put millions of people to work each year with our global, multinational and local clients across all major industry segments. Our strong and connected brands provide innovative solutions that drive organizations forward, accelerate individual success and help build more sustainable communities. We power the future of work.</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50" w:lineRule="exact"/>
        <w:rPr>
          <w:sz w:val="20"/>
          <w:szCs w:val="20"/>
          <w:color w:val="auto"/>
        </w:rPr>
      </w:pPr>
    </w:p>
    <w:p>
      <w:pPr>
        <w:jc w:val="both"/>
        <w:ind w:left="420" w:hanging="209"/>
        <w:spacing w:after="0" w:line="289"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Recruitment and Assessment </w:t>
      </w:r>
      <w:r>
        <w:rPr>
          <w:rFonts w:ascii="Arial" w:cs="Arial" w:eastAsia="Arial" w:hAnsi="Arial"/>
          <w:sz w:val="17"/>
          <w:szCs w:val="17"/>
          <w:color w:val="auto"/>
        </w:rPr>
        <w:t>– By leveraging our trusted brands, industry knowledge and expertise, we identify the right talent in the right place to</w:t>
      </w:r>
      <w:r>
        <w:rPr>
          <w:rFonts w:ascii="Arial" w:cs="Arial" w:eastAsia="Arial" w:hAnsi="Arial"/>
          <w:sz w:val="17"/>
          <w:szCs w:val="17"/>
          <w:b w:val="1"/>
          <w:bCs w:val="1"/>
          <w:color w:val="auto"/>
        </w:rPr>
        <w:t xml:space="preserve"> </w:t>
      </w:r>
      <w:r>
        <w:rPr>
          <w:rFonts w:ascii="Arial" w:cs="Arial" w:eastAsia="Arial" w:hAnsi="Arial"/>
          <w:sz w:val="17"/>
          <w:szCs w:val="17"/>
          <w:color w:val="auto"/>
        </w:rPr>
        <w:t>help our clients quickly access the people they need when they need them. Through our industry-leading assessments, we help people and organizations understand their strengths and potential, resulting in better job matches, higher retention and a stronger workforce.</w:t>
      </w:r>
    </w:p>
    <w:p>
      <w:pPr>
        <w:spacing w:after="0" w:line="117" w:lineRule="exact"/>
        <w:rPr>
          <w:rFonts w:ascii="Arial" w:cs="Arial" w:eastAsia="Arial" w:hAnsi="Arial"/>
          <w:sz w:val="17"/>
          <w:szCs w:val="17"/>
          <w:color w:val="auto"/>
        </w:rPr>
      </w:pPr>
    </w:p>
    <w:p>
      <w:pPr>
        <w:jc w:val="both"/>
        <w:ind w:left="420" w:hanging="209"/>
        <w:spacing w:after="0" w:line="26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Our unique insights into evolving employer needs and our expertise in training and development help us prepare</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and associates to succeed in today’s competitive marketplace. We offer an extensive portfolio of training courses and leadership development solutions that help clients maximize talent and optimize performance.</w:t>
      </w:r>
    </w:p>
    <w:p>
      <w:pPr>
        <w:spacing w:after="0" w:line="135" w:lineRule="exact"/>
        <w:rPr>
          <w:rFonts w:ascii="Arial" w:cs="Arial" w:eastAsia="Arial" w:hAnsi="Arial"/>
          <w:sz w:val="18"/>
          <w:szCs w:val="18"/>
          <w:color w:val="auto"/>
        </w:rPr>
      </w:pPr>
    </w:p>
    <w:p>
      <w:pPr>
        <w:ind w:left="420" w:hanging="209"/>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Career Management </w:t>
      </w:r>
      <w:r>
        <w:rPr>
          <w:rFonts w:ascii="Arial" w:cs="Arial" w:eastAsia="Arial" w:hAnsi="Arial"/>
          <w:sz w:val="18"/>
          <w:szCs w:val="18"/>
          <w:color w:val="auto"/>
        </w:rPr>
        <w:t>– We help individuals manage their career journey through outplacement services and targeted skills development. By helping</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organizations manage workforce transitions and career changes we unleash human potential.</w:t>
      </w:r>
    </w:p>
    <w:p>
      <w:pPr>
        <w:spacing w:after="0" w:line="121" w:lineRule="exact"/>
        <w:rPr>
          <w:rFonts w:ascii="Arial" w:cs="Arial" w:eastAsia="Arial" w:hAnsi="Arial"/>
          <w:sz w:val="18"/>
          <w:szCs w:val="18"/>
          <w:color w:val="auto"/>
        </w:rPr>
      </w:pPr>
    </w:p>
    <w:p>
      <w:pPr>
        <w:ind w:left="420" w:hanging="209"/>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21" w:lineRule="exact"/>
        <w:rPr>
          <w:rFonts w:ascii="Arial" w:cs="Arial" w:eastAsia="Arial" w:hAnsi="Arial"/>
          <w:sz w:val="18"/>
          <w:szCs w:val="18"/>
          <w:color w:val="auto"/>
        </w:rPr>
      </w:pPr>
    </w:p>
    <w:p>
      <w:pPr>
        <w:ind w:left="420" w:hanging="209"/>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help clients create and align their workforce strategy to achieve their business strategy, increase business agility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flexibility, and accelerate personal and business success.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family of brands and offerings includes:</w:t>
      </w:r>
    </w:p>
    <w:p>
      <w:pPr>
        <w:spacing w:after="0" w:line="181" w:lineRule="exact"/>
        <w:rPr>
          <w:sz w:val="20"/>
          <w:szCs w:val="20"/>
          <w:color w:val="auto"/>
        </w:rPr>
      </w:pPr>
    </w:p>
    <w:p>
      <w:pPr>
        <w:ind w:left="420" w:hanging="209"/>
        <w:spacing w:after="0" w:line="282"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Manpower </w:t>
      </w:r>
      <w:r>
        <w:rPr>
          <w:rFonts w:ascii="Arial" w:cs="Arial" w:eastAsia="Arial" w:hAnsi="Arial"/>
          <w:sz w:val="18"/>
          <w:szCs w:val="18"/>
          <w:color w:val="auto"/>
        </w:rPr>
        <w:t>– We are a global leader in contingent staffing and permanent recruitment. We provide businesses with rapid access to a highly qualified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pool of candidates to give them the flexibility and agility they need to respond to changing business needs.</w:t>
      </w:r>
    </w:p>
    <w:p>
      <w:pPr>
        <w:spacing w:after="0" w:line="121" w:lineRule="exact"/>
        <w:rPr>
          <w:rFonts w:ascii="Arial" w:cs="Arial" w:eastAsia="Arial" w:hAnsi="Arial"/>
          <w:sz w:val="18"/>
          <w:szCs w:val="18"/>
          <w:color w:val="auto"/>
        </w:rPr>
      </w:pPr>
    </w:p>
    <w:p>
      <w:pPr>
        <w:ind w:left="420" w:hanging="209"/>
        <w:spacing w:after="0" w:line="313"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Experis </w:t>
      </w:r>
      <w:r>
        <w:rPr>
          <w:rFonts w:ascii="Arial" w:cs="Arial" w:eastAsia="Arial" w:hAnsi="Arial"/>
          <w:sz w:val="17"/>
          <w:szCs w:val="17"/>
          <w:color w:val="auto"/>
        </w:rPr>
        <w:t>– We are a global leader in professional resourcing and project-based solutions. With operations in over 50 countries and territories, we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72 million hours of professional talent in 2019 specializing in Information Technology (IT), Engineering, and Finance.</w:t>
      </w:r>
    </w:p>
    <w:p>
      <w:pPr>
        <w:spacing w:after="0" w:line="97" w:lineRule="exact"/>
        <w:rPr>
          <w:rFonts w:ascii="Arial" w:cs="Arial" w:eastAsia="Arial" w:hAnsi="Arial"/>
          <w:sz w:val="17"/>
          <w:szCs w:val="17"/>
          <w:color w:val="auto"/>
        </w:rPr>
      </w:pPr>
    </w:p>
    <w:p>
      <w:pPr>
        <w:jc w:val="both"/>
        <w:ind w:left="420" w:hanging="209"/>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Right Management </w:t>
      </w:r>
      <w:r>
        <w:rPr>
          <w:rFonts w:ascii="Arial" w:cs="Arial" w:eastAsia="Arial" w:hAnsi="Arial"/>
          <w:sz w:val="18"/>
          <w:szCs w:val="18"/>
          <w:color w:val="auto"/>
        </w:rPr>
        <w:t>– We are global career experts dedicated to helping organizations and individuals become more agile and market-ready. By</w:t>
      </w:r>
      <w:r>
        <w:rPr>
          <w:rFonts w:ascii="Arial" w:cs="Arial" w:eastAsia="Arial" w:hAnsi="Arial"/>
          <w:sz w:val="18"/>
          <w:szCs w:val="18"/>
          <w:b w:val="1"/>
          <w:bCs w:val="1"/>
          <w:color w:val="auto"/>
        </w:rPr>
        <w:t xml:space="preserve"> </w:t>
      </w:r>
      <w:r>
        <w:rPr>
          <w:rFonts w:ascii="Arial" w:cs="Arial" w:eastAsia="Arial" w:hAnsi="Arial"/>
          <w:sz w:val="18"/>
          <w:szCs w:val="18"/>
          <w:color w:val="auto"/>
        </w:rPr>
        <w:t>leveraging our expertise in assessment, development and coaching, we provide tailored solutions that deliver organizational efficiency, individual development, and career mobility, to increase productivity and optimize business performance.</w:t>
      </w:r>
    </w:p>
    <w:p>
      <w:pPr>
        <w:spacing w:after="0" w:line="135" w:lineRule="exact"/>
        <w:rPr>
          <w:rFonts w:ascii="Arial" w:cs="Arial" w:eastAsia="Arial" w:hAnsi="Arial"/>
          <w:sz w:val="18"/>
          <w:szCs w:val="18"/>
          <w:color w:val="auto"/>
        </w:rPr>
      </w:pPr>
    </w:p>
    <w:p>
      <w:pPr>
        <w:jc w:val="both"/>
        <w:ind w:left="420" w:hanging="209"/>
        <w:spacing w:after="0" w:line="261"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ManpowerGroup Solutions </w:t>
      </w:r>
      <w:r>
        <w:rPr>
          <w:rFonts w:ascii="Arial" w:cs="Arial" w:eastAsia="Arial" w:hAnsi="Arial"/>
          <w:sz w:val="18"/>
          <w:szCs w:val="18"/>
          <w:color w:val="auto"/>
        </w:rPr>
        <w:t>– We are a global leader in outsourcing services for large-scale recruiting. We are the world’s largest Recruitment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Outsourcing (RPO) and our TAPFIN - Managed Service Provider (MSP) business is continually ranked as a top global MSP alongside our Talent Based Outsourcing (TBO). Our Proservia brand is a recognized leader within the Digital Services market and IT Infrastructure sector throughout Europe, specializing in infrastructure management and end-user support.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Effective January 2020, we launched a new brand within ManpowerGroup, Talent Solutions. Talent Solutions combines three of our current global offerings to leverage our expertise in RPO, TAPFIN - MSP and Right Management. Our goal is to deliver new solutions and create added value that addresses our clients’ complex global workforce needs.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Talent Solutions will leverage our core capabilities to help organizations effectively source, manage and develop talent at scale, designed to address client demand for expert offerings, integrated and data driven workforce solutions as well as seamless delivery across multiple countries. We expect to add new global offerings as part of Talent Solutions over time together with workforce insights and data and technology platforms.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leadership position enables us to be a pathway to quality employment opportunities for people at all points in their career paths. Whether it is seasoned professionals, skilled laborers, temporary to permanent, parents returning to work, seniors wanting to supplement pensions, previously unemployed or underemployed youth and disabled individuals, ManpowerGroup has been connecting people to meaningful work for over 70 years.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our predecessors, have been in business since 1948 when we were incorporated as a Wisconsin corporation, and have had our shares listed on the New York Stock Exchange since 1967.</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46" w:lineRule="exact"/>
        <w:rPr>
          <w:sz w:val="20"/>
          <w:szCs w:val="20"/>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articles of incorporation and amended and restated bylaws;</w:t>
      </w:r>
    </w:p>
    <w:p>
      <w:pPr>
        <w:spacing w:after="0" w:line="23"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anti-corruption policy;</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charters of the Audit, Executive Compensation and Human Resources and Nominating and Governance Committees of the Board of Directors;</w:t>
      </w:r>
    </w:p>
    <w:p>
      <w:pPr>
        <w:spacing w:after="0" w:line="20" w:lineRule="exact"/>
        <w:rPr>
          <w:rFonts w:ascii="Arial" w:cs="Arial" w:eastAsia="Arial" w:hAnsi="Arial"/>
          <w:sz w:val="17"/>
          <w:szCs w:val="17"/>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independent auditors' services policy;</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executive officer stock ownership guidelines;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outside director stock ownership guidelines; and</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282A32"/>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82A32"/>
        </w:rPr>
        <w:t>The nature of our operations is such that our most significant current asset is accounts receivable, with an average days sales outstanding of between 55 and 60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an economic downturn continued for an extended period.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82A32"/>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last several years, secular trends toward greater workforce flexibility have helped drive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recruitment services includes permanent, temporary and contract recruitment of professionals, as well as administrative and industrial positions. These services are provided under our Manpower and Experis brands. We have provided services under our core Manpower brand for over 70 years with a primary focus on the areas of office and industrial services and solutions. We provide services under our Experis brand, particularly in the areas of IT, Engineering, and Finance, that include high-impact solutions, and help accelerate organizations’ growth by attracting, assessing and placing specialized expertise to deliver in-demand talent for important positions. Our experience and expertise allow us to accurately assess candidates’ workplace potential and technical skills to match them to the needs of our clients. We plan to continue to build our brand and attract the talent our clients need as skills shortages arise or continue.</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ManpowerGroup Solutions specializes in the delivery of customized workforce strategies and outcome-based solutions.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and Proservia services also include management of financial and administrative processes, including call center and customer service activities.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82A32"/>
        </w:rPr>
        <w:t>Our career management services have historically been counter-cyclical to our staffing services, which helps to offset the impact of an economic downturn on our overall financial results.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services as Manpower, Experis and ManpowerGroup Solutions through both branch and franchise offices. The Americas segment had 562 branch and 172 franchise offices. In the United States, where we realized 60% of the Americas’ revenue, we had 376 branch and 164 franchise offices as of December 31, 2019, as well as on-site locations at clients with significant permanent, temporary and contract recruitment requirements. In Other Americas, the largest operations of which include Mexico and Argentina, we had 186 branch offices and 8 franchise offices. We provide a number of central support services to our branches and franchises, which enable us to maintain consistent service quality throughout the region regardless of whether an office is a branch or franchise.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 with appropriate prices and terms.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Manpower and Experis operations provide a variety of workforce solutions and services, including permanent, temporary and contract recruitment, assessment and selection, and training. During 2019 in this segment, approximately 37% of temporary and contract recruitment revenues were derived from placing industrial staff, 23% from placing office staff, and 40% from placing professional and technical staff. For our United States operations in 2019, approximately 47% of the temporary and contract recruitment revenues were derived from placing industrial staff, 13% from placing office staff, and 40% from placing professional and technical staff.</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ManpowerGroup Solutions operations provide a variety of outcome-based solutions including RPO, MSP and TBO. We also conduct business in the Americas under our Right Management brand as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Southern Europe segment had 1,126 branch offices and 49 franchise offices as of December 31, 2019. Our largest operations in this segment are in France (60% of the segment revenue) and Italy (16% of the segment revenue).</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2019 for our Southern Europe operations, approximately 73% of temporary and contract recruitment revenues were derived from placing industrial staff, 14% from placing office staff, and 13% from placing professional and technical staff.</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our operations in France as a leading workforce solutions and service provider through 523 branch offices as Manpower, Experis, ManpowerGroup Solutions and Proservia, and 149 branch offices under the name Supplay. The employment services market in France calls for a wide range of our services including permanent, temporary and contract recruitment, assessment and selection, and training. The temporary recruitment market is predominantly focused on recruitment for industrial positions. In 2019, we derived approximately 83% of our temporary recruitment revenues in France from the supply of industrial and construction workers, 15% from the supply of office staff, and 2% from the supply of professional and technical staff.</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Italy, we are a leading workforce solutions and services provider. As of December 31, 2019, ManpowerGroup Italy conducted operations through a network of 229 branch offices. It provides a comprehensive suite of workforce solutions and services offered through Manpower, Experis or ManpowerGroup Solutions, including permanent, temporary and contract recruitment, assessment and selection, training and outsourcing. In 2019, approximately 67% of our temporary and contract recruitment revenues in Italy were derived from placing industrial staff, 5% from placing office staff, including contact center staff, and 28% from placing professional and technical staff.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 business in Southern Europe under our Right Management brand as discussed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largest operations in Northern Europe are in the United Kingdom, Germany, the Nordics and the Netherlands, providing a comprehensive suite of workforce solutions and services through Manpower, Experis, and ManpowerGroup Solutions. Collectively, we operate through 399 branch offices in this region.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During 2019 for our Northern Europe operations, approximately 39% of temporary and contract recruitment revenues were derived from placing industrial staff, 22% from placing office staff, and 39% from placing professional and technical staff.</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2019, we conducted operations in the United Kingdom as Manpower, Experis and ManpowerGroup Solutions through a network of 34 branch offices and also provided on-site services to clients who have significant permanent, temporary and contract recruitment requirements. During 2019, approximately 23% of our United Kingdom operation’s temporary recruitment revenues were derived from the supply of industrial staff, 18% from the supply of office staff, and 59% from the supply of professional and technical staff. In the United Kingdom, we also conduct operations as Brook Street Bureau PLC, or Brook Street, through a total of 35 branch offices.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 business in Northern Europe under our Right Management brand as discussed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through 137 branch offices in the Asia Pacific Middle East (APME) region. The largest of these operations are located in Japan, Australia, India and Korea,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2019, approximately 10% of our APME temporary and contract recruitment revenues were derived from placing industrial staff, 59% from placing office staff, and 31% from placing professional and technical staff.</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2019, our joint venture in Greater China, ManpowerGroup Greater China Limited, became listed on the Main Board of the Stock Exchange of Hong Kong Limited through an initial public offering. As a result, we deconsolidated the joint venture as of the listing date and account for our remaining interest under the equity method of accounting. (See Note 4 to the Consolidated Financial Statements found in Item 8. “Financial Statements and Supplementary Data”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also conduct business in APME under our Right Management brand as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Right Management is a global expert in talent and career management workforce solutions. We design and deliver solutions to align talent strategy with business strategy. Our expertise spans Talent Assessment, Leader Development, Organizational Effectiveness, Employee Engagement, and Workforce Transition and Outplacement. With 57 offices in 49 countries and territories, we partner with companies of all sizes to help grow and engage their talent, increase productivity and optimize business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client mix consists of both small- and medium-size businesses, and large national and multinational client relationships, which comprised approximately 60% of our revenues in 2019. Client relationships with small- and medium-size businesses are based on a local or regional relationship, and tend to rely less on longer-term contracts, and the competitors for this business are primarily locally-owned businesses. The large national and multinational clients, on the other hand,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43" w:lineRule="exact"/>
        <w:rPr>
          <w:sz w:val="20"/>
          <w:szCs w:val="20"/>
          <w:color w:val="auto"/>
        </w:rPr>
      </w:pPr>
    </w:p>
    <w:p>
      <w:pPr>
        <w:ind w:left="420" w:hanging="209"/>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11" w:lineRule="exact"/>
        <w:rPr>
          <w:rFonts w:ascii="Arial" w:cs="Arial" w:eastAsia="Arial" w:hAnsi="Arial"/>
          <w:sz w:val="18"/>
          <w:szCs w:val="18"/>
          <w:color w:val="auto"/>
        </w:rPr>
      </w:pPr>
    </w:p>
    <w:p>
      <w:pPr>
        <w:ind w:left="420" w:hanging="209"/>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w:t>
      </w:r>
    </w:p>
    <w:p>
      <w:pPr>
        <w:spacing w:after="0" w:line="7" w:lineRule="exact"/>
        <w:rPr>
          <w:rFonts w:ascii="Arial" w:cs="Arial" w:eastAsia="Arial" w:hAnsi="Arial"/>
          <w:sz w:val="18"/>
          <w:szCs w:val="18"/>
          <w:color w:val="auto"/>
        </w:rPr>
      </w:pPr>
    </w:p>
    <w:p>
      <w:pPr>
        <w:ind w:left="420" w:hanging="209"/>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 and</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that requires new or additional benefits and pay parity for our associates.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outplacement and consulting services generally are not subject to governmental regulation in the markets in which we operate.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34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December 2018, the French government published their final budget for 2019, which replaced the CICE program with new subsidies in January 2019. This transition led to a profit-sharing cost that reduced the gross profit margin benefit of the subsidies. These subsidies are subject to income tax. In October 2019, incremental subsidies were implemented as expected. We offset the net negative impact in 2019 with ongoing initiatives.</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Germany, the Confederation of German Trade Unions (representing eight German trade unions and over six million people) and the Employer’s Association of the Temporary Staffing Industry (representing two major temporary worker employers’ associations) entered into a Collective Labor Agreement (“CLA”), which was implemented in multiple phases between 2014 and 2017. The first phases of the CLA required higher wages to temporary employees and higher cost for vacation, sick pay, and temporary staff time accounts. The following phase went into effect in June 2016 with a 2.3% to 3.6% wage increase. A new CLA in 2017 required three additional wage increases through 2019, with wage increases of 2.5% to 4.8% in 2017, 2018, 2019. Proposed wage increases for 2020 range from 1.9% to 2.3% for both the east and west, with a second increase in the east of 2.2%. In 2021, the wage increases are between 3.0% and 7.1%, when the wage differences between the east and west will be eliminated. The proposed wage increase in 2022 is 4.1%.</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 is also a mandate that was effective in January 2018 of equal pay for our associates after nine months on assignment. This new regulation generally had an unfavorable impact on our gross profit margin in Germany, as we often cannot pass on the additional costs to the client or, if so, without a mark-up. In October 2018, the 18-month rule took effect, which limited the maximum period of associate assignments to 18 months, after which such associates will be classified as employees for their assignment and allowed clients to in-source our staff. There are initiatives in place to manage any potential impact.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maintain a number of registered trademarks, trade names and service marks in the United States and various other countries and territories. We believe that many of these marks and trade names, including ManpowerGroup </w:t>
      </w:r>
      <w:r>
        <w:rPr>
          <w:rFonts w:ascii="Arial" w:cs="Arial" w:eastAsia="Arial" w:hAnsi="Arial"/>
          <w:sz w:val="14"/>
          <w:szCs w:val="14"/>
          <w:color w:val="auto"/>
        </w:rPr>
        <w:t>®</w:t>
      </w:r>
      <w:r>
        <w:rPr>
          <w:rFonts w:ascii="Arial" w:cs="Arial" w:eastAsia="Arial" w:hAnsi="Arial"/>
          <w:sz w:val="17"/>
          <w:szCs w:val="17"/>
          <w:color w:val="auto"/>
        </w:rPr>
        <w:t xml:space="preserve">, ManpowerGroup </w:t>
      </w:r>
      <w:r>
        <w:rPr>
          <w:rFonts w:ascii="Arial" w:cs="Arial" w:eastAsia="Arial" w:hAnsi="Arial"/>
          <w:sz w:val="14"/>
          <w:szCs w:val="14"/>
          <w:color w:val="auto"/>
        </w:rPr>
        <w:t>®</w:t>
      </w:r>
      <w:r>
        <w:rPr>
          <w:rFonts w:ascii="Arial" w:cs="Arial" w:eastAsia="Arial" w:hAnsi="Arial"/>
          <w:sz w:val="17"/>
          <w:szCs w:val="17"/>
          <w:color w:val="auto"/>
        </w:rPr>
        <w:t xml:space="preserve"> Solutions, Manpower </w:t>
      </w:r>
      <w:r>
        <w:rPr>
          <w:rFonts w:ascii="Arial" w:cs="Arial" w:eastAsia="Arial" w:hAnsi="Arial"/>
          <w:sz w:val="14"/>
          <w:szCs w:val="14"/>
          <w:color w:val="auto"/>
        </w:rPr>
        <w:t>®</w:t>
      </w:r>
      <w:r>
        <w:rPr>
          <w:rFonts w:ascii="Arial" w:cs="Arial" w:eastAsia="Arial" w:hAnsi="Arial"/>
          <w:sz w:val="17"/>
          <w:szCs w:val="17"/>
          <w:color w:val="auto"/>
        </w:rPr>
        <w:t xml:space="preserve">, Experis </w:t>
      </w:r>
      <w:r>
        <w:rPr>
          <w:rFonts w:ascii="Arial" w:cs="Arial" w:eastAsia="Arial" w:hAnsi="Arial"/>
          <w:sz w:val="14"/>
          <w:szCs w:val="14"/>
          <w:color w:val="auto"/>
        </w:rPr>
        <w:t>®</w:t>
      </w:r>
      <w:r>
        <w:rPr>
          <w:rFonts w:ascii="Arial" w:cs="Arial" w:eastAsia="Arial" w:hAnsi="Arial"/>
          <w:sz w:val="17"/>
          <w:szCs w:val="17"/>
          <w:color w:val="auto"/>
        </w:rPr>
        <w:t xml:space="preserve">, Right Management </w:t>
      </w:r>
      <w:r>
        <w:rPr>
          <w:rFonts w:ascii="Arial" w:cs="Arial" w:eastAsia="Arial" w:hAnsi="Arial"/>
          <w:sz w:val="14"/>
          <w:szCs w:val="14"/>
          <w:color w:val="auto"/>
        </w:rPr>
        <w:t>®</w:t>
      </w:r>
      <w:r>
        <w:rPr>
          <w:rFonts w:ascii="Arial" w:cs="Arial" w:eastAsia="Arial" w:hAnsi="Arial"/>
          <w:sz w:val="17"/>
          <w:szCs w:val="17"/>
          <w:color w:val="auto"/>
        </w:rPr>
        <w:t xml:space="preserve">, Brook Street </w:t>
      </w:r>
      <w:r>
        <w:rPr>
          <w:rFonts w:ascii="Arial" w:cs="Arial" w:eastAsia="Arial" w:hAnsi="Arial"/>
          <w:sz w:val="14"/>
          <w:szCs w:val="14"/>
          <w:color w:val="auto"/>
        </w:rPr>
        <w:t>®</w:t>
      </w:r>
      <w:r>
        <w:rPr>
          <w:rFonts w:ascii="Arial" w:cs="Arial" w:eastAsia="Arial" w:hAnsi="Arial"/>
          <w:sz w:val="17"/>
          <w:szCs w:val="17"/>
          <w:color w:val="auto"/>
        </w:rPr>
        <w:t xml:space="preserve">, and Proservia </w:t>
      </w:r>
      <w:r>
        <w:rPr>
          <w:rFonts w:ascii="Arial" w:cs="Arial" w:eastAsia="Arial" w:hAnsi="Arial"/>
          <w:sz w:val="14"/>
          <w:szCs w:val="14"/>
          <w:color w:val="auto"/>
        </w:rPr>
        <w:t>®</w:t>
      </w:r>
      <w:r>
        <w:rPr>
          <w:rFonts w:ascii="Arial" w:cs="Arial" w:eastAsia="Arial" w:hAnsi="Arial"/>
          <w:sz w:val="17"/>
          <w:szCs w:val="17"/>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approximately 28,000 full-time equivalent employees as of December 31, 2019. In addition, we recruit millions of permanent, temporary and contract workers on a worldwide basis each year on behalf of our clients.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of the factors that could cause actual results to differ materially from estimates contained in our forward-looking statements:</w:t>
      </w:r>
    </w:p>
    <w:p>
      <w:pPr>
        <w:spacing w:after="0" w:line="196" w:lineRule="exact"/>
        <w:rPr>
          <w:sz w:val="20"/>
          <w:szCs w:val="20"/>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Volatile, negative, or uncertain economic conditions;</w:t>
      </w:r>
    </w:p>
    <w:p>
      <w:pPr>
        <w:spacing w:after="0" w:line="23"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economic recovery may be short-lived and uneven, and may not result in increased demand for our services;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timely respond to the needs of our clients;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worldwide employment services industry limiting our ability to maintain or increase market share or profitability;</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effectively implement our business strategy or achieve our objectives;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cyberattack or improper disclosure or loss of sensitive or confidential company, employee, associate or client data, including personal data;</w:t>
      </w:r>
    </w:p>
    <w:p>
      <w:pPr>
        <w:spacing w:after="0" w:line="20" w:lineRule="exact"/>
        <w:rPr>
          <w:rFonts w:ascii="Arial" w:cs="Arial" w:eastAsia="Arial" w:hAnsi="Arial"/>
          <w:sz w:val="17"/>
          <w:szCs w:val="17"/>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increased costs, and reputational risk from outsourcing various aspects of our business;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or reduction in revenues from one or more large clients;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meet our working capital needs;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meeting contractual obligations if we or third parties fail to deliver on performance commitments;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keep pace with technological change and marketplace demand in the development and implementation of our services and solutions;</w:t>
      </w:r>
    </w:p>
    <w:p>
      <w:pPr>
        <w:spacing w:after="0" w:line="20" w:lineRule="exact"/>
        <w:rPr>
          <w:rFonts w:ascii="Arial" w:cs="Arial" w:eastAsia="Arial" w:hAnsi="Arial"/>
          <w:sz w:val="17"/>
          <w:szCs w:val="17"/>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implement strategic technology investments;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labor markets limiting our ability to attract, train and retain the personnel necessary to meet our clients’ staffing needs;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unrest, natural disasters, health crises, infrastructure disruptions, and other risks beyond our control;</w:t>
      </w:r>
    </w:p>
    <w:p>
      <w:pPr>
        <w:spacing w:after="0" w:line="9" w:lineRule="exact"/>
        <w:rPr>
          <w:rFonts w:ascii="Arial" w:cs="Arial" w:eastAsia="Arial" w:hAnsi="Arial"/>
          <w:sz w:val="18"/>
          <w:szCs w:val="18"/>
          <w:color w:val="auto"/>
        </w:rPr>
      </w:pPr>
    </w:p>
    <w:p>
      <w:pPr>
        <w:ind w:left="580" w:hanging="194"/>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legal regulations in places we do business or the regulatory prohibition or restriction of employment services or the imposition of additional licensing or tax requirements;</w:t>
      </w: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anti-corruption and bribery laws;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claims, including employment-related claims, from clients or third parties;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liability resulting from competition law;</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preserve our reputation in the marketplace;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0" w:name="page11"/>
    <w:bookmarkEnd w:id="10"/>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client attitudes toward the use of our services;</w:t>
      </w:r>
    </w:p>
    <w:p>
      <w:pPr>
        <w:spacing w:after="0" w:line="23"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maintain effective internal controls;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or disruptions resulting from acquisitions we complete;</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reduction in our global footprint via sales, franchising, joint ventures or other exit activities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ability to protect our thought leadership and other intellectual property;</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material adverse effects on our operating flexibility resulting from our debt levels;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comply with restrictive covenants under our revolving credit facilities and other debt instruments;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obtain credit on terms acceptable to us or at all;</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subsidiaries and their ability to distribute cash to our parent company, ManpowerGroup, may vary;</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secure guarantees or letters of credit on acceptable terms;</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legislation;</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 of our stock price;</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under Wisconsin law and our articles of incorporation and bylaws could make the takeover of our Company more difficult;</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9" w:lineRule="exact"/>
        <w:rPr>
          <w:rFonts w:ascii="Arial" w:cs="Arial" w:eastAsia="Arial" w:hAnsi="Arial"/>
          <w:sz w:val="18"/>
          <w:szCs w:val="18"/>
          <w:color w:val="auto"/>
        </w:rPr>
      </w:pPr>
    </w:p>
    <w:p>
      <w:pPr>
        <w:ind w:left="580" w:hanging="19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could be materially adversely affected by volatile, negative, or uncertain economic conditions.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sensitive to changes in global macroeconomic conditions, which at various times have included considerable uncertainty and volatility. Growth in the markets we serve could be at a slow rate, or could stagnate or contract, and we are at continued risk that a downturn or a decline in economic activity globally, or in key markets, could have an adverse impact on our business. In the past, we have experienced periods during which economic conditions have been unstable and difficult to predict globally, and during which many of our operating regions experienced volatile growth patterns or declines. For example, in the latter part of 2019, the economic environment was one of slowing growth globally, including in many of our European countries. Such conditions can adversely affect client demand for our services and solutions and result in declines or declining growth rates in our business. Additionally, because country and regional economies are often interdependent, there is a risk that negative economic conditions in one market could give rise to a more widespread, or global, decline. Economic uncertainty or decline often causes our clients to reduce or defer their spending on new projects that require our solutions, or to decrease their demand for our various staffing services. If any of these trends or situations arises or intensifies, it could have a material adverse effect on our business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 w:name="page12"/>
    <w:bookmarkEnd w:id="11"/>
    <w:p>
      <w:pPr>
        <w:jc w:val="both"/>
        <w:spacing w:after="0" w:line="276" w:lineRule="auto"/>
        <w:rPr>
          <w:sz w:val="20"/>
          <w:szCs w:val="20"/>
          <w:color w:val="auto"/>
        </w:rPr>
      </w:pPr>
      <w:r>
        <w:rPr>
          <w:rFonts w:ascii="Arial" w:cs="Arial" w:eastAsia="Arial" w:hAnsi="Arial"/>
          <w:sz w:val="17"/>
          <w:szCs w:val="17"/>
          <w:color w:val="auto"/>
        </w:rPr>
        <w:t>Our profitability is sensitive to decreases in demand. When demand drops or remains low, our operating profit is typically impacted unfavorably as we experience a deleveraging of our selling and administrative expense base as expenses may not decline as quickly as revenues. In periods of decline, we may not be able to reduce selling and administrative expenses without negatively impacting the long-term potential of our branch network and brands. Additionally, during periods of decline or uncertainty, companies may slow the rate at which they pay their vendors, or they may become unable to pay their obligations. If our clients become unable to pay amounts owed to us, or pay us more slowly, then our cash flow and profitability may suffer.</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Economic conditions in the countries and territories where we do business may be affected by recent or emerging events, such as the rise of populism, political volatility and changes in ruling parties or governmental leadership, trade disputes, protectionism or changes in global trade policies, the global refugee crisis, changes in immigration policy, changes in employment policy, rising interest rates, the impact of terrorist activity, or by other political or economic developments. We are particularly susceptible to changes in demand patterns and economic conditions in Europe, which represents two of our operating segments and 66% of our revenue. In 2019, the environment has been one of revenue declines in most of our European markets, with slowing economic growth and continued tight labor markets, and there is a risk that some or many of the European economies may be hampered by events which emerged in recent years, including labor unrest, civil protest, heightened trade tensions, and the uncertainty around the transition and terms under which United Kingdom will exit the European Union. Any of these events or trends could have a material adverse effect on our business and operating results.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operate our business or take advantage of growth opportunities.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lack the speed and agility to respond to the needs of our clients.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28,000 employees based out of over 2,500 offices in 75 countries and territories, may make it difficult for us to effectively manage our resources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The Adecco Group and Randstad,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effectively implement our business strategy, and there can be no assurance that we will achieve our objectives.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future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strategy also includes continuing efforts to transform how we use personnel and technology to enhance our delivery of services. Our goal is to become a more agile and effective competitor, to reduce the cost of operating our business and to increase our operating profit and operating profit margin. These efforts to transform how we do business may not be successful, and we may not succeed at reducing our operating costs or preventing the return of any costs that are eliminated. Additionally, reductions in personnel and other changes could materially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1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depends on our ability to keep pace with rapid technological changes in the development and implementation of our services and solutions. For example, rapid changes in the use of artificial intelligence and robotics are having a significant impact on some of the industries we serve and could have significant and unforeseen consequences for the workforce services industry and for our business. There is a risk that these, or other developments, could result in significant rapid disruption to our business model, and that we will be unprepared to compete effectively.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incur liabilities, or our reputation could be damaged from a cyberattack or improper disclosure or loss of sensitive or confidential company, employee, associate, candidate or client data, including personal data.</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operation of our business, we store, process and transmit a large amount of data, including personnel and payment information, about our employees, clients, associates and candidates, a portion of which is confidential and/or personally identifiable and sensitive. We expect our use of data to increase, including through the use of analytics. In engaging in these data-related activities, we rely on our own technology and systems, and those of third-party vendors we use for a variety of processes, including cloud-based technology and systems, mobile technologies and social media. Unauthorized disclosure, modification or loss of confidential, personally identifiable, or sensitive data may occur through a variety of methods. These include, but are not limited to, systems failure, employee negligence, fraud or misappropriation, or unauthorized access to or through our information systems, whether by our employees, vendors or third parties, including a cyberattack by hackers, members of organized crime and/or state-sponsored organizations, who may develop and deploy social engineering attacks, viruses, ransomware, worms or other malicious software programs, or obtain credentials to our systems through other unrelated cyberattacks.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personally identifiable and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personally identifiable information. In a recent evaluation, additional vulnerabilities were identified that could contribute to the loss of personally identifiable information. The assessment firm was able to penetrate defensive protections adopted by us, as well as protections that we obtain from third party providers. We are prioritizing the resolution of security gaps that could lead to a loss of personally identifiable information or to other damage. Despite our efforts to identify and address such vulnerabilities, there are no assurances that our efforts will be successful.</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a risk that our and our third-party vendors’ preventative security controls and practices will be inadequate to prevent unauthorized access to, disclosure of, or loss of personally identifiable and confidential data, or fraudulent activity. Any such unauthorized access or fraudulent activity could have a material adverse effect on our business and financial results.</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potential risk of security breaches, fraud and cyberattacks may increase as we continue to introduce services and offerings, whether mobile, cloud, or otherwise. Any additional services and offerings inevitably increase the opportunity for a cyberattack against us. Further, data privacy and security are subject to frequently changing laws and regulations, which include the European Union General Data Protection Regulation (the “GDPR”) and the California Consumer Privacy Act (the “CCPA”), as well as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CCPA impose significant new compliance obligations that add costs and operational burdens to our business with respect to our collection, use, storage and retention of personal data. Compliance with these obligations could reduce operational efficiency,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CCPA.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Any failure or perceived failure to successfully manage the collection, use, storage, processing, disclosure, transfer, destruction or security of personally identifiable data or other privacy and security related matters, or any failure to comply with changing regulatory requirements in this area, or any failure to mitigate other cyberattacks or material vulnerabilities, could result in legal liability or impairment to our reputation in the marketplace. The increasing discovery and/or disclosure of material vulnerabilities in various systems and components, along with the uncertainty concerning patches to those material vulnerabilities and the emergence of malware and tools to exploit those material vulnerabilities, may also have a detrimental effect on our cybersecurity posture and the ability to thwart a cyberattack. In addition, our liability insurance might not be sufficient in scope or amount to cover us against claims related to security breaches, social engineering, cyberattacks and other related data disclosure, loss or breach.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outsourced aspects of our business, which could result in disruption, increased costs, and reputational risk.</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increasingly outsourced important processes of our business to third party vendors, which exposes us to other risks, including increased costs,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 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A successful breach of the security of our technology systems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certain foreign countries, such as Argentina in 2018, can result in foreign currency devaluation, which may also negatively impact our reported financial results.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2019, approximately 88% of our revenues were generated outside of the United States, the majority of which were generated in Europe. Furthermore, $1,073.4 million of our outstanding indebtedness as of December 31, 2019 was denominated in foreign currencies, including $1,002.9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We seek to mitigate our exposure to foreign currency fluctuations by utilizing net investment hedges and, from time to time, foreign currency forward exchange contracts and cross-currency swaps. A portion of our Euro-denominated notes has been designated as a hedge of our net investment in subsidiaries with a Euro-functional currency as of December 31, 2019,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loss or reduction in revenues from large client accounts could have a material adverse effect on our business.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 and multinational client relationships. These large national and multinational clients, which comprised approximately 60% of our revenues in 2019,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 could be adversely impacted by economic conditions affecting our clients.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on contracts may be materially adversely affected if we or third parties fail to deliver on commitments.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contracts are increasingly complex and, in most instances, require that we partner with other parties to provide the workforce solutions required by our clients. Our clients have become more sophisticated in their contractual negotiation process and more detailed in defining their operational requirements.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or vendors and we may face challenges or be unable to enforce these obligations against those partners.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depends on our ability to attract and retain qualified associates who possess the skills and experience necessary to meet the requirements of our clients. In many markets, we have been experiencing an unusually tight labor market, with historically low levels of unemployment, and there is a risk that we may be unable to meet our clients’ requirements in identifying an adequate number of associates. We must continually evaluate and upgrade our base of available qualified personnel through recruiting and training programs to keep pace with changing client needs and emerging technologies. This is especially acute for individuals with IT and other technology skills, as competition for such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operations subject us to certain risks beyond our control.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operations in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acts of war, terrorism, international conflict, severe weather conditions, pandemics and other global health emergencies, disruptions of infrastructure and utilities, cyberattacks, and other events beyond our control. Although it is not possible to predict such events or their consequences, these events could materially adversely affect our reputation, business and financial results.</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many jurisdictions in which we operate, such as France, Italy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These new regulations could have a significant impact to our revenues, costs, and operating margins as we and customers adjust to these new regulations. Furthermore, many countries are also expanding enforcement of immigration laws, and there is a risk that we will incur greater expense in connection with immigration law compliance.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countries and territories in which we operate may, among other things:</w:t>
      </w:r>
    </w:p>
    <w:p>
      <w:pPr>
        <w:spacing w:after="0" w:line="198" w:lineRule="exact"/>
        <w:rPr>
          <w:sz w:val="20"/>
          <w:szCs w:val="20"/>
          <w:color w:val="auto"/>
        </w:rPr>
      </w:pPr>
    </w:p>
    <w:p>
      <w:pPr>
        <w:ind w:left="420" w:hanging="209"/>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11" w:lineRule="exact"/>
        <w:rPr>
          <w:rFonts w:ascii="Arial" w:cs="Arial" w:eastAsia="Arial" w:hAnsi="Arial"/>
          <w:sz w:val="18"/>
          <w:szCs w:val="18"/>
          <w:color w:val="auto"/>
        </w:rPr>
      </w:pPr>
    </w:p>
    <w:p>
      <w:pPr>
        <w:ind w:left="420" w:hanging="209"/>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7" w:lineRule="exact"/>
        <w:rPr>
          <w:rFonts w:ascii="Arial" w:cs="Arial" w:eastAsia="Arial" w:hAnsi="Arial"/>
          <w:sz w:val="18"/>
          <w:szCs w:val="18"/>
          <w:color w:val="auto"/>
        </w:rPr>
      </w:pPr>
    </w:p>
    <w:p>
      <w:pPr>
        <w:ind w:left="420" w:hanging="209"/>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pay parity for our associates;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taxes, such as sales or value-added taxes.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Any future regulations may have a material adverse effect on our business and financial results because they may make it more difficult or expensive for us to continue to provide employment services, particularly if we cannot pass along increases in costs to our clients.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antibribery and corruption laws could materially adversely affect our business.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1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exposed to legal claims, including employment-related claims that could materially adversely affect our business, financial condition and results of operations.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are in the business of employing people and placing them in the workplaces of other businesses. Risks relating to these activities include:</w:t>
      </w:r>
    </w:p>
    <w:p>
      <w:pPr>
        <w:spacing w:after="0" w:line="198" w:lineRule="exact"/>
        <w:rPr>
          <w:sz w:val="20"/>
          <w:szCs w:val="20"/>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11"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associates of wrongful termination or retaliation;</w:t>
      </w:r>
    </w:p>
    <w:p>
      <w:pPr>
        <w:spacing w:after="0" w:line="7"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arising from violations of employment rights related to employment screening or privacy issues;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classification of workers as employees or independent contractors;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the employment of undocumented or illegal workers;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employee pay and benefits requirements such as violations of wage and hour requirements;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entitlement to employee benefits, including healthcare coverage;</w:t>
      </w:r>
    </w:p>
    <w:p>
      <w:pPr>
        <w:spacing w:after="0" w:line="9" w:lineRule="exact"/>
        <w:rPr>
          <w:rFonts w:ascii="Arial" w:cs="Arial" w:eastAsia="Arial" w:hAnsi="Arial"/>
          <w:sz w:val="18"/>
          <w:szCs w:val="18"/>
          <w:color w:val="auto"/>
        </w:rPr>
      </w:pPr>
    </w:p>
    <w:p>
      <w:pPr>
        <w:ind w:left="420" w:hanging="209"/>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of our associates and other individuals working on our behalf in performing their jobs, such as accountants, IT professionals, engineers and other technical workers; and</w:t>
      </w:r>
    </w:p>
    <w:p>
      <w:pPr>
        <w:ind w:left="420" w:hanging="209"/>
        <w:spacing w:after="0" w:line="261"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frequently sued by plaintiffs in various other employment-related matters, including those seeking class action status in the US. It is likely we will continue to experience similar claims in the future.</w:t>
      </w:r>
    </w:p>
    <w:p>
      <w:pPr>
        <w:spacing w:after="0" w:line="16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exposes us to competition law risk.</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and there is a risk that we will be subject to regulatory investigation by relevant authorities. For example, in 2009, we were fined by the French Competition Council following a 2004 investigation. As previously reported, in 2013, the French Competition Authority commenced another investigation covering ManpowerGroup and a number of our competitors in France, which was subsequently closed by the French Competition Authority in 2019.</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continues to be a risk, in France and in the other countries where we operate, of inquiries by competition law regulators into how we operate our business. There is no assurance we will successfully defend against such regulatory inquiries, and they may consume substantial amounts of our financial and managerial resources, remain outstanding for a significant duration, and result in adverse publicity, even if successfully resolved. An unfavorable outcome with respect to these matters and any future matters could, individually or in the aggregate, result in substantial liabilities that have a material adverse effect upon our business, financial condition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attract and retain business and employees may depend on our reputation in the marketplace.</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sentiment toward the staffing industry could affect the marketplace for our services.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Our results of operations and share price could be materially adversely affected if we are unable to maintain effective internal controls.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make acquisitions of other companies or operating assets or enter into operating joint ventures. These activities involve significant risks, including:</w:t>
      </w:r>
    </w:p>
    <w:p>
      <w:pPr>
        <w:spacing w:after="0" w:line="143" w:lineRule="exact"/>
        <w:rPr>
          <w:sz w:val="20"/>
          <w:szCs w:val="20"/>
          <w:color w:val="auto"/>
        </w:rPr>
      </w:pPr>
    </w:p>
    <w:p>
      <w:pPr>
        <w:ind w:left="420" w:hanging="209"/>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financial reporting, services and corporate culture of acquired companies;</w:t>
      </w:r>
    </w:p>
    <w:p>
      <w:pPr>
        <w:spacing w:after="0" w:line="11" w:lineRule="exact"/>
        <w:rPr>
          <w:rFonts w:ascii="Arial" w:cs="Arial" w:eastAsia="Arial" w:hAnsi="Arial"/>
          <w:sz w:val="18"/>
          <w:szCs w:val="18"/>
          <w:color w:val="auto"/>
        </w:rPr>
      </w:pPr>
    </w:p>
    <w:p>
      <w:pPr>
        <w:ind w:left="420" w:hanging="209"/>
        <w:spacing w:after="0" w:line="249"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any companies or assets that we acquire, or joint ventures that we form, to meet performance expectations, which could trigger payment obligations;</w:t>
      </w:r>
    </w:p>
    <w:p>
      <w:pPr>
        <w:ind w:left="420" w:hanging="209"/>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over-valuation by us of any companies or assets that we acquire, or joint ventures that we form;</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that arise with sellers;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effectively monitor compliance with corporate policies as well as regulatory requirements;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liabilities incurred by the acquired companies prior to the acquisitions; and</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Possible impairment losses on goodwill and intangible assets with an indefinite life or restructuring charges could also occur.</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From time to time, we may reduce our global footprint via sales, franchising, joint ventures or other exit activities, and we may face risks related to such transactions.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review the effectiveness of our global operations, including our global geographic footprint, and we may elect to exit certain countries or operations after analyzing their performance or their position in our overall global strategy. We have engaged in such dispositions in the past, and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For example, in 2019, we sold a portion of our Greater China business, ManpowerGroup Greater China Limited, to public shareholders through an initial public offering (IPO) on the Hong Kong Stock Exchange. We contributed this business to a joint venture entity in 2015, which we continued to control until the IPO transaction. As a result of the IPO, our ownership in the entity was reduced to a minority position, and our effective control over the governance and the operations of the business was eliminated. As a result, we deconsolidated the operations from our financial results. The listed entity continues to operate the Manpower branded business in the Greater China territory pursuant to a license to use our trademark and other intellectual property. There is a risk that any disputes, claims, controversies, regulatory investigations, litigation, or any activities of the joint venture entity could have an adverse reputational impact on us, as the marketplace, including clients, candidates and the media, may ascribe such issues to us, believing that we control the operations of the business within the Greater China region.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only a limited ability to protect our thought leadership and other intellectual property, which is important to our success.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patent, copyright, and trademark laws to protect our intellectual property rights. Our intellectual property rights may not prevent competitors from independently developing products, services and solutions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levels could materially adversely affect our operating flexibility and put us at a competitive disadvantage.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had $1,073.4 million of total debt. Our level of debt and the limitations imposed on us by our credit agreements could have important consequences for investors, including the following:</w:t>
      </w:r>
    </w:p>
    <w:p>
      <w:pPr>
        <w:spacing w:after="0" w:line="130" w:lineRule="exact"/>
        <w:rPr>
          <w:sz w:val="20"/>
          <w:szCs w:val="20"/>
          <w:color w:val="auto"/>
        </w:rPr>
      </w:pPr>
    </w:p>
    <w:p>
      <w:pPr>
        <w:ind w:left="420" w:hanging="209"/>
        <w:spacing w:after="0" w:line="258"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significant acquisition opportunities, or other corporate purposes or may have to pay more for such financing;</w:t>
      </w:r>
    </w:p>
    <w:p>
      <w:pPr>
        <w:spacing w:after="0" w:line="1" w:lineRule="exact"/>
        <w:rPr>
          <w:rFonts w:ascii="Arial" w:cs="Arial" w:eastAsia="Arial" w:hAnsi="Arial"/>
          <w:sz w:val="18"/>
          <w:szCs w:val="18"/>
          <w:color w:val="auto"/>
        </w:rPr>
      </w:pPr>
    </w:p>
    <w:p>
      <w:pPr>
        <w:ind w:left="420" w:hanging="209"/>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borrowings under our revolving credit facilities are at a variable interest rate, making us more vulnerable to increases in interest rates; and</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66"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lenders under our and our subsidiaries’ credit facilities may be unwilling or unable to extend credit to us on acceptable terms or at all.</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inability to secure guarantees or letters of credit on acceptable terms may substantially increase our cost of doing business in various countries.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be subject to changes in tax rates, adoption of new United States or international tax legislation or tax audits that could result in additional income tax liabilities.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is supporting changes to numerous long-standing tax principles through its base erosion and profit shifting project, which is focused on a number of issues, including the shifting of profits among affiliated entities located in different tax jurisdictions. The changes recommended by the OECD have been or are being adopted by many of the countries in which we do business. In addition, the European Commission has expanded upon the OECD guidelines with anti-tax avoidance directives to be applied by its member states. Among other things, the directives require companies to provide increased country-by-country disclosure of their financial information to tax authorities, which in turn could lead to disagreements by jurisdictions over the proper allocation of profits between them. These possible change in tax laws, treaties or regulations, or their interpretation or enforcement, could have an adverse impact on our current or future tax positions.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market price for our common stock may be subject to significant volatility. For example, during 2019, the price of our common stock as reported on the New York Stock Exchange ranged from a high of $97.36 to a low of $63.72. Our stock price can fluctuate as a result of a variety of factors, including factors listed in these “Risk Factors” and others, many of which are beyond our control. These factors include:</w:t>
      </w:r>
    </w:p>
    <w:p>
      <w:pPr>
        <w:spacing w:after="0" w:line="141" w:lineRule="exact"/>
        <w:rPr>
          <w:sz w:val="20"/>
          <w:szCs w:val="20"/>
          <w:color w:val="auto"/>
        </w:rPr>
      </w:pPr>
    </w:p>
    <w:p>
      <w:pPr>
        <w:ind w:left="420" w:hanging="209"/>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420" w:hanging="209"/>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 w:lineRule="exact"/>
        <w:rPr>
          <w:rFonts w:ascii="Arial" w:cs="Arial" w:eastAsia="Arial" w:hAnsi="Arial"/>
          <w:sz w:val="18"/>
          <w:szCs w:val="18"/>
          <w:color w:val="auto"/>
        </w:rPr>
      </w:pPr>
    </w:p>
    <w:p>
      <w:pPr>
        <w:ind w:left="420" w:hanging="209"/>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investor sentiment regarding the company arising from these or other events, or the economy in general.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Wisconsin law and our articles of incorporation and bylaws contain provisions that could make the takeover of our company more difficult.</w:t>
      </w:r>
    </w:p>
    <w:p>
      <w:pPr>
        <w:spacing w:after="0" w:line="20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97" w:lineRule="exact"/>
        <w:rPr>
          <w:sz w:val="20"/>
          <w:szCs w:val="20"/>
          <w:color w:val="auto"/>
        </w:rPr>
      </w:pPr>
    </w:p>
    <w:p>
      <w:pPr>
        <w:ind w:left="420" w:hanging="209"/>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11" w:lineRule="exact"/>
        <w:rPr>
          <w:rFonts w:ascii="Arial" w:cs="Arial" w:eastAsia="Arial" w:hAnsi="Arial"/>
          <w:sz w:val="18"/>
          <w:szCs w:val="18"/>
          <w:color w:val="auto"/>
        </w:rPr>
      </w:pPr>
    </w:p>
    <w:p>
      <w:pPr>
        <w:ind w:left="420" w:hanging="209"/>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7" w:lineRule="exact"/>
        <w:rPr>
          <w:rFonts w:ascii="Arial" w:cs="Arial" w:eastAsia="Arial" w:hAnsi="Arial"/>
          <w:sz w:val="18"/>
          <w:szCs w:val="18"/>
          <w:color w:val="auto"/>
        </w:rPr>
      </w:pPr>
    </w:p>
    <w:p>
      <w:pPr>
        <w:ind w:left="420" w:hanging="209"/>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are involved in litigation of a routine nature and various legal matters, which are being defended and handled in the ordinary course of business.</w:t>
      </w:r>
    </w:p>
    <w:p>
      <w:pPr>
        <w:spacing w:after="0" w:line="3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9420" w:type="dxa"/>
            <w:vAlign w:val="bottom"/>
          </w:tcPr>
          <w:p>
            <w:pPr>
              <w:jc w:val="center"/>
              <w:ind w:right="189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2000" w:type="dxa"/>
            <w:vAlign w:val="bottom"/>
          </w:tcPr>
          <w:p>
            <w:pPr>
              <w:spacing w:after="0"/>
              <w:rPr>
                <w:sz w:val="20"/>
                <w:szCs w:val="20"/>
                <w:color w:val="auto"/>
              </w:rPr>
            </w:pPr>
          </w:p>
        </w:tc>
        <w:tc>
          <w:tcPr>
            <w:tcW w:w="942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(as of February 19, 2020)</w:t>
            </w:r>
          </w:p>
        </w:tc>
      </w:tr>
      <w:tr>
        <w:trPr>
          <w:trHeight w:val="466"/>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Officer</w:t>
            </w:r>
          </w:p>
        </w:tc>
        <w:tc>
          <w:tcPr>
            <w:tcW w:w="94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Office</w:t>
            </w:r>
          </w:p>
        </w:tc>
      </w:tr>
      <w:tr>
        <w:trPr>
          <w:trHeight w:val="431"/>
        </w:trPr>
        <w:tc>
          <w:tcPr>
            <w:tcW w:w="2000" w:type="dxa"/>
            <w:vAlign w:val="bottom"/>
          </w:tcPr>
          <w:p>
            <w:pPr>
              <w:spacing w:after="0"/>
              <w:rPr>
                <w:sz w:val="20"/>
                <w:szCs w:val="20"/>
                <w:color w:val="auto"/>
              </w:rPr>
            </w:pPr>
            <w:r>
              <w:rPr>
                <w:rFonts w:ascii="Arial" w:cs="Arial" w:eastAsia="Arial" w:hAnsi="Arial"/>
                <w:sz w:val="18"/>
                <w:szCs w:val="18"/>
                <w:color w:val="auto"/>
              </w:rPr>
              <w:t>Jonas Prising</w:t>
            </w:r>
          </w:p>
        </w:tc>
        <w:tc>
          <w:tcPr>
            <w:tcW w:w="9420" w:type="dxa"/>
            <w:vAlign w:val="bottom"/>
          </w:tcPr>
          <w:p>
            <w:pPr>
              <w:ind w:left="420"/>
              <w:spacing w:after="0"/>
              <w:rPr>
                <w:sz w:val="20"/>
                <w:szCs w:val="20"/>
                <w:color w:val="auto"/>
              </w:rPr>
            </w:pPr>
            <w:r>
              <w:rPr>
                <w:rFonts w:ascii="Arial" w:cs="Arial" w:eastAsia="Arial" w:hAnsi="Arial"/>
                <w:sz w:val="18"/>
                <w:szCs w:val="18"/>
                <w:color w:val="auto"/>
                <w:w w:val="96"/>
              </w:rPr>
              <w:t>Chairman of ManpowerGroup as of December 31, 2015. Chief Executive Officer of ManpowerGroup since May 2014.</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Age 55</w:t>
            </w:r>
          </w:p>
        </w:tc>
        <w:tc>
          <w:tcPr>
            <w:tcW w:w="9420" w:type="dxa"/>
            <w:vAlign w:val="bottom"/>
          </w:tcPr>
          <w:p>
            <w:pPr>
              <w:ind w:left="420"/>
              <w:spacing w:after="0"/>
              <w:rPr>
                <w:sz w:val="20"/>
                <w:szCs w:val="20"/>
                <w:color w:val="auto"/>
              </w:rPr>
            </w:pPr>
            <w:r>
              <w:rPr>
                <w:rFonts w:ascii="Arial" w:cs="Arial" w:eastAsia="Arial" w:hAnsi="Arial"/>
                <w:sz w:val="18"/>
                <w:szCs w:val="18"/>
                <w:color w:val="auto"/>
                <w:w w:val="93"/>
              </w:rPr>
              <w:t>ManpowerGroup President from November 2012 to May 2014. Executive Vice President, President of ManpowerGroup -</w:t>
            </w:r>
          </w:p>
        </w:tc>
      </w:tr>
      <w:tr>
        <w:trPr>
          <w:trHeight w:val="216"/>
        </w:trPr>
        <w:tc>
          <w:tcPr>
            <w:tcW w:w="20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6"/>
              </w:rPr>
              <w:t>the Americas from January 2009 to October 2012. Executive Vice President, President – United States and Canadian</w:t>
            </w:r>
          </w:p>
        </w:tc>
      </w:tr>
      <w:tr>
        <w:trPr>
          <w:trHeight w:val="216"/>
        </w:trPr>
        <w:tc>
          <w:tcPr>
            <w:tcW w:w="20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8"/>
              </w:rPr>
              <w:t>Operations from January 2006 to December 2008. A director of ManpowerGroup since May 2014. An employee of</w:t>
            </w:r>
          </w:p>
        </w:tc>
      </w:tr>
      <w:tr>
        <w:trPr>
          <w:trHeight w:val="230"/>
        </w:trPr>
        <w:tc>
          <w:tcPr>
            <w:tcW w:w="20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ManpowerGroup since May 1999. A director of Kohl's Corporation since August 2015.</w:t>
            </w:r>
          </w:p>
        </w:tc>
      </w:tr>
      <w:tr>
        <w:trPr>
          <w:trHeight w:val="431"/>
        </w:trPr>
        <w:tc>
          <w:tcPr>
            <w:tcW w:w="2000" w:type="dxa"/>
            <w:vAlign w:val="bottom"/>
          </w:tcPr>
          <w:p>
            <w:pPr>
              <w:spacing w:after="0"/>
              <w:rPr>
                <w:sz w:val="20"/>
                <w:szCs w:val="20"/>
                <w:color w:val="auto"/>
              </w:rPr>
            </w:pPr>
            <w:r>
              <w:rPr>
                <w:rFonts w:ascii="Arial" w:cs="Arial" w:eastAsia="Arial" w:hAnsi="Arial"/>
                <w:sz w:val="18"/>
                <w:szCs w:val="18"/>
                <w:color w:val="auto"/>
              </w:rPr>
              <w:t>John T. McGinnis</w:t>
            </w:r>
          </w:p>
        </w:tc>
        <w:tc>
          <w:tcPr>
            <w:tcW w:w="9420" w:type="dxa"/>
            <w:vAlign w:val="bottom"/>
          </w:tcPr>
          <w:p>
            <w:pPr>
              <w:ind w:left="420"/>
              <w:spacing w:after="0"/>
              <w:rPr>
                <w:sz w:val="20"/>
                <w:szCs w:val="20"/>
                <w:color w:val="auto"/>
              </w:rPr>
            </w:pPr>
            <w:r>
              <w:rPr>
                <w:rFonts w:ascii="Arial" w:cs="Arial" w:eastAsia="Arial" w:hAnsi="Arial"/>
                <w:sz w:val="18"/>
                <w:szCs w:val="18"/>
                <w:color w:val="auto"/>
                <w:w w:val="94"/>
              </w:rPr>
              <w:t>Executive Vice President, Chief Financial Officer of ManpowerGroup since February 2016. Global Controller of Morgan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Age 53</w:t>
            </w:r>
          </w:p>
        </w:tc>
        <w:tc>
          <w:tcPr>
            <w:tcW w:w="9420" w:type="dxa"/>
            <w:vAlign w:val="bottom"/>
          </w:tcPr>
          <w:p>
            <w:pPr>
              <w:ind w:left="420"/>
              <w:spacing w:after="0"/>
              <w:rPr>
                <w:sz w:val="20"/>
                <w:szCs w:val="20"/>
                <w:color w:val="auto"/>
              </w:rPr>
            </w:pPr>
            <w:r>
              <w:rPr>
                <w:rFonts w:ascii="Arial" w:cs="Arial" w:eastAsia="Arial" w:hAnsi="Arial"/>
                <w:sz w:val="18"/>
                <w:szCs w:val="18"/>
                <w:color w:val="auto"/>
                <w:w w:val="95"/>
              </w:rPr>
              <w:t>Stanley from January 2014 to February 2016. Chief Financial Officer, HSBC North America from July 2012 to January</w:t>
            </w:r>
          </w:p>
        </w:tc>
      </w:tr>
      <w:tr>
        <w:trPr>
          <w:trHeight w:val="216"/>
        </w:trPr>
        <w:tc>
          <w:tcPr>
            <w:tcW w:w="200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4"/>
              </w:rPr>
              <w:t>2014. Chief Financial Officer, HSBC Bank USA from July 2010 to January 2014. An employee of ManpowerGroup since</w:t>
            </w:r>
          </w:p>
        </w:tc>
      </w:tr>
      <w:tr>
        <w:trPr>
          <w:trHeight w:val="230"/>
        </w:trPr>
        <w:tc>
          <w:tcPr>
            <w:tcW w:w="20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February 2016.</w:t>
            </w:r>
          </w:p>
        </w:tc>
      </w:tr>
      <w:tr>
        <w:trPr>
          <w:trHeight w:val="431"/>
        </w:trPr>
        <w:tc>
          <w:tcPr>
            <w:tcW w:w="2000" w:type="dxa"/>
            <w:vAlign w:val="bottom"/>
          </w:tcPr>
          <w:p>
            <w:pPr>
              <w:spacing w:after="0"/>
              <w:rPr>
                <w:sz w:val="20"/>
                <w:szCs w:val="20"/>
                <w:color w:val="auto"/>
              </w:rPr>
            </w:pPr>
            <w:r>
              <w:rPr>
                <w:rFonts w:ascii="Arial" w:cs="Arial" w:eastAsia="Arial" w:hAnsi="Arial"/>
                <w:sz w:val="18"/>
                <w:szCs w:val="18"/>
                <w:color w:val="auto"/>
              </w:rPr>
              <w:t>Mara E. Swan</w:t>
            </w:r>
          </w:p>
        </w:tc>
        <w:tc>
          <w:tcPr>
            <w:tcW w:w="9420" w:type="dxa"/>
            <w:vAlign w:val="bottom"/>
          </w:tcPr>
          <w:p>
            <w:pPr>
              <w:ind w:left="420"/>
              <w:spacing w:after="0"/>
              <w:rPr>
                <w:sz w:val="20"/>
                <w:szCs w:val="20"/>
                <w:color w:val="auto"/>
              </w:rPr>
            </w:pPr>
            <w:r>
              <w:rPr>
                <w:rFonts w:ascii="Arial" w:cs="Arial" w:eastAsia="Arial" w:hAnsi="Arial"/>
                <w:sz w:val="18"/>
                <w:szCs w:val="18"/>
                <w:color w:val="auto"/>
                <w:w w:val="98"/>
              </w:rPr>
              <w:t>Executive Vice President - Global Strategy and Talent since January 2009. Senior Vice President of Global Human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Age 60</w:t>
            </w:r>
          </w:p>
        </w:tc>
        <w:tc>
          <w:tcPr>
            <w:tcW w:w="9420" w:type="dxa"/>
            <w:vAlign w:val="bottom"/>
          </w:tcPr>
          <w:p>
            <w:pPr>
              <w:ind w:left="420"/>
              <w:spacing w:after="0"/>
              <w:rPr>
                <w:sz w:val="20"/>
                <w:szCs w:val="20"/>
                <w:color w:val="auto"/>
              </w:rPr>
            </w:pPr>
            <w:r>
              <w:rPr>
                <w:rFonts w:ascii="Arial" w:cs="Arial" w:eastAsia="Arial" w:hAnsi="Arial"/>
                <w:sz w:val="18"/>
                <w:szCs w:val="18"/>
                <w:color w:val="auto"/>
                <w:w w:val="91"/>
              </w:rPr>
              <w:t>Resources from August 2005 to December 2008. An employee of ManpowerGroup since August 2005. A director of GOJO</w:t>
            </w:r>
          </w:p>
        </w:tc>
      </w:tr>
      <w:tr>
        <w:trPr>
          <w:trHeight w:val="230"/>
        </w:trPr>
        <w:tc>
          <w:tcPr>
            <w:tcW w:w="20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Industries since November 2012. A director of Brightview Inc. since April 2019.</w:t>
            </w:r>
          </w:p>
        </w:tc>
      </w:tr>
      <w:tr>
        <w:trPr>
          <w:trHeight w:val="431"/>
        </w:trPr>
        <w:tc>
          <w:tcPr>
            <w:tcW w:w="2000" w:type="dxa"/>
            <w:vAlign w:val="bottom"/>
          </w:tcPr>
          <w:p>
            <w:pPr>
              <w:spacing w:after="0"/>
              <w:rPr>
                <w:sz w:val="20"/>
                <w:szCs w:val="20"/>
                <w:color w:val="auto"/>
              </w:rPr>
            </w:pPr>
            <w:r>
              <w:rPr>
                <w:rFonts w:ascii="Arial" w:cs="Arial" w:eastAsia="Arial" w:hAnsi="Arial"/>
                <w:sz w:val="18"/>
                <w:szCs w:val="18"/>
                <w:color w:val="auto"/>
              </w:rPr>
              <w:t>Richard D. Buchband</w:t>
            </w:r>
          </w:p>
        </w:tc>
        <w:tc>
          <w:tcPr>
            <w:tcW w:w="9420" w:type="dxa"/>
            <w:vAlign w:val="bottom"/>
          </w:tcPr>
          <w:p>
            <w:pPr>
              <w:ind w:left="420"/>
              <w:spacing w:after="0"/>
              <w:rPr>
                <w:sz w:val="20"/>
                <w:szCs w:val="20"/>
                <w:color w:val="auto"/>
              </w:rPr>
            </w:pPr>
            <w:r>
              <w:rPr>
                <w:rFonts w:ascii="Arial" w:cs="Arial" w:eastAsia="Arial" w:hAnsi="Arial"/>
                <w:sz w:val="18"/>
                <w:szCs w:val="18"/>
                <w:color w:val="auto"/>
                <w:w w:val="94"/>
              </w:rPr>
              <w:t>Senior  Vice  President,  General  Counsel  and  Secretary  of  ManpowerGroup  since  January  2013.  Prior  to  joining</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Age 56</w:t>
            </w:r>
          </w:p>
        </w:tc>
        <w:tc>
          <w:tcPr>
            <w:tcW w:w="9420" w:type="dxa"/>
            <w:vAlign w:val="bottom"/>
          </w:tcPr>
          <w:p>
            <w:pPr>
              <w:ind w:left="420"/>
              <w:spacing w:after="0"/>
              <w:rPr>
                <w:sz w:val="20"/>
                <w:szCs w:val="20"/>
                <w:color w:val="auto"/>
              </w:rPr>
            </w:pPr>
            <w:r>
              <w:rPr>
                <w:rFonts w:ascii="Arial" w:cs="Arial" w:eastAsia="Arial" w:hAnsi="Arial"/>
                <w:sz w:val="18"/>
                <w:szCs w:val="18"/>
                <w:color w:val="auto"/>
                <w:w w:val="99"/>
              </w:rPr>
              <w:t>ManpowerGroup, a partner and Associate General Counsel for Accenture plc from 2006 to 2011. An employee of</w:t>
            </w:r>
          </w:p>
        </w:tc>
      </w:tr>
      <w:tr>
        <w:trPr>
          <w:trHeight w:val="230"/>
        </w:trPr>
        <w:tc>
          <w:tcPr>
            <w:tcW w:w="200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ManpowerGroup since January 2013.</w:t>
            </w:r>
          </w:p>
        </w:tc>
      </w:tr>
      <w:tr>
        <w:trPr>
          <w:trHeight w:val="662"/>
        </w:trPr>
        <w:tc>
          <w:tcPr>
            <w:tcW w:w="2000" w:type="dxa"/>
            <w:vAlign w:val="bottom"/>
          </w:tcPr>
          <w:p>
            <w:pPr>
              <w:spacing w:after="0"/>
              <w:rPr>
                <w:sz w:val="24"/>
                <w:szCs w:val="24"/>
                <w:color w:val="auto"/>
              </w:rPr>
            </w:pPr>
          </w:p>
        </w:tc>
        <w:tc>
          <w:tcPr>
            <w:tcW w:w="9420" w:type="dxa"/>
            <w:vAlign w:val="bottom"/>
          </w:tcPr>
          <w:p>
            <w:pPr>
              <w:jc w:val="center"/>
              <w:ind w:right="1910"/>
              <w:spacing w:after="0"/>
              <w:rPr>
                <w:sz w:val="20"/>
                <w:szCs w:val="20"/>
                <w:color w:val="auto"/>
              </w:rPr>
            </w:pPr>
            <w:r>
              <w:rPr>
                <w:rFonts w:ascii="Arial" w:cs="Arial" w:eastAsia="Arial" w:hAnsi="Arial"/>
                <w:sz w:val="18"/>
                <w:szCs w:val="18"/>
                <w:color w:val="auto"/>
                <w:w w:val="89"/>
              </w:rPr>
              <w:t>24</w:t>
            </w:r>
          </w:p>
        </w:tc>
      </w:tr>
      <w:tr>
        <w:trPr>
          <w:trHeight w:val="115"/>
        </w:trPr>
        <w:tc>
          <w:tcPr>
            <w:tcW w:w="200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4" w:name="page25"/>
    <w:bookmarkEnd w:id="24"/>
    <w:p>
      <w:pPr>
        <w:ind w:left="4700"/>
        <w:spacing w:after="0"/>
        <w:rPr>
          <w:sz w:val="20"/>
          <w:szCs w:val="20"/>
          <w:color w:val="auto"/>
        </w:rPr>
      </w:pPr>
      <w:r>
        <w:rPr>
          <w:rFonts w:ascii="Arial" w:cs="Arial" w:eastAsia="Arial" w:hAnsi="Arial"/>
          <w:sz w:val="18"/>
          <w:szCs w:val="18"/>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in 2019:</w:t>
      </w:r>
    </w:p>
    <w:p>
      <w:pPr>
        <w:spacing w:after="0" w:line="130"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184"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Listing and Trading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for trading on the New York Stock Exchange under the symbol MAN.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2020, the Company's common stock was held by approximately 2,800 record 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Board of Directors authorized the repurchase of 6.0 million shares of our common stock. In August 2019, the Board of Directors authorized the repurchase of an additional 6.0 million shares of our common stock. We conduct share repurchases from time to time through a variety of methods, including open market purchases, block transactions, privately negotiated transactions or similar facilities. The following table shows the total amount of shares repurchased during the fourth quarter of 2019. As of December 31, 2019, there were 6.0 million and 0.8 million shares remaining authorized for repurchase under the 2019 authorization and 2018 authorization,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shares purchased</w:t>
            </w:r>
          </w:p>
        </w:tc>
        <w:tc>
          <w:tcPr>
            <w:tcW w:w="14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of shares that may</w:t>
            </w:r>
          </w:p>
        </w:tc>
      </w:tr>
      <w:tr>
        <w:trPr>
          <w:trHeight w:val="216"/>
        </w:trPr>
        <w:tc>
          <w:tcPr>
            <w:tcW w:w="4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 publicly</w:t>
            </w:r>
          </w:p>
        </w:tc>
        <w:tc>
          <w:tcPr>
            <w:tcW w:w="14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30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price paid</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announced plan or</w:t>
            </w:r>
          </w:p>
        </w:tc>
        <w:tc>
          <w:tcPr>
            <w:tcW w:w="14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 the plan or</w:t>
            </w:r>
          </w:p>
        </w:tc>
      </w:tr>
      <w:tr>
        <w:trPr>
          <w:trHeight w:val="241"/>
        </w:trPr>
        <w:tc>
          <w:tcPr>
            <w:tcW w:w="430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shares purchased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per share</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programs</w:t>
            </w:r>
          </w:p>
        </w:tc>
        <w:tc>
          <w:tcPr>
            <w:tcW w:w="140" w:type="dxa"/>
            <w:vAlign w:val="bottom"/>
          </w:tcPr>
          <w:p>
            <w:pPr>
              <w:spacing w:after="0"/>
              <w:rPr>
                <w:sz w:val="20"/>
                <w:szCs w:val="20"/>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programs</w:t>
            </w:r>
          </w:p>
        </w:tc>
      </w:tr>
      <w:tr>
        <w:trPr>
          <w:trHeight w:val="230"/>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1 - 31, 2019</w:t>
            </w:r>
          </w:p>
        </w:tc>
        <w:tc>
          <w:tcPr>
            <w:tcW w:w="17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299,741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83.40</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299,741</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7,029,671</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November 1 - 30, 2019</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214,723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93.04</w:t>
            </w:r>
          </w:p>
        </w:tc>
        <w:tc>
          <w:tcPr>
            <w:tcW w:w="14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214,723</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6,814,948</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December 1 - 31, 2019</w:t>
            </w:r>
          </w:p>
        </w:tc>
        <w:tc>
          <w:tcPr>
            <w:tcW w:w="1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64,452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93.03</w:t>
            </w:r>
          </w:p>
        </w:tc>
        <w:tc>
          <w:tcPr>
            <w:tcW w:w="14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64,452</w:t>
            </w:r>
          </w:p>
        </w:tc>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6,750,496</w:t>
            </w:r>
          </w:p>
        </w:tc>
      </w:tr>
      <w:tr>
        <w:trPr>
          <w:trHeight w:val="223"/>
        </w:trPr>
        <w:tc>
          <w:tcPr>
            <w:tcW w:w="4300" w:type="dxa"/>
            <w:vAlign w:val="bottom"/>
          </w:tcPr>
          <w:p>
            <w:pPr>
              <w:ind w:left="26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578,916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88.05</w:t>
            </w:r>
          </w:p>
        </w:tc>
        <w:tc>
          <w:tcPr>
            <w:tcW w:w="140" w:type="dxa"/>
            <w:vAlign w:val="bottom"/>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578,916</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6,750,496</w:t>
            </w:r>
          </w:p>
        </w:tc>
      </w:tr>
      <w:tr>
        <w:trPr>
          <w:trHeight w:val="20"/>
        </w:trPr>
        <w:tc>
          <w:tcPr>
            <w:tcW w:w="4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53"/>
        </w:trPr>
        <w:tc>
          <w:tcPr>
            <w:tcW w:w="430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Performance Graph</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Set forth below is a graph for the periods ending December 31, 2014-2019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23% of the total market capitalization of the companies included in the index. The graph assumes a $100 investment on December 31, 2014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4219575" cy="2058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957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ManpowerGroup</w:t>
            </w:r>
          </w:p>
        </w:tc>
        <w:tc>
          <w:tcPr>
            <w:tcW w:w="6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S&amp;P 400 Midcap Stock Index</w:t>
            </w:r>
          </w:p>
        </w:tc>
        <w:tc>
          <w:tcPr>
            <w:tcW w:w="6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w w:val="95"/>
              </w:rPr>
              <w:t>S&amp;P Supercomposite Human Resources and Employment</w:t>
            </w:r>
          </w:p>
        </w:tc>
        <w:tc>
          <w:tcPr>
            <w:tcW w:w="6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30"/>
        </w:trPr>
        <w:tc>
          <w:tcPr>
            <w:tcW w:w="4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Services Index</w:t>
            </w:r>
          </w:p>
        </w:tc>
        <w:tc>
          <w:tcPr>
            <w:tcW w:w="6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c>
          <w:tcPr>
            <w:tcW w:w="4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4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w:t>
            </w:r>
          </w:p>
        </w:tc>
        <w:tc>
          <w:tcPr>
            <w:tcW w:w="4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w:t>
            </w:r>
          </w:p>
        </w:tc>
      </w:tr>
      <w:tr>
        <w:trPr>
          <w:trHeight w:val="871"/>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five-year financial data presented below should be read in conjunction with the information contained in Item 7. "Management’s Discussion and Analysis of Financial Condition and Results of Operations," and the Company’s Consolidated Financial Statements and the Notes thereto contained in Item 8. "Financial Statements and Supplementary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color w:val="auto"/>
                <w:w w:val="90"/>
              </w:rPr>
              <w:t>As of and for the Year Ended December 31</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 Data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Revenues from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20,863.5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21,991.2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21,034.3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19,654.1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19,329.9</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3,375.1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3,579.0</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3,484.6</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3,333.8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3,295.8</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644.9</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796.7</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789.2</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693.1</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556.7</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545.4</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443.7</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419.2</w:t>
            </w: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earnings — 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5.46</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earnings — diluted</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5.40</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8,519.8</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8,883.6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7,574.2</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7,517.5</w:t>
            </w:r>
          </w:p>
        </w:tc>
      </w:tr>
      <w:tr>
        <w:trPr>
          <w:trHeight w:val="230"/>
        </w:trPr>
        <w:tc>
          <w:tcPr>
            <w:tcW w:w="52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1,012.4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810.9</w:t>
            </w:r>
          </w:p>
        </w:tc>
      </w:tr>
      <w:tr>
        <w:trPr>
          <w:trHeight w:val="628"/>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 — Constant Currency And Organic Constant Currency</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 37.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 For Years of Operation Ending December 31, 2019 and 2018</w:t>
      </w:r>
    </w:p>
    <w:p>
      <w:pPr>
        <w:spacing w:after="0" w:line="198" w:lineRule="exact"/>
        <w:rPr>
          <w:sz w:val="20"/>
          <w:szCs w:val="20"/>
          <w:color w:val="auto"/>
        </w:rPr>
      </w:pPr>
    </w:p>
    <w:p>
      <w:pPr>
        <w:jc w:val="both"/>
        <w:spacing w:after="0" w:line="277" w:lineRule="auto"/>
        <w:rPr>
          <w:rFonts w:ascii="Arial" w:cs="Arial" w:eastAsia="Arial" w:hAnsi="Arial"/>
          <w:sz w:val="18"/>
          <w:szCs w:val="18"/>
          <w:color w:val="0000EE"/>
        </w:rPr>
      </w:pPr>
      <w:r>
        <w:rPr>
          <w:rFonts w:ascii="Arial" w:cs="Arial" w:eastAsia="Arial" w:hAnsi="Arial"/>
          <w:sz w:val="18"/>
          <w:szCs w:val="18"/>
          <w:color w:val="auto"/>
        </w:rPr>
        <w:t xml:space="preserve">The financial discussion that follows focuses on 2019 results compared to 2018. For a discussion of 2018 results compared to 2017, see the company’s </w:t>
      </w:r>
      <w:hyperlink r:id="rId42">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000000"/>
        </w:rPr>
        <w:t>.</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2019, the United States dollar was stronger, on average, relative to the currencies in the majority of our markets than in 2018, and subsequently was having an unfavorable impact on our reported results. This strengthening was particularly pronounced against the Euro and British Pound. Our reported revenues from services decreased 5.1% in 2019 compared to 2018 and our reported operating profit decreased 19.1%. Given the relative weakness of other currencies against the United States dollar in 2019 compared to the 2018, these results generally may understate the performance of our underlying business. The changes in the foreign currency exchange rates had a 4.2% unfavorable impact on revenues from services, a 3.5% unfavorable impact on operating profit, and an approximately $0.28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7"/>
          <w:szCs w:val="17"/>
          <w:color w:val="auto"/>
        </w:rPr>
        <w:t>In 2019, the environment has been one of revenue declines in most of our European markets, with slowing economic growth globally and continued tight labor markets in many countries that has overshadowed modest constant currency growth elsewhere. Over the course of the year, we experienced the following changes to our consolidated revenues: first quarter constant currency revenue decrease of 2.2%, 0.1% decrease in constant currency in the second quarter, 0.3% constant currency increase in the third quarter, with a deterioration in the fourth quarter to a 1.8% constant currency decrease. We remain highly focused on our business in Europe, where Southern and Northern Europe segments combined reflect 66% of our total consolidated revenues. In 2019, several key markets within Southern and Northern Europe experienced revenue declines, partially offset by constant currency revenue increases in certain markets within the Americas and APME. We experienced a revenue decline in organic constant currency in Southern Europe due to the revenue declines in France and Italy, partially offset by organic constant currency revenue growth in certain markets within Other Southern Europe. The revenue decrease in Northern Europe was primarily due to the decreases in Germany, the Netherlands, and Sweden due mostly to reduced demand from the manufacturing sector in those markets and uncertainties related to global trade conflicts. In the Americas, revenues increased 3.6% in constant currency due to increased demand for our staffing/interim services in certain markets within Other Americas and an increase in our ManpowerGroup Solutions business. These increases were partially offset by a slight decrease in the United States primarily driven by a decline in demand for our staffing/interim due to the challenging manufacturing environment.</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gross profit margin in 2019 decreased compared to 2018 primarily due to the decreased margins in our higher-margin ManpowerGroup Solutions business, particularly within our Talent Based Outsourcing business, partially offset by a favorable impact from changes in currency exchange rates.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operating profit decreased 19.1% in 2019 (-15.6% in constant currency and -14.4% in organic constant currency) while our operating profit margin decreased 50 basis points compared to 2018. Included in 2019 and 2018 were $39.8 million and $39.3 million, respectively, of restructuring costs. The 2019 restructuring costs were primarily related to our delivery channel and other front-office centralization and back-office optimization activities, as well as adjusting our cost-base for the slower market environment in many of our European operations. The 2018 restructuring costs were primarily related to the integration of certain acquisitions and front-office, back-office and delivery-model optimization. We recorded $64.0 million of goodwill impairment charges related to our investments in Germany and New Zealand ($60.2 million and $3.8 million, respectively) and additional charges of $1.6 million related to our New Zealand operations in 2019. ManpowerGroup Greater China Limited, which operates in the Greater China region of China, Taiwan, Hong Kong, and Macau, completed its initial public offering (“IPO”) on the Hong Kong Stock Market on July 10, 2019, resulting in deconsolidation of the entity. As a result of this transaction, we recognized a non-cash accounting gain of $30.4 million (see further information in Note 4 of our Consolidated Financial Statements). ManpowerGroup Greater China Limited’s results through July 10, 2019, were included in our 2019 consolidated results. Excluding the restructuring costs in both 2019 and 2018, the goodwill impairment and other related charges and the IPO noncash accounting gain, our operating profit was down 8.5% in organic constant currency with operating profit margin down 30 basis points compared to 2018. We continue to monitor expenses closely to ensure we maintain the benefit of our efforts to optimize our organizational and cost structures, while investing appropriately to support the growth in the business and enhance our productivity and technology and digital capabilities.</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2019 was a challenging year, we have made good progress advancing the key initiatives that we believe will position us well for future revenue growth. We anticipate the overall strength of labor markets will continue, though not evenly distributed across regions and industries, amidst high levels of talent shortage and changing client skill needs due to the increased pace of technological and transformational changes. Despite headwinds from geopolitical forces, including the adverse impact of global trade conflict on growth and employment in the manufacturing sector, we believe we are well-positioned to help our clients address these challenges with our market-leading global footprint and our portfolio of solutions and services. In early 2020, there has been potential progress on trade agreements, but even if trade issues are resolved, we anticipate that instability resulting from trade policies may continue to impact our business for a period of time, particularly within the manufacturing sector. If consumer confidence remains at high levels, supported by low unemployment levels in many of our key countries, we expect our outlook will be stable over the coming several quarters.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Consolidated Results - 2019 compared to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2019 as compared to 2018.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color w:val="auto"/>
              </w:rPr>
              <w:t>Variance in</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jc w:val="right"/>
              <w:ind w:right="375"/>
              <w:spacing w:after="0" w:line="149" w:lineRule="exact"/>
              <w:rPr>
                <w:sz w:val="20"/>
                <w:szCs w:val="20"/>
                <w:color w:val="auto"/>
              </w:rPr>
            </w:pPr>
            <w:r>
              <w:rPr>
                <w:rFonts w:ascii="Arial" w:cs="Arial" w:eastAsia="Arial" w:hAnsi="Arial"/>
                <w:sz w:val="14"/>
                <w:szCs w:val="14"/>
                <w:color w:val="auto"/>
              </w:rPr>
              <w:t>Variance in</w:t>
            </w:r>
          </w:p>
        </w:tc>
        <w:tc>
          <w:tcPr>
            <w:tcW w:w="11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Organic</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Reported</w:t>
            </w:r>
          </w:p>
        </w:tc>
        <w:tc>
          <w:tcPr>
            <w:tcW w:w="1340" w:type="dxa"/>
            <w:vAlign w:val="bottom"/>
          </w:tcPr>
          <w:p>
            <w:pPr>
              <w:jc w:val="right"/>
              <w:ind w:right="375"/>
              <w:spacing w:after="0" w:line="149" w:lineRule="exact"/>
              <w:rPr>
                <w:sz w:val="20"/>
                <w:szCs w:val="20"/>
                <w:color w:val="auto"/>
              </w:rPr>
            </w:pPr>
            <w:r>
              <w:rPr>
                <w:rFonts w:ascii="Arial" w:cs="Arial" w:eastAsia="Arial" w:hAnsi="Arial"/>
                <w:sz w:val="14"/>
                <w:szCs w:val="14"/>
                <w:color w:val="auto"/>
              </w:rPr>
              <w:t>Constant</w:t>
            </w:r>
          </w:p>
        </w:tc>
        <w:tc>
          <w:tcPr>
            <w:tcW w:w="11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Constant</w:t>
            </w:r>
          </w:p>
        </w:tc>
      </w:tr>
      <w:tr>
        <w:trPr>
          <w:trHeight w:val="167"/>
        </w:trPr>
        <w:tc>
          <w:tcPr>
            <w:tcW w:w="45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640" w:type="dxa"/>
            <w:vAlign w:val="bottom"/>
          </w:tcPr>
          <w:p>
            <w:pPr>
              <w:spacing w:after="0"/>
              <w:rPr>
                <w:sz w:val="14"/>
                <w:szCs w:val="14"/>
                <w:color w:val="auto"/>
              </w:rPr>
            </w:pP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4"/>
                <w:szCs w:val="14"/>
                <w:color w:val="auto"/>
              </w:rPr>
            </w:pPr>
          </w:p>
        </w:tc>
        <w:tc>
          <w:tcPr>
            <w:tcW w:w="1220" w:type="dxa"/>
            <w:vAlign w:val="bottom"/>
          </w:tcPr>
          <w:p>
            <w:pPr>
              <w:jc w:val="right"/>
              <w:ind w:right="371"/>
              <w:spacing w:after="0"/>
              <w:rPr>
                <w:sz w:val="20"/>
                <w:szCs w:val="20"/>
                <w:color w:val="auto"/>
              </w:rPr>
            </w:pPr>
            <w:r>
              <w:rPr>
                <w:rFonts w:ascii="Arial" w:cs="Arial" w:eastAsia="Arial" w:hAnsi="Arial"/>
                <w:sz w:val="14"/>
                <w:szCs w:val="14"/>
                <w:color w:val="auto"/>
              </w:rPr>
              <w:t>2018</w:t>
            </w:r>
          </w:p>
        </w:tc>
        <w:tc>
          <w:tcPr>
            <w:tcW w:w="1280" w:type="dxa"/>
            <w:vAlign w:val="bottom"/>
          </w:tcPr>
          <w:p>
            <w:pPr>
              <w:jc w:val="right"/>
              <w:ind w:right="373"/>
              <w:spacing w:after="0"/>
              <w:rPr>
                <w:sz w:val="20"/>
                <w:szCs w:val="20"/>
                <w:color w:val="auto"/>
              </w:rPr>
            </w:pPr>
            <w:r>
              <w:rPr>
                <w:rFonts w:ascii="Arial" w:cs="Arial" w:eastAsia="Arial" w:hAnsi="Arial"/>
                <w:sz w:val="14"/>
                <w:szCs w:val="14"/>
                <w:color w:val="auto"/>
              </w:rPr>
              <w:t>Variance</w:t>
            </w:r>
          </w:p>
        </w:tc>
        <w:tc>
          <w:tcPr>
            <w:tcW w:w="1340" w:type="dxa"/>
            <w:vAlign w:val="bottom"/>
          </w:tcPr>
          <w:p>
            <w:pPr>
              <w:jc w:val="right"/>
              <w:ind w:right="375"/>
              <w:spacing w:after="0"/>
              <w:rPr>
                <w:sz w:val="20"/>
                <w:szCs w:val="20"/>
                <w:color w:val="auto"/>
              </w:rPr>
            </w:pPr>
            <w:r>
              <w:rPr>
                <w:rFonts w:ascii="Arial" w:cs="Arial" w:eastAsia="Arial" w:hAnsi="Arial"/>
                <w:sz w:val="14"/>
                <w:szCs w:val="14"/>
                <w:color w:val="auto"/>
              </w:rPr>
              <w:t>Currency</w:t>
            </w:r>
          </w:p>
        </w:tc>
        <w:tc>
          <w:tcPr>
            <w:tcW w:w="1140" w:type="dxa"/>
            <w:vAlign w:val="bottom"/>
          </w:tcPr>
          <w:p>
            <w:pPr>
              <w:jc w:val="right"/>
              <w:ind w:right="159"/>
              <w:spacing w:after="0"/>
              <w:rPr>
                <w:sz w:val="20"/>
                <w:szCs w:val="20"/>
                <w:color w:val="auto"/>
              </w:rPr>
            </w:pPr>
            <w:r>
              <w:rPr>
                <w:rFonts w:ascii="Arial" w:cs="Arial" w:eastAsia="Arial" w:hAnsi="Arial"/>
                <w:sz w:val="14"/>
                <w:szCs w:val="14"/>
                <w:color w:val="auto"/>
              </w:rPr>
              <w:t>Currency</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20,863.5</w:t>
            </w:r>
          </w:p>
        </w:tc>
        <w:tc>
          <w:tcPr>
            <w:tcW w:w="3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rPr>
              <w:t>21,991.2</w:t>
            </w:r>
          </w:p>
        </w:tc>
        <w:tc>
          <w:tcPr>
            <w:tcW w:w="128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(5.1)%</w:t>
            </w:r>
          </w:p>
        </w:tc>
        <w:tc>
          <w:tcPr>
            <w:tcW w:w="1340" w:type="dxa"/>
            <w:vAlign w:val="bottom"/>
            <w:tcBorders>
              <w:top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rPr>
              <w:t>(0.9)%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17,488.4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18,412.2</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(5.0)</w:t>
            </w: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(0.8)</w:t>
            </w:r>
          </w:p>
        </w:tc>
        <w:tc>
          <w:tcPr>
            <w:tcW w:w="11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3,375.1</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3,579.0</w:t>
            </w:r>
          </w:p>
        </w:tc>
        <w:tc>
          <w:tcPr>
            <w:tcW w:w="128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rPr>
              <w:t>(5.7)</w:t>
            </w:r>
          </w:p>
        </w:tc>
        <w:tc>
          <w:tcPr>
            <w:tcW w:w="1340" w:type="dxa"/>
            <w:vAlign w:val="bottom"/>
            <w:shd w:val="clear" w:color="auto" w:fill="CFF0FC"/>
          </w:tcPr>
          <w:p>
            <w:pPr>
              <w:jc w:val="right"/>
              <w:ind w:right="295"/>
              <w:spacing w:after="0"/>
              <w:rPr>
                <w:sz w:val="20"/>
                <w:szCs w:val="20"/>
                <w:color w:val="auto"/>
              </w:rPr>
            </w:pPr>
            <w:r>
              <w:rPr>
                <w:rFonts w:ascii="Arial" w:cs="Arial" w:eastAsia="Arial" w:hAnsi="Arial"/>
                <w:sz w:val="18"/>
                <w:szCs w:val="18"/>
                <w:color w:val="auto"/>
              </w:rPr>
              <w:t>(1.8)</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Gross profit margin</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300" w:type="dxa"/>
            <w:vAlign w:val="bottom"/>
          </w:tcPr>
          <w:p>
            <w:pPr>
              <w:spacing w:after="0"/>
              <w:rPr>
                <w:sz w:val="19"/>
                <w:szCs w:val="19"/>
                <w:color w:val="auto"/>
              </w:rPr>
            </w:pPr>
          </w:p>
        </w:tc>
        <w:tc>
          <w:tcPr>
            <w:tcW w:w="1220" w:type="dxa"/>
            <w:vAlign w:val="bottom"/>
          </w:tcPr>
          <w:p>
            <w:pPr>
              <w:jc w:val="right"/>
              <w:ind w:right="211"/>
              <w:spacing w:after="0"/>
              <w:rPr>
                <w:sz w:val="20"/>
                <w:szCs w:val="20"/>
                <w:color w:val="auto"/>
              </w:rPr>
            </w:pPr>
            <w:r>
              <w:rPr>
                <w:rFonts w:ascii="Arial" w:cs="Arial" w:eastAsia="Arial" w:hAnsi="Arial"/>
                <w:sz w:val="18"/>
                <w:szCs w:val="18"/>
                <w:i w:val="1"/>
                <w:iCs w:val="1"/>
                <w:color w:val="auto"/>
              </w:rPr>
              <w:t>16.3%</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 excluding goodwill</w:t>
            </w:r>
          </w:p>
        </w:tc>
        <w:tc>
          <w:tcPr>
            <w:tcW w:w="6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w:t>
            </w:r>
          </w:p>
        </w:tc>
        <w:tc>
          <w:tcPr>
            <w:tcW w:w="6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2,666.2</w:t>
            </w: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2,782.3</w:t>
            </w:r>
          </w:p>
        </w:tc>
        <w:tc>
          <w:tcPr>
            <w:tcW w:w="12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impairment charge</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64.0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2,730.2</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2,782.3</w:t>
            </w:r>
          </w:p>
        </w:tc>
        <w:tc>
          <w:tcPr>
            <w:tcW w:w="128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rPr>
              <w:t>(1.9)</w:t>
            </w:r>
          </w:p>
        </w:tc>
        <w:tc>
          <w:tcPr>
            <w:tcW w:w="134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2.2</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Selling and administrative expenses as a % of revenues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i w:val="1"/>
                <w:iCs w:val="1"/>
                <w:color w:val="auto"/>
              </w:rPr>
              <w:t>12.7%</w:t>
            </w: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w:t>
            </w: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644.9</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796.7</w:t>
            </w:r>
          </w:p>
        </w:tc>
        <w:tc>
          <w:tcPr>
            <w:tcW w:w="128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rPr>
              <w:t>(19.1)</w:t>
            </w:r>
          </w:p>
        </w:tc>
        <w:tc>
          <w:tcPr>
            <w:tcW w:w="1340" w:type="dxa"/>
            <w:vAlign w:val="bottom"/>
            <w:shd w:val="clear" w:color="auto" w:fill="CFF0FC"/>
          </w:tcPr>
          <w:p>
            <w:pPr>
              <w:jc w:val="right"/>
              <w:ind w:right="295"/>
              <w:spacing w:after="0"/>
              <w:rPr>
                <w:sz w:val="20"/>
                <w:szCs w:val="20"/>
                <w:color w:val="auto"/>
              </w:rPr>
            </w:pPr>
            <w:r>
              <w:rPr>
                <w:rFonts w:ascii="Arial" w:cs="Arial" w:eastAsia="Arial" w:hAnsi="Arial"/>
                <w:sz w:val="18"/>
                <w:szCs w:val="18"/>
                <w:color w:val="auto"/>
              </w:rPr>
              <w:t>(15.6)</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Operating profit margin</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300" w:type="dxa"/>
            <w:vAlign w:val="bottom"/>
          </w:tcPr>
          <w:p>
            <w:pPr>
              <w:spacing w:after="0"/>
              <w:rPr>
                <w:sz w:val="19"/>
                <w:szCs w:val="19"/>
                <w:color w:val="auto"/>
              </w:rPr>
            </w:pPr>
          </w:p>
        </w:tc>
        <w:tc>
          <w:tcPr>
            <w:tcW w:w="1220" w:type="dxa"/>
            <w:vAlign w:val="bottom"/>
          </w:tcPr>
          <w:p>
            <w:pPr>
              <w:jc w:val="right"/>
              <w:ind w:right="211"/>
              <w:spacing w:after="0"/>
              <w:rPr>
                <w:sz w:val="20"/>
                <w:szCs w:val="20"/>
                <w:color w:val="auto"/>
              </w:rPr>
            </w:pPr>
            <w:r>
              <w:rPr>
                <w:rFonts w:ascii="Arial" w:cs="Arial" w:eastAsia="Arial" w:hAnsi="Arial"/>
                <w:sz w:val="18"/>
                <w:szCs w:val="18"/>
                <w:i w:val="1"/>
                <w:iCs w:val="1"/>
                <w:color w:val="auto"/>
              </w:rPr>
              <w:t>3.6%</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expense</w:t>
            </w: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41.0</w:t>
            </w:r>
          </w:p>
        </w:tc>
        <w:tc>
          <w:tcPr>
            <w:tcW w:w="1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(income) expenses, net</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(79.0)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1.0</w:t>
            </w: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Earnings before income taxes</w:t>
            </w: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685.5</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754.7</w:t>
            </w:r>
          </w:p>
        </w:tc>
        <w:tc>
          <w:tcPr>
            <w:tcW w:w="128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rPr>
              <w:t>(9.2)</w:t>
            </w:r>
          </w:p>
        </w:tc>
        <w:tc>
          <w:tcPr>
            <w:tcW w:w="1340" w:type="dxa"/>
            <w:vAlign w:val="bottom"/>
            <w:shd w:val="clear" w:color="auto" w:fill="CFF0FC"/>
          </w:tcPr>
          <w:p>
            <w:pPr>
              <w:jc w:val="right"/>
              <w:ind w:right="295"/>
              <w:spacing w:after="0"/>
              <w:rPr>
                <w:sz w:val="20"/>
                <w:szCs w:val="20"/>
                <w:color w:val="auto"/>
              </w:rPr>
            </w:pPr>
            <w:r>
              <w:rPr>
                <w:rFonts w:ascii="Arial" w:cs="Arial" w:eastAsia="Arial" w:hAnsi="Arial"/>
                <w:sz w:val="18"/>
                <w:szCs w:val="18"/>
                <w:color w:val="auto"/>
              </w:rPr>
              <w:t>(5.7)</w:t>
            </w:r>
          </w:p>
        </w:tc>
        <w:tc>
          <w:tcPr>
            <w:tcW w:w="11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219.8</w:t>
            </w:r>
          </w:p>
        </w:tc>
        <w:tc>
          <w:tcPr>
            <w:tcW w:w="300" w:type="dxa"/>
            <w:vAlign w:val="bottom"/>
          </w:tcPr>
          <w:p>
            <w:pPr>
              <w:spacing w:after="0"/>
              <w:rPr>
                <w:sz w:val="19"/>
                <w:szCs w:val="19"/>
                <w:color w:val="auto"/>
              </w:rPr>
            </w:pPr>
          </w:p>
        </w:tc>
        <w:tc>
          <w:tcPr>
            <w:tcW w:w="1220" w:type="dxa"/>
            <w:vAlign w:val="bottom"/>
          </w:tcPr>
          <w:p>
            <w:pPr>
              <w:jc w:val="right"/>
              <w:ind w:right="371"/>
              <w:spacing w:after="0"/>
              <w:rPr>
                <w:sz w:val="20"/>
                <w:szCs w:val="20"/>
                <w:color w:val="auto"/>
              </w:rPr>
            </w:pPr>
            <w:r>
              <w:rPr>
                <w:rFonts w:ascii="Arial" w:cs="Arial" w:eastAsia="Arial" w:hAnsi="Arial"/>
                <w:sz w:val="18"/>
                <w:szCs w:val="18"/>
                <w:color w:val="auto"/>
              </w:rPr>
              <w:t>198.0</w:t>
            </w:r>
          </w:p>
        </w:tc>
        <w:tc>
          <w:tcPr>
            <w:tcW w:w="1280" w:type="dxa"/>
            <w:vAlign w:val="bottom"/>
          </w:tcPr>
          <w:p>
            <w:pPr>
              <w:jc w:val="right"/>
              <w:ind w:right="373"/>
              <w:spacing w:after="0"/>
              <w:rPr>
                <w:sz w:val="20"/>
                <w:szCs w:val="20"/>
                <w:color w:val="auto"/>
              </w:rPr>
            </w:pPr>
            <w:r>
              <w:rPr>
                <w:rFonts w:ascii="Arial" w:cs="Arial" w:eastAsia="Arial" w:hAnsi="Arial"/>
                <w:sz w:val="18"/>
                <w:szCs w:val="18"/>
                <w:color w:val="auto"/>
              </w:rPr>
              <w:t>11.1</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i w:val="1"/>
                <w:iCs w:val="1"/>
                <w:color w:val="auto"/>
              </w:rPr>
              <w:t>Effective income tax rate</w:t>
            </w:r>
          </w:p>
        </w:tc>
        <w:tc>
          <w:tcPr>
            <w:tcW w:w="6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32.1%</w:t>
            </w: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i w:val="1"/>
                <w:iCs w:val="1"/>
                <w:color w:val="auto"/>
              </w:rPr>
              <w:t>26.2%</w:t>
            </w:r>
          </w:p>
        </w:tc>
        <w:tc>
          <w:tcPr>
            <w:tcW w:w="1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465.7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556.7</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(16.4)</w:t>
            </w: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(13.3)</w:t>
            </w:r>
          </w:p>
        </w:tc>
        <w:tc>
          <w:tcPr>
            <w:tcW w:w="11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7.72</w:t>
            </w: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rPr>
              <w:t>8.56</w:t>
            </w:r>
          </w:p>
        </w:tc>
        <w:tc>
          <w:tcPr>
            <w:tcW w:w="1280" w:type="dxa"/>
            <w:vAlign w:val="bottom"/>
            <w:tcBorders>
              <w:bottom w:val="single" w:sz="8" w:color="auto"/>
            </w:tcBorders>
            <w:shd w:val="clear" w:color="auto" w:fill="CFF0FC"/>
          </w:tcPr>
          <w:p>
            <w:pPr>
              <w:jc w:val="right"/>
              <w:ind w:right="313"/>
              <w:spacing w:after="0"/>
              <w:rPr>
                <w:sz w:val="20"/>
                <w:szCs w:val="20"/>
                <w:color w:val="auto"/>
              </w:rPr>
            </w:pPr>
            <w:r>
              <w:rPr>
                <w:rFonts w:ascii="Arial" w:cs="Arial" w:eastAsia="Arial" w:hAnsi="Arial"/>
                <w:sz w:val="18"/>
                <w:szCs w:val="18"/>
                <w:color w:val="auto"/>
              </w:rPr>
              <w:t>(9.8)</w:t>
            </w:r>
          </w:p>
        </w:tc>
        <w:tc>
          <w:tcPr>
            <w:tcW w:w="1340" w:type="dxa"/>
            <w:vAlign w:val="bottom"/>
            <w:tcBorders>
              <w:bottom w:val="single" w:sz="8" w:color="auto"/>
            </w:tcBorders>
            <w:shd w:val="clear" w:color="auto" w:fill="CFF0FC"/>
          </w:tcPr>
          <w:p>
            <w:pPr>
              <w:jc w:val="right"/>
              <w:ind w:right="295"/>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auto"/>
            </w:tcBorders>
            <w:shd w:val="clear" w:color="auto" w:fill="CFF0FC"/>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diluted</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60.3</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65.1</w:t>
            </w: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(7.3)%</w:t>
            </w: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decrease in revenues from services of 5.1% (-0.9% in constant currency and -1.0% in organic constant currency) was attributed to:</w:t>
      </w:r>
    </w:p>
    <w:p>
      <w:pPr>
        <w:spacing w:after="0" w:line="250" w:lineRule="exact"/>
        <w:rPr>
          <w:sz w:val="20"/>
          <w:szCs w:val="20"/>
          <w:color w:val="auto"/>
        </w:rPr>
      </w:pPr>
    </w:p>
    <w:p>
      <w:pPr>
        <w:ind w:left="480" w:hanging="28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decreased demand for services in several of our markets within Northern Europe, where revenues decreased 12.6% (-7.6% in constant currency and</w:t>
      </w:r>
    </w:p>
    <w:p>
      <w:pPr>
        <w:spacing w:after="0" w:line="46" w:lineRule="exact"/>
        <w:rPr>
          <w:rFonts w:ascii="Arial" w:cs="Arial" w:eastAsia="Arial" w:hAnsi="Arial"/>
          <w:sz w:val="16"/>
          <w:szCs w:val="16"/>
          <w:color w:val="auto"/>
        </w:rPr>
      </w:pPr>
    </w:p>
    <w:p>
      <w:pPr>
        <w:ind w:left="480" w:right="140"/>
        <w:spacing w:after="0" w:line="253" w:lineRule="auto"/>
        <w:rPr>
          <w:rFonts w:ascii="Arial" w:cs="Arial" w:eastAsia="Arial" w:hAnsi="Arial"/>
          <w:sz w:val="16"/>
          <w:szCs w:val="16"/>
          <w:color w:val="auto"/>
        </w:rPr>
      </w:pPr>
      <w:r>
        <w:rPr>
          <w:rFonts w:ascii="Arial" w:cs="Arial" w:eastAsia="Arial" w:hAnsi="Arial"/>
          <w:sz w:val="18"/>
          <w:szCs w:val="18"/>
          <w:color w:val="auto"/>
        </w:rPr>
        <w:t>-6.8% in organic constant currency), primarily due to reduced demand for our Manpower staffing services due to low levels of manufacturing activity and uncertainties related to global trade conflicts, and the disposition of our language translation business in the Netherlands at the end of December 2018. We experienced revenue declines in Germany, the Netherlands, Belgium, the United Kingdom, and the Nordics of 25.2%, 24.7%, 10.2%, 4.4%, and 10.1% (-21.1%, -20.5%, -5.3%, -0.1%, and -2.6%, respectively, in constant currency; -16.7% and -1.4% in organic constant currency in the Netherlands and the Nordics, respectively);</w:t>
      </w:r>
    </w:p>
    <w:p>
      <w:pPr>
        <w:spacing w:after="0" w:line="204" w:lineRule="exact"/>
        <w:rPr>
          <w:rFonts w:ascii="Arial" w:cs="Arial" w:eastAsia="Arial" w:hAnsi="Arial"/>
          <w:sz w:val="16"/>
          <w:szCs w:val="16"/>
          <w:color w:val="auto"/>
        </w:rPr>
      </w:pPr>
    </w:p>
    <w:p>
      <w:pPr>
        <w:ind w:left="480" w:right="40" w:hanging="283"/>
        <w:spacing w:after="0" w:line="273"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revenue decrease in Southern Europe of 2.2% (increase of 2.8% in constant currency; -0.8% in organic constant currency). This included a revenue decrease in France of 6.3% (-1.2% in constant currency) primarily due to the unfavorable impact of changes in currency exchange rates and a slight decrease in our Manpower staffing revenues, partially offset by increased demand in our ManpowerGroup Solutions business and the additional revenues as a result of the acquisition of the remaining controlling interest in Manpower Switzerland in April 2019. The Southern Europe decrease also included a decrease in Italy of 9.8% (-4.9% in constant currency) due to decreased demand for our Manpower staffing services, partially offset by a 4.3% increase (10.2% in constant currency) in the permanent recruitment business;</w:t>
      </w:r>
    </w:p>
    <w:p>
      <w:pPr>
        <w:spacing w:after="0" w:line="191" w:lineRule="exact"/>
        <w:rPr>
          <w:rFonts w:ascii="Arial" w:cs="Arial" w:eastAsia="Arial" w:hAnsi="Arial"/>
          <w:sz w:val="17"/>
          <w:szCs w:val="17"/>
          <w:color w:val="auto"/>
        </w:rPr>
      </w:pPr>
    </w:p>
    <w:p>
      <w:pPr>
        <w:ind w:left="480" w:right="120" w:hanging="283"/>
        <w:spacing w:after="0" w:line="277"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revenue decrease in the United States of 0.6% primarily driven by a decline in demand for our staffing/interim services, partially offset by additional revenues as a result of franchise acquisitions in August and October 2019;</w:t>
      </w:r>
    </w:p>
    <w:p>
      <w:pPr>
        <w:spacing w:after="0" w:line="183" w:lineRule="exact"/>
        <w:rPr>
          <w:rFonts w:ascii="Arial" w:cs="Arial" w:eastAsia="Arial" w:hAnsi="Arial"/>
          <w:sz w:val="18"/>
          <w:szCs w:val="18"/>
          <w:color w:val="auto"/>
        </w:rPr>
      </w:pPr>
    </w:p>
    <w:p>
      <w:pPr>
        <w:ind w:left="480" w:right="140" w:hanging="283"/>
        <w:spacing w:after="0" w:line="312" w:lineRule="auto"/>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revenue decrease in APME of 9.1% (-7.2% in constant currency; increase of 3.7% in organic constant currency) due to the deconsolidation of ManpowerGroup Greater China Limited in July 2019 (the “Deconsolidation”), the disposition of a low-margin business in Greater China at the end of December 2018, and the impact of changes in currency exchange rates, partially offset by an increase in our Manpower staffing revenues;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1" w:name="page32"/>
    <w:bookmarkEnd w:id="31"/>
    <w:p>
      <w:pPr>
        <w:ind w:left="480" w:right="100" w:hanging="283"/>
        <w:spacing w:after="0" w:line="264"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1.6% (increase of 0.9% in constant currency), as our outplacement services were flat (increase of 2.6% in constant currency), and we experienced a 7.3% decrease (-5.1% in constant currency) in our talent management business; and</w:t>
      </w:r>
    </w:p>
    <w:p>
      <w:pPr>
        <w:spacing w:after="0" w:line="194" w:lineRule="exact"/>
        <w:rPr>
          <w:rFonts w:ascii="Arial" w:cs="Arial" w:eastAsia="Arial" w:hAnsi="Arial"/>
          <w:sz w:val="18"/>
          <w:szCs w:val="18"/>
          <w:color w:val="auto"/>
        </w:rPr>
      </w:pPr>
    </w:p>
    <w:p>
      <w:pPr>
        <w:ind w:left="480" w:hanging="283"/>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4.2% decrease due to the impact of changes in currency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10 basis point decrease in gross profit margin was primarily attributed to:</w:t>
      </w:r>
    </w:p>
    <w:p>
      <w:pPr>
        <w:spacing w:after="0" w:line="239" w:lineRule="exact"/>
        <w:rPr>
          <w:sz w:val="20"/>
          <w:szCs w:val="20"/>
          <w:color w:val="auto"/>
        </w:rPr>
      </w:pPr>
    </w:p>
    <w:p>
      <w:pPr>
        <w:ind w:left="480" w:right="460" w:hanging="283"/>
        <w:spacing w:after="0" w:line="277"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basis point unfavorable impact from the declining margins in our higher-margin ManpowerGroup Solutions business, particularly within our Talent Based Outsourcing business; partially offset by</w:t>
      </w:r>
    </w:p>
    <w:p>
      <w:pPr>
        <w:spacing w:after="0" w:line="183" w:lineRule="exact"/>
        <w:rPr>
          <w:rFonts w:ascii="Arial" w:cs="Arial" w:eastAsia="Arial" w:hAnsi="Arial"/>
          <w:sz w:val="18"/>
          <w:szCs w:val="18"/>
          <w:color w:val="auto"/>
        </w:rPr>
      </w:pPr>
    </w:p>
    <w:p>
      <w:pPr>
        <w:ind w:left="480" w:hanging="283"/>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1.9% decrease in selling and administrative expenses in 2019 (increase of 2.2% in constant currency and 2.4% in organic constant currency) was primarily attributed to:</w:t>
      </w:r>
    </w:p>
    <w:p>
      <w:pPr>
        <w:spacing w:after="0" w:line="184" w:lineRule="exact"/>
        <w:rPr>
          <w:sz w:val="20"/>
          <w:szCs w:val="20"/>
          <w:color w:val="auto"/>
        </w:rPr>
      </w:pPr>
    </w:p>
    <w:p>
      <w:pPr>
        <w:ind w:left="420" w:hanging="209"/>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$30.4 million gain related to the Deconsolidation;</w:t>
      </w:r>
    </w:p>
    <w:p>
      <w:pPr>
        <w:spacing w:after="0" w:line="238" w:lineRule="exact"/>
        <w:rPr>
          <w:rFonts w:ascii="Arial" w:cs="Arial" w:eastAsia="Arial" w:hAnsi="Arial"/>
          <w:sz w:val="18"/>
          <w:szCs w:val="18"/>
          <w:color w:val="auto"/>
        </w:rPr>
      </w:pPr>
    </w:p>
    <w:p>
      <w:pPr>
        <w:jc w:val="both"/>
        <w:ind w:left="420" w:hanging="209"/>
        <w:spacing w:after="0" w:line="31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7.0% decrease (-3.8% constant currency and -4.2% in organic constant currency) in office-related costs primarily due to a decrease in the number of offices as a result of our delivery channel and other front-office centralization and back-office optimization activities, as well as adjusting our cost-base for the slower market environment in many of our European operations, and the favorable impact of changes in currency exchange rates;</w:t>
      </w:r>
    </w:p>
    <w:p>
      <w:pPr>
        <w:spacing w:after="0" w:line="160" w:lineRule="exact"/>
        <w:rPr>
          <w:rFonts w:ascii="Arial" w:cs="Arial" w:eastAsia="Arial" w:hAnsi="Arial"/>
          <w:sz w:val="16"/>
          <w:szCs w:val="16"/>
          <w:color w:val="auto"/>
        </w:rPr>
      </w:pPr>
    </w:p>
    <w:p>
      <w:pPr>
        <w:jc w:val="both"/>
        <w:ind w:left="420" w:hanging="209"/>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3.6% decrease (increase of 0.3% in constant currency and 0.5% organic constant currency) in personnel costs primarily due to the favorable impact of changes in currency exchange rates, partially offset by an increase in headcount to support the increase in revenues in certain markets within the Americas, Southern Europe, and APME; and</w:t>
      </w:r>
    </w:p>
    <w:p>
      <w:pPr>
        <w:spacing w:after="0" w:line="194" w:lineRule="exact"/>
        <w:rPr>
          <w:rFonts w:ascii="Arial" w:cs="Arial" w:eastAsia="Arial" w:hAnsi="Arial"/>
          <w:sz w:val="18"/>
          <w:szCs w:val="18"/>
          <w:color w:val="auto"/>
        </w:rPr>
      </w:pPr>
    </w:p>
    <w:p>
      <w:pPr>
        <w:ind w:left="420" w:hanging="209"/>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reduction in recurring selling and administrative costs of $44.5 million as a result of the Deconsolidation in July 2019 and dispositions in December 2018 in Northern Europe and APME; partially offset by</w:t>
      </w:r>
    </w:p>
    <w:p>
      <w:pPr>
        <w:spacing w:after="0" w:line="183" w:lineRule="exact"/>
        <w:rPr>
          <w:rFonts w:ascii="Arial" w:cs="Arial" w:eastAsia="Arial" w:hAnsi="Arial"/>
          <w:sz w:val="18"/>
          <w:szCs w:val="18"/>
          <w:color w:val="auto"/>
        </w:rPr>
      </w:pPr>
    </w:p>
    <w:p>
      <w:pPr>
        <w:ind w:left="420" w:hanging="209"/>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 impairment and related charges of $65.6 million related to our Germany reporting unit and New Zealand operations in 2019;</w:t>
      </w:r>
    </w:p>
    <w:p>
      <w:pPr>
        <w:spacing w:after="0" w:line="238" w:lineRule="exact"/>
        <w:rPr>
          <w:rFonts w:ascii="Arial" w:cs="Arial" w:eastAsia="Arial" w:hAnsi="Arial"/>
          <w:sz w:val="18"/>
          <w:szCs w:val="18"/>
          <w:color w:val="auto"/>
        </w:rPr>
      </w:pPr>
    </w:p>
    <w:p>
      <w:pPr>
        <w:ind w:left="420" w:hanging="209"/>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$39.0 million incurred as a result of the acquisition of Manpower Switzerland in Southern Europe and franchise acquisitions in the United States in August and October 2019; and</w:t>
      </w:r>
    </w:p>
    <w:p>
      <w:pPr>
        <w:spacing w:after="0" w:line="183" w:lineRule="exact"/>
        <w:rPr>
          <w:rFonts w:ascii="Arial" w:cs="Arial" w:eastAsia="Arial" w:hAnsi="Arial"/>
          <w:sz w:val="18"/>
          <w:szCs w:val="18"/>
          <w:color w:val="auto"/>
        </w:rPr>
      </w:pPr>
    </w:p>
    <w:p>
      <w:pPr>
        <w:jc w:val="both"/>
        <w:ind w:left="420" w:hanging="209"/>
        <w:spacing w:after="0" w:line="25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costs of $39.8 million incurred in 2019, comprised of $5.1 million in the Americas, $5.4 million in Southern Europe, $18.7 million in Northern Europe, $4.4 million in APME, $4.7 million in Right Management, and $1.5 million in corporate expenses, compared to $39.3 million incurred in 2018, comprised of $0.3 million in the Americas, $5.4 million in Southern Europe, $33.3 million in Northern Europe and $0.3 million in Right Management.</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and administrative expenses as a percent of revenues increased 40 basis points in 2019 compared to 2018. The change in selling and administrative expenses as a percent of revenues consisted of:</w:t>
      </w:r>
    </w:p>
    <w:p>
      <w:pPr>
        <w:spacing w:after="0" w:line="130" w:lineRule="exact"/>
        <w:rPr>
          <w:sz w:val="20"/>
          <w:szCs w:val="20"/>
          <w:color w:val="auto"/>
        </w:rPr>
      </w:pPr>
    </w:p>
    <w:p>
      <w:pPr>
        <w:ind w:left="420" w:hanging="209"/>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30 basis point unfavorable impact from the goodwill impairment and other related charges;</w:t>
      </w:r>
    </w:p>
    <w:p>
      <w:pPr>
        <w:spacing w:after="0" w:line="184" w:lineRule="exact"/>
        <w:rPr>
          <w:rFonts w:ascii="Arial" w:cs="Arial" w:eastAsia="Arial" w:hAnsi="Arial"/>
          <w:sz w:val="18"/>
          <w:szCs w:val="18"/>
          <w:color w:val="auto"/>
        </w:rPr>
      </w:pPr>
    </w:p>
    <w:p>
      <w:pPr>
        <w:ind w:left="420" w:right="20" w:hanging="209"/>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 basis point unfavorable impact as expenses increased slightly, excluding the goodwill impairment and other related charges, restructuring costs and the Deconsolidation gain, while our revenues declined on an organic constant currency basis; and</w:t>
      </w:r>
    </w:p>
    <w:p>
      <w:pPr>
        <w:spacing w:after="0" w:line="129" w:lineRule="exact"/>
        <w:rPr>
          <w:rFonts w:ascii="Arial" w:cs="Arial" w:eastAsia="Arial" w:hAnsi="Arial"/>
          <w:sz w:val="18"/>
          <w:szCs w:val="18"/>
          <w:color w:val="auto"/>
        </w:rPr>
      </w:pPr>
    </w:p>
    <w:p>
      <w:pPr>
        <w:ind w:left="420" w:hanging="209"/>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 partially offset by</w:t>
      </w:r>
    </w:p>
    <w:p>
      <w:pPr>
        <w:spacing w:after="0" w:line="184" w:lineRule="exact"/>
        <w:rPr>
          <w:rFonts w:ascii="Arial" w:cs="Arial" w:eastAsia="Arial" w:hAnsi="Arial"/>
          <w:sz w:val="18"/>
          <w:szCs w:val="18"/>
          <w:color w:val="auto"/>
        </w:rPr>
      </w:pPr>
    </w:p>
    <w:p>
      <w:pPr>
        <w:ind w:left="420" w:hanging="209"/>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 basis point favorable impact from the Deconsolidation gain.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and other (income) expenses, net is comprised of interest, foreign exchange gains and losses and other miscellaneous non-operating income and expenses, including noncontrolling interests. Interest and other (income) expenses, net was income of $40.6 million in 2019 compared to expenses of $42.0 million in 2018. Net interest expense decreased $2.6 million in 2019 to $38.4 million from $41.0 million in 2018 due to the lower interest rate on our €500.0 million notes offered and sold in June 2018 compared to the interest rate on the €350.0 million notes due June 22, 2018 that were repaid in June 2018. Miscellaneous income increased to $85.7 million in 2019 from $0.4 million in 2018 primarily due to the gain of $80.4 million related to our acquisition of the remaining controlling interest in our Swiss franchise and an increase in income from the equity investment in ManpowerGroup Greater China Limited subsequent to the Deconsolidation, partially offset by the decrease in the income from the equity investment in Switzerland prior to the acquisition.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 w:name="page33"/>
    <w:bookmarkEnd w:id="32"/>
    <w:p>
      <w:pPr>
        <w:jc w:val="both"/>
        <w:spacing w:after="0" w:line="293" w:lineRule="auto"/>
        <w:rPr>
          <w:sz w:val="20"/>
          <w:szCs w:val="20"/>
          <w:color w:val="auto"/>
        </w:rPr>
      </w:pPr>
      <w:r>
        <w:rPr>
          <w:rFonts w:ascii="Arial" w:cs="Arial" w:eastAsia="Arial" w:hAnsi="Arial"/>
          <w:sz w:val="16"/>
          <w:szCs w:val="16"/>
          <w:color w:val="auto"/>
        </w:rPr>
        <w:t>We recorded income tax expense at an effective rate of 32.1% in 2019, as compared to an effective rate of 26.2% in 2018. The 2019 rate was unfavorably impacted by the transition of the French CICE subsidy, which was non-taxable, to new French subsidies in January 2019 that are taxable, and the recognition of a valuation allowance in Germany. These items were partially offset by a one-time tax benefit related to the refinancing of an intercompany lending arrangement. The 32.1% effective tax rate for 2019 was higher than the United States Federal statutory rate of 21% due primarily to the French business tax, our overall mix of earnings, and the recognition of a valuation allowance in Germany. In 2020, we expect our effective tax rate to increase to approximately 34% due primarily to the exclusion of the one-time tax benefit related to the refinancing of an intercompany lending arrangement.</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earnings per share - diluted was $7.72 in 2019 compared to $8.56 in 2018. Foreign currency exchange rates favorably impacted net earnings per share - diluted by approximately $0.28 in 2019. The gain from the acquisition of Manpower Switzerland recorded in 2019 positively impacted net earnings per share</w:t>
      </w:r>
    </w:p>
    <w:p>
      <w:pPr>
        <w:jc w:val="both"/>
        <w:ind w:firstLine="8"/>
        <w:spacing w:after="0" w:line="253" w:lineRule="auto"/>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diluted by approximately $1.32 per share. Goodwill impairment and related tax and other charges recorded in 2019 negatively impacted net earnings per share - diluted by approximately $1.26. The gain from the Deconsolidation recorded in 2019 positively impacted net earnings per share - diluted by approximately $0.50 per share. In 2019 and 2018, restructuring costs negatively impacted net earnings per share - diluted by approximately $0.52 and $0.46 per share, net of tax. The gain from the sale of the Netherlands' language translation business favorably impacted net earnings per share - diluted by approximately $0.06 per share, net of tax, for 2018.</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Weighted average shares - diluted decreased 7.3% to 60.3 million in 2019 from 65.1 million in 2018. This decrease was due to the impact of share repurchases completed in 2019 and the full weighting of the repurchases completed in 2018, partially offset by shares issued as a result of exercises and vesting of share-based awards in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2020, our segment reporting was realigned due to our Right Management business being combined with each of our respective country business units. Accordingly, our former reportable segment, Right Management, is now reported within each of our respective reportable segments. We will report on the new realigned segments beginning in the first quarter of 2020. All previously reported results will be restated to conform to the new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Americas, revenues from services increased 0.6% (3.6% in constant currency and 3.1% in organic constant currency) in 2019 compared to 2018. In the United States, revenues from services decreased 0.6% (-1.4% on an organic basis) in 2019 compared to 2018, primarily driven by a decline in demand for our staffing/interim services in a challenging manufacturing environment, partially offset by a 5.2% increase in our permanent recruitment business, an increase in our ManpowerGroup Solutions business, primarily within our MSP offering, and the additional revenues as a result of franchise acquisitions in August and October 2019. In Other Americas, revenues from services increased 2.3% (10.0% in constant currency) in 2019 compared to 2018. We experienced revenue growth in Mexico, Canada, and Peru of 2.2%, 13.7%, and 17.3%, respectively (2.4%, 16.3%, and 19.0%, respectively, in constant currency). These increases were partially offset by decreases in Argentina, Colombia and Brazil of 28.8%, 2.3% and 5.6%, respectively (increases of 26.0%, 8.5% and 2.5%, respectively, in constant currency). The constant currency increase in Argentina was primarily due to inflation. There has been a steady devaluation of the Argentine peso relative to the United States dollar in the last few years. As of July 1, 2018, the Argentina economy was designated as highly-inflationary and was treated as such for accounting purposes starting in the third quarter of 2018.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Gross profit margin was flat for 2019 compared to 2018. We experienced an increase in our United States staffing/interim margin due to pricing discipline and lower payroll tax and insurance costs. Gross profit margin also increased due to the increase of 4.8% (6.2% in constant currency and 5.9% in organic constant currency) in the permanent recruitment business in 2019 compared to 2018. The gross profit margin increases in 2019 compared to 2018 were offset by the decreases in the staffing/interim gross profit margins within certain markets within Other Americas.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selling and administrative expenses increased 3.8% (6.3% in constant currency; 5.8% in organic constant currency), due primarily to an increase in salary-related expenses, as a result of higher headcount related to growth initiatives, and an increase in restructuring costs to $5.1 million in 2019 from $0.3 million in 2018.</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OUP margin in the Americas was 4.5% and 4.9% for 2019 and 2018, respectively. In the United States, OUP margin was 4.5% and 5.2% in 2019 and 2018, respectively. The margin decrease in the United States was primarily due to increased costs as a result of headcount increases for growth initiatives, partially offset by an improvement in the gross profit margin. Other Americas OUP margin decreased to 4.4% in 2019 from 4.5% in 2018 due primarily due to an increase in restructuring costs and increased costs as a result of headcount increases for growth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2019, revenues from services in Southern Europe, which includes operations in France and Italy, decreased 2.2% (increase of 2.8% in constant currency; -0.8% in organic constant currency) compared to 2018. In 2019, revenues from services decreased 6.3% (-1.2% in constant currency) in France (which represents 60% of Southern Europe’s revenues) and decreased 9.8% (-4.9% in constant currency) in Italy (which represents 16% of Southern Europe’s revenues). The decrease in France is primarily due to the unfavorable impact of changes in currency exchange rates and decreased demand for our Manpower staffing services, partially offset by an increase in our ManpowerGroup Solutions business. The decrease in Italy was due to decreased demand for our Manpower staffing services as a result of a challenging economic environment and the unfavorable impact of changes in currency exchange rates, partially offset by the favorable impact of approximately one additional billing day and a 4.3% increase (10.2% in constant currency) in the permanent recruitment business. In Other Southern Europe, revenues from services increased 17.5% (21.9% in constant currency and 4.1% in organic constant currency) in 2019 compared to 2018, primarily due to the additional revenue from our acquisition of the remaining interest in Manpower Switzerland, increased demand for our Manpower staffing services, the increase in our ManpowerGroup Solutions business and the increase in our permanent recruitment business of 7.9% (12.6% in constant currency and 4.5% in organic constant currency), partially offset by the unfavorable impact of changes in currency exchange rates.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margin increased in 2019 compared to 2018, partially due to the favorable direct cost adjustments and various initiatives undertaken to address the unfavorable impact from transition of the CICE program to a new subsidy program and the improvement of the staffing/interim gross profit margin in Italy. The increase was partially offset by the unfavorable impact of the transition of the CICE program to a new subsidy program. The Southern Europe gross profit margin also increased due to growth in our higher-margin ManpowerGroup Solutions business and a 2.3% increase (7.6% in constant currency and 4.6% in organic constant currency) in the permanent recruitment business in 2019 compared to 2018.</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selling and administrative expenses increased 0.4% (5.5% in constant currency and 1.4% in organic constant currency) compared to 2018, primarily due to the additional recurring costs from our acquisition of the remaining interest in Manpower Switzerland and an increase in salary-related expenses, as a result of higher headcount, partially offset by the favorable impact of changes in currency exchange rates.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OUP margin in Southern Europe was 5.0% in both 2019 and 2018. In France, the OUP margin increased to 5.2% in 2019 from 5.0% in 2018, primarily due to improvement in the gross profit margin, partially offset by an increase in salary-related expenses. In Italy, the OUP margin increased to 6.8% in 2019 from 6.7% in 2018, primarily due to the improvement in the gross profit margin, partially offset by expense deleveraging, as we were unable to decrease selling and administrative expenses at the same rate as our revenue decline. In Other Southern Europe, OUP margin decreased to 3.1% in 2019 comparted to 3.5% in 2018, due to a decline in the gross profit margin and increase in salary-related expenses, partially offset by a decrease in restructuring costs.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Northern Europe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Northern Europe, which includes operations in the United Kingdom, Germany, the Nordics, the Netherlands and Belgium (comprising 33%, 17%, 21%, 12% and 9%, respectively, of Northern Europe’s revenues), revenues from services decreased 12.6% (-7.6% in constant currency and -6.8% in organic constant currency) in 2019 as compared to 2018. We experienced revenue declines in the United Kingdom, Germany, the Nordics, the Netherlands and Belgium of 4.4%, 25.2%, 10.1%, 24.7% and 10.2%, respectively (-0.1%, -21.1%, -2.6%, -20.5% and -5.3%, respectively, in constant currency; -1.4% and -16.7% in organic constant currency in the Nordics and the Netherlands, respectively). The Northern Europe revenue decrease is primarily due to reduced demand for our Manpower staffing services, primarily because of the decrease in Germany resulting from lower production activity in the manufacturing sector in that market, decreases in our staffing/interim services in the Netherlands due to a reduction in manufacturing-related demand and the exit from certain client contracts as a result of pricing decisions, decreased demand in Sweden related to lower activity from our manufacturing clients, and uncertainties related to global trade conflicts. This decrease was also due to a decrease in our ManpowerGroup Solutions business from the disposition of our language translation business in the Netherlands at the end of December 2018 and the 10.8% decrease (-5.6% in constant currency) in the permanent recruitment business. These decreases were partially offset by an increased demand for our staffing/interim services in Norway.</w:t>
      </w:r>
    </w:p>
    <w:p>
      <w:pPr>
        <w:spacing w:after="0" w:line="13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profit margin decreased in 2019 compared to 2018 due to the decline in our staffing/interim margin, primarily as a result of business mix changes, lower associate utilization and higher vacation and sickness rates in Germany, and the decrease in our permanent recruitment business.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and administrative expenses decreased 12.9% (-7.7% in constant currency and -6.6% in organic constant currency) in 2019 compared to 2018, due to the decrease in salary-related expenses as a result of a reduction in headcount and a decrease in office-related expenses driven by a decrease in the number of offices, a decrease in consulting costs related to certain technology projects, front-office centralization and back-office optimization activities incurred in the latter part of 2018 and a decrease in restructuring costs to $19.8 million in 2019 from $33.3 million in 2018. These decreases were partially offset by the $8.4 million gain from the sale of a non-core language translation business in the Netherlands in 2018. The 2019 restructuring costs related to delivery model and other front-office centralization activities as well as back-office optimization activities primarily in Germany, the Netherlands, Sweden, and Belgium. The 2018 restructuring costs related to delivery model and other front-office centralization activities as well as back-office optimization activities primarily in the United Kingdom, Germany, the Netherlands, Norway and Belgium.</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OUP margin for Northern Europe decreased to 1.4% in 2019 from 2.3% in 2018 primarily due to the decrease in the gross profit margin and expense deleveraging, as we were unable to decrease expenses at the same rate as our revenue decline, partially offset by the decrease in restructuring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from services decreased 9.1% (-7.2% in constant currency and an increase of 3.7% in organic constant currency) in 2019 compared to 2018. In Japan (which represents 37% of APME’s revenues), revenues from services increased 6.9% (5.5% in constant currency) due to the increased demand for our staffing/interim services, an increase in our ManpowerGroup Solutions business, and a 9.5% increase (8.3% in constant currency) in our permanent recruitment business, partially offset by the unfavorable impact of five fewer billing days in 2019 compared to 2018. In Australia (which represents 16% of APME’s revenues), revenue from services decreased 25.0% (-19.1% in constant currency) as we chose to exit certain low-margin Manpower business to improve profitability, and due to the 6.8% decrease (increase of 0.3% in constant currency) in our permanent recruitment business. The revenue decrease in the remaining markets in APME is due to the Deconsolidation and disposition of a low-margin business in Greater China at the end of December 2018, partially offset by increased demand for Manpower staffing services, mostly in India, Korea and Thailand.</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margin decreased in 2019 compared to 2018 due to the decrease in our permanent recruitment business of 18.6% (-14.7% in constant currency; increase of 0.4% in organic constant currency), partially offset by the increase in our staffing/interim margin, due primarily to the improvement in Japan, and the disposition of a low-margin business in Greater China in December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7"/>
          <w:szCs w:val="17"/>
          <w:color w:val="auto"/>
        </w:rPr>
        <w:t>Selling and administrative expenses decreased 15.3% (-12.7% in constant currency and -2.1% in organic constant currency) in 2019 compared to 2018. The decrease is primarily due to the gain from the Deconsolidation, the reduction of recurring selling and administrative costs as a result of the Deconsolidation and disposition of a low-margin business in Greater China in December 2018, and the favorable impact of changes in currency exchange rates. These decreases were partially offset by an increase in costs to support the increase in revenues in certain markets.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OUP margin for APME increased to 4.7% in 2019 compared to 4.0% in 2018 due to the gain from the Deconsolidation, partially offset by the decline in the gross profit margin and an increase in restructuring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2019, revenues from services for Right Management decreased 1.6% (increase of 0.9% in constant currency). The decrease is primarily due to the 7.3% decrease (-5.1% in constant currency) in our talent management services due mostly to softening demand in our European and Asian markets and the unfavorable impact of changes in currency exchange rates. Our outplacement business was flat (increase of 2.6% in constant currency) in 2019 compared to 2018 as the unfavorable impact of changes in currency exchange rates was offset by increased demand in our European and Asian markets.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margin decreased in 2019 compared to 2018 due to the decrease in both our outplacement business gross profit margin, partially offset by the change in business mix as the higher-margin outplacement business represented a higher percentage of the revenue mix and an increase in our talent management business gross profit margin.</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selling and administrative expenses decreased 0.9% (increase of 1.5% in constant currency) compared to 2018 primarily due to a decrease in the number of offices, partially offset by an increase in restructuring costs to $4.7 million in 2019 from $0.3 million in 2018.</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OUP margin for Right Management decreased to 15.3% in 2019 compared to 16.4% in 2018 due to the decline in the gross profit margin and the increase in restructuring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constant currency and organic constant currency percent variances are discussed throughout this report. A reconciliation of these Non-GAAP percent variances to the percent variances calculated based on our annual GAAP financial results is provided below. (See Constant Currency and Organic Constant Currency on page 29 for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Impact of</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represent 2019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w w:val="96"/>
              </w:rPr>
              <w:t>Acquisitions and</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16"/>
        </w:trPr>
        <w:tc>
          <w:tcPr>
            <w:tcW w:w="3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9"/>
              </w:rPr>
              <w:t>Reported</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w w:val="99"/>
              </w:rPr>
              <w:t>Variance in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Dispositions</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16"/>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Percentages represent 2019 compared to 2018</w:t>
            </w: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Reported</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Impact of</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Constant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(in Constant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30"/>
        </w:trPr>
        <w:tc>
          <w:tcPr>
            <w:tcW w:w="3620" w:type="dxa"/>
            <w:vAlign w:val="bottom"/>
            <w:gridSpan w:val="2"/>
            <w:vMerge w:val="continue"/>
          </w:tcPr>
          <w:p>
            <w:pPr>
              <w:spacing w:after="0"/>
              <w:rPr>
                <w:sz w:val="20"/>
                <w:szCs w:val="20"/>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(in millions)</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Variance</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Currency</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Currency</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Currency)</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 from Services</w:t>
            </w: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Americas: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2,507.0</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(0.6)%</w:t>
            </w:r>
          </w:p>
        </w:tc>
        <w:tc>
          <w:tcPr>
            <w:tcW w:w="12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1,675.3</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(7.7)</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4,182.3</w:t>
            </w:r>
          </w:p>
        </w:tc>
        <w:tc>
          <w:tcPr>
            <w:tcW w:w="128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0.6</w:t>
            </w:r>
          </w:p>
        </w:tc>
        <w:tc>
          <w:tcPr>
            <w:tcW w:w="12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3.6</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0.5</w:t>
            </w:r>
          </w:p>
        </w:tc>
        <w:tc>
          <w:tcPr>
            <w:tcW w:w="11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5,459.7</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(6.3)</w:t>
            </w:r>
          </w:p>
        </w:tc>
        <w:tc>
          <w:tcPr>
            <w:tcW w:w="12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(5.1)</w:t>
            </w:r>
          </w:p>
        </w:tc>
        <w:tc>
          <w:tcPr>
            <w:tcW w:w="12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(1.2)</w:t>
            </w:r>
          </w:p>
        </w:tc>
        <w:tc>
          <w:tcPr>
            <w:tcW w:w="1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Italy</w:t>
            </w:r>
          </w:p>
        </w:tc>
        <w:tc>
          <w:tcPr>
            <w:tcW w:w="3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1,506.5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(9.8)</w:t>
            </w:r>
          </w:p>
        </w:tc>
        <w:tc>
          <w:tcPr>
            <w:tcW w:w="1220" w:type="dxa"/>
            <w:vAlign w:val="bottom"/>
          </w:tcPr>
          <w:p>
            <w:pPr>
              <w:ind w:left="580"/>
              <w:spacing w:after="0"/>
              <w:rPr>
                <w:sz w:val="20"/>
                <w:szCs w:val="20"/>
                <w:color w:val="auto"/>
              </w:rPr>
            </w:pPr>
            <w:r>
              <w:rPr>
                <w:rFonts w:ascii="Arial" w:cs="Arial" w:eastAsia="Arial" w:hAnsi="Arial"/>
                <w:sz w:val="18"/>
                <w:szCs w:val="18"/>
                <w:color w:val="auto"/>
              </w:rPr>
              <w:t>(4.9)</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2,200.2</w:t>
            </w:r>
          </w:p>
        </w:tc>
        <w:tc>
          <w:tcPr>
            <w:tcW w:w="128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17.5</w:t>
            </w:r>
          </w:p>
        </w:tc>
        <w:tc>
          <w:tcPr>
            <w:tcW w:w="12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21.9</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17.8</w:t>
            </w:r>
          </w:p>
        </w:tc>
        <w:tc>
          <w:tcPr>
            <w:tcW w:w="11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9,166.4</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Northern Europe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4,691.3</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(12.6)</w:t>
            </w:r>
          </w:p>
        </w:tc>
        <w:tc>
          <w:tcPr>
            <w:tcW w:w="12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(5.0)</w:t>
            </w:r>
          </w:p>
        </w:tc>
        <w:tc>
          <w:tcPr>
            <w:tcW w:w="12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(7.6)</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(0.8)</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APME</w:t>
            </w:r>
          </w:p>
        </w:tc>
        <w:tc>
          <w:tcPr>
            <w:tcW w:w="3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2,627.2</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1220" w:type="dxa"/>
            <w:vAlign w:val="bottom"/>
          </w:tcPr>
          <w:p>
            <w:pPr>
              <w:ind w:left="580"/>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Right Management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196.3</w:t>
            </w:r>
          </w:p>
        </w:tc>
        <w:tc>
          <w:tcPr>
            <w:tcW w:w="12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0.9</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ManpowerGroup</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20,863.5</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 - ManpowerGroup</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3,375.1</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(5.7)%</w:t>
            </w:r>
          </w:p>
        </w:tc>
        <w:tc>
          <w:tcPr>
            <w:tcW w:w="12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(3.9)%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Operating Unit Profit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113.2</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Americas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73.1</w:t>
            </w:r>
          </w:p>
        </w:tc>
        <w:tc>
          <w:tcPr>
            <w:tcW w:w="12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4.9</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186.3</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(8.6)</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Southern Europe: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284.3</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1220" w:type="dxa"/>
            <w:vAlign w:val="bottom"/>
          </w:tcPr>
          <w:p>
            <w:pPr>
              <w:ind w:left="580"/>
              <w:spacing w:after="0"/>
              <w:rPr>
                <w:sz w:val="20"/>
                <w:szCs w:val="20"/>
                <w:color w:val="auto"/>
              </w:rPr>
            </w:pPr>
            <w:r>
              <w:rPr>
                <w:rFonts w:ascii="Arial" w:cs="Arial" w:eastAsia="Arial" w:hAnsi="Arial"/>
                <w:sz w:val="18"/>
                <w:szCs w:val="18"/>
                <w:color w:val="auto"/>
              </w:rPr>
              <w:t>(5.1)</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Italy</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102.6</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(7.7)</w:t>
            </w:r>
          </w:p>
        </w:tc>
        <w:tc>
          <w:tcPr>
            <w:tcW w:w="12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(5.0)</w:t>
            </w:r>
          </w:p>
        </w:tc>
        <w:tc>
          <w:tcPr>
            <w:tcW w:w="12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(2.7)</w:t>
            </w:r>
          </w:p>
        </w:tc>
        <w:tc>
          <w:tcPr>
            <w:tcW w:w="1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Southern Europe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67.7</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(2.9)</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454.6</w:t>
            </w:r>
          </w:p>
        </w:tc>
        <w:tc>
          <w:tcPr>
            <w:tcW w:w="12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(4.8)</w:t>
            </w:r>
          </w:p>
        </w:tc>
        <w:tc>
          <w:tcPr>
            <w:tcW w:w="12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2.0</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3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67.1</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(45.3)</w:t>
            </w:r>
          </w:p>
        </w:tc>
        <w:tc>
          <w:tcPr>
            <w:tcW w:w="1220" w:type="dxa"/>
            <w:vAlign w:val="bottom"/>
          </w:tcPr>
          <w:p>
            <w:pPr>
              <w:ind w:left="580"/>
              <w:spacing w:after="0"/>
              <w:rPr>
                <w:sz w:val="20"/>
                <w:szCs w:val="20"/>
                <w:color w:val="auto"/>
              </w:rPr>
            </w:pPr>
            <w:r>
              <w:rPr>
                <w:rFonts w:ascii="Arial" w:cs="Arial" w:eastAsia="Arial" w:hAnsi="Arial"/>
                <w:sz w:val="18"/>
                <w:szCs w:val="18"/>
                <w:color w:val="auto"/>
              </w:rPr>
              <w:t>(2.9)</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(42.4)</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APME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122.6</w:t>
            </w:r>
          </w:p>
        </w:tc>
        <w:tc>
          <w:tcPr>
            <w:tcW w:w="12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6.8</w:t>
            </w:r>
          </w:p>
        </w:tc>
        <w:tc>
          <w:tcPr>
            <w:tcW w:w="12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(0.6)</w:t>
            </w:r>
          </w:p>
        </w:tc>
        <w:tc>
          <w:tcPr>
            <w:tcW w:w="12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7.4</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(18.7)</w:t>
            </w:r>
          </w:p>
        </w:tc>
        <w:tc>
          <w:tcPr>
            <w:tcW w:w="11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3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30.0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(8.6)</w:t>
            </w:r>
          </w:p>
        </w:tc>
        <w:tc>
          <w:tcPr>
            <w:tcW w:w="1220" w:type="dxa"/>
            <w:vAlign w:val="bottom"/>
          </w:tcPr>
          <w:p>
            <w:pPr>
              <w:ind w:left="580"/>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Profit - ManpowerGroup</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644.9</w:t>
            </w: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(19.1)%</w:t>
            </w:r>
          </w:p>
        </w:tc>
        <w:tc>
          <w:tcPr>
            <w:tcW w:w="12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(3.5)%</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Cash Sources and Uses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2019, we had $894.1 million of cash held by foreign subsidiaries. We have historically made and anticipate future cash repatriations to the United States from certain foreign subsidiaries to fund corporate activities. With the enactment of the Tax Act in December 2017, we have no longer recorded United States federal income taxes on unremitted earnings of non-United States subsidiaries. However, we do record deferred tax liabilities related to non-United States withholding and other taxes on unremitted earnings that are not considered permanently invested. As of December 31, 2019, deferred taxes related to non-United States withholding and other taxes were provided on $1,867.0 million of unremitted earnings of non-United States subsidiaries that may be remitted to the United States. As of December 31, 2019 and 2018, we have recorded a deferred tax liability of $8.8 million and $15.3 million, respectively, related to these non-United States earnings that may be remitted. We have an additional $371.5 million of unremitted earnings of non-United States subsidiaries for which we have not currently provided deferred taxes.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operating activities was $814.4 million, $483.1 million and $400.9 million for 2019, 2018 and 2017, respectively. Changes in operating assets and liabilities generated $313.2 million of cash in 2019 compared to $198.3 million and $78.9 million utilized in 2018 and 2017, respectively. The change in 2019 from 2018 is primarily attributable to the timing of collections and payments, a decrease in CICE receivables resulting from the transition from the CICE program to a new subsidy program in January 2019, and the contingent consideration of $24.1 million paid in 2018 in excess of the original liability recorded at acquisition date for the acquisitions in the Netherlands. The increase was partially offset by lower net proceeds from the sale of our CICE payroll tax credits. The change in 2018 from 2017 was primarily attributable to the timing of collections and payments and the contingent consideration of $24.1 million paid in 2018 in excess of the contingent consideration liabilities initially recognized on the acquisition date.</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CICE payroll tax credits are creditable against our current French income tax payable, with any remaining amount being paid after three years. In April 2019, we sold a portion of our CICE earned in 2018 for net proceeds of $103.5 million (€92.0 million) with the remaining amount to be used against future tax payments. In April 2018 and March 2017, we sold substantially all of our CICE earned in 2017 and 2016, respectively, for net proceeds of $234.5 million (€190.9 million) and $143.5 million (€133.0 million), respectively. We derecognized these receivables upon the sale as the terms of the agreement are such that the transaction qualifies for sale treatment according to the accounting guidance on the transfer and servicing of assets. The discount on the sale of these receivables was recorded as a reduction of the payroll tax credits earned in the respective years in cost of services.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receivable decreased to $5,273.1 million as of December 31, 2019 from $5,276.1 million as of December 31, 2018. This decrease is due to changes in currency exchange rates. Days Sales Outstanding ("DSO") decreased by approximately one day from December 31, 2018.</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were $52.9 million, $64.7 million and $54.7 million during 2019, 2018 and 2017, respectively. These expenditures were primarily comprised of purchases of computer equipment, office furniture and other costs related to office openings and refurbishments, as well as capitalized software costs of $2.0 million in 2019, $5.6 million in 2018 and $1.7 million in 2017. The higher expenditures in 2018 compared to 2019 was primarily due to additional technology investment and the timing of capital expenditures.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8" w:name="page39"/>
    <w:bookmarkEnd w:id="38"/>
    <w:p>
      <w:pPr>
        <w:spacing w:after="0" w:line="291" w:lineRule="auto"/>
        <w:rPr>
          <w:sz w:val="20"/>
          <w:szCs w:val="20"/>
          <w:color w:val="auto"/>
        </w:rPr>
      </w:pPr>
      <w:r>
        <w:rPr>
          <w:rFonts w:ascii="Arial" w:cs="Arial" w:eastAsia="Arial" w:hAnsi="Arial"/>
          <w:sz w:val="16"/>
          <w:szCs w:val="16"/>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million and was funded through cash on hand. Of the total consideration paid, $58.3 million was for the acquired interests and the remaining $161.2 million was for cash and cash equivalents. The aggregate cash consideration paid reflects a post-closing settlement of net debt and net working capital adjustments of $6.8 million, which we paid out during the third quarter of 2019. The acquisition of the remaining interest of Experis AG was accounted for as an equity transaction as we previously consolidated the entity.</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aggregate of the consideration paid and the fair value of previously held equity interest totaled $415.1 million, or $97.6 million net of cash acquired. In connection with the business combination, we recognized a one-time, non-cash gain on the disposition of our previously held equity interest in Manpower Switzerland of $80.4 million, which is included within interest and other (income) expenses, net on the Consolidated Statements of Operations. Of the $80.4 million, $32.5 million represented foreign currency translation adjustments related to the previously held equity interest from accumulated other comprehensive income. As of December 31, 2019, the carrying value of intangible assets and goodwill resulting from the Manpower Switzerland acquisition was $44.5 million and $34.2 million, respectively.</w:t>
      </w:r>
    </w:p>
    <w:p>
      <w:pPr>
        <w:spacing w:after="0" w:line="2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paid for acquisitions excluding Manpower Switzerland and Experis AG, net of cash acquired, for the years ended December 31, 2019, 2018 and 2017 was $47.7 million</w:t>
      </w:r>
      <w:r>
        <w:rPr>
          <w:rFonts w:ascii="Arial" w:cs="Arial" w:eastAsia="Arial" w:hAnsi="Arial"/>
          <w:sz w:val="16"/>
          <w:szCs w:val="16"/>
          <w:color w:val="282A32"/>
        </w:rPr>
        <w:t>, $51.8</w:t>
      </w:r>
      <w:r>
        <w:rPr>
          <w:rFonts w:ascii="Arial" w:cs="Arial" w:eastAsia="Arial" w:hAnsi="Arial"/>
          <w:sz w:val="16"/>
          <w:szCs w:val="16"/>
          <w:color w:val="auto"/>
        </w:rPr>
        <w:t xml:space="preserve"> million </w:t>
      </w:r>
      <w:r>
        <w:rPr>
          <w:rFonts w:ascii="Arial" w:cs="Arial" w:eastAsia="Arial" w:hAnsi="Arial"/>
          <w:sz w:val="16"/>
          <w:szCs w:val="16"/>
          <w:color w:val="282A32"/>
        </w:rPr>
        <w:t>and $45.7</w:t>
      </w:r>
      <w:r>
        <w:rPr>
          <w:rFonts w:ascii="Arial" w:cs="Arial" w:eastAsia="Arial" w:hAnsi="Arial"/>
          <w:sz w:val="16"/>
          <w:szCs w:val="16"/>
          <w:color w:val="auto"/>
        </w:rPr>
        <w:t xml:space="preserve"> million, respectively. The 2019 balance includes consideration payments for franchises in the United States and contingent consideration payments related to previous acquisitions, of which $13.0 million had been recognized as a liability at the acquisition date. The </w:t>
      </w:r>
      <w:r>
        <w:rPr>
          <w:rFonts w:ascii="Arial" w:cs="Arial" w:eastAsia="Arial" w:hAnsi="Arial"/>
          <w:sz w:val="16"/>
          <w:szCs w:val="16"/>
          <w:color w:val="282A32"/>
        </w:rPr>
        <w:t>2018 balance includes initial</w:t>
      </w:r>
      <w:r>
        <w:rPr>
          <w:rFonts w:ascii="Arial" w:cs="Arial" w:eastAsia="Arial" w:hAnsi="Arial"/>
          <w:sz w:val="16"/>
          <w:szCs w:val="16"/>
          <w:color w:val="auto"/>
        </w:rPr>
        <w:t xml:space="preserve"> </w:t>
      </w:r>
      <w:r>
        <w:rPr>
          <w:rFonts w:ascii="Arial" w:cs="Arial" w:eastAsia="Arial" w:hAnsi="Arial"/>
          <w:sz w:val="16"/>
          <w:szCs w:val="16"/>
          <w:color w:val="282A32"/>
        </w:rPr>
        <w:t xml:space="preserve">acquisition payments of $9.1 </w:t>
      </w:r>
      <w:r>
        <w:rPr>
          <w:rFonts w:ascii="Arial" w:cs="Arial" w:eastAsia="Arial" w:hAnsi="Arial"/>
          <w:sz w:val="16"/>
          <w:szCs w:val="16"/>
          <w:color w:val="000000"/>
        </w:rPr>
        <w:t>million</w:t>
      </w:r>
      <w:r>
        <w:rPr>
          <w:rFonts w:ascii="Arial" w:cs="Arial" w:eastAsia="Arial" w:hAnsi="Arial"/>
          <w:sz w:val="16"/>
          <w:szCs w:val="16"/>
          <w:color w:val="282A32"/>
        </w:rPr>
        <w:t xml:space="preserve"> and contingent consideration payments of $42.7 </w:t>
      </w:r>
      <w:r>
        <w:rPr>
          <w:rFonts w:ascii="Arial" w:cs="Arial" w:eastAsia="Arial" w:hAnsi="Arial"/>
          <w:sz w:val="16"/>
          <w:szCs w:val="16"/>
          <w:color w:val="000000"/>
        </w:rPr>
        <w:t>million</w:t>
      </w:r>
      <w:r>
        <w:rPr>
          <w:rFonts w:ascii="Arial" w:cs="Arial" w:eastAsia="Arial" w:hAnsi="Arial"/>
          <w:sz w:val="16"/>
          <w:szCs w:val="16"/>
          <w:color w:val="282A32"/>
        </w:rPr>
        <w:t xml:space="preserve">, of which $18.6 </w:t>
      </w:r>
      <w:r>
        <w:rPr>
          <w:rFonts w:ascii="Arial" w:cs="Arial" w:eastAsia="Arial" w:hAnsi="Arial"/>
          <w:sz w:val="16"/>
          <w:szCs w:val="16"/>
          <w:color w:val="000000"/>
        </w:rPr>
        <w:t>million</w:t>
      </w:r>
      <w:r>
        <w:rPr>
          <w:rFonts w:ascii="Arial" w:cs="Arial" w:eastAsia="Arial" w:hAnsi="Arial"/>
          <w:sz w:val="16"/>
          <w:szCs w:val="16"/>
          <w:color w:val="282A32"/>
        </w:rPr>
        <w:t xml:space="preserve"> had been recognized as a liability at the acquisition date. The 2017 balance includes initial acquisition payments of $32.7 </w:t>
      </w:r>
      <w:r>
        <w:rPr>
          <w:rFonts w:ascii="Arial" w:cs="Arial" w:eastAsia="Arial" w:hAnsi="Arial"/>
          <w:sz w:val="16"/>
          <w:szCs w:val="16"/>
          <w:color w:val="000000"/>
        </w:rPr>
        <w:t>million</w:t>
      </w:r>
      <w:r>
        <w:rPr>
          <w:rFonts w:ascii="Arial" w:cs="Arial" w:eastAsia="Arial" w:hAnsi="Arial"/>
          <w:sz w:val="16"/>
          <w:szCs w:val="16"/>
          <w:color w:val="282A32"/>
        </w:rPr>
        <w:t xml:space="preserve"> and contingent consideration related to previous acquisitions of $13.0 </w:t>
      </w:r>
      <w:r>
        <w:rPr>
          <w:rFonts w:ascii="Arial" w:cs="Arial" w:eastAsia="Arial" w:hAnsi="Arial"/>
          <w:sz w:val="16"/>
          <w:szCs w:val="16"/>
          <w:color w:val="000000"/>
        </w:rPr>
        <w:t>million</w:t>
      </w:r>
      <w:r>
        <w:rPr>
          <w:rFonts w:ascii="Arial" w:cs="Arial" w:eastAsia="Arial" w:hAnsi="Arial"/>
          <w:sz w:val="16"/>
          <w:szCs w:val="16"/>
          <w:color w:val="282A32"/>
        </w:rPr>
        <w:t xml:space="preserve">, of which $10.3 </w:t>
      </w:r>
      <w:r>
        <w:rPr>
          <w:rFonts w:ascii="Arial" w:cs="Arial" w:eastAsia="Arial" w:hAnsi="Arial"/>
          <w:sz w:val="16"/>
          <w:szCs w:val="16"/>
          <w:color w:val="000000"/>
        </w:rPr>
        <w:t>million</w:t>
      </w:r>
      <w:r>
        <w:rPr>
          <w:rFonts w:ascii="Arial" w:cs="Arial" w:eastAsia="Arial" w:hAnsi="Arial"/>
          <w:sz w:val="16"/>
          <w:szCs w:val="16"/>
          <w:color w:val="282A32"/>
        </w:rPr>
        <w:t xml:space="preserve"> was related to our 2015 acquisition of 7S Group GmbH ("7S") in Germany. As of December 31, 2019, goodwill and intangible assets resulting from the 2019 acquisitions, excluding Manpower Switzerland, were $14.2 million and $9.0 million, respectively. As of December 31, 2018, goodwill and intangible assets resulting from the 2018 acquisitions were $6.1 million and $0.7 million, respectively.</w:t>
      </w:r>
    </w:p>
    <w:p>
      <w:pPr>
        <w:spacing w:after="0" w:line="1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 of Operations. In connection with the deconsolidation of the joint venture, we recognized a one-time non-cash gain of $30.4 million, which was included in selling and administrative expenses in the Consolidated Statement of Operations in the year ended December 31, 2019. Included in the $30.4 million was foreign currency translation adjustment losses of $6.2 million related to the joint venture from accumulated other comprehensive income.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Occasionally, we dispose of parts of our operations to optimize our global strategic and geographic footprint and synergies. In December 2018, we sold one of our business units in the Netherlands for net cash proceeds of $13.2 million and divested a majority interest in a consolidated entity in China with an immaterial cash impact.</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Cash provided by net debt borrowings was $19.5 million, $178.2 million and $5.2 million in 2019, 2018 and 2017, respectively. In June 2018, we offered and sold €500.0 million aggregate principal amount of the Company’s 1.750% notes due June 22, 2026, with the net proceeds of €495.7 million predominantly used to repay our €350.0 million notes due June 22, 2018. (See the "Euro Notes" section below for further information.)</w:t>
      </w:r>
    </w:p>
    <w:p>
      <w:pPr>
        <w:spacing w:after="0" w:line="1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Board of Directors authorized the repurchase of 6.0 million shares of our common stock in each of August 2019, August 2018 and July 2016. Share repurchases may be made from time to time through a variety of methods, including open market purchases, block transactions, privately negotiated transactions or similar facilities. In 2019, we repurchased a total of 2.4 million shares at a total cost of $203.0 million under the 2018 authorization. In 2018, we repurchased a total of 5.7 million shares, comprised of 2.9 million shares under the 2018 authorization and 2.8 million shares under the 2016 authorization, at a total cost of $500.7 million. In 2017, we repurchased a total of 1.9 million shares at a total cost of $203.9 under the 2016 authorization. As of December 31, 2019, there were 6.0 million and 0.8 million shares remaining authorized for repurchase under the 2019 authorization and 2018 authorization, respectively, and no shares remaining authorized under the 2016 authorization.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2019, 2018 and 2017, the Board of Directors declared total cash dividends of $2.18, $2.02 and $1.86 per share, respectively, resulting in total dividend payments of $129.3 million, $127.3 million and $123.7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aggregate commitments of $2,152.3 million related to debt, operating leases, severances and office closure costs, transition tax resulting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Act and certain other commitments,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2021–2022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2023–2024</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Thereafter</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interest</w:t>
            </w: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1,106.5</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491.1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575.5</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Short-term borrowings</w:t>
            </w:r>
          </w:p>
        </w:tc>
        <w:tc>
          <w:tcPr>
            <w:tcW w:w="1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503.9</w:t>
            </w:r>
          </w:p>
        </w:tc>
        <w:tc>
          <w:tcPr>
            <w:tcW w:w="4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Severances and other office closure costs</w:t>
            </w:r>
          </w:p>
        </w:tc>
        <w:tc>
          <w:tcPr>
            <w:tcW w:w="1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Transition tax resulting from the Tax Act</w:t>
            </w:r>
          </w:p>
        </w:tc>
        <w:tc>
          <w:tcPr>
            <w:tcW w:w="1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124.9</w:t>
            </w:r>
          </w:p>
        </w:tc>
        <w:tc>
          <w:tcPr>
            <w:tcW w:w="4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w:t>
            </w:r>
          </w:p>
        </w:tc>
      </w:t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348.7</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w:t>
            </w:r>
          </w:p>
        </w:tc>
      </w:tr>
      <w:tr>
        <w:trPr>
          <w:trHeight w:val="223"/>
        </w:trPr>
        <w:tc>
          <w:tcPr>
            <w:tcW w:w="4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2,152.3</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358.5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850.9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197.3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745.6</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liability for unrecognized tax benefits, including related interest and penalties, of $50.5 million is excluded from the commitments above as we cannot determine the years in which these positions might ultimately be settled.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net restructuring costs of $42.0 million and $39.3 million in 2019 and 2018, respectively, in selling and administrative expenses, primarily related to severances and office closures and consolidations in multiple countries and territories. The costs paid, utilized or transferred out of our restructuring reserve was $50.2 million and $37.3 million in 2019 and 2018, respectively. We expect a majority of the remaining $7.3 million reserve will be paid by the end of 2020.</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guarantee contracts and stand-by letters of credit that total $845.0 million as of December 31, 2019 ($793.4 million for guarantees and $51.6 million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$1.7 million for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Total capitalization as of December 31, 2019 was $3,834.9 million, comprised of $1,073.4 million in debt and $2,761.5 million in equity. Debt as a percentage of total capitalization was 28% as of both December 31, 2019 and 2018 and 25% as of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22, 2018, we offered and sold €500.0 million aggregate principal amount of the Company’s 1.750% notes due June 22, 2026 (the “€500.0 million notes”). The net proceeds from the €500.0 million notes of €495.7 million were used to repay our €350.0 million notes due June 22, 2018, with the remaining balance used for general corporate purposes, which included share repurchases. The €500.0 million notes were issued at a price of 99.564% to yield an effective interest rate of 1.809%. Interest on the €500.0 million notes is payable in arrears on June 22 of each year. The €500.0 million notes are unsecured senior obligations and rank equally with all of the Company’s existing and future senior unsecured debt and other liabilities.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€400.0 million aggregate principal amount 1.875% notes (the "€400.0 million notes") are due September 2022.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notes or the €400.0 million notes.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Both the €500.0 million notes and €400.0 million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our foreign subsidiaries with Euro-functional currency as of December 31, 2019. For this portion of the Euro-denominated notes, since our net investment in these subsidiaries exceeds the respective amount of the designated borrowings, both net of taxes,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18, 2018, we amended and restated our Five-Year Credit Agreement with a syndicate of commercial banks, principally to revise the termination date of the facility from September 16, 2020 to June 18, 2023. The remaining material terms and conditions of the Agreement are substantially similar to the previous agreement. The Credit Agreement allows for borrowing of $600.0 million in various currencies, and up to $150.0 million may be used for the issuance of stand-by letters of credit. We had no borrowings under this facility as of both December 31, 2019 and 2018. Outstanding letters of credit issued under the Credit Agreement totaled $0.5 million as of both December 31, 2019 and 2018. Additional borrowings of $599.5 million were available to us under the facility as of both December 31, 2019 and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 A downgrade from both credit agencies would unfavorably impact our facility fees and result in additional costs ranging from approximately $0.2 million to $0.8 million annually.</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As defined in the Credit Agreement, we had a net Debt-to-EBITDA ratio of 0.57 to 1 (compared to the maximum allowable ratio of 3.5 to 1) and a Fixed Charge Coverage ratio of 5.01 to 1 (compared to the minimum required ratio of 1.5 to 1) as of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December 31, 2019, such uncommitted credit lines totaled $324.1 million, of which $253.6 million was unused. Under the Credit Agreement, total subsidiary borrowings cannot exceed $300.0 million in the first, second and fourth quarters, and $600.0 million in the third quarter of each year. Due to these limitations, additional borrowings of $229.5 million could have been made under these lines as of December 31, 2019.</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Pension Plans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qualified and nonqualified pension plans covering permanent employees. The most significant plans are located in Switzerland, the United Kingdom, the Netherlands, Germany and France. Annual expense relating to these plans was $17.2 million, $13.9 million and $11.2 million in 2019, 2018 and 2017, respectively, and is estimated to be approximately $33.0 million in 2020. The increase in 2020 estimated pension expense is primarily due to the settlement of a U.S. pension plan in February 2020.</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the estimated 2020 pension expense for non-United States plans, we used a weighted-average discount rate of 1.1% compared to 1.8% for 2019, reflecting the current interest rate environment. We have selected a weighted-average expected return on plan assets of 2.2% for the non-United States plans in determining the 2020 estimated pension expense compared to 2.7% used for the calculation of the 2019 pension expense. Absent any other changes, a 25 basis point increase and decrease in the weighted-average discount rate would impact our 2020 consolidated pension expense by a decrease of $0.2 million and an increase of $0.7 million, respectively. Absent any other changes, a 25 basis point increase or decrease in the weighted-average expected return on plan assets would correspondingly decrease or increase our 2020 consolidated pension expense by $1.4 million.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found in Item 8. "Financial Statements and Supplementary Data"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the accounting guidance on income taxes. 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meet the 50% threshold, will not be recognized in the financial statements.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2017, the Tax Act made broad changes to the United States tax code, including a reduction of the United States federal corporate income tax rate from 35% to 21% effective January 1, 2018 and a transition to a Territorial Tax regime resulting in a one-time transition tax on the mandatory deemed repatriation of unremitted post-1986 non-United States earnings. The Tax Act also established new provisions related to Global Intangible Low-Taxed Income ("GILTI"), Foreign-Derived Intangible Income (“FDII”) and a Base Erosion and Anti-abuse Tax (“BEAT”). The computation of these new provisions is highly complex, and our estimates could significantly change as a result of new rules or guidance from the various standard-setting bodies.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Estimated cash flows and goodwill are grouped at the reporting unit level, which the company has determined to be a component of the operating segments for which discrete financial information is available and for which segment management regularly reviews the reporting results.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 during the third quarter of 2019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second quarter of 2019, we determined that it was more likely than not that the fair value of the Germany reporting unit was below its carrying amount and performed an interim goodwill impairment test. As a result of the interim test, we wrote down the carrying value of the Germany reporting unit down to its estimated fair value and recognized a non-cash impairment charge loss of $60.2 million during the second quarter of 2019.</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in the second quarter of 2019, we recorded an impairment charge of $3.8 million related to our New Zealand operations as a result of it not meeting profitability expectations.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performed our annual impairment test of our goodwill during the third quarter of 2019, 2018 and 2017, and there was no impairment of our goodwill as a result of our annual tests.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The table below provides our reporting units’ estimated fair values and carrying values, determined as part of our annual goodwill impairment test performed in the third quarter, representing approximately 80% of our consolidated goodwill balance as of September 30,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Right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France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United States</w:t>
            </w: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United Kingdom</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Management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Germany</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Netherlands</w:t>
            </w:r>
          </w:p>
        </w:tc>
      </w:tr>
      <w:tr>
        <w:trPr>
          <w:trHeight w:val="223"/>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values</w:t>
            </w:r>
          </w:p>
        </w:tc>
        <w:tc>
          <w:tcPr>
            <w:tcW w:w="7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2,723.2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1,386.4</w:t>
            </w:r>
          </w:p>
        </w:tc>
        <w:tc>
          <w:tcPr>
            <w:tcW w:w="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407.6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265.8</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r>
      <w:tr>
        <w:trPr>
          <w:trHeight w:val="230"/>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values</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1,302.9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337.2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262.8</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each reporting unit was at least 20% in excess of the respective reporting unit’s carrying value with the exception of the Germany reporting unit. Key assumptions included in the Germany discounted cash flow valuation performed during the third quarter of 2019 included a discount rate of 10.8% and a terminal value revenue growth rate of 2%. Should the operations of the business incur significant declines in profitability and cash flow due to significant and long-term deterioration in macroeconomic, industry and market conditions, some or all of the recorded goodwill, which was $64.8 million as of September 30, 2019, could be subject to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4" w:name="page45"/>
    <w:bookmarkEnd w:id="44"/>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282A32"/>
        </w:rPr>
        <w:t>Significant Matters Affecting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82A32"/>
        </w:rPr>
        <w:t>Market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82A32"/>
        </w:rPr>
        <w:t>We are exposed to the impact of foreign currency exchange rate fluctuations and interest rate changes.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Exchange Rates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82A32"/>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82A32"/>
        </w:rPr>
        <w:t>Approximately 88% of our revenues and profits are generated outside of the United States, with 48%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The United States dollar generally strengthened against many of the currencies of our major markets in 2019, whereas it generally weakened in 2018. Revenues from services in constant currency were 4.2% higher and 2.0% lower than reported revenues in 2019 and 2018, respectively. A change in the strength of the United States dollar by an additional 10% would have impacted our revenues from services by approximately 8.8% from the amounts reported in both 2019 and 2018.</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82A32"/>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2019 compared to December 31, 2018, while it weakened against certain currencies in which we hold significant balances. Consequently, shareholders’ equity increased by $22.5 million as a result of the foreign currency translation as of December 31, 2019. If the United States dollar had weakened an additional 10% as of December 31, 2019, resulting translation adjustments recorded in shareholders’ equity would have increased by approximately $186.2 million from the amounts reported.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As of December 31, 2018, the United States dollar strengthened relative to many foreign currencies compared to December 31, 2017. Consequently, shareholders’ equity decreased by $108.7 million as a result of the foreign currency translation as of December 31, 2018. If the United States dollar had strengthened an additional 10% as of December 31, 2018, resulting translation adjustments recorded in shareholders’ equity would have decreased by approximately $198.5 million from the amounts reported.</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82A32"/>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As of December 31, 2019, we had outstanding $1,002.9 million in principal amount of Euro-denominated notes (€900.0 million). These notes have been designated as a hedge of our net investment in subsidiaries with a Euro-functional currency as of December 31, 2019. Since our net investment in these subsidiaries exceeds the respective amount of the designated borrowings, the related translation gains or losses are included as a component of accumulated other comprehensive loss. Shareholders’ equity increased by $17.7 million, net of tax, due to changes in accumulated other comprehensive loss during 2019, due to the currency impact on these designated borrowings.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282A32"/>
        </w:rPr>
        <w:t>The hypothetical impact of the stated change in rates on 2019 total other comprehensive income (loss) for the Euro Notes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8"/>
                <w:szCs w:val="18"/>
                <w:i w:val="1"/>
                <w:iCs w:val="1"/>
                <w:color w:val="auto"/>
              </w:rPr>
              <w:t>(in millions)</w:t>
            </w:r>
          </w:p>
        </w:tc>
        <w:tc>
          <w:tcPr>
            <w:tcW w:w="34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 Depreciation in</w:t>
            </w:r>
          </w:p>
        </w:tc>
      </w:tr>
      <w:tr>
        <w:trPr>
          <w:trHeight w:val="230"/>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Market Sensitive Instrument</w:t>
            </w:r>
          </w:p>
        </w:tc>
        <w:tc>
          <w:tcPr>
            <w:tcW w:w="3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Exchange Rates</w:t>
            </w:r>
          </w:p>
        </w:tc>
      </w:tr>
      <w:tr>
        <w:trPr>
          <w:trHeight w:val="223"/>
        </w:trPr>
        <w:tc>
          <w:tcPr>
            <w:tcW w:w="1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Euro Notes:</w:t>
            </w:r>
          </w:p>
        </w:tc>
        <w:tc>
          <w:tcPr>
            <w:tcW w:w="5140" w:type="dxa"/>
            <w:vAlign w:val="bottom"/>
            <w:shd w:val="clear" w:color="auto" w:fill="CFF0FC"/>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1"/>
              </w:rPr>
              <w:t>€500.0, 1.81%</w:t>
            </w:r>
          </w:p>
        </w:tc>
        <w:tc>
          <w:tcPr>
            <w:tcW w:w="5140" w:type="dxa"/>
            <w:vAlign w:val="bottom"/>
          </w:tcPr>
          <w:p>
            <w:pPr>
              <w:ind w:left="20"/>
              <w:spacing w:after="0"/>
              <w:rPr>
                <w:sz w:val="20"/>
                <w:szCs w:val="20"/>
                <w:color w:val="auto"/>
              </w:rPr>
            </w:pPr>
            <w:r>
              <w:rPr>
                <w:rFonts w:ascii="Arial" w:cs="Arial" w:eastAsia="Arial" w:hAnsi="Arial"/>
                <w:sz w:val="18"/>
                <w:szCs w:val="18"/>
                <w:color w:val="auto"/>
              </w:rPr>
              <w:t>Notes due June 2026</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56.1</w:t>
            </w:r>
          </w:p>
        </w:tc>
      </w:tr>
      <w:tr>
        <w:trPr>
          <w:trHeight w:val="230"/>
        </w:trPr>
        <w:tc>
          <w:tcPr>
            <w:tcW w:w="1080" w:type="dxa"/>
            <w:vAlign w:val="bottom"/>
            <w:shd w:val="clear" w:color="auto" w:fill="CFF0FC"/>
          </w:tcPr>
          <w:p>
            <w:pPr>
              <w:spacing w:after="0"/>
              <w:rPr>
                <w:sz w:val="20"/>
                <w:szCs w:val="20"/>
                <w:color w:val="auto"/>
              </w:rPr>
            </w:pPr>
            <w:r>
              <w:rPr>
                <w:rFonts w:ascii="Arial" w:cs="Arial" w:eastAsia="Arial" w:hAnsi="Arial"/>
                <w:sz w:val="18"/>
                <w:szCs w:val="18"/>
                <w:color w:val="auto"/>
                <w:w w:val="91"/>
              </w:rPr>
              <w:t>€400.0, 1.91%</w:t>
            </w:r>
          </w:p>
        </w:tc>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September 2022</w:t>
            </w:r>
          </w:p>
        </w:tc>
        <w:tc>
          <w:tcPr>
            <w:tcW w:w="34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Interest Rates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82A32"/>
        </w:rPr>
        <w:t>Our exposure to market risk for changes in interest rates relates primarily to our variable rate long-term debt obligations. We have historically managed interest rates through the use of a combination of fixed- and variable-rate borrowings. As of December 31, 2019, we had the following fixed- and variable-rate borrowings:</w:t>
      </w: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Weighted-</w:t>
            </w:r>
          </w:p>
        </w:tc>
      </w:tr>
      <w:tr>
        <w:trPr>
          <w:trHeight w:val="216"/>
        </w:trPr>
        <w:tc>
          <w:tcPr>
            <w:tcW w:w="47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Average</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Interest Rate</w:t>
            </w:r>
            <w:r>
              <w:rPr>
                <w:rFonts w:ascii="Arial" w:cs="Arial" w:eastAsia="Arial" w:hAnsi="Arial"/>
                <w:sz w:val="15"/>
                <w:szCs w:val="15"/>
                <w:color w:val="auto"/>
              </w:rPr>
              <w:t>(1)</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Variable-rate borrowings</w:t>
            </w:r>
          </w:p>
        </w:tc>
        <w:tc>
          <w:tcPr>
            <w:tcW w:w="34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61.0</w:t>
            </w:r>
          </w:p>
        </w:tc>
        <w:tc>
          <w:tcPr>
            <w:tcW w:w="1700" w:type="dxa"/>
            <w:vAlign w:val="bottom"/>
            <w:shd w:val="clear" w:color="auto" w:fill="CFF0FC"/>
          </w:tcPr>
          <w:p>
            <w:pPr>
              <w:ind w:left="1280"/>
              <w:spacing w:after="0"/>
              <w:rPr>
                <w:sz w:val="20"/>
                <w:szCs w:val="20"/>
                <w:color w:val="auto"/>
              </w:rPr>
            </w:pPr>
            <w:r>
              <w:rPr>
                <w:rFonts w:ascii="Arial" w:cs="Arial" w:eastAsia="Arial" w:hAnsi="Arial"/>
                <w:sz w:val="18"/>
                <w:szCs w:val="18"/>
                <w:color w:val="auto"/>
                <w:w w:val="97"/>
              </w:rPr>
              <w:t>7.7%</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Fixed-rate borrowings</w:t>
            </w:r>
          </w:p>
        </w:tc>
        <w:tc>
          <w:tcPr>
            <w:tcW w:w="3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1,012.4</w:t>
            </w:r>
          </w:p>
        </w:tc>
        <w:tc>
          <w:tcPr>
            <w:tcW w:w="17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1.9</w:t>
            </w:r>
          </w:p>
        </w:tc>
      </w:tr>
      <w:tr>
        <w:trPr>
          <w:trHeight w:val="223"/>
        </w:trPr>
        <w:tc>
          <w:tcPr>
            <w:tcW w:w="4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34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1,073.4</w:t>
            </w:r>
          </w:p>
        </w:tc>
        <w:tc>
          <w:tcPr>
            <w:tcW w:w="1700" w:type="dxa"/>
            <w:vAlign w:val="bottom"/>
            <w:tcBorders>
              <w:bottom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7"/>
              </w:rPr>
              <w:t>2.2%</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82A32"/>
        </w:rPr>
        <w:t>(1) The rates are impacted by currency exchange rate movements.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82A32"/>
        </w:rPr>
        <w:t>Impact of Economic Conditions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82A32"/>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82A32"/>
        </w:rPr>
        <w:t>Recently Issued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82A32"/>
        </w:rPr>
        <w:t xml:space="preserve">See Note 1 to the Consolidated Financial Statements found </w:t>
      </w:r>
      <w:r>
        <w:rPr>
          <w:rFonts w:ascii="Arial" w:cs="Arial" w:eastAsia="Arial" w:hAnsi="Arial"/>
          <w:sz w:val="18"/>
          <w:szCs w:val="18"/>
          <w:color w:val="000000"/>
        </w:rPr>
        <w:t>in 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420" w:type="dxa"/>
            <w:vAlign w:val="bottom"/>
            <w:gridSpan w:val="8"/>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212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2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Page Number</w:t>
            </w:r>
          </w:p>
        </w:tc>
      </w:tr>
      <w:tr>
        <w:trPr>
          <w:trHeight w:val="216"/>
        </w:trPr>
        <w:tc>
          <w:tcPr>
            <w:tcW w:w="9300" w:type="dxa"/>
            <w:vAlign w:val="bottom"/>
            <w:gridSpan w:val="10"/>
            <w:shd w:val="clear" w:color="auto" w:fill="CFF0FC"/>
          </w:tcPr>
          <w:p>
            <w:pPr>
              <w:spacing w:after="0"/>
              <w:rPr>
                <w:sz w:val="20"/>
                <w:szCs w:val="20"/>
                <w:color w:val="auto"/>
              </w:rPr>
            </w:pPr>
            <w:r>
              <w:rPr>
                <w:rFonts w:ascii="Arial" w:cs="Arial" w:eastAsia="Arial" w:hAnsi="Arial"/>
                <w:sz w:val="18"/>
                <w:szCs w:val="18"/>
                <w:color w:val="auto"/>
              </w:rPr>
              <w:t>Index to Consolidated Financial Statements:</w:t>
            </w:r>
          </w:p>
        </w:tc>
        <w:tc>
          <w:tcPr>
            <w:tcW w:w="2120" w:type="dxa"/>
            <w:vAlign w:val="bottom"/>
            <w:shd w:val="clear" w:color="auto" w:fill="CFF0FC"/>
          </w:tcPr>
          <w:p>
            <w:pPr>
              <w:spacing w:after="0"/>
              <w:rPr>
                <w:sz w:val="18"/>
                <w:szCs w:val="18"/>
                <w:color w:val="auto"/>
              </w:rPr>
            </w:pPr>
          </w:p>
        </w:tc>
      </w:tr>
      <w:tr>
        <w:trPr>
          <w:trHeight w:val="176"/>
        </w:trPr>
        <w:tc>
          <w:tcPr>
            <w:tcW w:w="9300" w:type="dxa"/>
            <w:vAlign w:val="bottom"/>
            <w:gridSpan w:val="10"/>
          </w:tcPr>
          <w:p>
            <w:pPr>
              <w:ind w:left="44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2120" w:type="dxa"/>
            <w:vAlign w:val="bottom"/>
          </w:tcPr>
          <w:p>
            <w:pPr>
              <w:jc w:val="center"/>
              <w:ind w:left="970"/>
              <w:spacing w:after="0" w:line="176" w:lineRule="exact"/>
              <w:rPr>
                <w:sz w:val="20"/>
                <w:szCs w:val="20"/>
                <w:color w:val="auto"/>
              </w:rPr>
            </w:pPr>
            <w:r>
              <w:rPr>
                <w:rFonts w:ascii="Arial" w:cs="Arial" w:eastAsia="Arial" w:hAnsi="Arial"/>
                <w:sz w:val="18"/>
                <w:szCs w:val="18"/>
                <w:color w:val="auto"/>
                <w:w w:val="89"/>
              </w:rPr>
              <w:t>48</w:t>
            </w:r>
          </w:p>
        </w:tc>
      </w:tr>
      <w:tr>
        <w:trPr>
          <w:trHeight w:val="21"/>
        </w:trPr>
        <w:tc>
          <w:tcPr>
            <w:tcW w:w="4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6"/>
        </w:trPr>
        <w:tc>
          <w:tcPr>
            <w:tcW w:w="440" w:type="dxa"/>
            <w:vAlign w:val="bottom"/>
            <w:shd w:val="clear" w:color="auto" w:fill="CFF0FC"/>
          </w:tcPr>
          <w:p>
            <w:pPr>
              <w:spacing w:after="0"/>
              <w:rPr>
                <w:sz w:val="15"/>
                <w:szCs w:val="15"/>
                <w:color w:val="auto"/>
              </w:rPr>
            </w:pPr>
          </w:p>
        </w:tc>
        <w:tc>
          <w:tcPr>
            <w:tcW w:w="8860" w:type="dxa"/>
            <w:vAlign w:val="bottom"/>
            <w:gridSpan w:val="9"/>
            <w:shd w:val="clear" w:color="auto" w:fill="CFF0FC"/>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Operations for the years ended December 31, 2019, 2018 and 2017</w:t>
              </w:r>
            </w:hyperlink>
          </w:p>
        </w:tc>
        <w:tc>
          <w:tcPr>
            <w:tcW w:w="2120" w:type="dxa"/>
            <w:vAlign w:val="bottom"/>
            <w:shd w:val="clear" w:color="auto" w:fill="CFF0FC"/>
          </w:tcPr>
          <w:p>
            <w:pPr>
              <w:jc w:val="center"/>
              <w:ind w:left="970"/>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4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EE"/>
            </w:tcBorders>
            <w:shd w:val="clear" w:color="auto" w:fill="CFF0FC"/>
          </w:tcPr>
          <w:p>
            <w:pPr>
              <w:spacing w:after="0" w:line="20" w:lineRule="exact"/>
              <w:rPr>
                <w:sz w:val="1"/>
                <w:szCs w:val="1"/>
                <w:color w:val="auto"/>
              </w:rPr>
            </w:pPr>
          </w:p>
        </w:tc>
        <w:tc>
          <w:tcPr>
            <w:tcW w:w="2720" w:type="dxa"/>
            <w:vAlign w:val="bottom"/>
            <w:tcBorders>
              <w:top w:val="single" w:sz="8" w:color="0000EE"/>
            </w:tcBorders>
            <w:shd w:val="clear" w:color="auto" w:fill="CFF0FC"/>
          </w:tcPr>
          <w:p>
            <w:pPr>
              <w:spacing w:after="0" w:line="20" w:lineRule="exact"/>
              <w:rPr>
                <w:sz w:val="1"/>
                <w:szCs w:val="1"/>
                <w:color w:val="auto"/>
              </w:rPr>
            </w:pPr>
          </w:p>
        </w:tc>
        <w:tc>
          <w:tcPr>
            <w:tcW w:w="1060" w:type="dxa"/>
            <w:vAlign w:val="bottom"/>
            <w:tcBorders>
              <w:top w:val="single" w:sz="8" w:color="0000EE"/>
            </w:tcBorders>
            <w:shd w:val="clear" w:color="auto" w:fill="CFF0FC"/>
          </w:tcPr>
          <w:p>
            <w:pPr>
              <w:spacing w:after="0" w:line="20" w:lineRule="exact"/>
              <w:rPr>
                <w:sz w:val="1"/>
                <w:szCs w:val="1"/>
                <w:color w:val="auto"/>
              </w:rPr>
            </w:pPr>
          </w:p>
        </w:tc>
        <w:tc>
          <w:tcPr>
            <w:tcW w:w="440" w:type="dxa"/>
            <w:vAlign w:val="bottom"/>
            <w:tcBorders>
              <w:top w:val="single" w:sz="8" w:color="0000EE"/>
            </w:tcBorders>
            <w:shd w:val="clear" w:color="auto" w:fill="CFF0FC"/>
          </w:tcPr>
          <w:p>
            <w:pPr>
              <w:spacing w:after="0" w:line="20" w:lineRule="exact"/>
              <w:rPr>
                <w:sz w:val="1"/>
                <w:szCs w:val="1"/>
                <w:color w:val="auto"/>
              </w:rPr>
            </w:pPr>
          </w:p>
        </w:tc>
        <w:tc>
          <w:tcPr>
            <w:tcW w:w="22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860" w:type="dxa"/>
            <w:vAlign w:val="bottom"/>
            <w:gridSpan w:val="9"/>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Comprehensive Income for the years ended December 31, 2019, 2018 and 2017</w:t>
              </w:r>
            </w:hyperlink>
          </w:p>
        </w:tc>
        <w:tc>
          <w:tcPr>
            <w:tcW w:w="2120" w:type="dxa"/>
            <w:vAlign w:val="bottom"/>
          </w:tcPr>
          <w:p>
            <w:pPr>
              <w:jc w:val="center"/>
              <w:ind w:left="970"/>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4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4660" w:type="dxa"/>
            <w:vAlign w:val="bottom"/>
            <w:tcBorders>
              <w:bottom w:val="single" w:sz="8" w:color="0000EE"/>
            </w:tcBorders>
            <w:gridSpan w:val="4"/>
            <w:shd w:val="clear" w:color="auto" w:fill="CFF0FC"/>
          </w:tcPr>
          <w:p>
            <w:pPr>
              <w:spacing w:after="0" w:line="17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 as of December 31, 2019 and 2018</w:t>
              </w:r>
            </w:hyperlink>
          </w:p>
        </w:tc>
        <w:tc>
          <w:tcPr>
            <w:tcW w:w="4200" w:type="dxa"/>
            <w:vAlign w:val="bottom"/>
            <w:tcBorders>
              <w:bottom w:val="single" w:sz="8" w:color="CFF0FC"/>
            </w:tcBorders>
            <w:gridSpan w:val="5"/>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jc w:val="center"/>
              <w:ind w:left="970"/>
              <w:spacing w:after="0" w:line="176" w:lineRule="exact"/>
              <w:rPr>
                <w:sz w:val="20"/>
                <w:szCs w:val="20"/>
                <w:color w:val="auto"/>
              </w:rPr>
            </w:pPr>
            <w:r>
              <w:rPr>
                <w:rFonts w:ascii="Arial" w:cs="Arial" w:eastAsia="Arial" w:hAnsi="Arial"/>
                <w:sz w:val="18"/>
                <w:szCs w:val="18"/>
                <w:color w:val="auto"/>
                <w:w w:val="89"/>
              </w:rPr>
              <w:t>52</w:t>
            </w:r>
          </w:p>
        </w:tc>
      </w:tr>
      <w:tr>
        <w:trPr>
          <w:trHeight w:val="176"/>
        </w:trPr>
        <w:tc>
          <w:tcPr>
            <w:tcW w:w="9300" w:type="dxa"/>
            <w:vAlign w:val="bottom"/>
            <w:gridSpan w:val="10"/>
          </w:tcPr>
          <w:p>
            <w:pPr>
              <w:ind w:left="4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 for the years ended December 31, 2019, 2018 and 2017</w:t>
              </w:r>
            </w:hyperlink>
          </w:p>
        </w:tc>
        <w:tc>
          <w:tcPr>
            <w:tcW w:w="2120" w:type="dxa"/>
            <w:vAlign w:val="bottom"/>
          </w:tcPr>
          <w:p>
            <w:pPr>
              <w:jc w:val="center"/>
              <w:ind w:left="970"/>
              <w:spacing w:after="0" w:line="176" w:lineRule="exact"/>
              <w:rPr>
                <w:sz w:val="20"/>
                <w:szCs w:val="20"/>
                <w:color w:val="auto"/>
              </w:rPr>
            </w:pPr>
            <w:r>
              <w:rPr>
                <w:rFonts w:ascii="Arial" w:cs="Arial" w:eastAsia="Arial" w:hAnsi="Arial"/>
                <w:sz w:val="18"/>
                <w:szCs w:val="18"/>
                <w:color w:val="auto"/>
                <w:w w:val="89"/>
              </w:rPr>
              <w:t>53</w:t>
            </w:r>
          </w:p>
        </w:tc>
      </w:tr>
      <w:tr>
        <w:trPr>
          <w:trHeight w:val="21"/>
        </w:trPr>
        <w:tc>
          <w:tcPr>
            <w:tcW w:w="4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7600" w:type="dxa"/>
            <w:vAlign w:val="bottom"/>
            <w:tcBorders>
              <w:bottom w:val="single" w:sz="8" w:color="0000EE"/>
            </w:tcBorders>
            <w:gridSpan w:val="7"/>
            <w:shd w:val="clear" w:color="auto" w:fill="CFF0FC"/>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Shareholders’ Equity for the years ended December 31, 2019, 2018 and 2017</w:t>
              </w:r>
            </w:hyperlink>
          </w:p>
        </w:tc>
        <w:tc>
          <w:tcPr>
            <w:tcW w:w="1260" w:type="dxa"/>
            <w:vAlign w:val="bottom"/>
            <w:tcBorders>
              <w:bottom w:val="single" w:sz="8" w:color="CFF0FC"/>
            </w:tcBorders>
            <w:gridSpan w:val="2"/>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jc w:val="center"/>
              <w:ind w:left="970"/>
              <w:spacing w:after="0" w:line="176" w:lineRule="exact"/>
              <w:rPr>
                <w:sz w:val="20"/>
                <w:szCs w:val="20"/>
                <w:color w:val="auto"/>
              </w:rPr>
            </w:pPr>
            <w:r>
              <w:rPr>
                <w:rFonts w:ascii="Arial" w:cs="Arial" w:eastAsia="Arial" w:hAnsi="Arial"/>
                <w:sz w:val="18"/>
                <w:szCs w:val="18"/>
                <w:color w:val="auto"/>
                <w:w w:val="89"/>
              </w:rPr>
              <w:t>54</w:t>
            </w:r>
          </w:p>
        </w:tc>
      </w:tr>
      <w:tr>
        <w:trPr>
          <w:trHeight w:val="176"/>
        </w:trPr>
        <w:tc>
          <w:tcPr>
            <w:tcW w:w="440" w:type="dxa"/>
            <w:vAlign w:val="bottom"/>
          </w:tcPr>
          <w:p>
            <w:pPr>
              <w:spacing w:after="0"/>
              <w:rPr>
                <w:sz w:val="15"/>
                <w:szCs w:val="15"/>
                <w:color w:val="auto"/>
              </w:rPr>
            </w:pPr>
          </w:p>
        </w:tc>
        <w:tc>
          <w:tcPr>
            <w:tcW w:w="3160" w:type="dxa"/>
            <w:vAlign w:val="bottom"/>
            <w:tcBorders>
              <w:bottom w:val="single" w:sz="8" w:color="0000EE"/>
            </w:tcBorders>
            <w:gridSpan w:val="2"/>
          </w:tcPr>
          <w:p>
            <w:pP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5700" w:type="dxa"/>
            <w:vAlign w:val="bottom"/>
            <w:gridSpan w:val="7"/>
          </w:tcPr>
          <w:p>
            <w:pPr>
              <w:spacing w:after="0"/>
              <w:rPr>
                <w:sz w:val="15"/>
                <w:szCs w:val="15"/>
                <w:color w:val="auto"/>
              </w:rPr>
            </w:pPr>
          </w:p>
        </w:tc>
        <w:tc>
          <w:tcPr>
            <w:tcW w:w="2120" w:type="dxa"/>
            <w:vAlign w:val="bottom"/>
          </w:tcPr>
          <w:p>
            <w:pPr>
              <w:jc w:val="center"/>
              <w:ind w:left="970"/>
              <w:spacing w:after="0" w:line="176" w:lineRule="exact"/>
              <w:rPr>
                <w:sz w:val="20"/>
                <w:szCs w:val="20"/>
                <w:color w:val="auto"/>
              </w:rPr>
            </w:pPr>
            <w:r>
              <w:rPr>
                <w:rFonts w:ascii="Arial" w:cs="Arial" w:eastAsia="Arial" w:hAnsi="Arial"/>
                <w:sz w:val="18"/>
                <w:szCs w:val="18"/>
                <w:color w:val="auto"/>
                <w:w w:val="89"/>
              </w:rPr>
              <w:t>55</w:t>
            </w:r>
          </w:p>
        </w:tc>
      </w:tr>
      <w:tr>
        <w:trPr>
          <w:trHeight w:val="69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20" w:type="dxa"/>
            <w:vAlign w:val="bottom"/>
            <w:gridSpan w:val="4"/>
          </w:tcPr>
          <w:p>
            <w:pPr>
              <w:jc w:val="right"/>
              <w:ind w:right="150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47" w:name="page48"/>
    <w:bookmarkEnd w:id="47"/>
    <w:p>
      <w:pPr>
        <w:ind w:right="5240"/>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ManpowerGroup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ManpowerGroup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21, 2020 expressed an unqualified opinion on those financial statements and included an explanatory paragraph regarding the Company’s adoption of Accounting Standards Update ASU No. 2016-02, Leases (Topic 842).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82A32"/>
        </w:rPr>
        <w:t>February 21,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8" w:name="page49"/>
    <w:bookmarkEnd w:id="48"/>
    <w:p>
      <w:pPr>
        <w:ind w:right="5240"/>
        <w:spacing w:after="0" w:line="419" w:lineRule="auto"/>
        <w:rPr>
          <w:sz w:val="20"/>
          <w:szCs w:val="20"/>
          <w:color w:val="auto"/>
        </w:rPr>
      </w:pPr>
      <w:r>
        <w:rPr>
          <w:rFonts w:ascii="Arial" w:cs="Arial" w:eastAsia="Arial" w:hAnsi="Arial"/>
          <w:sz w:val="18"/>
          <w:szCs w:val="18"/>
          <w:b w:val="1"/>
          <w:bCs w:val="1"/>
          <w:color w:val="282A32"/>
        </w:rPr>
        <w:t xml:space="preserve">REPORT OF INDEPENDENT REGISTERED PUBLIC ACCOUNTING FIRM </w:t>
      </w:r>
      <w:r>
        <w:rPr>
          <w:rFonts w:ascii="Arial" w:cs="Arial" w:eastAsia="Arial" w:hAnsi="Arial"/>
          <w:sz w:val="18"/>
          <w:szCs w:val="18"/>
          <w:color w:val="282A32"/>
        </w:rPr>
        <w:t xml:space="preserve">To the Board of Directors and Shareholders of ManpowerGroup Inc. </w:t>
      </w:r>
      <w:r>
        <w:rPr>
          <w:rFonts w:ascii="Arial" w:cs="Arial" w:eastAsia="Arial" w:hAnsi="Arial"/>
          <w:sz w:val="18"/>
          <w:szCs w:val="18"/>
          <w:b w:val="1"/>
          <w:bCs w:val="1"/>
          <w:color w:val="282A32"/>
        </w:rPr>
        <w:t>Opinion on the Financial Statements</w:t>
      </w:r>
    </w:p>
    <w:p>
      <w:pPr>
        <w:spacing w:after="0" w:line="255" w:lineRule="auto"/>
        <w:rPr>
          <w:sz w:val="20"/>
          <w:szCs w:val="20"/>
          <w:color w:val="auto"/>
        </w:rPr>
      </w:pPr>
      <w:r>
        <w:rPr>
          <w:rFonts w:ascii="Arial" w:cs="Arial" w:eastAsia="Arial" w:hAnsi="Arial"/>
          <w:sz w:val="18"/>
          <w:szCs w:val="18"/>
          <w:color w:val="282A32"/>
        </w:rPr>
        <w:t>We have audited the accompanying consolidated balance sheets of ManpowerGroup Inc. and subsidiaries (the “Company”) as of December 31, 2019 and 2018, and the related consolidated statements of operations, comprehensive income, shareholders’ equity, and cash flows for each of the three years in the period ended December 31, 2019 and the related notes and the schedule listed in the Index at Item 15(a)(2)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82A32"/>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282A32"/>
        </w:rPr>
        <w:t>Internal Control — Integrated Framework (2013)</w:t>
      </w:r>
      <w:r>
        <w:rPr>
          <w:rFonts w:ascii="Arial" w:cs="Arial" w:eastAsia="Arial" w:hAnsi="Arial"/>
          <w:sz w:val="18"/>
          <w:szCs w:val="18"/>
          <w:color w:val="282A32"/>
        </w:rPr>
        <w:t xml:space="preserve"> issued by the Committee of Sponsoring Organizations of the Treadway Commission and our report dated February 21, 2020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82A32"/>
        </w:rPr>
        <w:t>Change in Accounting Principle</w:t>
      </w:r>
    </w:p>
    <w:p>
      <w:pPr>
        <w:spacing w:after="0" w:line="16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282A32"/>
        </w:rPr>
        <w:t>As discussed in Note 1 to the financial statements, the Company has changed its method of accounting for leases, effective January 1, 2019, due to the adoption of Accounting Standards Update ASU No. 2016-02, Leases (Topic 842), using the modified retrospective transition approach.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82A32"/>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282A32"/>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82A3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282A32"/>
        </w:rPr>
        <w:t>Critical Audit Matter</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82A32"/>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1" w:lineRule="exact"/>
        <w:rPr>
          <w:sz w:val="20"/>
          <w:szCs w:val="20"/>
          <w:color w:val="auto"/>
        </w:rPr>
      </w:pPr>
    </w:p>
    <w:p>
      <w:pPr>
        <w:ind w:right="1120"/>
        <w:spacing w:after="0" w:line="414" w:lineRule="auto"/>
        <w:rPr>
          <w:sz w:val="20"/>
          <w:szCs w:val="20"/>
          <w:color w:val="auto"/>
        </w:rPr>
      </w:pPr>
      <w:r>
        <w:rPr>
          <w:rFonts w:ascii="Arial" w:cs="Arial" w:eastAsia="Arial" w:hAnsi="Arial"/>
          <w:sz w:val="18"/>
          <w:szCs w:val="18"/>
          <w:b w:val="1"/>
          <w:bCs w:val="1"/>
          <w:i w:val="1"/>
          <w:iCs w:val="1"/>
          <w:color w:val="282A32"/>
        </w:rPr>
        <w:t xml:space="preserve">Goodwill - Germany, United Kingdom, United States, and Netherlands Reporting Units – Refer to Notes 1 and 7 to the financial statements </w:t>
      </w:r>
      <w:r>
        <w:rPr>
          <w:rFonts w:ascii="Arial" w:cs="Arial" w:eastAsia="Arial" w:hAnsi="Arial"/>
          <w:sz w:val="18"/>
          <w:szCs w:val="18"/>
          <w:i w:val="1"/>
          <w:iCs w:val="1"/>
          <w:color w:val="282A32"/>
        </w:rPr>
        <w:t>Critical Audit Matter Description</w:t>
      </w:r>
    </w:p>
    <w:p>
      <w:pPr>
        <w:spacing w:after="0" w:line="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82A32"/>
        </w:rPr>
        <w:t>The Company’s evaluation of goodwill for impairment involves the comparison of the estimated fair value of each reporting unit to its carrying value. The annual impairment test of goodwill at a reporting unit level is performed annually during the third quarter, or more frequently if events or circumstances indicate the fair value of a reporting unit may be below its respective carrying value. The Company used the discounted cash flow model to estimate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9" w:name="page50"/>
    <w:bookmarkEnd w:id="49"/>
    <w:p>
      <w:pPr>
        <w:jc w:val="both"/>
        <w:ind w:right="60"/>
        <w:spacing w:after="0" w:line="264" w:lineRule="auto"/>
        <w:rPr>
          <w:sz w:val="20"/>
          <w:szCs w:val="20"/>
          <w:color w:val="auto"/>
        </w:rPr>
      </w:pPr>
      <w:r>
        <w:rPr>
          <w:rFonts w:ascii="Arial" w:cs="Arial" w:eastAsia="Arial" w:hAnsi="Arial"/>
          <w:sz w:val="18"/>
          <w:szCs w:val="18"/>
          <w:color w:val="282A32"/>
        </w:rPr>
        <w:t>fair value, which requires management to make significant estimates and assumptions related to discount rates and forecasts of future revenues and operating unit profit margins. Changes in these assumptions could have a significant impact on either the fair value, the amount of any goodwill impairment charge, or both.</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282A32"/>
        </w:rPr>
        <w:t>During the second quarter of 2019 the company identified circumstances that caused it to evaluate the goodwill associated with the Germany reporting unit for potential impairment. The Company updated their cash flow estimates as of June 30, 2019 to reflect current market conditions and as a result of the test recorded a $60.2 million impairment of goodwill based on the excess of the Germany reporting unit’s carrying amount over its estimated fair value. As of December 31, 2019, the remaining goodwill balance for the Germany reporting unit was $67.2 million.</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282A32"/>
        </w:rPr>
        <w:t>Subsequent to the impairment charge recorded during the second quarter of 2019, the Company performed its annual impairment test of goodwill during the third quarter. Because the estimated fair values of each of the Company’s reporting units exceeded their carrying values, no additional impairments were recorded.</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282A32"/>
        </w:rPr>
        <w:t>Given that forecasted revenues and operating unit profit margins for the Germany, Netherlands, United Kingdom, and United States reporting units are highly sensitive to changes in demand, sales and customer mix, and efficiency of operations, and considering the low excess fair value of these reporting units, auditing these assumptions and the selection of the discount rates involved especially subjective judgment. As a result, we identified the Company’s evaluations of goodwill impairment for the Germany, Netherlands, United Kingdom, and United States reporting units as a critical audit matter due to the high degree of auditor judgment and the increased extent of effort that was required when performing audit procedures to evaluate the reasonableness of management’s estimates and assumptions related to the forecasts of revenue and operating unit profit margins, as well as the selection of discount rates, including the need to involve our fair value specialists.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How the Critical Audit Matter Was Addressed in the Audit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282A32"/>
        </w:rPr>
        <w:t>Our audit procedures related to forecasts of future revenues and operating unit profit margins (“forecasts”), and the selection of discount rates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82A32"/>
        </w:rPr>
        <w:t>Germany, Netherlands, United Kingdom, and United States reporting units included the following, among others:</w:t>
      </w:r>
    </w:p>
    <w:p>
      <w:pPr>
        <w:spacing w:after="0" w:line="143" w:lineRule="exact"/>
        <w:rPr>
          <w:sz w:val="20"/>
          <w:szCs w:val="20"/>
          <w:color w:val="auto"/>
        </w:rPr>
      </w:pPr>
    </w:p>
    <w:p>
      <w:pPr>
        <w:ind w:left="760" w:right="100" w:hanging="374"/>
        <w:spacing w:after="0" w:line="258" w:lineRule="auto"/>
        <w:tabs>
          <w:tab w:leader="none" w:pos="760" w:val="left"/>
        </w:tabs>
        <w:numPr>
          <w:ilvl w:val="0"/>
          <w:numId w:val="22"/>
        </w:numPr>
        <w:rPr>
          <w:rFonts w:ascii="Arial" w:cs="Arial" w:eastAsia="Arial" w:hAnsi="Arial"/>
          <w:sz w:val="18"/>
          <w:szCs w:val="18"/>
          <w:color w:val="282A32"/>
        </w:rPr>
      </w:pPr>
      <w:r>
        <w:rPr>
          <w:rFonts w:ascii="Arial" w:cs="Arial" w:eastAsia="Arial" w:hAnsi="Arial"/>
          <w:sz w:val="18"/>
          <w:szCs w:val="18"/>
          <w:color w:val="282A32"/>
        </w:rPr>
        <w:t>We tested the effectiveness of controls over goodwill, including controls over the forecasts related to revenue and operating unit profit margin and selection of discount rates.</w:t>
      </w:r>
    </w:p>
    <w:p>
      <w:pPr>
        <w:spacing w:after="0" w:line="1" w:lineRule="exact"/>
        <w:rPr>
          <w:rFonts w:ascii="Arial" w:cs="Arial" w:eastAsia="Arial" w:hAnsi="Arial"/>
          <w:sz w:val="18"/>
          <w:szCs w:val="18"/>
          <w:color w:val="282A32"/>
        </w:rPr>
      </w:pPr>
    </w:p>
    <w:p>
      <w:pPr>
        <w:ind w:left="760" w:right="580" w:hanging="374"/>
        <w:spacing w:after="0" w:line="250" w:lineRule="auto"/>
        <w:tabs>
          <w:tab w:leader="none" w:pos="760" w:val="left"/>
        </w:tabs>
        <w:numPr>
          <w:ilvl w:val="0"/>
          <w:numId w:val="22"/>
        </w:numPr>
        <w:rPr>
          <w:rFonts w:ascii="Arial" w:cs="Arial" w:eastAsia="Arial" w:hAnsi="Arial"/>
          <w:sz w:val="18"/>
          <w:szCs w:val="18"/>
          <w:color w:val="282A32"/>
        </w:rPr>
      </w:pPr>
      <w:r>
        <w:rPr>
          <w:rFonts w:ascii="Arial" w:cs="Arial" w:eastAsia="Arial" w:hAnsi="Arial"/>
          <w:sz w:val="18"/>
          <w:szCs w:val="18"/>
          <w:color w:val="282A32"/>
        </w:rPr>
        <w:t>We evaluated management’s ability to accurately forecast revenue and operating unit margins by performing a retrospective review of prior forecasts compared to actual results.</w:t>
      </w:r>
    </w:p>
    <w:p>
      <w:pPr>
        <w:ind w:left="760" w:hanging="374"/>
        <w:spacing w:after="0" w:line="250" w:lineRule="auto"/>
        <w:tabs>
          <w:tab w:leader="none" w:pos="760" w:val="left"/>
        </w:tabs>
        <w:numPr>
          <w:ilvl w:val="0"/>
          <w:numId w:val="22"/>
        </w:numPr>
        <w:rPr>
          <w:rFonts w:ascii="Arial" w:cs="Arial" w:eastAsia="Arial" w:hAnsi="Arial"/>
          <w:sz w:val="18"/>
          <w:szCs w:val="18"/>
          <w:color w:val="282A32"/>
        </w:rPr>
      </w:pPr>
      <w:r>
        <w:rPr>
          <w:rFonts w:ascii="Arial" w:cs="Arial" w:eastAsia="Arial" w:hAnsi="Arial"/>
          <w:sz w:val="18"/>
          <w:szCs w:val="18"/>
          <w:color w:val="282A32"/>
        </w:rPr>
        <w:t>We evaluated the reasonableness of management’s current revenue and operating unit margin forecasts by comparing the forecasts to (1) historical results (2) internal communications to management and the Board of Directors, and (3) forecasted information included in Company press releases, analyst and industry reports of the Company and companies in its peer group.</w:t>
      </w:r>
    </w:p>
    <w:p>
      <w:pPr>
        <w:spacing w:after="0" w:line="1" w:lineRule="exact"/>
        <w:rPr>
          <w:rFonts w:ascii="Arial" w:cs="Arial" w:eastAsia="Arial" w:hAnsi="Arial"/>
          <w:sz w:val="18"/>
          <w:szCs w:val="18"/>
          <w:color w:val="282A32"/>
        </w:rPr>
      </w:pPr>
    </w:p>
    <w:p>
      <w:pPr>
        <w:ind w:left="760" w:hanging="374"/>
        <w:spacing w:after="0"/>
        <w:tabs>
          <w:tab w:leader="none" w:pos="760" w:val="left"/>
        </w:tabs>
        <w:numPr>
          <w:ilvl w:val="0"/>
          <w:numId w:val="22"/>
        </w:numPr>
        <w:rPr>
          <w:rFonts w:ascii="Arial" w:cs="Arial" w:eastAsia="Arial" w:hAnsi="Arial"/>
          <w:sz w:val="18"/>
          <w:szCs w:val="18"/>
          <w:color w:val="282A32"/>
        </w:rPr>
      </w:pPr>
      <w:r>
        <w:rPr>
          <w:rFonts w:ascii="Arial" w:cs="Arial" w:eastAsia="Arial" w:hAnsi="Arial"/>
          <w:sz w:val="18"/>
          <w:szCs w:val="18"/>
          <w:color w:val="282A32"/>
        </w:rPr>
        <w:t>With the assistance of our fair value specialists, we evaluated the reasonableness of management’s fair value estimate by:</w:t>
      </w:r>
    </w:p>
    <w:p>
      <w:pPr>
        <w:spacing w:after="0" w:line="8" w:lineRule="exact"/>
        <w:rPr>
          <w:sz w:val="20"/>
          <w:szCs w:val="20"/>
          <w:color w:val="auto"/>
        </w:rPr>
      </w:pPr>
    </w:p>
    <w:p>
      <w:pPr>
        <w:ind w:left="1520" w:right="240" w:hanging="378"/>
        <w:spacing w:after="0" w:line="242" w:lineRule="auto"/>
        <w:tabs>
          <w:tab w:leader="none" w:pos="1520" w:val="left"/>
        </w:tabs>
        <w:numPr>
          <w:ilvl w:val="0"/>
          <w:numId w:val="23"/>
        </w:numPr>
        <w:rPr>
          <w:rFonts w:ascii="Courier New" w:cs="Courier New" w:eastAsia="Courier New" w:hAnsi="Courier New"/>
          <w:sz w:val="18"/>
          <w:szCs w:val="18"/>
          <w:color w:val="282A32"/>
        </w:rPr>
      </w:pPr>
      <w:r>
        <w:rPr>
          <w:rFonts w:ascii="Arial" w:cs="Arial" w:eastAsia="Arial" w:hAnsi="Arial"/>
          <w:sz w:val="18"/>
          <w:szCs w:val="18"/>
          <w:color w:val="282A32"/>
        </w:rPr>
        <w:t>Developing an independent range of fair values based on market multiples of similar companies and comparing this to the company’s estimated fair values.</w:t>
      </w:r>
    </w:p>
    <w:p>
      <w:pPr>
        <w:ind w:left="1520" w:hanging="378"/>
        <w:spacing w:after="0"/>
        <w:tabs>
          <w:tab w:leader="none" w:pos="1520" w:val="left"/>
        </w:tabs>
        <w:numPr>
          <w:ilvl w:val="0"/>
          <w:numId w:val="23"/>
        </w:numPr>
        <w:rPr>
          <w:rFonts w:ascii="Courier New" w:cs="Courier New" w:eastAsia="Courier New" w:hAnsi="Courier New"/>
          <w:sz w:val="17"/>
          <w:szCs w:val="17"/>
          <w:color w:val="282A32"/>
        </w:rPr>
      </w:pPr>
      <w:r>
        <w:rPr>
          <w:rFonts w:ascii="Arial" w:cs="Arial" w:eastAsia="Arial" w:hAnsi="Arial"/>
          <w:sz w:val="17"/>
          <w:szCs w:val="17"/>
          <w:color w:val="282A32"/>
        </w:rPr>
        <w:t>Testing the source information underlying the determination of the discount rate and the mathematical accuracy of the calculation.</w:t>
      </w:r>
    </w:p>
    <w:p>
      <w:pPr>
        <w:spacing w:after="0" w:line="5" w:lineRule="exact"/>
        <w:rPr>
          <w:rFonts w:ascii="Courier New" w:cs="Courier New" w:eastAsia="Courier New" w:hAnsi="Courier New"/>
          <w:sz w:val="17"/>
          <w:szCs w:val="17"/>
          <w:color w:val="282A32"/>
        </w:rPr>
      </w:pPr>
    </w:p>
    <w:p>
      <w:pPr>
        <w:ind w:left="1520" w:hanging="378"/>
        <w:spacing w:after="0"/>
        <w:tabs>
          <w:tab w:leader="none" w:pos="1520" w:val="left"/>
        </w:tabs>
        <w:numPr>
          <w:ilvl w:val="0"/>
          <w:numId w:val="23"/>
        </w:numPr>
        <w:rPr>
          <w:rFonts w:ascii="Courier New" w:cs="Courier New" w:eastAsia="Courier New" w:hAnsi="Courier New"/>
          <w:sz w:val="16"/>
          <w:szCs w:val="16"/>
          <w:color w:val="282A32"/>
        </w:rPr>
      </w:pPr>
      <w:r>
        <w:rPr>
          <w:rFonts w:ascii="Arial" w:cs="Arial" w:eastAsia="Arial" w:hAnsi="Arial"/>
          <w:sz w:val="16"/>
          <w:szCs w:val="16"/>
          <w:color w:val="282A32"/>
        </w:rPr>
        <w:t>Developing a range of independent estimates of discount rates and comparing those to the discount rates selected by management.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282A32"/>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82A32"/>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82A32"/>
        </w:rPr>
        <w:t>February 21,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82A32"/>
        </w:rPr>
        <w:t>We have served as the Company's auditor since 2005.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282A32"/>
        </w:rPr>
        <w:t>CONSOLIDATED STATEMENTS OF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0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04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20,863.5</w:t>
            </w:r>
          </w:p>
        </w:tc>
        <w:tc>
          <w:tcPr>
            <w:tcW w:w="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21,991.2</w:t>
            </w:r>
          </w:p>
        </w:tc>
        <w:tc>
          <w:tcPr>
            <w:tcW w:w="5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21,034.3</w:t>
            </w:r>
          </w:p>
        </w:tc>
      </w:tr>
      <w:tr>
        <w:trPr>
          <w:trHeight w:val="230"/>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17,488.4</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18,412.2</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17,549.7</w:t>
            </w: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3,375.1</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3,579.0</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3,484.6</w:t>
            </w: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Selling and administrative expenses, excluding goodwill impairment charge</w:t>
            </w:r>
          </w:p>
        </w:tc>
        <w:tc>
          <w:tcPr>
            <w:tcW w:w="104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2,666.2</w:t>
            </w:r>
          </w:p>
        </w:tc>
        <w:tc>
          <w:tcPr>
            <w:tcW w:w="5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2,782.3</w:t>
            </w: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2,695.4</w:t>
            </w:r>
          </w:p>
        </w:tc>
      </w:tr>
      <w:tr>
        <w:trPr>
          <w:trHeight w:val="230"/>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impairment charge</w:t>
            </w:r>
          </w:p>
        </w:tc>
        <w:tc>
          <w:tcPr>
            <w:tcW w:w="10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64.0</w:t>
            </w: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and administrative expenses</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2,730.2</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2,782.3</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2,695.4</w:t>
            </w: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10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644.9</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796.7</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789.2</w:t>
            </w:r>
          </w:p>
        </w:tc>
      </w:tr>
      <w:tr>
        <w:trPr>
          <w:trHeight w:val="230"/>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(income) expenses, net</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42.0</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before income taxes</w:t>
            </w:r>
          </w:p>
        </w:tc>
        <w:tc>
          <w:tcPr>
            <w:tcW w:w="10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685.5</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754.7</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737.3</w:t>
            </w:r>
          </w:p>
        </w:tc>
      </w:tr>
      <w:tr>
        <w:trPr>
          <w:trHeight w:val="230"/>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219.8</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198.0</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191.9</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earnings</w:t>
            </w:r>
          </w:p>
        </w:tc>
        <w:tc>
          <w:tcPr>
            <w:tcW w:w="104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465.7</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556.7</w:t>
            </w:r>
          </w:p>
        </w:tc>
        <w:tc>
          <w:tcPr>
            <w:tcW w:w="5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545.4</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basic</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7.78</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8.62</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8.13</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104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7.72</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8.56</w:t>
            </w:r>
          </w:p>
        </w:tc>
        <w:tc>
          <w:tcPr>
            <w:tcW w:w="5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8.04</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basic</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59.9</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10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60.3</w:t>
            </w: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65.1</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67.9</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82A32"/>
        </w:rPr>
        <w:t>CONSOLIDATED STATEMENTS OF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30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8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465.7</w:t>
            </w:r>
          </w:p>
        </w:tc>
        <w:tc>
          <w:tcPr>
            <w:tcW w:w="2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556.7</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545.4</w:t>
            </w: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201.4</w:t>
            </w:r>
          </w:p>
        </w:tc>
      </w:tr>
      <w:tr>
        <w:trPr>
          <w:trHeight w:val="230"/>
        </w:trPr>
        <w:tc>
          <w:tcPr>
            <w:tcW w:w="20" w:type="dxa"/>
            <w:vAlign w:val="bottom"/>
          </w:tcPr>
          <w:p>
            <w:pPr>
              <w:spacing w:after="0"/>
              <w:rPr>
                <w:sz w:val="19"/>
                <w:szCs w:val="19"/>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1"/>
              </w:rPr>
              <w:t>Translation adjustments on derivative instruments, net of income taxes of $3.8, $10.2 and $(34.3), respectively</w:t>
            </w: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15"/>
        </w:trPr>
        <w:tc>
          <w:tcPr>
            <w:tcW w:w="20" w:type="dxa"/>
            <w:vAlign w:val="bottom"/>
          </w:tcPr>
          <w:p>
            <w:pPr>
              <w:spacing w:after="0"/>
              <w:rPr>
                <w:sz w:val="18"/>
                <w:szCs w:val="18"/>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Reclassification of currency translation adjustment to income related to disposition of Manpower Switzerland</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partially held equity interest (see Note 4)</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w w:val="91"/>
              </w:rPr>
              <w:t>Reclassification of currency translation adjustment to income related to disposition of ManpowerGroup Greater</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China Limited partially held equity interest (see Note 4)</w:t>
            </w:r>
          </w:p>
        </w:tc>
        <w:tc>
          <w:tcPr>
            <w:tcW w:w="30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Translation adjustments on long-term intercompany loans</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tcPr>
          <w:p>
            <w:pPr>
              <w:spacing w:after="0"/>
              <w:rPr>
                <w:sz w:val="19"/>
                <w:szCs w:val="19"/>
                <w:color w:val="auto"/>
              </w:rPr>
            </w:pPr>
          </w:p>
        </w:tc>
        <w:tc>
          <w:tcPr>
            <w:tcW w:w="8340" w:type="dxa"/>
            <w:vAlign w:val="bottom"/>
          </w:tcPr>
          <w:p>
            <w:pPr>
              <w:ind w:left="240"/>
              <w:spacing w:after="0"/>
              <w:rPr>
                <w:sz w:val="20"/>
                <w:szCs w:val="20"/>
                <w:color w:val="auto"/>
              </w:rPr>
            </w:pPr>
            <w:r>
              <w:rPr>
                <w:rFonts w:ascii="Arial" w:cs="Arial" w:eastAsia="Arial" w:hAnsi="Arial"/>
                <w:sz w:val="18"/>
                <w:szCs w:val="18"/>
                <w:color w:val="auto"/>
              </w:rPr>
              <w:t>Unrealized loss on investments, net of income taxes of $(0.8) for 2017</w:t>
            </w: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20" w:type="dxa"/>
            <w:vAlign w:val="bottom"/>
          </w:tcPr>
          <w:p>
            <w:pPr>
              <w:spacing w:after="0"/>
              <w:rPr>
                <w:sz w:val="18"/>
                <w:szCs w:val="18"/>
                <w:color w:val="auto"/>
              </w:rPr>
            </w:pPr>
          </w:p>
        </w:tc>
        <w:tc>
          <w:tcPr>
            <w:tcW w:w="8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Defined benefit pension plans and retiree health care plan, net of income taxes of $(8.1), $4.6 and $(0.1),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137.9</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424.5</w:t>
            </w:r>
          </w:p>
        </w:tc>
        <w:tc>
          <w:tcPr>
            <w:tcW w:w="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460.4</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683.3</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1" w:name="page52"/>
    <w:bookmarkEnd w:id="51"/>
    <w:p>
      <w:pPr>
        <w:ind w:left="4160"/>
        <w:spacing w:after="0"/>
        <w:rPr>
          <w:sz w:val="20"/>
          <w:szCs w:val="20"/>
          <w:color w:val="auto"/>
        </w:rPr>
      </w:pPr>
      <w:r>
        <w:rPr>
          <w:rFonts w:ascii="Arial" w:cs="Arial" w:eastAsia="Arial" w:hAnsi="Arial"/>
          <w:sz w:val="18"/>
          <w:szCs w:val="18"/>
          <w:b w:val="1"/>
          <w:bCs w:val="1"/>
          <w:color w:val="282A32"/>
        </w:rPr>
        <w:t>CONSOLIDATED BALANCE SHEETS</w:t>
      </w:r>
    </w:p>
    <w:p>
      <w:pPr>
        <w:spacing w:after="0" w:line="1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i w:val="1"/>
          <w:iCs w:val="1"/>
          <w:color w:val="282A32"/>
        </w:rPr>
        <w:t>in millions, except share and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7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1,025.8</w:t>
            </w:r>
          </w:p>
        </w:tc>
        <w:tc>
          <w:tcPr>
            <w:tcW w:w="6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591.9</w:t>
            </w: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Accounts receivable, less allowance for doubtful accounts of $113.5 and $115.7, respectively</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5,273.1</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5,276.1</w:t>
            </w:r>
          </w:p>
        </w:tc>
      </w:tr>
      <w:tr>
        <w:trPr>
          <w:trHeight w:val="230"/>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185.6</w:t>
            </w: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129.1</w:t>
            </w:r>
          </w:p>
        </w:tc>
      </w:tr>
      <w:tr>
        <w:trPr>
          <w:trHeight w:val="223"/>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6,484.5</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5,997.1</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1,260.1</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1,297.1</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 assets, less accumulated amortization of $389.4 and $367.7, respectively</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268.6</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246.3</w:t>
            </w: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Operating lease right-of-use asset</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448.5</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618.8</w:t>
            </w: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826.7</w:t>
            </w:r>
          </w:p>
        </w:tc>
      </w:tr>
      <w:tr>
        <w:trPr>
          <w:trHeight w:val="223"/>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Total other assets</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2,596.0</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2,370.1</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Land, buildings, leasehold improvements and equipment</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605.5</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613.6</w:t>
            </w:r>
          </w:p>
        </w:tc>
      </w:tr>
      <w:tr>
        <w:trPr>
          <w:trHeight w:val="230"/>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462.2</w:t>
            </w: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461.0</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property and equipment</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143.3</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152.6</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9,223.8</w:t>
            </w:r>
          </w:p>
        </w:tc>
        <w:tc>
          <w:tcPr>
            <w:tcW w:w="6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8,519.8</w:t>
            </w: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2,474.9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2,266.7</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Employee compensation payable</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206.4</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209.7</w:t>
            </w: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545.4</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411.0</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payroll taxes and insurance</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649.7</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729.8</w:t>
            </w: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Value added taxes payable</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504.0</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508.6</w:t>
            </w:r>
          </w:p>
        </w:tc>
      </w:tr>
      <w:tr>
        <w:trPr>
          <w:trHeight w:val="230"/>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Short-term borrowings and current maturities of long-term debt</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61.0</w:t>
            </w: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50.1</w:t>
            </w:r>
          </w:p>
        </w:tc>
      </w:tr>
      <w:tr>
        <w:trPr>
          <w:trHeight w:val="223"/>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4,441.4</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4,175.9</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1,012.4</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1,025.3</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Long-term operating lease liability</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336.7</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long-term liabilities</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671.8</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620.1</w:t>
            </w:r>
          </w:p>
        </w:tc>
      </w:tr>
      <w:tr>
        <w:trPr>
          <w:trHeight w:val="223"/>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other liabilities</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2,020.9</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1,645.4</w:t>
            </w: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w w:val="91"/>
              </w:rPr>
              <w:t>Common stock, $.01 par value, authorized 125,000,000 shares, issued 117,190,883 and 116,795,899</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shares, respectively</w:t>
            </w:r>
          </w:p>
        </w:tc>
        <w:tc>
          <w:tcPr>
            <w:tcW w:w="7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in excess of par value</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3,370.6</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3,337.5</w:t>
            </w: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7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3,494.1</w:t>
            </w:r>
          </w:p>
        </w:tc>
        <w:tc>
          <w:tcPr>
            <w:tcW w:w="6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3,157.7</w:t>
            </w: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(441.0)</w:t>
            </w:r>
          </w:p>
        </w:tc>
        <w:tc>
          <w:tcPr>
            <w:tcW w:w="6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r>
      <w:tr>
        <w:trPr>
          <w:trHeight w:val="230"/>
        </w:trPr>
        <w:tc>
          <w:tcPr>
            <w:tcW w:w="20" w:type="dxa"/>
            <w:vAlign w:val="bottom"/>
          </w:tcPr>
          <w:p>
            <w:pPr>
              <w:spacing w:after="0"/>
              <w:rPr>
                <w:sz w:val="19"/>
                <w:szCs w:val="19"/>
                <w:color w:val="auto"/>
              </w:rPr>
            </w:pPr>
          </w:p>
        </w:tc>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Treasury stock at cost, 58,517,128 and 56,044,485 shares, respectively</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(3,681.9)</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(3,471.7)</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Total ManpowerGroup shareholders' equity</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2,743.0</w:t>
            </w: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2,624.9</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Noncontrolling interests</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18.5</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73.6</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Total shareholders’ equity</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2,761.5</w:t>
            </w: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2,698.5</w:t>
            </w:r>
          </w:p>
        </w:tc>
      </w:tr>
      <w:tr>
        <w:trPr>
          <w:trHeight w:val="223"/>
        </w:trPr>
        <w:tc>
          <w:tcPr>
            <w:tcW w:w="20" w:type="dxa"/>
            <w:vAlign w:val="bottom"/>
          </w:tcPr>
          <w:p>
            <w:pPr>
              <w:spacing w:after="0"/>
              <w:rPr>
                <w:sz w:val="19"/>
                <w:szCs w:val="19"/>
                <w:color w:val="auto"/>
              </w:rPr>
            </w:pPr>
          </w:p>
        </w:tc>
        <w:tc>
          <w:tcPr>
            <w:tcW w:w="75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9,223.8</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8,519.8</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282A32"/>
        </w:rPr>
        <w:t xml:space="preserve">CONSOLIDATED </w:t>
      </w:r>
      <w:r>
        <w:rPr>
          <w:rFonts w:ascii="Arial" w:cs="Arial" w:eastAsia="Arial" w:hAnsi="Arial"/>
          <w:sz w:val="18"/>
          <w:szCs w:val="18"/>
          <w:b w:val="1"/>
          <w:bCs w:val="1"/>
          <w:color w:val="000000"/>
        </w:rPr>
        <w:t>STATEMENTS</w:t>
      </w:r>
      <w:r>
        <w:rPr>
          <w:rFonts w:ascii="Arial" w:cs="Arial" w:eastAsia="Arial" w:hAnsi="Arial"/>
          <w:sz w:val="18"/>
          <w:szCs w:val="18"/>
          <w:b w:val="1"/>
          <w:bCs w:val="1"/>
          <w:color w:val="282A32"/>
        </w:rPr>
        <w:t xml:space="preserve">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 xml:space="preserve">in </w:t>
      </w:r>
      <w:r>
        <w:rPr>
          <w:rFonts w:ascii="Arial" w:cs="Arial" w:eastAsia="Arial" w:hAnsi="Arial"/>
          <w:sz w:val="18"/>
          <w:szCs w:val="18"/>
          <w:b w:val="1"/>
          <w:bCs w:val="1"/>
          <w:i w:val="1"/>
          <w:iCs w:val="1"/>
          <w:color w:val="000000"/>
        </w:rPr>
        <w:t>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8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earnings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465.7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556.7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Adjustments to reconcile net earnings to net cash provided by operating activities: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77.2</w:t>
            </w:r>
          </w:p>
        </w:tc>
        <w:tc>
          <w:tcPr>
            <w:tcW w:w="5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85.8</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84.4</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Non-cash gain on disposition of previously held equity interest</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(80.4)</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Non-cash gain on disposition of previously held controlling interest</w:t>
            </w:r>
          </w:p>
        </w:tc>
        <w:tc>
          <w:tcPr>
            <w:tcW w:w="8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5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Non-cash goodwill impairment charge</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64.0</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Provision for doubtful accounts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23.0</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r>
      <w:tr>
        <w:trPr>
          <w:trHeight w:val="230"/>
        </w:trPr>
        <w:tc>
          <w:tcPr>
            <w:tcW w:w="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26.3</w:t>
            </w:r>
          </w:p>
        </w:tc>
        <w:tc>
          <w:tcPr>
            <w:tcW w:w="5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27.8</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28.7</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Change in operating assets and liabilities, excluding the impact of acquisitions: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(544.9)</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122.3</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58.7</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271.1</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(110.6)</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534.6</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Cash provided by operating activities</w:t>
            </w:r>
          </w:p>
        </w:tc>
        <w:tc>
          <w:tcPr>
            <w:tcW w:w="8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814.4</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483.1</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400.9</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(52.9)</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(64.7)</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Acquisitions of businesses, net of cash acquired</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77.8</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Impact to cash resulting from deconsolidation of subsidiaries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Cash used in investing activities</w:t>
            </w:r>
          </w:p>
        </w:tc>
        <w:tc>
          <w:tcPr>
            <w:tcW w:w="8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(16.2)</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(54.9)</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short-term borrowings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583.3</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Repayments of long-term debt</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(408.6)</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Payments for debt issuance costs</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Payments of contingent consideration for acquisitions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(22.8)</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(18.6)</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Proceeds from share-based awards</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Payments to noncontrolling interests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share-based award transactions</w:t>
            </w:r>
          </w:p>
        </w:tc>
        <w:tc>
          <w:tcPr>
            <w:tcW w:w="8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Repurchases of common stock</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(203.0)</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(500.7)</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Dividends paid</w:t>
            </w:r>
          </w:p>
        </w:tc>
        <w:tc>
          <w:tcPr>
            <w:tcW w:w="8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(129.3)</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Miscellaneous, net</w:t>
            </w:r>
          </w:p>
        </w:tc>
        <w:tc>
          <w:tcPr>
            <w:tcW w:w="8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0.5</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Cash used in financing activities</w:t>
            </w:r>
          </w:p>
        </w:tc>
        <w:tc>
          <w:tcPr>
            <w:tcW w:w="8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(337.4)</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(484.9)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8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(26.9)</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(40.4)</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83.4</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8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433.9</w:t>
            </w:r>
          </w:p>
        </w:tc>
        <w:tc>
          <w:tcPr>
            <w:tcW w:w="5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90.5</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8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591.9</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689.0</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598.5</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1,025.8</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591.9</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689.0</w:t>
            </w:r>
          </w:p>
        </w:tc>
      </w:tr>
      <w:tr>
        <w:trPr>
          <w:trHeight w:val="223"/>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8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42.4</w:t>
            </w:r>
          </w:p>
        </w:tc>
        <w:tc>
          <w:tcPr>
            <w:tcW w:w="5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49.9</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Income taxes, net</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179.2</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184.6</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Operating lease liabilities</w:t>
            </w:r>
          </w:p>
        </w:tc>
        <w:tc>
          <w:tcPr>
            <w:tcW w:w="8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150.1</w:t>
            </w:r>
          </w:p>
        </w:tc>
        <w:tc>
          <w:tcPr>
            <w:tcW w:w="5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Non-cash operating activity:</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129.3</w:t>
            </w:r>
          </w:p>
        </w:tc>
        <w:tc>
          <w:tcPr>
            <w:tcW w:w="5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282A32"/>
        </w:rPr>
        <w:t>CONSOLIDATED STATEMENTS OF SHAREHOLDERS’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 except share and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w w:val="96"/>
              </w:rPr>
              <w:t>ManpowerGroup Shareholders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7"/>
        </w:trPr>
        <w:tc>
          <w:tcPr>
            <w:tcW w:w="3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7"/>
        </w:trPr>
        <w:tc>
          <w:tcPr>
            <w:tcW w:w="316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w w:val="99"/>
              </w:rPr>
              <w:t>Capital in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220"/>
              <w:spacing w:after="0"/>
              <w:rPr>
                <w:sz w:val="20"/>
                <w:szCs w:val="20"/>
                <w:color w:val="auto"/>
              </w:rPr>
            </w:pPr>
            <w:r>
              <w:rPr>
                <w:rFonts w:ascii="Arial" w:cs="Arial" w:eastAsia="Arial" w:hAnsi="Arial"/>
                <w:sz w:val="14"/>
                <w:szCs w:val="14"/>
                <w:color w:val="auto"/>
                <w:w w:val="96"/>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7"/>
        </w:trPr>
        <w:tc>
          <w:tcPr>
            <w:tcW w:w="3160" w:type="dxa"/>
            <w:vAlign w:val="bottom"/>
          </w:tcPr>
          <w:p>
            <w:pPr>
              <w:spacing w:after="0"/>
              <w:rPr>
                <w:sz w:val="11"/>
                <w:szCs w:val="11"/>
                <w:color w:val="auto"/>
              </w:rPr>
            </w:pPr>
          </w:p>
        </w:tc>
        <w:tc>
          <w:tcPr>
            <w:tcW w:w="1020" w:type="dxa"/>
            <w:vAlign w:val="bottom"/>
          </w:tcPr>
          <w:p>
            <w:pPr>
              <w:jc w:val="right"/>
              <w:ind w:right="282"/>
              <w:spacing w:after="0" w:line="137" w:lineRule="exact"/>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1"/>
              <w:spacing w:after="0" w:line="137" w:lineRule="exact"/>
              <w:rPr>
                <w:sz w:val="20"/>
                <w:szCs w:val="20"/>
                <w:color w:val="auto"/>
              </w:rPr>
            </w:pPr>
            <w:r>
              <w:rPr>
                <w:rFonts w:ascii="Arial" w:cs="Arial" w:eastAsia="Arial" w:hAnsi="Arial"/>
                <w:sz w:val="14"/>
                <w:szCs w:val="14"/>
                <w:color w:val="auto"/>
                <w:w w:val="95"/>
              </w:rPr>
              <w:t>Excess of</w:t>
            </w:r>
          </w:p>
        </w:tc>
        <w:tc>
          <w:tcPr>
            <w:tcW w:w="160" w:type="dxa"/>
            <w:vAlign w:val="bottom"/>
          </w:tcPr>
          <w:p>
            <w:pPr>
              <w:spacing w:after="0"/>
              <w:rPr>
                <w:sz w:val="11"/>
                <w:szCs w:val="11"/>
                <w:color w:val="auto"/>
              </w:rPr>
            </w:pPr>
          </w:p>
        </w:tc>
        <w:tc>
          <w:tcPr>
            <w:tcW w:w="840" w:type="dxa"/>
            <w:vAlign w:val="bottom"/>
          </w:tcPr>
          <w:p>
            <w:pPr>
              <w:jc w:val="right"/>
              <w:ind w:right="200"/>
              <w:spacing w:after="0" w:line="137" w:lineRule="exact"/>
              <w:rPr>
                <w:sz w:val="20"/>
                <w:szCs w:val="20"/>
                <w:color w:val="auto"/>
              </w:rPr>
            </w:pPr>
            <w:r>
              <w:rPr>
                <w:rFonts w:ascii="Arial" w:cs="Arial" w:eastAsia="Arial" w:hAnsi="Arial"/>
                <w:sz w:val="14"/>
                <w:szCs w:val="14"/>
                <w:color w:val="auto"/>
                <w:w w:val="96"/>
              </w:rPr>
              <w:t>Retained</w:t>
            </w:r>
          </w:p>
        </w:tc>
        <w:tc>
          <w:tcPr>
            <w:tcW w:w="108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1"/>
                <w:szCs w:val="11"/>
                <w:color w:val="auto"/>
              </w:rPr>
            </w:pPr>
          </w:p>
        </w:tc>
        <w:tc>
          <w:tcPr>
            <w:tcW w:w="90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rPr>
              <w:t>controlling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7"/>
        </w:trPr>
        <w:tc>
          <w:tcPr>
            <w:tcW w:w="3160" w:type="dxa"/>
            <w:vAlign w:val="bottom"/>
          </w:tcPr>
          <w:p>
            <w:pPr>
              <w:spacing w:after="0"/>
              <w:rPr>
                <w:sz w:val="14"/>
                <w:szCs w:val="14"/>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color w:val="auto"/>
              </w:rPr>
              <w:t>Issued</w:t>
            </w:r>
          </w:p>
        </w:tc>
        <w:tc>
          <w:tcPr>
            <w:tcW w:w="200" w:type="dxa"/>
            <w:vAlign w:val="bottom"/>
          </w:tcPr>
          <w:p>
            <w:pPr>
              <w:spacing w:after="0"/>
              <w:rPr>
                <w:sz w:val="14"/>
                <w:szCs w:val="14"/>
                <w:color w:val="auto"/>
              </w:rPr>
            </w:pPr>
          </w:p>
        </w:tc>
        <w:tc>
          <w:tcPr>
            <w:tcW w:w="840" w:type="dxa"/>
            <w:vAlign w:val="bottom"/>
          </w:tcPr>
          <w:p>
            <w:pPr>
              <w:jc w:val="right"/>
              <w:ind w:right="181"/>
              <w:spacing w:after="0"/>
              <w:rPr>
                <w:sz w:val="20"/>
                <w:szCs w:val="20"/>
                <w:color w:val="auto"/>
              </w:rPr>
            </w:pPr>
            <w:r>
              <w:rPr>
                <w:rFonts w:ascii="Arial" w:cs="Arial" w:eastAsia="Arial" w:hAnsi="Arial"/>
                <w:sz w:val="14"/>
                <w:szCs w:val="14"/>
                <w:color w:val="auto"/>
                <w:w w:val="91"/>
              </w:rPr>
              <w:t>Par Value</w:t>
            </w:r>
          </w:p>
        </w:tc>
        <w:tc>
          <w:tcPr>
            <w:tcW w:w="160" w:type="dxa"/>
            <w:vAlign w:val="bottom"/>
          </w:tcPr>
          <w:p>
            <w:pPr>
              <w:spacing w:after="0"/>
              <w:rPr>
                <w:sz w:val="14"/>
                <w:szCs w:val="14"/>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w w:val="94"/>
              </w:rPr>
              <w:t>Par Value</w:t>
            </w:r>
          </w:p>
        </w:tc>
        <w:tc>
          <w:tcPr>
            <w:tcW w:w="1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color w:val="auto"/>
                <w:w w:val="97"/>
              </w:rPr>
              <w:t>Earnings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4"/>
              </w:rPr>
              <w:t>(Loss) Income</w:t>
            </w:r>
          </w:p>
        </w:tc>
        <w:tc>
          <w:tcPr>
            <w:tcW w:w="1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Stock</w:t>
            </w: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Interests</w:t>
            </w:r>
          </w:p>
        </w:tc>
        <w:tc>
          <w:tcPr>
            <w:tcW w:w="180" w:type="dxa"/>
            <w:vAlign w:val="bottom"/>
          </w:tcPr>
          <w:p>
            <w:pPr>
              <w:spacing w:after="0"/>
              <w:rPr>
                <w:sz w:val="14"/>
                <w:szCs w:val="14"/>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color w:val="auto"/>
              </w:rPr>
              <w:t>Total</w:t>
            </w:r>
          </w:p>
        </w:tc>
      </w:tr>
      <w:tr>
        <w:trPr>
          <w:trHeight w:val="210"/>
        </w:trPr>
        <w:tc>
          <w:tcPr>
            <w:tcW w:w="3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January 1, 2017</w:t>
            </w:r>
          </w:p>
        </w:tc>
        <w:tc>
          <w:tcPr>
            <w:tcW w:w="10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115,115,748</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3,227.2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2,291.3</w:t>
            </w:r>
          </w:p>
        </w:tc>
        <w:tc>
          <w:tcPr>
            <w:tcW w:w="24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(2,731.7)</w:t>
            </w: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84.5</w:t>
            </w: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2,446.4</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545.4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545.4</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comprehensive income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137.9</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137.9</w:t>
            </w:r>
          </w:p>
        </w:tc>
      </w:tr>
      <w:tr>
        <w:trPr>
          <w:trHeight w:val="206"/>
        </w:trPr>
        <w:tc>
          <w:tcPr>
            <w:tcW w:w="3160" w:type="dxa"/>
            <w:vAlign w:val="bottom"/>
          </w:tcPr>
          <w:p>
            <w:pPr>
              <w:ind w:left="140"/>
              <w:spacing w:after="0"/>
              <w:rPr>
                <w:sz w:val="20"/>
                <w:szCs w:val="20"/>
                <w:color w:val="auto"/>
              </w:rPr>
            </w:pPr>
            <w:r>
              <w:rPr>
                <w:rFonts w:ascii="Arial" w:cs="Arial" w:eastAsia="Arial" w:hAnsi="Arial"/>
                <w:sz w:val="16"/>
                <w:szCs w:val="16"/>
                <w:color w:val="auto"/>
                <w:w w:val="98"/>
              </w:rPr>
              <w:t>Issuances under equity plans, including tax</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3160" w:type="dxa"/>
            <w:vAlign w:val="bottom"/>
          </w:tcPr>
          <w:p>
            <w:pPr>
              <w:ind w:left="140"/>
              <w:spacing w:after="0"/>
              <w:rPr>
                <w:sz w:val="20"/>
                <w:szCs w:val="20"/>
                <w:color w:val="auto"/>
              </w:rPr>
            </w:pPr>
            <w:r>
              <w:rPr>
                <w:rFonts w:ascii="Arial" w:cs="Arial" w:eastAsia="Arial" w:hAnsi="Arial"/>
                <w:sz w:val="16"/>
                <w:szCs w:val="16"/>
                <w:color w:val="auto"/>
              </w:rPr>
              <w:t>benefits</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1,187,981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44.2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26.1</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28.7</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28.7</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Dividends ($1.86 per share)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(123.7)</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Repurchases of common stock</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r>
      <w:tr>
        <w:trPr>
          <w:trHeight w:val="213"/>
        </w:trPr>
        <w:tc>
          <w:tcPr>
            <w:tcW w:w="3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Noncontrolling interest transactions</w:t>
            </w: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r>
      <w:tr>
        <w:trPr>
          <w:trHeight w:val="213"/>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2017</w:t>
            </w: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116,303,729</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3,302.6</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2,713.0</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(2,953.7)</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82.7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2,857.6</w:t>
            </w:r>
          </w:p>
        </w:tc>
      </w:tr>
      <w:tr>
        <w:trPr>
          <w:trHeight w:val="206"/>
        </w:trPr>
        <w:tc>
          <w:tcPr>
            <w:tcW w:w="3160" w:type="dxa"/>
            <w:vAlign w:val="bottom"/>
          </w:tcPr>
          <w:p>
            <w:pPr>
              <w:ind w:left="140"/>
              <w:spacing w:after="0"/>
              <w:rPr>
                <w:sz w:val="20"/>
                <w:szCs w:val="20"/>
                <w:color w:val="auto"/>
              </w:rPr>
            </w:pPr>
            <w:r>
              <w:rPr>
                <w:rFonts w:ascii="Arial" w:cs="Arial" w:eastAsia="Arial" w:hAnsi="Arial"/>
                <w:sz w:val="16"/>
                <w:szCs w:val="16"/>
                <w:color w:val="auto"/>
              </w:rPr>
              <w:t>Unrealized gain reclassified due to new</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3160" w:type="dxa"/>
            <w:vAlign w:val="bottom"/>
          </w:tcPr>
          <w:p>
            <w:pPr>
              <w:ind w:left="140"/>
              <w:spacing w:after="0"/>
              <w:rPr>
                <w:sz w:val="20"/>
                <w:szCs w:val="20"/>
                <w:color w:val="auto"/>
              </w:rPr>
            </w:pPr>
            <w:r>
              <w:rPr>
                <w:rFonts w:ascii="Arial" w:cs="Arial" w:eastAsia="Arial" w:hAnsi="Arial"/>
                <w:sz w:val="16"/>
                <w:szCs w:val="16"/>
                <w:color w:val="auto"/>
              </w:rPr>
              <w:t>accounting guidance on investments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earnings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556.7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556.7</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(96.3)</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Issuances under equity plans</w:t>
            </w: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492,170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27.8</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($2.02 per share)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(500.7)</w:t>
            </w:r>
          </w:p>
        </w:tc>
      </w:tr>
      <w:tr>
        <w:trPr>
          <w:trHeight w:val="216"/>
        </w:trPr>
        <w:tc>
          <w:tcPr>
            <w:tcW w:w="31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 transactions</w:t>
            </w:r>
          </w:p>
        </w:tc>
        <w:tc>
          <w:tcPr>
            <w:tcW w:w="10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3160" w:type="dxa"/>
            <w:vAlign w:val="bottom"/>
          </w:tcPr>
          <w:p>
            <w:pPr>
              <w:spacing w:after="0"/>
              <w:rPr>
                <w:sz w:val="20"/>
                <w:szCs w:val="20"/>
                <w:color w:val="auto"/>
              </w:rPr>
            </w:pPr>
            <w:r>
              <w:rPr>
                <w:rFonts w:ascii="Arial" w:cs="Arial" w:eastAsia="Arial" w:hAnsi="Arial"/>
                <w:sz w:val="16"/>
                <w:szCs w:val="16"/>
                <w:color w:val="auto"/>
              </w:rPr>
              <w:t>Balance, December 31, 2018</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116,795,899</w:t>
            </w:r>
          </w:p>
        </w:tc>
        <w:tc>
          <w:tcPr>
            <w:tcW w:w="20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3,337.5</w:t>
            </w: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3,157.7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(399.8)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2,698.5</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earnings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465.7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465.7</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Issuances under equity plans</w:t>
            </w: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394,984</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26.3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26.3</w:t>
            </w:r>
          </w:p>
        </w:tc>
      </w:tr>
      <w:tr>
        <w:trPr>
          <w:trHeight w:val="219"/>
        </w:trPr>
        <w:tc>
          <w:tcPr>
            <w:tcW w:w="3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($2.18 per share)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(203.0)</w:t>
            </w:r>
          </w:p>
        </w:tc>
      </w:tr>
      <w:tr>
        <w:trPr>
          <w:trHeight w:val="216"/>
        </w:trPr>
        <w:tc>
          <w:tcPr>
            <w:tcW w:w="31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 transactions</w:t>
            </w:r>
          </w:p>
        </w:tc>
        <w:tc>
          <w:tcPr>
            <w:tcW w:w="10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(55.3)</w:t>
            </w:r>
          </w:p>
        </w:tc>
      </w:tr>
      <w:tr>
        <w:trPr>
          <w:trHeight w:val="210"/>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December 31, 2019</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117,190,883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3,370.6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3,494.1</w:t>
            </w: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(3,681.9)</w:t>
            </w: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2,761.5</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31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ManpowerGroup Inc. is a world leader in the innovative workforce solutions and services industry. Our global network of over 2,500 offices in 75 countries and territories allows us to meet the needs of our global, multinational and local clients across all major industry segments. Our largest operations, based on revenues, are located in France, the United States, the United Kingdom and Italy.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$97.8 and $161.4 as of December 31, 2019 and 2018, respectively, and are included in other assets in the Consolidated Balance Sheets. Included in shareholders’ equity as of December 31, 2019 and 2018 are $3.4 and $105.2, respectively, of unremitted earnings from investments accounted for using the equity method. The decreases in the amounts above relate to our acquisition of the remaining controlling interest in our Swiss franchise. The remaining amounts as of December 31, 2019 relate to accounting for our remaining interest in ManpowerGroup Greater China under the equity method subsequent to deconsolidation (see Note 4 for further information). All significant intercompany accounts and transactions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1, 2018, we adopted the new accounting guidance on revenue recognition using the modified retrospective approach applied to those contracts that were not completed as of January 1, 2018. Results for reporting periods beginning after January 1, 2018 are presented under the new guidance, while prior periods continue to be reported in accordance with previous accounting guidance. We determined that no cumulative effect adjustment to retained earnings was necessary upon adoption as there were no significant revenue recognition differences identified between the new and previous accounting guidance.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service to the client, and it is the unit of account in the new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 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allowed under the new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2019 related to remaining performance obligations, which are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deferred revenue was $44.5 at December 31, 2019 and $42.8 at December 31, 2018. We recognized the entire amount of the deferred revenue balance as of December 31, 2018 as revenue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and was $21.8, $23.0 and $18.1 in 2019, 2018 and 2017,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$19.1, $12.0 and $17.6 for 2019, 2018 and 2017,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98" w:lineRule="exact"/>
        <w:rPr>
          <w:sz w:val="20"/>
          <w:szCs w:val="20"/>
          <w:color w:val="auto"/>
        </w:rPr>
      </w:pPr>
    </w:p>
    <w:p>
      <w:pPr>
        <w:ind w:right="360"/>
        <w:spacing w:after="0" w:line="454" w:lineRule="auto"/>
        <w:rPr>
          <w:sz w:val="20"/>
          <w:szCs w:val="20"/>
          <w:color w:val="auto"/>
        </w:rPr>
      </w:pPr>
      <w:r>
        <w:rPr>
          <w:rFonts w:ascii="Arial" w:cs="Arial" w:eastAsia="Arial" w:hAnsi="Arial"/>
          <w:sz w:val="18"/>
          <w:szCs w:val="18"/>
          <w:color w:val="auto"/>
        </w:rPr>
        <w:t xml:space="preserve">We expense production costs of advertising as they are incurred. Advertising expenses were $25.7, $27.9 and $26.6 in 2019, 2018 and 2017, respectively. </w:t>
      </w:r>
      <w:r>
        <w:rPr>
          <w:rFonts w:ascii="Arial" w:cs="Arial" w:eastAsia="Arial" w:hAnsi="Arial"/>
          <w:sz w:val="18"/>
          <w:szCs w:val="18"/>
          <w:i w:val="1"/>
          <w:iCs w:val="1"/>
          <w:color w:val="auto"/>
        </w:rPr>
        <w:t>Restructuring Costs</w:t>
      </w:r>
    </w:p>
    <w:p>
      <w:pPr>
        <w:jc w:val="both"/>
        <w:spacing w:after="0" w:line="259" w:lineRule="auto"/>
        <w:rPr>
          <w:sz w:val="20"/>
          <w:szCs w:val="20"/>
          <w:color w:val="auto"/>
        </w:rPr>
      </w:pPr>
      <w:r>
        <w:rPr>
          <w:rFonts w:ascii="Arial" w:cs="Arial" w:eastAsia="Arial" w:hAnsi="Arial"/>
          <w:sz w:val="18"/>
          <w:szCs w:val="18"/>
          <w:color w:val="auto"/>
        </w:rPr>
        <w:t>We recorded net restructuring costs of $42.0, $39.3 and $34.5 in 2019, 2018 and 2017, respectively, in selling and administrative expenses, primarily related to severances and office closures and consolidations in multiple countries and territories. The costs paid, utilized or transferred out of our restructuring reserve was $50.2 and $37.3 in 2019 and 2018, respectively. We expect a majority of the remaining $7.3 reserve will be paid by the end of 2020. Changes in the restructuring reserve by reportable segment and Corporate are shown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w w:val="93"/>
              </w:rPr>
              <w:t>Southern</w:t>
            </w:r>
          </w:p>
        </w:tc>
        <w:tc>
          <w:tcPr>
            <w:tcW w:w="1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4"/>
              </w:rPr>
              <w:t>Northern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Right</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36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Americas</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Europe</w:t>
            </w:r>
            <w:r>
              <w:rPr>
                <w:rFonts w:ascii="Arial" w:cs="Arial" w:eastAsia="Arial" w:hAnsi="Arial"/>
                <w:sz w:val="15"/>
                <w:szCs w:val="15"/>
                <w:color w:val="auto"/>
                <w:w w:val="88"/>
              </w:rPr>
              <w:t>(2)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APME</w:t>
            </w: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Management</w:t>
            </w:r>
          </w:p>
        </w:tc>
        <w:tc>
          <w:tcPr>
            <w:tcW w:w="10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0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10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31.8</w:t>
            </w:r>
          </w:p>
        </w:tc>
      </w:tr>
      <w:tr>
        <w:trPr>
          <w:trHeight w:val="230"/>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costs</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Costs paid or utilized</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3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2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r>
      <w:tr>
        <w:trPr>
          <w:trHeight w:val="223"/>
        </w:trPr>
        <w:tc>
          <w:tcPr>
            <w:tcW w:w="368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10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30"/>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costs</w:t>
            </w:r>
            <w:r>
              <w:rPr>
                <w:rFonts w:ascii="Arial" w:cs="Arial" w:eastAsia="Arial" w:hAnsi="Arial"/>
                <w:sz w:val="15"/>
                <w:szCs w:val="15"/>
                <w:color w:val="auto"/>
              </w:rPr>
              <w:t>(3)</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Costs paid, utilized or transferred out</w:t>
            </w:r>
            <w:r>
              <w:rPr>
                <w:rFonts w:ascii="Arial" w:cs="Arial" w:eastAsia="Arial" w:hAnsi="Arial"/>
                <w:sz w:val="16"/>
                <w:szCs w:val="16"/>
                <w:color w:val="auto"/>
              </w:rPr>
              <w:t>(3)</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3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2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r>
    </w:tbl>
    <w:p>
      <w:pPr>
        <w:spacing w:after="0" w:line="31" w:lineRule="exact"/>
        <w:rPr>
          <w:sz w:val="20"/>
          <w:szCs w:val="20"/>
          <w:color w:val="auto"/>
        </w:rPr>
      </w:pPr>
    </w:p>
    <w:p>
      <w:pPr>
        <w:ind w:firstLine="8"/>
        <w:spacing w:after="0" w:line="310" w:lineRule="auto"/>
        <w:tabs>
          <w:tab w:leader="none" w:pos="239"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Balance related to United States was $1.5 as of December 31, 2017. In 2018, United States paid/utilized $1.2, leaving a $0.3 liability as of December 31, 2018. In 2019, United States incurred $1.1 for severance costs and $1.3 for office closure costs and paid/utilized $2.4, leaving a $0.3 liability as of December 31, 2019.</w:t>
      </w:r>
    </w:p>
    <w:p>
      <w:pPr>
        <w:jc w:val="both"/>
        <w:ind w:firstLine="8"/>
        <w:spacing w:after="0" w:line="278" w:lineRule="auto"/>
        <w:tabs>
          <w:tab w:leader="none" w:pos="2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Balance related to France was $0.9 as of both December 31, 2017 and 2018. In 2019, France paid/utilized $0.9, leaving no liability as of December 31, 2019. Italy had no restructuring reserves recorded as of December 31, 2017. In 2018, Italy incurred $1.9 for severance costs and paid/utilized $1.4, leaving a $0.5 liability as of December 31, 2018. In 2019, Italy incurred $2.3 for severance costs and paid/utilized $2.5, leaving a $0.3 liability as of December 31, 2019.</w:t>
      </w:r>
    </w:p>
    <w:p>
      <w:pPr>
        <w:spacing w:after="0" w:line="8" w:lineRule="exact"/>
        <w:rPr>
          <w:rFonts w:ascii="Arial" w:cs="Arial" w:eastAsia="Arial" w:hAnsi="Arial"/>
          <w:sz w:val="16"/>
          <w:szCs w:val="16"/>
          <w:color w:val="auto"/>
        </w:rPr>
      </w:pPr>
    </w:p>
    <w:p>
      <w:pPr>
        <w:ind w:firstLine="8"/>
        <w:spacing w:after="0" w:line="329" w:lineRule="auto"/>
        <w:tabs>
          <w:tab w:leader="none" w:pos="23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office closure costs of $9.6 were recorded as an impairment to the operating lease right-of-use asset and, thus, are not included in the restructuring reserve balance as of December 31, 2019. As of December 31, 2019, the remaining liability of $3.2 related to office closures is recorded in current operating lease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measured and recorded at fair value on a recurring basis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gridSpan w:val="5"/>
          </w:tcPr>
          <w:p>
            <w:pPr>
              <w:jc w:val="right"/>
              <w:ind w:right="220"/>
              <w:spacing w:after="0"/>
              <w:rPr>
                <w:sz w:val="20"/>
                <w:szCs w:val="20"/>
                <w:color w:val="auto"/>
              </w:rPr>
            </w:pPr>
            <w:r>
              <w:rPr>
                <w:rFonts w:ascii="Arial" w:cs="Arial" w:eastAsia="Arial" w:hAnsi="Arial"/>
                <w:sz w:val="16"/>
                <w:szCs w:val="16"/>
                <w:color w:val="auto"/>
                <w:w w:val="91"/>
              </w:rPr>
              <w:t>Fair Value Measurements Using</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39"/>
              <w:spacing w:after="0"/>
              <w:rPr>
                <w:sz w:val="20"/>
                <w:szCs w:val="20"/>
                <w:color w:val="auto"/>
              </w:rPr>
            </w:pPr>
            <w:r>
              <w:rPr>
                <w:rFonts w:ascii="Arial" w:cs="Arial" w:eastAsia="Arial" w:hAnsi="Arial"/>
                <w:sz w:val="16"/>
                <w:szCs w:val="16"/>
                <w:color w:val="auto"/>
                <w:w w:val="91"/>
              </w:rPr>
              <w:t>Fair Value Measurements Using</w:t>
            </w: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w w:val="88"/>
              </w:rPr>
              <w:t>Quoted Prices</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w w:val="88"/>
              </w:rPr>
              <w:t>Quoted Prices</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in Active</w:t>
            </w:r>
          </w:p>
        </w:tc>
        <w:tc>
          <w:tcPr>
            <w:tcW w:w="2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2"/>
              </w:rPr>
              <w:t>Significant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in Active</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4"/>
              </w:rPr>
              <w:t>Significant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Markets for</w:t>
            </w:r>
          </w:p>
        </w:tc>
        <w:tc>
          <w:tcPr>
            <w:tcW w:w="2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Significant</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Markets for</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Identical</w:t>
            </w: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Observable</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Unobservable</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Identical</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Observable</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w w:val="99"/>
              </w:rPr>
              <w:t>Unobservable</w:t>
            </w: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w w:val="97"/>
              </w:rPr>
              <w:t>December 31,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Inputs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Inputs</w:t>
            </w:r>
          </w:p>
        </w:tc>
        <w:tc>
          <w:tcPr>
            <w:tcW w:w="1000" w:type="dxa"/>
            <w:vAlign w:val="bottom"/>
            <w:gridSpan w:val="2"/>
          </w:tcPr>
          <w:p>
            <w:pPr>
              <w:spacing w:after="0"/>
              <w:rPr>
                <w:sz w:val="20"/>
                <w:szCs w:val="20"/>
                <w:color w:val="auto"/>
              </w:rPr>
            </w:pPr>
            <w:r>
              <w:rPr>
                <w:rFonts w:ascii="Arial" w:cs="Arial" w:eastAsia="Arial" w:hAnsi="Arial"/>
                <w:sz w:val="16"/>
                <w:szCs w:val="16"/>
                <w:color w:val="auto"/>
                <w:w w:val="97"/>
              </w:rPr>
              <w:t>December 31,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Inputs</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(Level 2)</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(Level 2)</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(Level 3)</w:t>
            </w:r>
          </w:p>
        </w:tc>
      </w:tr>
      <w:tr>
        <w:trPr>
          <w:trHeight w:val="213"/>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r>
      <w:tr>
        <w:trPr>
          <w:trHeight w:val="213"/>
        </w:trPr>
        <w:tc>
          <w:tcPr>
            <w:tcW w:w="2800" w:type="dxa"/>
            <w:vAlign w:val="bottom"/>
            <w:gridSpan w:val="2"/>
          </w:tcPr>
          <w:p>
            <w:pPr>
              <w:spacing w:after="0"/>
              <w:rPr>
                <w:sz w:val="20"/>
                <w:szCs w:val="20"/>
                <w:color w:val="auto"/>
              </w:rPr>
            </w:pPr>
            <w:r>
              <w:rPr>
                <w:rFonts w:ascii="Arial" w:cs="Arial" w:eastAsia="Arial" w:hAnsi="Arial"/>
                <w:sz w:val="16"/>
                <w:szCs w:val="16"/>
                <w:color w:val="auto"/>
              </w:rPr>
              <w:t>Deferred compensation plan assets</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107.3</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Cross-currency swaps</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800" w:type="dxa"/>
            <w:vAlign w:val="bottom"/>
            <w:gridSpan w:val="2"/>
          </w:tcPr>
          <w:p>
            <w:pPr>
              <w:spacing w:after="0"/>
              <w:rPr>
                <w:sz w:val="20"/>
                <w:szCs w:val="20"/>
                <w:color w:val="auto"/>
              </w:rPr>
            </w:pPr>
            <w:r>
              <w:rPr>
                <w:rFonts w:ascii="Arial" w:cs="Arial" w:eastAsia="Arial" w:hAnsi="Arial"/>
                <w:sz w:val="16"/>
                <w:szCs w:val="16"/>
                <w:color w:val="auto"/>
              </w:rPr>
              <w:t>Foreign currency forward contracts</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117.0</w:t>
            </w:r>
          </w:p>
        </w:tc>
        <w:tc>
          <w:tcPr>
            <w:tcW w:w="2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89.6</w:t>
            </w:r>
          </w:p>
        </w:tc>
        <w:tc>
          <w:tcPr>
            <w:tcW w:w="2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Cross-currency swaps</w:t>
            </w: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800" w:type="dxa"/>
            <w:vAlign w:val="bottom"/>
            <w:gridSpan w:val="2"/>
          </w:tcPr>
          <w:p>
            <w:pPr>
              <w:spacing w:after="0"/>
              <w:rPr>
                <w:sz w:val="20"/>
                <w:szCs w:val="20"/>
                <w:color w:val="auto"/>
              </w:rPr>
            </w:pPr>
            <w:r>
              <w:rPr>
                <w:rFonts w:ascii="Arial" w:cs="Arial" w:eastAsia="Arial" w:hAnsi="Arial"/>
                <w:sz w:val="16"/>
                <w:szCs w:val="16"/>
                <w:color w:val="auto"/>
              </w:rPr>
              <w:t>Foreign currency forward contracts</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c>
          <w:tcPr>
            <w:tcW w:w="2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our deferred compensation plan assets, comprised of publicly traded securities, by using market quotes as of the last day of the period. The fair value of the cross-currency swaps and foreign currency forward contracts are measured at the value based on either directly or indirectly observable third parties.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$1,062.5 and $1,052.9 as of December 31, 2019 and 2018, respectively, compared to a carrying value of $1,002.9 and $1,024.6,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had goodwill, finite-lived intangible assets and indefinite-lived intangible assets as follows:</w:t>
      </w:r>
    </w:p>
    <w:p>
      <w:pPr>
        <w:sectPr>
          <w:pgSz w:w="11900" w:h="16838" w:orient="portrait"/>
          <w:cols w:equalWidth="0" w:num="1">
            <w:col w:w="11420"/>
          </w:cols>
          <w:pgMar w:left="240" w:top="530" w:right="239" w:bottom="1440" w:gutter="0" w:footer="0" w:header="0"/>
        </w:sectPr>
      </w:pPr>
    </w:p>
    <w:p>
      <w:pPr>
        <w:spacing w:after="0" w:line="338" w:lineRule="exact"/>
        <w:rPr>
          <w:sz w:val="20"/>
          <w:szCs w:val="20"/>
          <w:color w:val="auto"/>
        </w:rPr>
      </w:pPr>
    </w:p>
    <w:tbl>
      <w:tblPr>
        <w:tblLayout w:type="fixed"/>
        <w:tblInd w:w="3880" w:type="dxa"/>
        <w:tblCellMar>
          <w:top w:w="0" w:type="dxa"/>
          <w:left w:w="0" w:type="dxa"/>
          <w:bottom w:w="0" w:type="dxa"/>
          <w:right w:w="0" w:type="dxa"/>
        </w:tblCellMar>
      </w:tblPr>
      <w:tr>
        <w:trPr>
          <w:trHeight w:val="167"/>
        </w:trPr>
        <w:tc>
          <w:tcPr>
            <w:tcW w:w="1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December 31, 2019</w:t>
            </w:r>
          </w:p>
        </w:tc>
      </w:tr>
      <w:tr>
        <w:trPr>
          <w:trHeight w:val="137"/>
        </w:trPr>
        <w:tc>
          <w:tcPr>
            <w:tcW w:w="1280" w:type="dxa"/>
            <w:vAlign w:val="bottom"/>
          </w:tcPr>
          <w:p>
            <w:pPr>
              <w:spacing w:after="0"/>
              <w:rPr>
                <w:sz w:val="11"/>
                <w:szCs w:val="11"/>
                <w:color w:val="auto"/>
              </w:rPr>
            </w:pPr>
          </w:p>
        </w:tc>
        <w:tc>
          <w:tcPr>
            <w:tcW w:w="1080" w:type="dxa"/>
            <w:vAlign w:val="bottom"/>
          </w:tcPr>
          <w:p>
            <w:pPr>
              <w:ind w:left="260"/>
              <w:spacing w:after="0" w:line="137" w:lineRule="exact"/>
              <w:rPr>
                <w:sz w:val="20"/>
                <w:szCs w:val="20"/>
                <w:color w:val="auto"/>
              </w:rPr>
            </w:pPr>
            <w:r>
              <w:rPr>
                <w:rFonts w:ascii="Arial" w:cs="Arial" w:eastAsia="Arial" w:hAnsi="Arial"/>
                <w:sz w:val="14"/>
                <w:szCs w:val="14"/>
                <w:color w:val="auto"/>
                <w:w w:val="98"/>
              </w:rPr>
              <w:t>Accumulated</w:t>
            </w:r>
          </w:p>
        </w:tc>
        <w:tc>
          <w:tcPr>
            <w:tcW w:w="1340" w:type="dxa"/>
            <w:vAlign w:val="bottom"/>
          </w:tcPr>
          <w:p>
            <w:pPr>
              <w:spacing w:after="0"/>
              <w:rPr>
                <w:sz w:val="11"/>
                <w:szCs w:val="11"/>
                <w:color w:val="auto"/>
              </w:rPr>
            </w:pPr>
          </w:p>
        </w:tc>
      </w:tr>
      <w:tr>
        <w:trPr>
          <w:trHeight w:val="167"/>
        </w:trPr>
        <w:tc>
          <w:tcPr>
            <w:tcW w:w="1280" w:type="dxa"/>
            <w:vAlign w:val="bottom"/>
          </w:tcPr>
          <w:p>
            <w:pPr>
              <w:ind w:left="700"/>
              <w:spacing w:after="0"/>
              <w:rPr>
                <w:sz w:val="20"/>
                <w:szCs w:val="20"/>
                <w:color w:val="auto"/>
              </w:rPr>
            </w:pPr>
            <w:r>
              <w:rPr>
                <w:rFonts w:ascii="Arial" w:cs="Arial" w:eastAsia="Arial" w:hAnsi="Arial"/>
                <w:sz w:val="14"/>
                <w:szCs w:val="14"/>
                <w:color w:val="auto"/>
              </w:rPr>
              <w:t>Gross</w:t>
            </w:r>
          </w:p>
        </w:tc>
        <w:tc>
          <w:tcPr>
            <w:tcW w:w="108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Net</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December 31, 2018</w:t>
            </w:r>
          </w:p>
        </w:tc>
      </w:tr>
      <w:tr>
        <w:trPr>
          <w:trHeight w:val="137"/>
        </w:trPr>
        <w:tc>
          <w:tcPr>
            <w:tcW w:w="1280" w:type="dxa"/>
            <w:vAlign w:val="bottom"/>
          </w:tcPr>
          <w:p>
            <w:pPr>
              <w:spacing w:after="0"/>
              <w:rPr>
                <w:sz w:val="11"/>
                <w:szCs w:val="11"/>
                <w:color w:val="auto"/>
              </w:rPr>
            </w:pPr>
          </w:p>
        </w:tc>
        <w:tc>
          <w:tcPr>
            <w:tcW w:w="1100" w:type="dxa"/>
            <w:vAlign w:val="bottom"/>
          </w:tcPr>
          <w:p>
            <w:pPr>
              <w:ind w:left="240"/>
              <w:spacing w:after="0" w:line="137" w:lineRule="exact"/>
              <w:rPr>
                <w:sz w:val="20"/>
                <w:szCs w:val="20"/>
                <w:color w:val="auto"/>
              </w:rPr>
            </w:pPr>
            <w:r>
              <w:rPr>
                <w:rFonts w:ascii="Arial" w:cs="Arial" w:eastAsia="Arial" w:hAnsi="Arial"/>
                <w:sz w:val="14"/>
                <w:szCs w:val="14"/>
                <w:color w:val="auto"/>
              </w:rPr>
              <w:t>Accumulated</w:t>
            </w:r>
          </w:p>
        </w:tc>
        <w:tc>
          <w:tcPr>
            <w:tcW w:w="1340" w:type="dxa"/>
            <w:vAlign w:val="bottom"/>
          </w:tcPr>
          <w:p>
            <w:pPr>
              <w:spacing w:after="0"/>
              <w:rPr>
                <w:sz w:val="11"/>
                <w:szCs w:val="11"/>
                <w:color w:val="auto"/>
              </w:rPr>
            </w:pPr>
          </w:p>
        </w:tc>
      </w:tr>
      <w:tr>
        <w:trPr>
          <w:trHeight w:val="167"/>
        </w:trPr>
        <w:tc>
          <w:tcPr>
            <w:tcW w:w="1280" w:type="dxa"/>
            <w:vAlign w:val="bottom"/>
          </w:tcPr>
          <w:p>
            <w:pPr>
              <w:ind w:left="680"/>
              <w:spacing w:after="0"/>
              <w:rPr>
                <w:sz w:val="20"/>
                <w:szCs w:val="20"/>
                <w:color w:val="auto"/>
              </w:rPr>
            </w:pPr>
            <w:r>
              <w:rPr>
                <w:rFonts w:ascii="Arial" w:cs="Arial" w:eastAsia="Arial" w:hAnsi="Arial"/>
                <w:sz w:val="14"/>
                <w:szCs w:val="14"/>
                <w:color w:val="auto"/>
              </w:rPr>
              <w:t>Gross</w:t>
            </w:r>
          </w:p>
        </w:tc>
        <w:tc>
          <w:tcPr>
            <w:tcW w:w="1100" w:type="dxa"/>
            <w:vAlign w:val="bottom"/>
          </w:tcPr>
          <w:p>
            <w:pPr>
              <w:ind w:left="240"/>
              <w:spacing w:after="0"/>
              <w:rPr>
                <w:sz w:val="20"/>
                <w:szCs w:val="20"/>
                <w:color w:val="auto"/>
              </w:rPr>
            </w:pPr>
            <w:r>
              <w:rPr>
                <w:rFonts w:ascii="Arial" w:cs="Arial" w:eastAsia="Arial" w:hAnsi="Arial"/>
                <w:sz w:val="14"/>
                <w:szCs w:val="14"/>
                <w:color w:val="auto"/>
              </w:rPr>
              <w:t>Amortization</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Net</w:t>
            </w:r>
          </w:p>
        </w:tc>
      </w:tr>
    </w:tbl>
    <w:p>
      <w:pPr>
        <w:spacing w:after="0" w:line="1" w:lineRule="exact"/>
        <w:rPr>
          <w:sz w:val="20"/>
          <w:szCs w:val="20"/>
          <w:color w:val="auto"/>
        </w:rPr>
      </w:pPr>
    </w:p>
    <w:p>
      <w:pPr>
        <w:sectPr>
          <w:pgSz w:w="11900" w:h="16838" w:orient="portrait"/>
          <w:cols w:equalWidth="0" w:num="2">
            <w:col w:w="7580" w:space="120"/>
            <w:col w:w="3720"/>
          </w:cols>
          <w:pgMar w:left="240" w:top="53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10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c>
          <w:tcPr>
            <w:tcW w:w="4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1,260.1</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1,297.1</w:t>
            </w:r>
          </w:p>
        </w:tc>
        <w:tc>
          <w:tcPr>
            <w:tcW w:w="4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1,297.1</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Intangible assets:</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Finite-lived:</w:t>
            </w: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460.5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375.7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444.8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351.7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93.1</w:t>
            </w:r>
          </w:p>
        </w:tc>
      </w:tr>
      <w:tr>
        <w:trPr>
          <w:trHeight w:val="230"/>
        </w:trPr>
        <w:tc>
          <w:tcPr>
            <w:tcW w:w="20" w:type="dxa"/>
            <w:vAlign w:val="bottom"/>
          </w:tcPr>
          <w:p>
            <w:pPr>
              <w:spacing w:after="0"/>
              <w:rPr>
                <w:sz w:val="19"/>
                <w:szCs w:val="19"/>
                <w:color w:val="auto"/>
              </w:rPr>
            </w:pPr>
          </w:p>
        </w:tc>
        <w:tc>
          <w:tcPr>
            <w:tcW w:w="31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20.9</w:t>
            </w: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w:t>
            </w: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481.4</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389.4</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367.7</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95.6</w:t>
            </w:r>
          </w:p>
        </w:tc>
      </w:tr>
      <w:tr>
        <w:trPr>
          <w:trHeight w:val="223"/>
        </w:trPr>
        <w:tc>
          <w:tcPr>
            <w:tcW w:w="20" w:type="dxa"/>
            <w:vAlign w:val="bottom"/>
          </w:tcPr>
          <w:p>
            <w:pPr>
              <w:spacing w:after="0"/>
              <w:rPr>
                <w:sz w:val="19"/>
                <w:szCs w:val="19"/>
                <w:color w:val="auto"/>
              </w:rPr>
            </w:pPr>
          </w:p>
        </w:tc>
        <w:tc>
          <w:tcPr>
            <w:tcW w:w="3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Indefinite-lived:</w:t>
            </w: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0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4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52.0</w:t>
            </w:r>
          </w:p>
        </w:tc>
      </w:tr>
      <w:tr>
        <w:trPr>
          <w:trHeight w:val="230"/>
        </w:trPr>
        <w:tc>
          <w:tcPr>
            <w:tcW w:w="20" w:type="dxa"/>
            <w:vAlign w:val="bottom"/>
          </w:tcPr>
          <w:p>
            <w:pPr>
              <w:spacing w:after="0"/>
              <w:rPr>
                <w:sz w:val="19"/>
                <w:szCs w:val="19"/>
                <w:color w:val="auto"/>
              </w:rPr>
            </w:pPr>
          </w:p>
        </w:tc>
        <w:tc>
          <w:tcPr>
            <w:tcW w:w="310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Reacquired franchise rights</w:t>
            </w:r>
          </w:p>
        </w:tc>
        <w:tc>
          <w:tcPr>
            <w:tcW w:w="10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98.7</w:t>
            </w: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98.7</w:t>
            </w: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176.6</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150.7</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150.7</w:t>
            </w:r>
          </w:p>
        </w:tc>
      </w:tr>
      <w:tr>
        <w:trPr>
          <w:trHeight w:val="223"/>
        </w:trPr>
        <w:tc>
          <w:tcPr>
            <w:tcW w:w="20" w:type="dxa"/>
            <w:vAlign w:val="bottom"/>
          </w:tcPr>
          <w:p>
            <w:pPr>
              <w:spacing w:after="0"/>
              <w:rPr>
                <w:sz w:val="19"/>
                <w:szCs w:val="19"/>
                <w:color w:val="auto"/>
              </w:rPr>
            </w:pPr>
          </w:p>
        </w:tc>
        <w:tc>
          <w:tcPr>
            <w:tcW w:w="3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658.0</w:t>
            </w:r>
          </w:p>
        </w:tc>
        <w:tc>
          <w:tcPr>
            <w:tcW w:w="4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389.4</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614.0</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367.7</w:t>
            </w:r>
          </w:p>
        </w:tc>
        <w:tc>
          <w:tcPr>
            <w:tcW w:w="4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246.3</w:t>
            </w:r>
          </w:p>
        </w:tc>
      </w:tr>
    </w:tbl>
    <w:p>
      <w:pPr>
        <w:spacing w:after="0" w:line="31"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$577.4 and $513.4 as of December 31, 2019 and 2018, respectively.</w:t>
      </w:r>
    </w:p>
    <w:p>
      <w:pPr>
        <w:spacing w:after="0" w:line="45"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$139.5 as of both December 31, 2019 and 2018.</w:t>
      </w:r>
    </w:p>
    <w:p>
      <w:pPr>
        <w:spacing w:after="0" w:line="24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consolidated amortization expense related to intangibles was $29.8, $35.1 and $34.6 in 2019, 2018 and 2017, respectively. Amortization expense expected in each of the next five years related to acquisitions completed as of December 31, 2019 is as follows: 2020 - $26.6, 2021 - $16.2, 2022 - $12.8, 2023 - $10.0 and 2024 - $7.8. The weighted-average useful lives of the customer relationships and other are approximately 14 and 4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 (See Note 4 to the Consolidated Financial Statements for further information on our acquisition of the remaining controlling interest in Manpower Switzerland.)</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We performed our annual impairment test of our goodwill and indefinite-lived intangible assets during the third quarter of 2019, 2018 and 2017, and determined that there was no impairment of our goodwill or indefinite-lived intangible as a result of our annual tests.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determine the fair value of the reporting unit by utilizing an income approach derived from a discounted cash flow methodology. The income approach is developed from management’s forecasted cash flow data. Significant assumptions used in our annual goodwill impairment test during the third quarter of 2019 included: expected future revenue growth rates, operating unit profit (“OUP”) margins, working capital levels, discount rates ranging from 9.9% to 13.1%, and a terminal value multiple. The expected future revenue growth rates and OUP margins were determined after taking into consideration our historical revenue growth rates and OUP margins, our assessment of future market potential, and our expectations of future business performance. We would record a goodwill impairment charge by the amount for which a reporting unit's carrying value exceeds its fair value, not to exceed the carrying amount of the goodwill.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59" w:name="page60"/>
    <w:bookmarkEnd w:id="59"/>
    <w:p>
      <w:pPr>
        <w:ind w:right="60"/>
        <w:spacing w:after="0" w:line="253" w:lineRule="auto"/>
        <w:rPr>
          <w:sz w:val="20"/>
          <w:szCs w:val="20"/>
          <w:color w:val="auto"/>
        </w:rPr>
      </w:pPr>
      <w:r>
        <w:rPr>
          <w:rFonts w:ascii="Arial" w:cs="Arial" w:eastAsia="Arial" w:hAnsi="Arial"/>
          <w:sz w:val="18"/>
          <w:szCs w:val="18"/>
          <w:color w:val="auto"/>
        </w:rPr>
        <w:t>For the second quarter of 2019,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a further downward trend in the performance of the business due to current market conditions, a more cautious outlook for the business stemming from the impact of changes to temporary staffing regulations in Germany, and the recording of a valuation allowance against our Germany deferred tax assets during the second quarter. As we determined that it was more likely than not that the fair value of the Germany reporting unit was below its carrying amount, we performed an interim impairment test on this reporting unit as of June 30, 2019. As a result of our interim test, we recognized a non-cash impairment loss of $60.2 during the second quarter of 2019. The Germany reporting unit is included in the Northern Europe segment.</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during the second quarter of 2019, we recorded a goodwill impairment charge of $3.8 related to our New Zealand operations as a result of it not meeting profitability expectations. The New Zealand reporting unit is included in the APME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 to April 2019, when we acquired the remaining 51% controlling interest in our Swiss franchise to obtain full ownership of the entity, we accounted for our 49% interest in our Swiss franchise under the equity method of accounting. The Swiss franchise maintained an investment portfolio with a market value of $219.9 as of December 31, 2018. The portfolio was comprised of a wide variety of European and United States debt and equity securities and various professionally-managed funds, all of which were classified as available-for-sale, as well as cash and cash equivalents. Since January 1, 2018, upon adoption of the new accounting guidance on financial instruments, we recognized all the changes in fair value on the investment portfolio in the current period earnings. Prior to January 1, 2018, only our share of net realized gains and losses, and declines in value determined to be other-than-temporary, was included in our Consolidated Statements of Operations. Our share of net unrealized gains and unrealized losses that were determined to be temporary related to these investments was included in accumulated other comprehensive loss, with the offsetting amount increasing or decreasing our investment in the franchise. For the years ended December 31, 2019, 2018 and 2017, realized gains totaled $0.3, $12.7 and $14.7, respectively, and realized losses totaled $0.2, $2.1 and $3.8, respectively. Other-than-temporary impairment amounts were insignificant for 2019, 2018 and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for Internal Use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$7.5 and $7.4 as of December 31, 2019 and 2018, respectively, is included in other assets in the Consolidated Balance Sheets. Amortization expense related to the capitalized software costs was $2.0, $1.5 and $1.3 for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2019</w:t>
            </w: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2018</w:t>
            </w: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5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0.5</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Buildings</w:t>
            </w:r>
          </w:p>
        </w:tc>
        <w:tc>
          <w:tcPr>
            <w:tcW w:w="350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12.0</w:t>
            </w: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autos</w:t>
            </w:r>
          </w:p>
        </w:tc>
        <w:tc>
          <w:tcPr>
            <w:tcW w:w="3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164.8</w:t>
            </w: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167.3</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Computer equipment</w:t>
            </w:r>
          </w:p>
        </w:tc>
        <w:tc>
          <w:tcPr>
            <w:tcW w:w="350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130.3</w:t>
            </w:r>
          </w:p>
        </w:tc>
        <w:tc>
          <w:tcPr>
            <w:tcW w:w="78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128.7</w:t>
            </w: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299.7</w:t>
            </w:r>
          </w:p>
        </w:tc>
        <w:tc>
          <w:tcPr>
            <w:tcW w:w="7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302.2</w:t>
            </w:r>
          </w:p>
        </w:tc>
      </w:tr>
      <w:tr>
        <w:trPr>
          <w:trHeight w:val="223"/>
        </w:trPr>
        <w:tc>
          <w:tcPr>
            <w:tcW w:w="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and equipment</w:t>
            </w:r>
          </w:p>
        </w:tc>
        <w:tc>
          <w:tcPr>
            <w:tcW w:w="3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605.5</w:t>
            </w:r>
          </w:p>
        </w:tc>
        <w:tc>
          <w:tcPr>
            <w:tcW w:w="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fixtures, autos and computer equipment - 2 to 15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operating leases for real estate, vehicles, and equipment. Our leases have remaining lease terms of 1 month to 14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right-of-use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lease agreements with both lease and non-lease components that are treated as a single lease component for all underlying asset classes. Accordingly, all expenses associated with a lease contract are accounted for as lease expenses.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elected the package of three practical expedients which lessened the transitional burden of implementing the new guidance. Accordingly, we did not reassess: 1) whether any expired or existing contracts are or contain leases; 2) the lease classification for any expired or existing leases; or 3) the initial direct costs for any existing leases. We have also elected the practical expedient to not separate lease and non-lease components. Lastly, we have elected to apply the short-term lease exception for all underlying asset classes. That is, 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2019, we did not have any material additional operating leases that have not yet commenced.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our non-United States subsidiaries have been translated in accordance with the accounting guidance on foreign currency translation. Under the accounting guidance, 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As of July 1, 2018, the Argentina economy was designated as highly-inflationary and was treated as such for accounting purposes starting in the third quarter of 2018.</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of Directors authorized the repurchase of 6.0 million shares of our common stock in each of August 2019, August 2018 and July 2016. Share repurchases may be made from time to time through a variety of methods, including open market purchases, block transactions, privately negotiated transactions or similar facilities. In 2019, we repurchased a total of 2.4 million shares at a total cost of $203.0 under the 2018 authorization. In 2018, we repurchased a total of 5.7 million shares, comprised of 2.9 million shares under the 2018 authorization and 2.8 million shares under the 2016 authorization, at a total cost of $500.7. In 2017, we repurchased a total of 1.9 million shares at a total cost of $203.9 under the 2016 authorization. As of December 31, 2019, there were 6.0 million and 0.8 million shares remaining authorized for repurchase under the 2019 authorization and 2018 authorization, respectively, and no shares remaining authorized under the 2016 authorization.</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2018 and 2017, the Board of Directors declared total cash dividends of $2.18, $2.02 and $1.86 per share, respectively, resulting in total dividend payments of $129.3, $127.3 and $123.7, respectively.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expenses of $1.8 and $6.5 for 2019 and 2017, respectively, and income of $4.9 for 2018. The income recorded in 2018 was due to a revision in one of our joint venture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98" w:lineRule="exact"/>
        <w:rPr>
          <w:sz w:val="20"/>
          <w:szCs w:val="20"/>
          <w:color w:val="auto"/>
        </w:rPr>
      </w:pPr>
    </w:p>
    <w:p>
      <w:pPr>
        <w:ind w:right="2020"/>
        <w:spacing w:after="0" w:line="454" w:lineRule="auto"/>
        <w:rPr>
          <w:sz w:val="20"/>
          <w:szCs w:val="20"/>
          <w:color w:val="auto"/>
        </w:rPr>
      </w:pPr>
      <w:r>
        <w:rPr>
          <w:rFonts w:ascii="Arial" w:cs="Arial" w:eastAsia="Arial" w:hAnsi="Arial"/>
          <w:sz w:val="18"/>
          <w:szCs w:val="18"/>
          <w:color w:val="auto"/>
        </w:rPr>
        <w:t xml:space="preserve">We consider all highly liquid investments with an original maturity of three months or less when purchased to be cash equivalents. </w:t>
      </w:r>
      <w:r>
        <w:rPr>
          <w:rFonts w:ascii="Arial" w:cs="Arial" w:eastAsia="Arial" w:hAnsi="Arial"/>
          <w:sz w:val="18"/>
          <w:szCs w:val="18"/>
          <w:i w:val="1"/>
          <w:iCs w:val="1"/>
          <w:color w:val="auto"/>
        </w:rPr>
        <w:t>Payroll Tax Credit</w:t>
      </w:r>
    </w:p>
    <w:p>
      <w:pPr>
        <w:jc w:val="both"/>
        <w:spacing w:after="0" w:line="257" w:lineRule="auto"/>
        <w:rPr>
          <w:sz w:val="20"/>
          <w:szCs w:val="20"/>
          <w:color w:val="auto"/>
        </w:rPr>
      </w:pPr>
      <w:r>
        <w:rPr>
          <w:rFonts w:ascii="Arial" w:cs="Arial" w:eastAsia="Arial" w:hAnsi="Arial"/>
          <w:sz w:val="18"/>
          <w:szCs w:val="18"/>
          <w:color w:val="auto"/>
        </w:rPr>
        <w:t>In January 2013, the French government passed legislation, Credit d’Impôt pour la Compétitivité et l’Emploi (“CICE”), that provided payroll tax credits based on a percentage of wages paid to employees receiving less than two-and-a-half times the French minimum wage. The payroll tax credit was equal to 4% of eligible wages in 2013, 6% of eligible wages in 2014 to 2016, 7% of eligible wages in 2017, and 6% of eligible wages in 2018. The CICE payroll tax credit was accounted for as a reduction of our cost of services in the period earned. In January 2019, the French government replaced the CICE program with a new subsidy program.</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payroll tax credit was creditable against our current French income tax payable, with any remaining amount being paid after three years. Given the amount of our current income taxes payable, we would generally receive the vast majority of these payroll tax credits after the three-year period. In April 2019, April 2018 and March 2017, we entered into agreements to sell the credits earned in 2018, 2017 and 2016, respectively, for net proceeds of $103.5 (€92.0), $234.5 (€190.9) and $143.5 (€133.0), respectively, which represented approximately half of the credits earned in 2018 and substantially all the credits earned in 2017 and 2016. We derecognized these receivables upon the sale as the terms of the agreement were such that the transaction qualified for sale treatment according to the accounting guidance on the transfer and servicing of assets. The discount on the sale of these receivables was recorded in cost of services as a reduction of the payroll tax credits earned in the respective year.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Accounting Standards Effective as of January 1, 2019</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2016, the Financial Accounting Standards Board ("FASB") issued new accounting guidance on leases, ASU No. 2016-02, Leases (Topic 842), which we adopted on January 1, 2019. The new guidance requires that a lessee recognize ROU assets and lease liabilities on the balance sheet for leases with lease terms longer than 12 months. The recognition, measurement and presentation of lease expenses and cash flows depend on the classification by the lessee as a finance or operating lease. We determined that no cumulative effect adjustment to retained earnings was necessary upon adoption. As of the transition date, the ROU asset and total lease liability (current and long-term) were $458.1 and $458.7, respectively.</w:t>
      </w:r>
    </w:p>
    <w:p>
      <w:pPr>
        <w:spacing w:after="0" w:line="1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We adopted this guidance effective January 1, 2019. There was no impact of this adoption on our Consolidated Financial Statements. See Note 12 to the Consolidated Financial Statements for the modified disclosures.</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February 2018, the FASB issued new guidance on reporting comprehensive income. The new guidance allows a reclassification from accumulated other comprehensive income to retained earnings for stranded tax effects resulting from the United States Tax Cuts and Jobs Act of 2017 ("Tax Act"). The guidance was effective for us as of January 1, 2019. We elected not to adopt this optional reclassification.</w:t>
      </w:r>
    </w:p>
    <w:p>
      <w:pPr>
        <w:spacing w:after="0" w:line="195"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In June 2018, the FASB issued new guidance on the accounting for share-based payment awards. The guidance makes the accounting for share-based payment awards issued to nonemployees largely consistent with the accounting for share-based payment awards issued to employees. We adopted this guidance effective January 1, 2019. There was no impact of this adoption on our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loss has been incurred. The new guidance was effective for us as of January 1, 2020. The adoption of this guidance had no material impact on our Consolidated Financial Statements.</w:t>
      </w:r>
    </w:p>
    <w:p>
      <w:pPr>
        <w:spacing w:after="0" w:line="21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was effective for us as of January 1, 2020. The adoption of this guidance had no impact on our Consolidated Financial Statements.</w:t>
      </w:r>
    </w:p>
    <w:p>
      <w:pPr>
        <w:spacing w:after="0" w:line="16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was effective for us as of January 1, 2020. The adoption of this guidance had no impact on our Consolidated Financial Statements.</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was effective for us as of January 1, 2020. The adoption of this guidance had no impact on our Consolidated Financial Statements.</w:t>
      </w:r>
    </w:p>
    <w:p>
      <w:pPr>
        <w:spacing w:after="0" w:line="19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282A32"/>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is effective for us as of January 1, 2021. We are assessing the impact of the adoption of this guidance on our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Subsequent Events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2020, our segment reporting was realigned due to our Right Management business being combined with each of our respective country business units. Accordingly, our former reportable segment, Right Management, is now reported within each of our respective reportable segments. We will report on the new realigned segments beginning in the first quarter of 2020. All previously reported results will be restated to conform to the new presentation.</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purchased annuities of $19.2 and settled lump sum payments of $3.0 from our United States Qualified Retirement Plan in January and February 2020, respectively, as a result of our ongoing settlement. The completion of lump sum payments in February will trigger final settlement of the plan. Upon settlement of the pension liability, we will reclassify the related pension losses currently recorded in accumulated other comprehensive loss to the consolidated statements of comprehensive income. As of December 31, 2019, we had unrecognized losses related to the pension plans of $7.4, net of tax. The amount of the total required payout to plan participants was determined based on employee elections and market conditions at the time of settlement.</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all other events and transactions occurring after the balance sheet date through our filing date and noted no other events that are subject to recognition or disclosure.</w:t>
      </w:r>
    </w:p>
    <w:p>
      <w:pPr>
        <w:spacing w:after="0" w:line="400"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282A32"/>
        </w:rPr>
      </w:pPr>
      <w:r>
        <w:rPr>
          <w:rFonts w:ascii="Arial" w:cs="Arial" w:eastAsia="Arial" w:hAnsi="Arial"/>
          <w:sz w:val="18"/>
          <w:szCs w:val="18"/>
          <w:u w:val="single" w:color="auto"/>
          <w:color w:val="282A32"/>
        </w:rPr>
        <w:t>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Service Types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Staffing and Interim</w:t>
      </w:r>
    </w:p>
    <w:p>
      <w:pPr>
        <w:spacing w:after="0" w:line="198"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185"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Permanent Recruitment</w:t>
      </w:r>
    </w:p>
    <w:p>
      <w:pPr>
        <w:spacing w:after="0" w:line="185"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4" w:name="page65"/>
    <w:bookmarkEnd w:id="64"/>
    <w:p>
      <w:pPr>
        <w:jc w:val="both"/>
        <w:spacing w:after="0" w:line="270" w:lineRule="auto"/>
        <w:rPr>
          <w:sz w:val="20"/>
          <w:szCs w:val="20"/>
          <w:color w:val="auto"/>
        </w:rPr>
      </w:pPr>
      <w:r>
        <w:rPr>
          <w:rFonts w:ascii="Arial" w:cs="Arial" w:eastAsia="Arial" w:hAnsi="Arial"/>
          <w:sz w:val="17"/>
          <w:szCs w:val="17"/>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15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198" w:lineRule="exact"/>
        <w:rPr>
          <w:sz w:val="20"/>
          <w:szCs w:val="20"/>
          <w:color w:val="auto"/>
        </w:rPr>
      </w:pPr>
    </w:p>
    <w:p>
      <w:pPr>
        <w:jc w:val="both"/>
        <w:ind w:left="440" w:hanging="196"/>
        <w:spacing w:after="0" w:line="282" w:lineRule="auto"/>
        <w:tabs>
          <w:tab w:leader="none" w:pos="4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2" w:lineRule="exact"/>
        <w:rPr>
          <w:rFonts w:ascii="Arial" w:cs="Arial" w:eastAsia="Arial" w:hAnsi="Arial"/>
          <w:sz w:val="16"/>
          <w:szCs w:val="16"/>
          <w:color w:val="auto"/>
        </w:rPr>
      </w:pPr>
    </w:p>
    <w:p>
      <w:pPr>
        <w:jc w:val="both"/>
        <w:ind w:left="400" w:hanging="196"/>
        <w:spacing w:after="0" w:line="264" w:lineRule="auto"/>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spacing w:after="0" w:line="3" w:lineRule="exact"/>
        <w:rPr>
          <w:rFonts w:ascii="Arial" w:cs="Arial" w:eastAsia="Arial" w:hAnsi="Arial"/>
          <w:sz w:val="17"/>
          <w:szCs w:val="17"/>
          <w:color w:val="auto"/>
        </w:rPr>
      </w:pPr>
    </w:p>
    <w:p>
      <w:pPr>
        <w:jc w:val="both"/>
        <w:ind w:left="400" w:hanging="196"/>
        <w:spacing w:after="0" w:line="250"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1" w:lineRule="exact"/>
        <w:rPr>
          <w:rFonts w:ascii="Arial" w:cs="Arial" w:eastAsia="Arial" w:hAnsi="Arial"/>
          <w:sz w:val="18"/>
          <w:szCs w:val="18"/>
          <w:color w:val="auto"/>
        </w:rPr>
      </w:pPr>
    </w:p>
    <w:p>
      <w:pPr>
        <w:jc w:val="both"/>
        <w:ind w:left="400" w:hanging="196"/>
        <w:spacing w:after="0" w:line="271" w:lineRule="auto"/>
        <w:tabs>
          <w:tab w:leader="none" w:pos="400" w:val="left"/>
        </w:tabs>
        <w:numPr>
          <w:ilvl w:val="0"/>
          <w:numId w:val="28"/>
        </w:numPr>
        <w:rPr>
          <w:rFonts w:ascii="Arial" w:cs="Arial" w:eastAsia="Arial" w:hAnsi="Arial"/>
          <w:sz w:val="17"/>
          <w:szCs w:val="17"/>
          <w:color w:val="282A32"/>
        </w:rPr>
      </w:pPr>
      <w:r>
        <w:rPr>
          <w:rFonts w:ascii="Arial" w:cs="Arial" w:eastAsia="Arial" w:hAnsi="Arial"/>
          <w:sz w:val="17"/>
          <w:szCs w:val="17"/>
          <w:color w:val="auto"/>
        </w:rPr>
        <w:t xml:space="preserve">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w:t>
      </w:r>
      <w:r>
        <w:rPr>
          <w:rFonts w:ascii="Arial" w:cs="Arial" w:eastAsia="Arial" w:hAnsi="Arial"/>
          <w:sz w:val="17"/>
          <w:szCs w:val="17"/>
          <w:color w:val="282A32"/>
        </w:rPr>
        <w:t>Franchise fees were $18.4, $24.1 and $23.7</w:t>
      </w:r>
      <w:r>
        <w:rPr>
          <w:rFonts w:ascii="Arial" w:cs="Arial" w:eastAsia="Arial" w:hAnsi="Arial"/>
          <w:sz w:val="17"/>
          <w:szCs w:val="17"/>
          <w:color w:val="auto"/>
        </w:rPr>
        <w:t xml:space="preserve"> </w:t>
      </w:r>
      <w:r>
        <w:rPr>
          <w:rFonts w:ascii="Arial" w:cs="Arial" w:eastAsia="Arial" w:hAnsi="Arial"/>
          <w:sz w:val="17"/>
          <w:szCs w:val="17"/>
          <w:color w:val="282A32"/>
        </w:rPr>
        <w:t>for the years ended December 31, 2019, 2018 and 2017, respectively.</w:t>
      </w:r>
    </w:p>
    <w:p>
      <w:pPr>
        <w:spacing w:after="0" w:line="1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00"/>
          </w:cols>
          <w:pgMar w:left="760" w:top="53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Disaggregation of Revenues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257"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6350</wp:posOffset>
            </wp:positionV>
            <wp:extent cx="6054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62" w:lineRule="exact"/>
        <w:rPr>
          <w:sz w:val="20"/>
          <w:szCs w:val="20"/>
          <w:color w:val="auto"/>
        </w:rPr>
      </w:pPr>
    </w:p>
    <w:p>
      <w:pPr>
        <w:ind w:left="4120"/>
        <w:spacing w:after="0"/>
        <w:tabs>
          <w:tab w:leader="none" w:pos="8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ectPr>
          <w:pgSz w:w="11900" w:h="16838" w:orient="portrait"/>
          <w:cols w:equalWidth="0" w:num="1">
            <w:col w:w="11420"/>
          </w:cols>
          <w:pgMar w:left="240" w:top="530" w:right="239" w:bottom="1440" w:gutter="0" w:footer="0" w:header="0"/>
        </w:sectPr>
      </w:pP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37"/>
        </w:trPr>
        <w:tc>
          <w:tcPr>
            <w:tcW w:w="9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left="28"/>
              <w:spacing w:after="0" w:line="137" w:lineRule="exact"/>
              <w:rPr>
                <w:sz w:val="20"/>
                <w:szCs w:val="20"/>
                <w:color w:val="auto"/>
              </w:rPr>
            </w:pPr>
            <w:r>
              <w:rPr>
                <w:rFonts w:ascii="Arial" w:cs="Arial" w:eastAsia="Arial" w:hAnsi="Arial"/>
                <w:sz w:val="14"/>
                <w:szCs w:val="14"/>
                <w:color w:val="auto"/>
                <w:w w:val="94"/>
              </w:rPr>
              <w:t>Outcome-</w:t>
            </w:r>
          </w:p>
        </w:tc>
        <w:tc>
          <w:tcPr>
            <w:tcW w:w="10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5"/>
              </w:rPr>
              <w:t>Based</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Staffing</w:t>
            </w: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Solutions</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and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Permanent</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7"/>
        </w:trPr>
        <w:tc>
          <w:tcPr>
            <w:tcW w:w="920" w:type="dxa"/>
            <w:vAlign w:val="bottom"/>
          </w:tcPr>
          <w:p>
            <w:pPr>
              <w:jc w:val="center"/>
              <w:spacing w:after="0"/>
              <w:rPr>
                <w:sz w:val="20"/>
                <w:szCs w:val="20"/>
                <w:color w:val="auto"/>
              </w:rPr>
            </w:pPr>
            <w:r>
              <w:rPr>
                <w:rFonts w:ascii="Arial" w:cs="Arial" w:eastAsia="Arial" w:hAnsi="Arial"/>
                <w:sz w:val="14"/>
                <w:szCs w:val="14"/>
                <w:color w:val="auto"/>
                <w:w w:val="98"/>
              </w:rPr>
              <w:t>Interim</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93"/>
              </w:rPr>
              <w:t>Consulting</w:t>
            </w:r>
          </w:p>
        </w:tc>
        <w:tc>
          <w:tcPr>
            <w:tcW w:w="1080" w:type="dxa"/>
            <w:vAlign w:val="bottom"/>
          </w:tcPr>
          <w:p>
            <w:pPr>
              <w:jc w:val="center"/>
              <w:ind w:right="8"/>
              <w:spacing w:after="0"/>
              <w:rPr>
                <w:sz w:val="20"/>
                <w:szCs w:val="20"/>
                <w:color w:val="auto"/>
              </w:rPr>
            </w:pPr>
            <w:r>
              <w:rPr>
                <w:rFonts w:ascii="Arial" w:cs="Arial" w:eastAsia="Arial" w:hAnsi="Arial"/>
                <w:sz w:val="14"/>
                <w:szCs w:val="14"/>
                <w:color w:val="auto"/>
                <w:w w:val="95"/>
              </w:rPr>
              <w:t>Recruitment</w:t>
            </w:r>
          </w:p>
        </w:tc>
        <w:tc>
          <w:tcPr>
            <w:tcW w:w="880" w:type="dxa"/>
            <w:vAlign w:val="bottom"/>
          </w:tcPr>
          <w:p>
            <w:pPr>
              <w:ind w:left="220"/>
              <w:spacing w:after="0"/>
              <w:rPr>
                <w:sz w:val="20"/>
                <w:szCs w:val="20"/>
                <w:color w:val="auto"/>
              </w:rPr>
            </w:pPr>
            <w:r>
              <w:rPr>
                <w:rFonts w:ascii="Arial" w:cs="Arial" w:eastAsia="Arial" w:hAnsi="Arial"/>
                <w:sz w:val="14"/>
                <w:szCs w:val="14"/>
                <w:color w:val="auto"/>
              </w:rPr>
              <w:t>Other</w:t>
            </w:r>
          </w:p>
        </w:tc>
        <w:tc>
          <w:tcPr>
            <w:tcW w:w="940" w:type="dxa"/>
            <w:vAlign w:val="bottom"/>
          </w:tcPr>
          <w:p>
            <w:pPr>
              <w:ind w:left="32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8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Outcome-</w:t>
            </w:r>
          </w:p>
        </w:tc>
        <w:tc>
          <w:tcPr>
            <w:tcW w:w="10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0"/>
              </w:rPr>
              <w:t>Based</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Staffing</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7"/>
              </w:rPr>
              <w:t>Solutions</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08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7"/>
              </w:rPr>
              <w:t>Permanent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7"/>
        </w:trPr>
        <w:tc>
          <w:tcPr>
            <w:tcW w:w="800" w:type="dxa"/>
            <w:vAlign w:val="bottom"/>
          </w:tcPr>
          <w:p>
            <w:pPr>
              <w:jc w:val="center"/>
              <w:ind w:right="8"/>
              <w:spacing w:after="0"/>
              <w:rPr>
                <w:sz w:val="20"/>
                <w:szCs w:val="20"/>
                <w:color w:val="auto"/>
              </w:rPr>
            </w:pPr>
            <w:r>
              <w:rPr>
                <w:rFonts w:ascii="Arial" w:cs="Arial" w:eastAsia="Arial" w:hAnsi="Arial"/>
                <w:sz w:val="14"/>
                <w:szCs w:val="14"/>
                <w:color w:val="auto"/>
              </w:rPr>
              <w:t>Interim</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080" w:type="dxa"/>
            <w:vAlign w:val="bottom"/>
          </w:tcPr>
          <w:p>
            <w:pPr>
              <w:jc w:val="center"/>
              <w:ind w:right="8"/>
              <w:spacing w:after="0"/>
              <w:rPr>
                <w:sz w:val="20"/>
                <w:szCs w:val="20"/>
                <w:color w:val="auto"/>
              </w:rPr>
            </w:pPr>
            <w:r>
              <w:rPr>
                <w:rFonts w:ascii="Arial" w:cs="Arial" w:eastAsia="Arial" w:hAnsi="Arial"/>
                <w:sz w:val="14"/>
                <w:szCs w:val="14"/>
                <w:color w:val="auto"/>
                <w:w w:val="95"/>
              </w:rPr>
              <w:t>Recruitment</w:t>
            </w:r>
          </w:p>
        </w:tc>
        <w:tc>
          <w:tcPr>
            <w:tcW w:w="840" w:type="dxa"/>
            <w:vAlign w:val="bottom"/>
          </w:tcPr>
          <w:p>
            <w:pPr>
              <w:ind w:left="220"/>
              <w:spacing w:after="0"/>
              <w:rPr>
                <w:sz w:val="20"/>
                <w:szCs w:val="20"/>
                <w:color w:val="auto"/>
              </w:rPr>
            </w:pPr>
            <w:r>
              <w:rPr>
                <w:rFonts w:ascii="Arial" w:cs="Arial" w:eastAsia="Arial" w:hAnsi="Arial"/>
                <w:sz w:val="14"/>
                <w:szCs w:val="14"/>
                <w:color w:val="auto"/>
              </w:rPr>
              <w:t>Other</w:t>
            </w:r>
          </w:p>
        </w:tc>
        <w:tc>
          <w:tcPr>
            <w:tcW w:w="820" w:type="dxa"/>
            <w:vAlign w:val="bottom"/>
          </w:tcPr>
          <w:p>
            <w:pPr>
              <w:ind w:left="30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740" w:space="160"/>
            <w:col w:w="4520"/>
          </w:cols>
          <w:pgMar w:left="240" w:top="530"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r>
      <w:tr>
        <w:trPr>
          <w:trHeight w:val="162"/>
        </w:trPr>
        <w:tc>
          <w:tcPr>
            <w:tcW w:w="174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2,186.8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130.9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2,507.0</w:t>
            </w:r>
          </w:p>
        </w:tc>
        <w:tc>
          <w:tcPr>
            <w:tcW w:w="16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2,208.3</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129.7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2,522.3</w:t>
            </w:r>
          </w:p>
        </w:tc>
      </w:tr>
      <w:tr>
        <w:trPr>
          <w:trHeight w:val="162"/>
        </w:trPr>
        <w:tc>
          <w:tcPr>
            <w:tcW w:w="1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1,596.6</w:t>
            </w:r>
          </w:p>
        </w:tc>
        <w:tc>
          <w:tcPr>
            <w:tcW w:w="3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49.0</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25.4</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1,675.3</w:t>
            </w:r>
          </w:p>
        </w:tc>
        <w:tc>
          <w:tcPr>
            <w:tcW w:w="1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1,561.1</w:t>
            </w:r>
          </w:p>
        </w:tc>
        <w:tc>
          <w:tcPr>
            <w:tcW w:w="3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47.2</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24.7</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1,637.0</w:t>
            </w:r>
          </w:p>
        </w:tc>
      </w:tr>
      <w:tr>
        <w:trPr>
          <w:trHeight w:val="156"/>
        </w:trPr>
        <w:tc>
          <w:tcPr>
            <w:tcW w:w="1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3,783.4</w:t>
            </w: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179.9</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123.4</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95.6</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4,182.3</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3,769.4</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176.9</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117.6</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95.4</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4,159.3</w:t>
            </w:r>
          </w:p>
        </w:tc>
      </w:tr>
      <w:tr>
        <w:trPr>
          <w:trHeight w:val="156"/>
        </w:trPr>
        <w:tc>
          <w:tcPr>
            <w:tcW w:w="1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r>
      <w:tr>
        <w:trPr>
          <w:trHeight w:val="162"/>
        </w:trPr>
        <w:tc>
          <w:tcPr>
            <w:tcW w:w="1740" w:type="dxa"/>
            <w:vAlign w:val="bottom"/>
          </w:tcPr>
          <w:p>
            <w:pPr>
              <w:ind w:left="260"/>
              <w:spacing w:after="0"/>
              <w:rPr>
                <w:sz w:val="20"/>
                <w:szCs w:val="20"/>
                <w:color w:val="auto"/>
              </w:rPr>
            </w:pPr>
            <w:r>
              <w:rPr>
                <w:rFonts w:ascii="Arial" w:cs="Arial" w:eastAsia="Arial" w:hAnsi="Arial"/>
                <w:sz w:val="14"/>
                <w:szCs w:val="14"/>
                <w:color w:val="auto"/>
              </w:rPr>
              <w:t>France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5,159.5</w:t>
            </w:r>
          </w:p>
        </w:tc>
        <w:tc>
          <w:tcPr>
            <w:tcW w:w="3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232.4</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2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5,459.7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5,526.5</w:t>
            </w:r>
          </w:p>
        </w:tc>
        <w:tc>
          <w:tcPr>
            <w:tcW w:w="3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224.7</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54.9</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5,827.7</w:t>
            </w:r>
          </w:p>
        </w:tc>
      </w:tr>
      <w:tr>
        <w:trPr>
          <w:trHeight w:val="162"/>
        </w:trPr>
        <w:tc>
          <w:tcPr>
            <w:tcW w:w="1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1,401.9</w:t>
            </w: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44.6</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22.4</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1,506.5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1,565.6</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48.4</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35.9</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1,670.6</w:t>
            </w:r>
          </w:p>
        </w:tc>
      </w:tr>
      <w:tr>
        <w:trPr>
          <w:trHeight w:val="162"/>
        </w:trPr>
        <w:tc>
          <w:tcPr>
            <w:tcW w:w="17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1,800.7</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332.3</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2,200.2</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1,496.4</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306.2</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1,873.3</w:t>
            </w:r>
          </w:p>
        </w:tc>
      </w:tr>
      <w:tr>
        <w:trPr>
          <w:trHeight w:val="156"/>
        </w:trPr>
        <w:tc>
          <w:tcPr>
            <w:tcW w:w="1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8,362.1</w:t>
            </w:r>
          </w:p>
        </w:tc>
        <w:tc>
          <w:tcPr>
            <w:tcW w:w="3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609.3</w:t>
            </w:r>
          </w:p>
        </w:tc>
        <w:tc>
          <w:tcPr>
            <w:tcW w:w="3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148.6</w:t>
            </w:r>
          </w:p>
        </w:tc>
        <w:tc>
          <w:tcPr>
            <w:tcW w:w="3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46.4</w:t>
            </w:r>
          </w:p>
        </w:tc>
        <w:tc>
          <w:tcPr>
            <w:tcW w:w="2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9,166.4</w:t>
            </w:r>
          </w:p>
        </w:tc>
        <w:tc>
          <w:tcPr>
            <w:tcW w:w="1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8,588.5</w:t>
            </w:r>
          </w:p>
        </w:tc>
        <w:tc>
          <w:tcPr>
            <w:tcW w:w="3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579.3</w:t>
            </w:r>
          </w:p>
        </w:tc>
        <w:tc>
          <w:tcPr>
            <w:tcW w:w="3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145.6</w:t>
            </w:r>
          </w:p>
        </w:tc>
        <w:tc>
          <w:tcPr>
            <w:tcW w:w="3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58.2</w:t>
            </w: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9,371.6</w:t>
            </w:r>
          </w:p>
        </w:tc>
      </w:tr>
      <w:tr>
        <w:trPr>
          <w:trHeight w:val="156"/>
        </w:trPr>
        <w:tc>
          <w:tcPr>
            <w:tcW w:w="174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4,180.9</w:t>
            </w:r>
          </w:p>
        </w:tc>
        <w:tc>
          <w:tcPr>
            <w:tcW w:w="34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332.3</w:t>
            </w:r>
          </w:p>
        </w:tc>
        <w:tc>
          <w:tcPr>
            <w:tcW w:w="36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145.7</w:t>
            </w:r>
          </w:p>
        </w:tc>
        <w:tc>
          <w:tcPr>
            <w:tcW w:w="36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32.4</w:t>
            </w:r>
          </w:p>
        </w:tc>
        <w:tc>
          <w:tcPr>
            <w:tcW w:w="260" w:type="dxa"/>
            <w:vAlign w:val="bottom"/>
          </w:tcPr>
          <w:p>
            <w:pPr>
              <w:spacing w:after="0"/>
              <w:rPr>
                <w:sz w:val="13"/>
                <w:szCs w:val="13"/>
                <w:color w:val="auto"/>
              </w:rPr>
            </w:pPr>
          </w:p>
        </w:tc>
        <w:tc>
          <w:tcPr>
            <w:tcW w:w="7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4,691.3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4,746.3</w:t>
            </w:r>
          </w:p>
        </w:tc>
        <w:tc>
          <w:tcPr>
            <w:tcW w:w="30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426.2</w:t>
            </w:r>
          </w:p>
        </w:tc>
        <w:tc>
          <w:tcPr>
            <w:tcW w:w="36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164.4</w:t>
            </w:r>
          </w:p>
        </w:tc>
        <w:tc>
          <w:tcPr>
            <w:tcW w:w="360" w:type="dxa"/>
            <w:vAlign w:val="bottom"/>
          </w:tcPr>
          <w:p>
            <w:pPr>
              <w:spacing w:after="0"/>
              <w:rPr>
                <w:sz w:val="13"/>
                <w:szCs w:val="13"/>
                <w:color w:val="auto"/>
              </w:rPr>
            </w:pPr>
          </w:p>
        </w:tc>
        <w:tc>
          <w:tcPr>
            <w:tcW w:w="6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33.6</w:t>
            </w:r>
          </w:p>
        </w:tc>
        <w:tc>
          <w:tcPr>
            <w:tcW w:w="2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5,370.5</w:t>
            </w:r>
          </w:p>
        </w:tc>
      </w:tr>
      <w:tr>
        <w:trPr>
          <w:trHeight w:val="162"/>
        </w:trPr>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2,159.7</w:t>
            </w: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294.7</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159.8</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2,627.2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2,394.0</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284.9</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196.3</w:t>
            </w: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2,890.3</w:t>
            </w:r>
          </w:p>
        </w:tc>
      </w:tr>
      <w:tr>
        <w:trPr>
          <w:trHeight w:val="162"/>
        </w:trPr>
        <w:tc>
          <w:tcPr>
            <w:tcW w:w="1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150.1</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196.3</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149.6</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w:t>
            </w:r>
          </w:p>
        </w:tc>
      </w:tr>
      <w:tr>
        <w:trPr>
          <w:trHeight w:val="156"/>
        </w:trPr>
        <w:tc>
          <w:tcPr>
            <w:tcW w:w="17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18,486.1</w:t>
            </w:r>
          </w:p>
        </w:tc>
        <w:tc>
          <w:tcPr>
            <w:tcW w:w="3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1,462.4</w:t>
            </w:r>
          </w:p>
        </w:tc>
        <w:tc>
          <w:tcPr>
            <w:tcW w:w="3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577.5</w:t>
            </w:r>
          </w:p>
        </w:tc>
        <w:tc>
          <w:tcPr>
            <w:tcW w:w="3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337.5</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20,863.5</w:t>
            </w: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19,498.2</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1,517.2</w:t>
            </w:r>
          </w:p>
        </w:tc>
        <w:tc>
          <w:tcPr>
            <w:tcW w:w="3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623.9</w:t>
            </w:r>
          </w:p>
        </w:tc>
        <w:tc>
          <w:tcPr>
            <w:tcW w:w="3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351.9</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21,991.2</w:t>
            </w:r>
          </w:p>
        </w:tc>
      </w:tr>
      <w:tr>
        <w:trPr>
          <w:trHeight w:val="20"/>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w w:val="96"/>
              </w:rPr>
              <w:t>Year Ended December 31,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ind w:right="168"/>
              <w:spacing w:after="0" w:line="137"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right="168"/>
              <w:spacing w:after="0" w:line="137" w:lineRule="exact"/>
              <w:rPr>
                <w:sz w:val="20"/>
                <w:szCs w:val="20"/>
                <w:color w:val="auto"/>
              </w:rPr>
            </w:pPr>
            <w:r>
              <w:rPr>
                <w:rFonts w:ascii="Arial" w:cs="Arial" w:eastAsia="Arial" w:hAnsi="Arial"/>
                <w:sz w:val="14"/>
                <w:szCs w:val="14"/>
                <w:color w:val="auto"/>
                <w:w w:val="89"/>
              </w:rPr>
              <w:t>Services</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89"/>
              </w:rPr>
              <w:t>Services</w:t>
            </w:r>
          </w:p>
        </w:tc>
        <w:tc>
          <w:tcPr>
            <w:tcW w:w="240" w:type="dxa"/>
            <w:vAlign w:val="bottom"/>
          </w:tcPr>
          <w:p>
            <w:pPr>
              <w:spacing w:after="0"/>
              <w:rPr>
                <w:sz w:val="12"/>
                <w:szCs w:val="12"/>
                <w:color w:val="auto"/>
              </w:rPr>
            </w:pPr>
          </w:p>
        </w:tc>
        <w:tc>
          <w:tcPr>
            <w:tcW w:w="9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89"/>
              </w:rPr>
              <w:t>Services</w:t>
            </w:r>
          </w:p>
        </w:tc>
        <w:tc>
          <w:tcPr>
            <w:tcW w:w="24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4"/>
              </w:rPr>
              <w:t>transferred</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40" w:type="dxa"/>
            <w:vAlign w:val="bottom"/>
          </w:tcPr>
          <w:p>
            <w:pPr>
              <w:spacing w:after="0"/>
              <w:rPr>
                <w:sz w:val="12"/>
                <w:szCs w:val="12"/>
                <w:color w:val="auto"/>
              </w:rPr>
            </w:pPr>
          </w:p>
        </w:tc>
        <w:tc>
          <w:tcPr>
            <w:tcW w:w="9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3"/>
              </w:rPr>
              <w:t>at a point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1"/>
              </w:rPr>
              <w:t>transferred</w:t>
            </w:r>
          </w:p>
        </w:tc>
        <w:tc>
          <w:tcPr>
            <w:tcW w:w="24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0"/>
              </w:rPr>
              <w:t>at a point</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20" w:type="dxa"/>
            <w:vAlign w:val="bottom"/>
            <w:vMerge w:val="restart"/>
          </w:tcPr>
          <w:p>
            <w:pPr>
              <w:spacing w:after="0"/>
              <w:rPr>
                <w:sz w:val="20"/>
                <w:szCs w:val="20"/>
                <w:color w:val="auto"/>
              </w:rPr>
            </w:pPr>
            <w:r>
              <w:rPr>
                <w:rFonts w:ascii="Arial" w:cs="Arial" w:eastAsia="Arial" w:hAnsi="Arial"/>
                <w:sz w:val="14"/>
                <w:szCs w:val="14"/>
                <w:color w:val="auto"/>
              </w:rPr>
              <w:t>Americas:</w:t>
            </w:r>
          </w:p>
        </w:tc>
        <w:tc>
          <w:tcPr>
            <w:tcW w:w="14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7"/>
              </w:rPr>
              <w:t>over time</w:t>
            </w:r>
          </w:p>
        </w:tc>
        <w:tc>
          <w:tcPr>
            <w:tcW w:w="240" w:type="dxa"/>
            <w:vAlign w:val="bottom"/>
          </w:tcPr>
          <w:p>
            <w:pPr>
              <w:spacing w:after="0"/>
              <w:rPr>
                <w:sz w:val="14"/>
                <w:szCs w:val="14"/>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6"/>
              </w:rPr>
              <w:t>in time</w:t>
            </w: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980" w:type="dxa"/>
            <w:vAlign w:val="bottom"/>
          </w:tcPr>
          <w:p>
            <w:pPr>
              <w:jc w:val="center"/>
              <w:ind w:right="188"/>
              <w:spacing w:after="0"/>
              <w:rPr>
                <w:sz w:val="20"/>
                <w:szCs w:val="20"/>
                <w:color w:val="auto"/>
              </w:rPr>
            </w:pPr>
            <w:r>
              <w:rPr>
                <w:rFonts w:ascii="Arial" w:cs="Arial" w:eastAsia="Arial" w:hAnsi="Arial"/>
                <w:sz w:val="14"/>
                <w:szCs w:val="14"/>
                <w:color w:val="auto"/>
                <w:w w:val="97"/>
              </w:rPr>
              <w:t>over time</w:t>
            </w:r>
          </w:p>
        </w:tc>
        <w:tc>
          <w:tcPr>
            <w:tcW w:w="240" w:type="dxa"/>
            <w:vAlign w:val="bottom"/>
          </w:tcPr>
          <w:p>
            <w:pPr>
              <w:spacing w:after="0"/>
              <w:rPr>
                <w:sz w:val="14"/>
                <w:szCs w:val="14"/>
                <w:color w:val="auto"/>
              </w:rPr>
            </w:pPr>
          </w:p>
        </w:tc>
        <w:tc>
          <w:tcPr>
            <w:tcW w:w="960" w:type="dxa"/>
            <w:vAlign w:val="bottom"/>
          </w:tcPr>
          <w:p>
            <w:pPr>
              <w:jc w:val="center"/>
              <w:ind w:right="168"/>
              <w:spacing w:after="0"/>
              <w:rPr>
                <w:sz w:val="20"/>
                <w:szCs w:val="20"/>
                <w:color w:val="auto"/>
              </w:rPr>
            </w:pPr>
            <w:r>
              <w:rPr>
                <w:rFonts w:ascii="Arial" w:cs="Arial" w:eastAsia="Arial" w:hAnsi="Arial"/>
                <w:sz w:val="14"/>
                <w:szCs w:val="14"/>
                <w:color w:val="auto"/>
                <w:w w:val="96"/>
              </w:rPr>
              <w:t>in time</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2,453.1</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53.9</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2,507.0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2,471.0</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51.3</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2,522.3</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Americas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1,657.9</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1,675.3</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1,619.7</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1,637.0</w:t>
            </w:r>
          </w:p>
        </w:tc>
        <w:tc>
          <w:tcPr>
            <w:tcW w:w="0" w:type="dxa"/>
            <w:vAlign w:val="bottom"/>
          </w:tcPr>
          <w:p>
            <w:pPr>
              <w:spacing w:after="0"/>
              <w:rPr>
                <w:sz w:val="1"/>
                <w:szCs w:val="1"/>
                <w:color w:val="auto"/>
              </w:rPr>
            </w:pPr>
          </w:p>
        </w:tc>
      </w:tr>
      <w:tr>
        <w:trPr>
          <w:trHeight w:val="156"/>
        </w:trPr>
        <w:tc>
          <w:tcPr>
            <w:tcW w:w="43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4,111.0</w:t>
            </w:r>
          </w:p>
        </w:tc>
        <w:tc>
          <w:tcPr>
            <w:tcW w:w="2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71.3</w:t>
            </w: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4,182.3</w:t>
            </w: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4,090.7</w:t>
            </w: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68.6</w:t>
            </w:r>
          </w:p>
        </w:tc>
        <w:tc>
          <w:tcPr>
            <w:tcW w:w="3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4,159.3</w:t>
            </w:r>
          </w:p>
        </w:tc>
        <w:tc>
          <w:tcPr>
            <w:tcW w:w="0" w:type="dxa"/>
            <w:vAlign w:val="bottom"/>
          </w:tcPr>
          <w:p>
            <w:pPr>
              <w:spacing w:after="0"/>
              <w:rPr>
                <w:sz w:val="1"/>
                <w:szCs w:val="1"/>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France</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5,410.9</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48.8</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5,459.7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5,775.1</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52.6</w:t>
            </w: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5,827.7</w:t>
            </w:r>
          </w:p>
        </w:tc>
        <w:tc>
          <w:tcPr>
            <w:tcW w:w="0" w:type="dxa"/>
            <w:vAlign w:val="bottom"/>
          </w:tcPr>
          <w:p>
            <w:pPr>
              <w:spacing w:after="0"/>
              <w:rPr>
                <w:sz w:val="1"/>
                <w:szCs w:val="1"/>
                <w:color w:val="auto"/>
              </w:rPr>
            </w:pPr>
          </w:p>
        </w:tc>
      </w:tr>
      <w:tr>
        <w:trPr>
          <w:trHeight w:val="162"/>
        </w:trPr>
        <w:tc>
          <w:tcPr>
            <w:tcW w:w="4320" w:type="dxa"/>
            <w:vAlign w:val="bottom"/>
          </w:tcPr>
          <w:p>
            <w:pPr>
              <w:ind w:left="260"/>
              <w:spacing w:after="0"/>
              <w:rPr>
                <w:sz w:val="20"/>
                <w:szCs w:val="20"/>
                <w:color w:val="auto"/>
              </w:rPr>
            </w:pPr>
            <w:r>
              <w:rPr>
                <w:rFonts w:ascii="Arial" w:cs="Arial" w:eastAsia="Arial" w:hAnsi="Arial"/>
                <w:sz w:val="14"/>
                <w:szCs w:val="14"/>
                <w:color w:val="auto"/>
              </w:rPr>
              <w:t>Italy</w:t>
            </w:r>
          </w:p>
        </w:tc>
        <w:tc>
          <w:tcPr>
            <w:tcW w:w="1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1,471.8</w:t>
            </w:r>
          </w:p>
        </w:tc>
        <w:tc>
          <w:tcPr>
            <w:tcW w:w="2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26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1,506.5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1,637.1</w:t>
            </w:r>
          </w:p>
        </w:tc>
        <w:tc>
          <w:tcPr>
            <w:tcW w:w="2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1,670.6</w:t>
            </w: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Southern Europe</w:t>
            </w: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2,151.3</w:t>
            </w: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48.9</w:t>
            </w: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2,200.2</w:t>
            </w: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1,827.7</w:t>
            </w: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45.6</w:t>
            </w:r>
          </w:p>
        </w:tc>
        <w:tc>
          <w:tcPr>
            <w:tcW w:w="3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1,873.3</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9,034.0</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132.4</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9,166.4</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9,239.9</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131.7</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9,371.6</w:t>
            </w:r>
          </w:p>
        </w:tc>
        <w:tc>
          <w:tcPr>
            <w:tcW w:w="0" w:type="dxa"/>
            <w:vAlign w:val="bottom"/>
          </w:tcPr>
          <w:p>
            <w:pPr>
              <w:spacing w:after="0"/>
              <w:rPr>
                <w:sz w:val="1"/>
                <w:szCs w:val="1"/>
                <w:color w:val="auto"/>
              </w:rPr>
            </w:pPr>
          </w:p>
        </w:tc>
      </w:tr>
      <w:tr>
        <w:trPr>
          <w:trHeight w:val="156"/>
        </w:trPr>
        <w:tc>
          <w:tcPr>
            <w:tcW w:w="4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Northern Europe</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4,564.5</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126.8</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4,691.3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5,229.1</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141.4</w:t>
            </w: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5,370.5</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APME</w:t>
            </w:r>
          </w:p>
        </w:tc>
        <w:tc>
          <w:tcPr>
            <w:tcW w:w="14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2,526.3</w:t>
            </w:r>
          </w:p>
        </w:tc>
        <w:tc>
          <w:tcPr>
            <w:tcW w:w="2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100.9</w:t>
            </w:r>
          </w:p>
        </w:tc>
        <w:tc>
          <w:tcPr>
            <w:tcW w:w="26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2,627.2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2,758.3</w:t>
            </w:r>
          </w:p>
        </w:tc>
        <w:tc>
          <w:tcPr>
            <w:tcW w:w="2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2,890.3</w:t>
            </w:r>
          </w:p>
        </w:tc>
        <w:tc>
          <w:tcPr>
            <w:tcW w:w="0" w:type="dxa"/>
            <w:vAlign w:val="bottom"/>
          </w:tcPr>
          <w:p>
            <w:pPr>
              <w:spacing w:after="0"/>
              <w:rPr>
                <w:sz w:val="1"/>
                <w:szCs w:val="1"/>
                <w:color w:val="auto"/>
              </w:rPr>
            </w:pPr>
          </w:p>
        </w:tc>
      </w:tr>
      <w:tr>
        <w:trPr>
          <w:trHeight w:val="162"/>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Right Management</w:t>
            </w: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196.3</w:t>
            </w: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196.3</w:t>
            </w: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199.5</w:t>
            </w: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20,432.1</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431.4</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20,863.5</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21,517.5</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473.7</w:t>
            </w:r>
          </w:p>
        </w:tc>
        <w:tc>
          <w:tcPr>
            <w:tcW w:w="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21,991.2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66" w:name="page67"/>
    <w:bookmarkEnd w:id="66"/>
    <w:p>
      <w:pPr>
        <w:ind w:left="260" w:hanging="252"/>
        <w:spacing w:after="0"/>
        <w:tabs>
          <w:tab w:leader="none" w:pos="260" w:val="left"/>
        </w:tabs>
        <w:numPr>
          <w:ilvl w:val="0"/>
          <w:numId w:val="29"/>
        </w:numPr>
        <w:rPr>
          <w:rFonts w:ascii="Arial" w:cs="Arial" w:eastAsia="Arial" w:hAnsi="Arial"/>
          <w:sz w:val="18"/>
          <w:szCs w:val="18"/>
          <w:color w:val="282A32"/>
        </w:rPr>
      </w:pPr>
      <w:r>
        <w:rPr>
          <w:rFonts w:ascii="Arial" w:cs="Arial" w:eastAsia="Arial" w:hAnsi="Arial"/>
          <w:sz w:val="18"/>
          <w:szCs w:val="18"/>
          <w:u w:val="single" w:color="auto"/>
          <w:color w:val="282A32"/>
        </w:rPr>
        <w:t>Share-Based Compensation Plans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During 2019, 2018 and 2017, we recognized $26.3, $27.8 and $28.7, respectively, in share-based compensation expense related to stock options, deferred stock, restricted stock and performance share units, all of which is recorded in selling and administrative expenses. Consideration received from share-based awards for 2019, 2018 and 2017 was $7.0, $5.2 and $44.2, respectively. The total income tax benefit recognized related to share-based compensation during 2019, 2018 and 2017 was $1.8, $4.5 and $23.7, respectively. We recognize compensation expense on grants of share-based compensation awards on a straight-line basis over the vesting period of each award.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Stock Options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All share-based compensation is granted under the 2011 Equity Incentive Plan of ManpowerGroup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2019 or 2018. A summary of stock option activity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Wtd. Avg.</w:t>
            </w: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Wtd. Avg.</w:t>
            </w:r>
          </w:p>
        </w:tc>
        <w:tc>
          <w:tcPr>
            <w:tcW w:w="1060" w:type="dxa"/>
            <w:vAlign w:val="bottom"/>
          </w:tcPr>
          <w:p>
            <w:pPr>
              <w:jc w:val="right"/>
              <w:spacing w:after="0"/>
              <w:rPr>
                <w:sz w:val="20"/>
                <w:szCs w:val="20"/>
                <w:color w:val="auto"/>
              </w:rPr>
            </w:pPr>
            <w:r>
              <w:rPr>
                <w:rFonts w:ascii="Arial" w:cs="Arial" w:eastAsia="Arial" w:hAnsi="Arial"/>
                <w:sz w:val="18"/>
                <w:szCs w:val="18"/>
                <w:color w:val="auto"/>
              </w:rPr>
              <w:t>Remaining</w:t>
            </w:r>
          </w:p>
        </w:tc>
        <w:tc>
          <w:tcPr>
            <w:tcW w:w="1120" w:type="dxa"/>
            <w:vAlign w:val="bottom"/>
          </w:tcPr>
          <w:p>
            <w:pPr>
              <w:jc w:val="right"/>
              <w:spacing w:after="0"/>
              <w:rPr>
                <w:sz w:val="20"/>
                <w:szCs w:val="20"/>
                <w:color w:val="auto"/>
              </w:rPr>
            </w:pPr>
            <w:r>
              <w:rPr>
                <w:rFonts w:ascii="Arial" w:cs="Arial" w:eastAsia="Arial" w:hAnsi="Arial"/>
                <w:sz w:val="18"/>
                <w:szCs w:val="18"/>
                <w:color w:val="auto"/>
              </w:rPr>
              <w:t>Aggregate</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Exercise Price</w:t>
            </w:r>
          </w:p>
        </w:tc>
        <w:tc>
          <w:tcPr>
            <w:tcW w:w="1060" w:type="dxa"/>
            <w:vAlign w:val="bottom"/>
          </w:tcPr>
          <w:p>
            <w:pPr>
              <w:jc w:val="right"/>
              <w:spacing w:after="0"/>
              <w:rPr>
                <w:sz w:val="20"/>
                <w:szCs w:val="20"/>
                <w:color w:val="auto"/>
              </w:rPr>
            </w:pPr>
            <w:r>
              <w:rPr>
                <w:rFonts w:ascii="Arial" w:cs="Arial" w:eastAsia="Arial" w:hAnsi="Arial"/>
                <w:sz w:val="18"/>
                <w:szCs w:val="18"/>
                <w:color w:val="auto"/>
              </w:rPr>
              <w:t>Contractual</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Intrinsic Value</w:t>
            </w:r>
          </w:p>
        </w:tc>
      </w:tr>
      <w:tr>
        <w:trPr>
          <w:trHeight w:val="230"/>
        </w:trPr>
        <w:tc>
          <w:tcPr>
            <w:tcW w:w="2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Shares (000)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 Share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Term (years)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r>
      <w:tr>
        <w:trPr>
          <w:trHeight w:val="223"/>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2017</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Granted</w:t>
            </w:r>
          </w:p>
        </w:tc>
        <w:tc>
          <w:tcPr>
            <w:tcW w:w="2840" w:type="dxa"/>
            <w:vAlign w:val="bottom"/>
          </w:tcPr>
          <w:p>
            <w:pPr>
              <w:jc w:val="right"/>
              <w:spacing w:after="0"/>
              <w:rPr>
                <w:sz w:val="20"/>
                <w:szCs w:val="20"/>
                <w:color w:val="auto"/>
              </w:rPr>
            </w:pPr>
            <w:r>
              <w:rPr>
                <w:rFonts w:ascii="Arial" w:cs="Arial" w:eastAsia="Arial" w:hAnsi="Arial"/>
                <w:sz w:val="18"/>
                <w:szCs w:val="18"/>
                <w:color w:val="auto"/>
              </w:rPr>
              <w:t>145</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Expired or cancelled</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December 31, 2017</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or expected to vest, December 31, 2017</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1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Exercisable, December 31, 2017</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Outstanding, January 1, 2018</w:t>
            </w:r>
          </w:p>
        </w:tc>
        <w:tc>
          <w:tcPr>
            <w:tcW w:w="2840" w:type="dxa"/>
            <w:vAlign w:val="bottom"/>
          </w:tcPr>
          <w:p>
            <w:pPr>
              <w:jc w:val="right"/>
              <w:spacing w:after="0"/>
              <w:rPr>
                <w:sz w:val="20"/>
                <w:szCs w:val="20"/>
                <w:color w:val="auto"/>
              </w:rPr>
            </w:pPr>
            <w:r>
              <w:rPr>
                <w:rFonts w:ascii="Arial" w:cs="Arial" w:eastAsia="Arial" w:hAnsi="Arial"/>
                <w:sz w:val="18"/>
                <w:szCs w:val="18"/>
                <w:color w:val="auto"/>
              </w:rPr>
              <w:t>574</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Granted</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0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Expired or cancelled</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December 31, 2018</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Vested or expected to vest, December 31, 2018</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120" w:type="dxa"/>
            <w:vAlign w:val="bottom"/>
            <w:tcBorders>
              <w:bottom w:val="single" w:sz="8" w:color="auto"/>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2018</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Granted</w:t>
            </w:r>
          </w:p>
        </w:tc>
        <w:tc>
          <w:tcPr>
            <w:tcW w:w="2840" w:type="dxa"/>
            <w:vAlign w:val="bottom"/>
          </w:tcPr>
          <w:p>
            <w:pPr>
              <w:jc w:val="right"/>
              <w:spacing w:after="0"/>
              <w:rPr>
                <w:sz w:val="20"/>
                <w:szCs w:val="20"/>
                <w:color w:val="auto"/>
              </w:rPr>
            </w:pPr>
            <w:r>
              <w:rPr>
                <w:rFonts w:ascii="Arial" w:cs="Arial" w:eastAsia="Arial" w:hAnsi="Arial"/>
                <w:sz w:val="18"/>
                <w:szCs w:val="18"/>
                <w:color w:val="auto"/>
              </w:rPr>
              <w:t>174</w:t>
            </w: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2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Expired or cancelled</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December 31, 2019</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or expected to vest, December 31, 2019</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1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Exercisable, December 31, 2019</w:t>
            </w:r>
          </w:p>
        </w:tc>
        <w:tc>
          <w:tcPr>
            <w:tcW w:w="2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282A32"/>
                <w:w w:val="90"/>
              </w:rPr>
              <w:t>Options outstanding and exercisable as of December 31, 2019 were as follows:</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5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gridSpan w:val="3"/>
          </w:tcPr>
          <w:p>
            <w:pPr>
              <w:jc w:val="right"/>
              <w:ind w:right="120"/>
              <w:spacing w:after="0"/>
              <w:rPr>
                <w:sz w:val="20"/>
                <w:szCs w:val="20"/>
                <w:color w:val="auto"/>
              </w:rPr>
            </w:pPr>
            <w:r>
              <w:rPr>
                <w:rFonts w:ascii="Arial" w:cs="Arial" w:eastAsia="Arial" w:hAnsi="Arial"/>
                <w:sz w:val="18"/>
                <w:szCs w:val="18"/>
                <w:color w:val="auto"/>
              </w:rPr>
              <w:t>Options Outstanding</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Options Exercisable</w:t>
            </w:r>
          </w:p>
        </w:tc>
      </w:tr>
      <w:tr>
        <w:trPr>
          <w:trHeight w:val="209"/>
        </w:trPr>
        <w:tc>
          <w:tcPr>
            <w:tcW w:w="57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Weighted-</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Average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Weighted-</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Weighted-</w:t>
            </w:r>
          </w:p>
        </w:tc>
      </w:tr>
      <w:tr>
        <w:trPr>
          <w:trHeight w:val="216"/>
        </w:trPr>
        <w:tc>
          <w:tcPr>
            <w:tcW w:w="5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Remaining</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Average</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Average</w:t>
            </w:r>
          </w:p>
        </w:tc>
      </w:tr>
      <w:tr>
        <w:trPr>
          <w:trHeight w:val="216"/>
        </w:trPr>
        <w:tc>
          <w:tcPr>
            <w:tcW w:w="5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Contractual</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Exercise</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Exercise</w:t>
            </w:r>
          </w:p>
        </w:tc>
      </w:tr>
      <w:tr>
        <w:trPr>
          <w:trHeight w:val="230"/>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 Price</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Shares (000)</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Life (years)</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Price</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Shares (000)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$44-$59</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w:t>
            </w: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$60-$79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225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$80-$99</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319</w:t>
            </w: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$100-$123</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57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723</w:t>
            </w: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426</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82A32"/>
        </w:rPr>
        <w:t>We recognized expense of $4.0, $4.0 and $3.7 related to stock options for the years ended December 31, 2019, 2018 and 2017, respectively. The total fair value of options vested during the same periods was $2.3, $3.1 and $2.3, respectively. As of December 31, 2019, total unrecognized compensation cost was approximately $2.0, net of estimated forfeitures, which we expect to recognize over a weighted-average period of approximately 2.0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282A32"/>
        </w:rPr>
        <w:t>We estimated the fair value of each stock option on the date of grant using the Black-Scholes option pricing model and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3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38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2.5%</w:t>
            </w:r>
          </w:p>
        </w:tc>
        <w:tc>
          <w:tcPr>
            <w:tcW w:w="16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800" w:type="dxa"/>
            <w:vAlign w:val="bottom"/>
          </w:tcPr>
          <w:p>
            <w:pPr>
              <w:jc w:val="right"/>
              <w:ind w:right="470"/>
              <w:spacing w:after="0"/>
              <w:rPr>
                <w:sz w:val="20"/>
                <w:szCs w:val="20"/>
                <w:color w:val="auto"/>
              </w:rPr>
            </w:pPr>
            <w:r>
              <w:rPr>
                <w:rFonts w:ascii="Arial" w:cs="Arial" w:eastAsia="Arial" w:hAnsi="Arial"/>
                <w:sz w:val="18"/>
                <w:szCs w:val="18"/>
                <w:color w:val="auto"/>
              </w:rPr>
              <w:t>2.9%</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1.6%</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8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27.0%</w:t>
            </w:r>
          </w:p>
        </w:tc>
        <w:tc>
          <w:tcPr>
            <w:tcW w:w="16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27.0%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term (years)</w:t>
            </w:r>
          </w:p>
        </w:tc>
        <w:tc>
          <w:tcPr>
            <w:tcW w:w="3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6.0</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82A32"/>
        </w:rPr>
        <w:t>The average risk-free interest rate is based on United States Treasury security rates corresponding to the expected term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$17.78, $31.46 and $25.58 in 2019,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Deferred Stock</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2019, 2018 and 2017, there were 1,275, 5,551 and 3,647, respectively, shares of deferred stock awarded under this arrangement, all of which are vested.</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82A32"/>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2011 Plan. During 2019, 2018 and 2017, there were 18,172, 10,152 and 9,857, respectively, shares of deferred stock and 7,407, 6,345 and 9,792, respectively, shares of restricted stock granted under this arrangement, all of which are vested except for 1,666 shares of restricted stock granted in 2018 that were cancelled. We recognized expense of $1.4, $1.9 and $1.4 related to deferred stock in 2019, 2018 and 2017,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282A32"/>
        </w:rPr>
        <w:t>Restricted Stock</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82A32"/>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282A32"/>
              </w:rPr>
              <w:t>A summary of restricted stock activity is as follows:</w:t>
            </w: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Wtd. Avg.</w:t>
            </w:r>
          </w:p>
        </w:tc>
        <w:tc>
          <w:tcPr>
            <w:tcW w:w="142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Remaining</w:t>
            </w:r>
          </w:p>
        </w:tc>
        <w:tc>
          <w:tcPr>
            <w:tcW w:w="1420" w:type="dxa"/>
            <w:vAlign w:val="bottom"/>
          </w:tcPr>
          <w:p>
            <w:pPr>
              <w:jc w:val="right"/>
              <w:spacing w:after="0"/>
              <w:rPr>
                <w:sz w:val="20"/>
                <w:szCs w:val="20"/>
                <w:color w:val="auto"/>
              </w:rPr>
            </w:pPr>
            <w:r>
              <w:rPr>
                <w:rFonts w:ascii="Arial" w:cs="Arial" w:eastAsia="Arial" w:hAnsi="Arial"/>
                <w:sz w:val="18"/>
                <w:szCs w:val="18"/>
                <w:color w:val="auto"/>
              </w:rPr>
              <w:t>Aggregate</w:t>
            </w:r>
          </w:p>
        </w:tc>
      </w:tr>
      <w:tr>
        <w:trPr>
          <w:trHeight w:val="216"/>
        </w:trPr>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Wtd. Avg.</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Contractual</w:t>
            </w:r>
          </w:p>
        </w:tc>
        <w:tc>
          <w:tcPr>
            <w:tcW w:w="1420" w:type="dxa"/>
            <w:vAlign w:val="bottom"/>
          </w:tcPr>
          <w:p>
            <w:pPr>
              <w:jc w:val="right"/>
              <w:spacing w:after="0"/>
              <w:rPr>
                <w:sz w:val="20"/>
                <w:szCs w:val="20"/>
                <w:color w:val="auto"/>
              </w:rPr>
            </w:pPr>
            <w:r>
              <w:rPr>
                <w:rFonts w:ascii="Arial" w:cs="Arial" w:eastAsia="Arial" w:hAnsi="Arial"/>
                <w:sz w:val="18"/>
                <w:szCs w:val="18"/>
                <w:color w:val="auto"/>
              </w:rPr>
              <w:t>Intrinsic Value</w:t>
            </w:r>
          </w:p>
        </w:tc>
      </w:tr>
      <w:tr>
        <w:trPr>
          <w:trHeight w:val="230"/>
        </w:trPr>
        <w:tc>
          <w:tcPr>
            <w:tcW w:w="4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 (000)</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Price Per Share</w:t>
            </w: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Term (years)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Unvested, January 1, 2017</w:t>
            </w:r>
          </w:p>
        </w:tc>
        <w:tc>
          <w:tcPr>
            <w:tcW w:w="19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451</w:t>
            </w:r>
          </w:p>
        </w:tc>
        <w:tc>
          <w:tcPr>
            <w:tcW w:w="18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$70</w:t>
            </w:r>
          </w:p>
        </w:tc>
        <w:tc>
          <w:tcPr>
            <w:tcW w:w="16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1.4</w:t>
            </w:r>
          </w:p>
        </w:tc>
        <w:tc>
          <w:tcPr>
            <w:tcW w:w="1420" w:type="dxa"/>
            <w:vAlign w:val="bottom"/>
            <w:shd w:val="clear" w:color="auto" w:fill="CFF0FC"/>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167</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98</w:t>
            </w: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(133)</w:t>
            </w:r>
          </w:p>
        </w:tc>
        <w:tc>
          <w:tcPr>
            <w:tcW w:w="18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79</w:t>
            </w:r>
          </w:p>
        </w:tc>
        <w:tc>
          <w:tcPr>
            <w:tcW w:w="16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(37)</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80</w:t>
            </w:r>
          </w:p>
        </w:tc>
        <w:tc>
          <w:tcPr>
            <w:tcW w:w="1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4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December 31, 2017</w:t>
            </w:r>
          </w:p>
        </w:tc>
        <w:tc>
          <w:tcPr>
            <w:tcW w:w="19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448</w:t>
            </w:r>
          </w:p>
        </w:tc>
        <w:tc>
          <w:tcPr>
            <w:tcW w:w="186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$77</w:t>
            </w:r>
          </w:p>
        </w:tc>
        <w:tc>
          <w:tcPr>
            <w:tcW w:w="168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auto"/>
            </w:tcBorders>
            <w:shd w:val="clear" w:color="auto" w:fill="CFF0FC"/>
          </w:tcPr>
          <w:p>
            <w:pPr>
              <w:spacing w:after="0"/>
              <w:rPr>
                <w:sz w:val="19"/>
                <w:szCs w:val="19"/>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145</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$119</w:t>
            </w: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(174)</w:t>
            </w:r>
          </w:p>
        </w:tc>
        <w:tc>
          <w:tcPr>
            <w:tcW w:w="18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77</w:t>
            </w:r>
          </w:p>
        </w:tc>
        <w:tc>
          <w:tcPr>
            <w:tcW w:w="16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89</w:t>
            </w:r>
          </w:p>
        </w:tc>
        <w:tc>
          <w:tcPr>
            <w:tcW w:w="1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4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December 31, 2018</w:t>
            </w:r>
          </w:p>
        </w:tc>
        <w:tc>
          <w:tcPr>
            <w:tcW w:w="19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396</w:t>
            </w:r>
          </w:p>
        </w:tc>
        <w:tc>
          <w:tcPr>
            <w:tcW w:w="186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$92</w:t>
            </w:r>
          </w:p>
        </w:tc>
        <w:tc>
          <w:tcPr>
            <w:tcW w:w="168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auto"/>
            </w:tcBorders>
            <w:shd w:val="clear" w:color="auto" w:fill="CFF0FC"/>
          </w:tcPr>
          <w:p>
            <w:pPr>
              <w:spacing w:after="0"/>
              <w:rPr>
                <w:sz w:val="19"/>
                <w:szCs w:val="19"/>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236</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$84</w:t>
            </w: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(150)</w:t>
            </w:r>
          </w:p>
        </w:tc>
        <w:tc>
          <w:tcPr>
            <w:tcW w:w="18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76</w:t>
            </w:r>
          </w:p>
        </w:tc>
        <w:tc>
          <w:tcPr>
            <w:tcW w:w="16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93</w:t>
            </w:r>
          </w:p>
        </w:tc>
        <w:tc>
          <w:tcPr>
            <w:tcW w:w="1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4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December 31, 2019</w:t>
            </w:r>
          </w:p>
        </w:tc>
        <w:tc>
          <w:tcPr>
            <w:tcW w:w="19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446</w:t>
            </w:r>
          </w:p>
        </w:tc>
        <w:tc>
          <w:tcPr>
            <w:tcW w:w="186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$97</w:t>
            </w:r>
          </w:p>
        </w:tc>
        <w:tc>
          <w:tcPr>
            <w:tcW w:w="168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1.5</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r>
    </w:tbl>
    <w:p>
      <w:pPr>
        <w:jc w:val="both"/>
        <w:spacing w:after="0" w:line="255" w:lineRule="auto"/>
        <w:rPr>
          <w:sz w:val="20"/>
          <w:szCs w:val="20"/>
          <w:color w:val="auto"/>
        </w:rPr>
      </w:pPr>
      <w:r>
        <w:rPr>
          <w:rFonts w:ascii="Arial" w:cs="Arial" w:eastAsia="Arial" w:hAnsi="Arial"/>
          <w:sz w:val="18"/>
          <w:szCs w:val="18"/>
          <w:color w:val="282A32"/>
        </w:rPr>
        <w:t>During 2019, 2018 and 2017, we recognized $15.5, $13.3 and $12.3, respectively, of expense related to restricted stock awards. As of December 31, 2019, there was approximately $16.0 of total unrecognized compensation cost related to unvested restricted stock, which we expect to recognize over a weighted-average period of approximately 2.0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Performance Share Units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82A32"/>
        </w:rPr>
        <w:t>Our 2011 Plan allows us to grant performance share units. We grant performance share units typically with a performance period of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82A32"/>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 summary of the performance share units detail by grant year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Grant Date(s)</w:t>
            </w:r>
          </w:p>
        </w:tc>
        <w:tc>
          <w:tcPr>
            <w:tcW w:w="2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February 16, 2016</w:t>
            </w:r>
          </w:p>
        </w:tc>
        <w:tc>
          <w:tcPr>
            <w:tcW w:w="1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February 9, 2017</w:t>
            </w:r>
          </w:p>
        </w:tc>
        <w:tc>
          <w:tcPr>
            <w:tcW w:w="17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February 15, 2018</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February 15, 2019</w:t>
            </w: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Performance Period (years)</w:t>
            </w: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2016-2018</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2017-2019</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2018-2020</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2019-2021</w:t>
            </w: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Vesting Date</w:t>
            </w:r>
          </w:p>
        </w:tc>
        <w:tc>
          <w:tcPr>
            <w:tcW w:w="2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February 2019</w:t>
            </w:r>
          </w:p>
        </w:tc>
        <w:tc>
          <w:tcPr>
            <w:tcW w:w="1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February 2020(a)</w:t>
            </w:r>
          </w:p>
        </w:tc>
        <w:tc>
          <w:tcPr>
            <w:tcW w:w="17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February 2021(a)</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February 2022(a)</w:t>
            </w: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Payout Levels (in units):</w:t>
            </w:r>
          </w:p>
        </w:tc>
        <w:tc>
          <w:tcPr>
            <w:tcW w:w="2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Threshold Award</w:t>
            </w:r>
          </w:p>
        </w:tc>
        <w:tc>
          <w:tcPr>
            <w:tcW w:w="2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65,141</w:t>
            </w:r>
          </w:p>
        </w:tc>
        <w:tc>
          <w:tcPr>
            <w:tcW w:w="1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57,563</w:t>
            </w:r>
          </w:p>
        </w:tc>
        <w:tc>
          <w:tcPr>
            <w:tcW w:w="17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47,003</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68,132</w:t>
            </w:r>
          </w:p>
        </w:tc>
      </w:tr>
      <w:tr>
        <w:trPr>
          <w:trHeight w:val="230"/>
        </w:trPr>
        <w:tc>
          <w:tcPr>
            <w:tcW w:w="2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Target Award</w:t>
            </w: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130,282</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115,125</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94,005</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136,264</w:t>
            </w:r>
          </w:p>
        </w:tc>
      </w:tr>
      <w:tr>
        <w:trPr>
          <w:trHeight w:val="230"/>
        </w:trPr>
        <w:tc>
          <w:tcPr>
            <w:tcW w:w="20" w:type="dxa"/>
            <w:vAlign w:val="bottom"/>
          </w:tcPr>
          <w:p>
            <w:pPr>
              <w:spacing w:after="0"/>
              <w:rPr>
                <w:sz w:val="19"/>
                <w:szCs w:val="19"/>
                <w:color w:val="auto"/>
              </w:rPr>
            </w:pPr>
          </w:p>
        </w:tc>
        <w:tc>
          <w:tcPr>
            <w:tcW w:w="390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Outstanding Award</w:t>
            </w:r>
          </w:p>
        </w:tc>
        <w:tc>
          <w:tcPr>
            <w:tcW w:w="2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260,564</w:t>
            </w:r>
          </w:p>
        </w:tc>
        <w:tc>
          <w:tcPr>
            <w:tcW w:w="17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230,250</w:t>
            </w:r>
          </w:p>
        </w:tc>
        <w:tc>
          <w:tcPr>
            <w:tcW w:w="17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188,010</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272,528</w:t>
            </w: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Shares Issued in 2019</w:t>
            </w:r>
          </w:p>
        </w:tc>
        <w:tc>
          <w:tcPr>
            <w:tcW w:w="2360" w:type="dxa"/>
            <w:vAlign w:val="bottom"/>
          </w:tcPr>
          <w:p>
            <w:pPr>
              <w:jc w:val="right"/>
              <w:ind w:right="150"/>
              <w:spacing w:after="0"/>
              <w:rPr>
                <w:sz w:val="20"/>
                <w:szCs w:val="20"/>
                <w:color w:val="auto"/>
              </w:rPr>
            </w:pPr>
            <w:r>
              <w:rPr>
                <w:rFonts w:ascii="Arial" w:cs="Arial" w:eastAsia="Arial" w:hAnsi="Arial"/>
                <w:sz w:val="18"/>
                <w:szCs w:val="18"/>
                <w:color w:val="auto"/>
              </w:rPr>
              <w:t>125,070</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Payout Achieved Over Performance Period</w:t>
            </w:r>
          </w:p>
        </w:tc>
        <w:tc>
          <w:tcPr>
            <w:tcW w:w="2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88,377</w:t>
            </w:r>
          </w:p>
        </w:tc>
        <w:tc>
          <w:tcPr>
            <w:tcW w:w="17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31" w:lineRule="exact"/>
        <w:rPr>
          <w:sz w:val="20"/>
          <w:szCs w:val="20"/>
          <w:color w:val="auto"/>
        </w:rPr>
      </w:pPr>
    </w:p>
    <w:p>
      <w:pPr>
        <w:ind w:firstLine="8"/>
        <w:spacing w:after="0" w:line="293" w:lineRule="auto"/>
        <w:tabs>
          <w:tab w:leader="none" w:pos="224" w:val="left"/>
        </w:tabs>
        <w:numPr>
          <w:ilvl w:val="0"/>
          <w:numId w:val="30"/>
        </w:numPr>
        <w:rPr>
          <w:rFonts w:ascii="Arial" w:cs="Arial" w:eastAsia="Arial" w:hAnsi="Arial"/>
          <w:sz w:val="16"/>
          <w:szCs w:val="16"/>
          <w:color w:val="282A32"/>
        </w:rPr>
      </w:pPr>
      <w:r>
        <w:rPr>
          <w:rFonts w:ascii="Arial" w:cs="Arial" w:eastAsia="Arial" w:hAnsi="Arial"/>
          <w:sz w:val="16"/>
          <w:szCs w:val="16"/>
          <w:color w:val="282A32"/>
        </w:rPr>
        <w:t>2017, 2018 and 2019 awards are scheduled to vest in February 2020, 2021 and 2022, respectively, when the Executive Compensation and Human Resources Committee of the Board of Directors determines the achievement of the performance criteria.</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82A32"/>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$5.2, $8.4 and $10.8 in 2019, 2018 and 2017, respectively, related to the performance share units.</w:t>
      </w:r>
    </w:p>
    <w:p>
      <w:pPr>
        <w:spacing w:after="0" w:line="39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282A32"/>
        </w:rPr>
      </w:pPr>
      <w:r>
        <w:rPr>
          <w:rFonts w:ascii="Arial" w:cs="Arial" w:eastAsia="Arial" w:hAnsi="Arial"/>
          <w:sz w:val="18"/>
          <w:szCs w:val="18"/>
          <w:u w:val="single" w:color="auto"/>
          <w:color w:val="282A32"/>
        </w:rPr>
        <w:t>Acquisitions and Dispositions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 Acquisitions</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and was funded through cash on hand. Of the total consideration paid, $58.3 was for the acquired interests and the remaining $161.2 was for cash and cash equivalents. The acquisition of the remaining interest of Experis AG was accounted for as an equity transaction as we previously consolidated the entity.</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(income) expenses,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21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aggregate of the consideration paid and the fair value of previously held equity interest totaled $415.1, or $97.6 net of cash acquired. In connection with the business combination, we recognized a one-time, non-cash gain on the disposition of our previously held equity interest in Manpower Switzerland of $80.4, which is included within interest and other (income) expenses, net on the Consolidated Statements of Operations. Of the $80.4, $32.5 represented foreign currency translation adjustments related to the previously held equity interest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summarizes the fair value of the assets and liabilities as of the acquisition date of April 3,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317.5</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60.4</w:t>
            </w:r>
          </w:p>
        </w:tc>
      </w:tr>
      <w:tr>
        <w:trPr>
          <w:trHeight w:val="230"/>
        </w:trPr>
        <w:tc>
          <w:tcPr>
            <w:tcW w:w="103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31.4</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33.8</w:t>
            </w:r>
          </w:p>
        </w:tc>
      </w:tr>
      <w:tr>
        <w:trPr>
          <w:trHeight w:val="230"/>
        </w:trPr>
        <w:tc>
          <w:tcPr>
            <w:tcW w:w="103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 customer relationship</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Intangible assets not subject to amortization, reacquired franchise rights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25.5</w:t>
            </w:r>
          </w:p>
        </w:tc>
      </w:tr>
      <w:tr>
        <w:trPr>
          <w:trHeight w:val="230"/>
        </w:trPr>
        <w:tc>
          <w:tcPr>
            <w:tcW w:w="10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103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03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03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10300" w:type="dxa"/>
            <w:vAlign w:val="bottom"/>
          </w:tcPr>
          <w:p>
            <w:pPr>
              <w:ind w:left="260"/>
              <w:spacing w:after="0"/>
              <w:rPr>
                <w:sz w:val="20"/>
                <w:szCs w:val="20"/>
                <w:color w:val="auto"/>
              </w:rPr>
            </w:pPr>
            <w:r>
              <w:rPr>
                <w:rFonts w:ascii="Arial" w:cs="Arial" w:eastAsia="Arial" w:hAnsi="Arial"/>
                <w:sz w:val="18"/>
                <w:szCs w:val="18"/>
                <w:color w:val="auto"/>
              </w:rPr>
              <w:t>Total assets and liabilities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415.1</w:t>
            </w: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customer relationship intangible asset will be amortized over a 15 year useful life. The goodwill from the acquisition is not expected to be deductible for income tax purposes. As of December 31, 2019, the carrying value of intangible assets and goodwill was $44.5 and $34.2, respectively.</w:t>
      </w:r>
    </w:p>
    <w:p>
      <w:pPr>
        <w:spacing w:after="0" w:line="1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Manpower Switzerland contributed revenues from services of $337.7 since the acquisition. Our consolidated unaudited proforma historical revenues from services, as if Manpower Switzerland had been acquired at the beginning of 2018, are estimated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w w:val="94"/>
              </w:rPr>
              <w:t>Year Ended December 31,</w:t>
            </w:r>
          </w:p>
        </w:tc>
        <w:tc>
          <w:tcPr>
            <w:tcW w:w="17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560" w:type="dxa"/>
            <w:vAlign w:val="bottom"/>
            <w:shd w:val="clear" w:color="auto" w:fill="CFF0FC"/>
          </w:tcPr>
          <w:p>
            <w:pPr>
              <w:jc w:val="right"/>
              <w:ind w:right="139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20,957.9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22,452.6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excluding Manpower Switzerland and Experis AG, net of cash acquired, for the years ended December 31, 2019, 2018 and 2017 was $47.7</w:t>
      </w:r>
      <w:r>
        <w:rPr>
          <w:rFonts w:ascii="Arial" w:cs="Arial" w:eastAsia="Arial" w:hAnsi="Arial"/>
          <w:sz w:val="18"/>
          <w:szCs w:val="18"/>
          <w:color w:val="282A32"/>
        </w:rPr>
        <w:t>, $51.8 and $45.7</w:t>
      </w:r>
      <w:r>
        <w:rPr>
          <w:rFonts w:ascii="Arial" w:cs="Arial" w:eastAsia="Arial" w:hAnsi="Arial"/>
          <w:sz w:val="18"/>
          <w:szCs w:val="18"/>
          <w:color w:val="auto"/>
        </w:rPr>
        <w:t xml:space="preserve">, respectively. The 2019 balance includes consideration payments for franchises in the United States and contingent consideration payments related to previous acquisitions, of which $13.0 had been recognized as a liability at the acquisition date. The </w:t>
      </w:r>
      <w:r>
        <w:rPr>
          <w:rFonts w:ascii="Arial" w:cs="Arial" w:eastAsia="Arial" w:hAnsi="Arial"/>
          <w:sz w:val="18"/>
          <w:szCs w:val="18"/>
          <w:color w:val="282A32"/>
        </w:rPr>
        <w:t>2018 balance includes initial acquisition payments of $9.1 and</w:t>
      </w:r>
      <w:r>
        <w:rPr>
          <w:rFonts w:ascii="Arial" w:cs="Arial" w:eastAsia="Arial" w:hAnsi="Arial"/>
          <w:sz w:val="18"/>
          <w:szCs w:val="18"/>
          <w:color w:val="auto"/>
        </w:rPr>
        <w:t xml:space="preserve"> </w:t>
      </w:r>
      <w:r>
        <w:rPr>
          <w:rFonts w:ascii="Arial" w:cs="Arial" w:eastAsia="Arial" w:hAnsi="Arial"/>
          <w:sz w:val="18"/>
          <w:szCs w:val="18"/>
          <w:color w:val="282A32"/>
        </w:rPr>
        <w:t>contingent consideration payments of $42.7, of which $18.6 had been recognized as a liability at the acquisition date. The 2017 balance includes initial acquisition payments of $32.7 and contingent consideration related to previous acquisitions of $13.0, of which $10.3 was related to our 2015 acquisition of 7S Group GmbH ("7S") in Germany.</w:t>
      </w:r>
    </w:p>
    <w:p>
      <w:pPr>
        <w:spacing w:after="0" w:line="149" w:lineRule="exact"/>
        <w:rPr>
          <w:sz w:val="20"/>
          <w:szCs w:val="20"/>
          <w:color w:val="auto"/>
        </w:rPr>
      </w:pPr>
    </w:p>
    <w:p>
      <w:pPr>
        <w:spacing w:after="0" w:line="308" w:lineRule="auto"/>
        <w:rPr>
          <w:sz w:val="20"/>
          <w:szCs w:val="20"/>
          <w:color w:val="auto"/>
        </w:rPr>
      </w:pPr>
      <w:r>
        <w:rPr>
          <w:rFonts w:ascii="Arial" w:cs="Arial" w:eastAsia="Arial" w:hAnsi="Arial"/>
          <w:sz w:val="17"/>
          <w:szCs w:val="17"/>
          <w:color w:val="282A32"/>
        </w:rPr>
        <w:t>As of December 31, 2019, goodwill and intangible assets resulting from the 2019 acquisitions, excluding Manpower Switzerland, were $14.2 and $9.0, respectively. As of December 31, 2018, goodwill and intangible assets resulting from the 2018 acquisitions were $6.1 and $0.7,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ManpowerGroup Greater China Limited Disposition</w:t>
      </w:r>
    </w:p>
    <w:p>
      <w:pPr>
        <w:spacing w:after="0" w:line="2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 of Operations. In connection with the deconsolidation of the joint venture, we recognized a one-time non-cash gain of $30.4, which was included in selling and administrative expenses in the Consolidated Statement of Operations in the year ended December 31, 2019. Included in the $30.4 was foreign currency translation adjustment losses of $6.2 related to the joint venture from accumulated other 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Dispositions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Occasionally, we dispose of parts of our operations in order to optimize our global strategic and geographic footprint and synergies. In December 2018, we sold one of our business units in the Netherlands for an after tax net gain of $3.8 and divested a majority interest in a fully consolidated entity in China for an immaterial gain.</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spacing w:after="0"/>
              <w:rPr>
                <w:sz w:val="20"/>
                <w:szCs w:val="20"/>
                <w:color w:val="auto"/>
              </w:rPr>
            </w:pPr>
            <w:r>
              <w:rPr>
                <w:rFonts w:ascii="Arial" w:cs="Arial" w:eastAsia="Arial" w:hAnsi="Arial"/>
                <w:sz w:val="18"/>
                <w:szCs w:val="18"/>
                <w:color w:val="282A32"/>
              </w:rPr>
              <w:t>(5) Income Taxes</w:t>
            </w:r>
          </w:p>
        </w:tc>
        <w:tc>
          <w:tcPr>
            <w:tcW w:w="2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000" w:type="dxa"/>
            <w:vAlign w:val="bottom"/>
            <w:shd w:val="clear" w:color="auto" w:fill="282A3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6"/>
        </w:trPr>
        <w:tc>
          <w:tcPr>
            <w:tcW w:w="4520" w:type="dxa"/>
            <w:vAlign w:val="bottom"/>
            <w:gridSpan w:val="4"/>
          </w:tcPr>
          <w:p>
            <w:pPr>
              <w:spacing w:after="0"/>
              <w:rPr>
                <w:sz w:val="20"/>
                <w:szCs w:val="20"/>
                <w:color w:val="auto"/>
              </w:rPr>
            </w:pPr>
            <w:r>
              <w:rPr>
                <w:rFonts w:ascii="Arial" w:cs="Arial" w:eastAsia="Arial" w:hAnsi="Arial"/>
                <w:sz w:val="18"/>
                <w:szCs w:val="18"/>
                <w:color w:val="282A32"/>
              </w:rPr>
              <w:t>The provision for income taxes was as follows:</w:t>
            </w:r>
          </w:p>
        </w:tc>
        <w:tc>
          <w:tcPr>
            <w:tcW w:w="2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4520" w:type="dxa"/>
            <w:vAlign w:val="bottom"/>
            <w:gridSpan w:val="4"/>
          </w:tcPr>
          <w:p>
            <w:pPr>
              <w:spacing w:after="0"/>
              <w:rPr>
                <w:sz w:val="20"/>
                <w:szCs w:val="20"/>
                <w:color w:val="auto"/>
              </w:rPr>
            </w:pPr>
            <w:r>
              <w:rPr>
                <w:rFonts w:ascii="Arial" w:cs="Arial" w:eastAsia="Arial" w:hAnsi="Arial"/>
                <w:sz w:val="18"/>
                <w:szCs w:val="18"/>
                <w:color w:val="auto"/>
              </w:rPr>
              <w:t>Year Ended December 31</w:t>
            </w:r>
          </w:p>
        </w:tc>
        <w:tc>
          <w:tcPr>
            <w:tcW w:w="27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5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7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7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16.7</w:t>
            </w:r>
          </w:p>
        </w:tc>
        <w:tc>
          <w:tcPr>
            <w:tcW w:w="6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17.2</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211.7</w:t>
            </w: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30"/>
        </w:trPr>
        <w:tc>
          <w:tcPr>
            <w:tcW w:w="20" w:type="dxa"/>
            <w:vAlign w:val="bottom"/>
          </w:tcPr>
          <w:p>
            <w:pPr>
              <w:spacing w:after="0"/>
              <w:rPr>
                <w:sz w:val="19"/>
                <w:szCs w:val="19"/>
                <w:color w:val="auto"/>
              </w:rPr>
            </w:pPr>
          </w:p>
        </w:tc>
        <w:tc>
          <w:tcPr>
            <w:tcW w:w="450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Non-United States</w:t>
            </w:r>
          </w:p>
        </w:tc>
        <w:tc>
          <w:tcPr>
            <w:tcW w:w="27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243.6</w:t>
            </w:r>
          </w:p>
        </w:tc>
        <w:tc>
          <w:tcPr>
            <w:tcW w:w="6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181.9</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168.6</w:t>
            </w: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current</w:t>
            </w:r>
          </w:p>
        </w:tc>
        <w:tc>
          <w:tcPr>
            <w:tcW w:w="2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262.8</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388.7</w:t>
            </w:r>
          </w:p>
        </w:tc>
      </w:tr>
      <w:tr>
        <w:trPr>
          <w:trHeight w:val="223"/>
        </w:trPr>
        <w:tc>
          <w:tcPr>
            <w:tcW w:w="20" w:type="dxa"/>
            <w:vAlign w:val="bottom"/>
          </w:tcPr>
          <w:p>
            <w:pPr>
              <w:spacing w:after="0"/>
              <w:rPr>
                <w:sz w:val="19"/>
                <w:szCs w:val="19"/>
                <w:color w:val="auto"/>
              </w:rPr>
            </w:pPr>
          </w:p>
        </w:tc>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2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7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(22.1)</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w:t>
            </w: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20" w:type="dxa"/>
            <w:vAlign w:val="bottom"/>
          </w:tcPr>
          <w:p>
            <w:pPr>
              <w:spacing w:after="0"/>
              <w:rPr>
                <w:sz w:val="19"/>
                <w:szCs w:val="19"/>
                <w:color w:val="auto"/>
              </w:rPr>
            </w:pPr>
          </w:p>
        </w:tc>
        <w:tc>
          <w:tcPr>
            <w:tcW w:w="450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Non-United States</w:t>
            </w:r>
          </w:p>
        </w:tc>
        <w:tc>
          <w:tcPr>
            <w:tcW w:w="27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(22.0)</w:t>
            </w:r>
          </w:p>
        </w:tc>
        <w:tc>
          <w:tcPr>
            <w:tcW w:w="6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deferred</w:t>
            </w:r>
          </w:p>
        </w:tc>
        <w:tc>
          <w:tcPr>
            <w:tcW w:w="2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Total provision</w:t>
            </w:r>
          </w:p>
        </w:tc>
        <w:tc>
          <w:tcPr>
            <w:tcW w:w="27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219.8</w:t>
            </w:r>
          </w:p>
        </w:tc>
        <w:tc>
          <w:tcPr>
            <w:tcW w:w="6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198.0</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191.9</w:t>
            </w:r>
          </w:p>
        </w:tc>
      </w:tr>
      <w:tr>
        <w:trPr>
          <w:trHeight w:val="8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80" w:type="dxa"/>
            <w:vAlign w:val="bottom"/>
          </w:tcPr>
          <w:p>
            <w:pPr>
              <w:jc w:val="right"/>
              <w:ind w:right="1410"/>
              <w:spacing w:after="0"/>
              <w:rPr>
                <w:sz w:val="20"/>
                <w:szCs w:val="20"/>
                <w:color w:val="auto"/>
              </w:rPr>
            </w:pPr>
            <w:r>
              <w:rPr>
                <w:rFonts w:ascii="Arial" w:cs="Arial" w:eastAsia="Arial" w:hAnsi="Arial"/>
                <w:sz w:val="18"/>
                <w:szCs w:val="18"/>
                <w:color w:val="auto"/>
              </w:rPr>
              <w:t>72</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282A32"/>
        </w:rPr>
        <w:t>A tax reconciliation between taxes computed at the United States federal statutory rate of 21% for 2019 and 2018 and 35% for 2017 and the consolidated effective tax rate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tax based on statutory rate</w:t>
            </w:r>
          </w:p>
        </w:tc>
        <w:tc>
          <w:tcPr>
            <w:tcW w:w="116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143.9</w:t>
            </w:r>
          </w:p>
        </w:tc>
        <w:tc>
          <w:tcPr>
            <w:tcW w:w="6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158.5</w:t>
            </w:r>
          </w:p>
        </w:tc>
        <w:tc>
          <w:tcPr>
            <w:tcW w:w="60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258.1</w:t>
            </w: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Non-United States tax rate difference:</w:t>
            </w:r>
          </w:p>
        </w:tc>
        <w:tc>
          <w:tcPr>
            <w:tcW w:w="1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480"/>
              <w:spacing w:after="0"/>
              <w:rPr>
                <w:sz w:val="20"/>
                <w:szCs w:val="20"/>
                <w:color w:val="auto"/>
              </w:rPr>
            </w:pPr>
            <w:r>
              <w:rPr>
                <w:rFonts w:ascii="Arial" w:cs="Arial" w:eastAsia="Arial" w:hAnsi="Arial"/>
                <w:sz w:val="18"/>
                <w:szCs w:val="18"/>
                <w:color w:val="auto"/>
              </w:rPr>
              <w:t>French business tax</w:t>
            </w:r>
            <w:r>
              <w:rPr>
                <w:rFonts w:ascii="Arial" w:cs="Arial" w:eastAsia="Arial" w:hAnsi="Arial"/>
                <w:sz w:val="15"/>
                <w:szCs w:val="15"/>
                <w:color w:val="auto"/>
              </w:rPr>
              <w:t>(1)</w:t>
            </w:r>
          </w:p>
        </w:tc>
        <w:tc>
          <w:tcPr>
            <w:tcW w:w="11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54.9</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59.1</w:t>
            </w:r>
          </w:p>
        </w:tc>
        <w:tc>
          <w:tcPr>
            <w:tcW w:w="6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46.9</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French CICE</w:t>
            </w:r>
            <w:r>
              <w:rPr>
                <w:rFonts w:ascii="Arial" w:cs="Arial" w:eastAsia="Arial" w:hAnsi="Arial"/>
                <w:sz w:val="15"/>
                <w:szCs w:val="15"/>
                <w:color w:val="auto"/>
              </w:rPr>
              <w:t>(2)</w:t>
            </w:r>
          </w:p>
        </w:tc>
        <w:tc>
          <w:tcPr>
            <w:tcW w:w="1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(39.9)</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r>
      <w:tr>
        <w:trPr>
          <w:trHeight w:val="230"/>
        </w:trPr>
        <w:tc>
          <w:tcPr>
            <w:tcW w:w="20" w:type="dxa"/>
            <w:vAlign w:val="bottom"/>
          </w:tcPr>
          <w:p>
            <w:pPr>
              <w:spacing w:after="0"/>
              <w:rPr>
                <w:sz w:val="19"/>
                <w:szCs w:val="19"/>
                <w:color w:val="auto"/>
              </w:rPr>
            </w:pPr>
          </w:p>
        </w:tc>
        <w:tc>
          <w:tcPr>
            <w:tcW w:w="6120" w:type="dxa"/>
            <w:vAlign w:val="bottom"/>
          </w:tcPr>
          <w:p>
            <w:pPr>
              <w:ind w:left="48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(1)(2)</w:t>
            </w:r>
          </w:p>
        </w:tc>
        <w:tc>
          <w:tcPr>
            <w:tcW w:w="11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Repatriation of non-United States earnings</w:t>
            </w:r>
            <w:r>
              <w:rPr>
                <w:rFonts w:ascii="Arial" w:cs="Arial" w:eastAsia="Arial" w:hAnsi="Arial"/>
                <w:sz w:val="15"/>
                <w:szCs w:val="15"/>
                <w:color w:val="auto"/>
              </w:rPr>
              <w:t>(2)(3)</w:t>
            </w:r>
          </w:p>
        </w:tc>
        <w:tc>
          <w:tcPr>
            <w:tcW w:w="1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(17.8)</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w:t>
            </w: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State income taxes, net of federal benefit</w:t>
            </w:r>
          </w:p>
        </w:tc>
        <w:tc>
          <w:tcPr>
            <w:tcW w:w="11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valuation allowance</w:t>
            </w:r>
          </w:p>
        </w:tc>
        <w:tc>
          <w:tcPr>
            <w:tcW w:w="1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Work Opportunity Tax Credit</w:t>
            </w:r>
          </w:p>
        </w:tc>
        <w:tc>
          <w:tcPr>
            <w:tcW w:w="1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Foreign-Derived Intangible Income deduction</w:t>
            </w:r>
          </w:p>
        </w:tc>
        <w:tc>
          <w:tcPr>
            <w:tcW w:w="1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United States Tax Act and French tax reform</w:t>
            </w:r>
            <w:r>
              <w:rPr>
                <w:rFonts w:ascii="Arial" w:cs="Arial" w:eastAsia="Arial" w:hAnsi="Arial"/>
                <w:sz w:val="15"/>
                <w:szCs w:val="15"/>
                <w:color w:val="auto"/>
              </w:rPr>
              <w:t>(3)</w:t>
            </w:r>
          </w:p>
        </w:tc>
        <w:tc>
          <w:tcPr>
            <w:tcW w:w="11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impairment</w:t>
            </w:r>
            <w:r>
              <w:rPr>
                <w:rFonts w:ascii="Arial" w:cs="Arial" w:eastAsia="Arial" w:hAnsi="Arial"/>
                <w:sz w:val="15"/>
                <w:szCs w:val="15"/>
                <w:color w:val="auto"/>
              </w:rPr>
              <w:t>(4)</w:t>
            </w:r>
          </w:p>
        </w:tc>
        <w:tc>
          <w:tcPr>
            <w:tcW w:w="1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Gain related to Manpower Switzerland and Greater China transactions</w:t>
            </w:r>
            <w:r>
              <w:rPr>
                <w:rFonts w:ascii="Arial" w:cs="Arial" w:eastAsia="Arial" w:hAnsi="Arial"/>
                <w:sz w:val="15"/>
                <w:szCs w:val="15"/>
                <w:color w:val="auto"/>
              </w:rPr>
              <w:t>(5)</w:t>
            </w:r>
          </w:p>
        </w:tc>
        <w:tc>
          <w:tcPr>
            <w:tcW w:w="1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6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1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11.6</w:t>
            </w:r>
          </w:p>
        </w:tc>
        <w:tc>
          <w:tcPr>
            <w:tcW w:w="6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7.0</w:t>
            </w:r>
          </w:p>
        </w:tc>
        <w:tc>
          <w:tcPr>
            <w:tcW w:w="6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r>
      <w:tr>
        <w:trPr>
          <w:trHeight w:val="223"/>
        </w:trPr>
        <w:tc>
          <w:tcPr>
            <w:tcW w:w="2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provision</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219.8</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198.0</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191.9</w:t>
            </w:r>
          </w:p>
        </w:tc>
      </w:tr>
    </w:tbl>
    <w:p>
      <w:pPr>
        <w:spacing w:after="0" w:line="31" w:lineRule="exact"/>
        <w:rPr>
          <w:sz w:val="20"/>
          <w:szCs w:val="20"/>
          <w:color w:val="auto"/>
        </w:rPr>
      </w:pPr>
    </w:p>
    <w:p>
      <w:pPr>
        <w:jc w:val="both"/>
        <w:ind w:firstLine="8"/>
        <w:spacing w:after="0" w:line="271" w:lineRule="auto"/>
        <w:tabs>
          <w:tab w:leader="none" w:pos="231" w:val="left"/>
        </w:tabs>
        <w:numPr>
          <w:ilvl w:val="0"/>
          <w:numId w:val="32"/>
        </w:numPr>
        <w:rPr>
          <w:rFonts w:ascii="Arial" w:cs="Arial" w:eastAsia="Arial" w:hAnsi="Arial"/>
          <w:sz w:val="16"/>
          <w:szCs w:val="16"/>
          <w:color w:val="282A32"/>
        </w:rPr>
      </w:pPr>
      <w:r>
        <w:rPr>
          <w:rFonts w:ascii="Arial" w:cs="Arial" w:eastAsia="Arial" w:hAnsi="Arial"/>
          <w:sz w:val="16"/>
          <w:szCs w:val="16"/>
          <w:color w:val="282A32"/>
        </w:rPr>
        <w:t>The French business tax is allowed as a deduction for French income tax purposes. The gross amount of the French business tax was $69.5, $74.8 and $72.1 for 2019, 2018 and 2017, respectively. The amounts in the table above of $54.9, $59.1 and $46.9 for 2019, 2018 and 2017, respectively, represent the French business tax expense net of the French tax benefit using the United States federal rate of 21% for 2019 and 2018 and 35% for 2017. Included in Other Non-United States tax rate differences are a benefit of $9.3 and $10.1 for 2019 and 2018, respectively, and an expense of $0.4 for 2017 related to the difference between the United States federal rate and the French tax rate applied to the respective gross amounts of the French business tax.</w:t>
      </w:r>
    </w:p>
    <w:p>
      <w:pPr>
        <w:spacing w:after="0" w:line="14" w:lineRule="exact"/>
        <w:rPr>
          <w:rFonts w:ascii="Arial" w:cs="Arial" w:eastAsia="Arial" w:hAnsi="Arial"/>
          <w:sz w:val="16"/>
          <w:szCs w:val="16"/>
          <w:color w:val="282A32"/>
        </w:rPr>
      </w:pPr>
    </w:p>
    <w:p>
      <w:pPr>
        <w:jc w:val="both"/>
        <w:ind w:firstLine="8"/>
        <w:spacing w:after="0" w:line="295" w:lineRule="auto"/>
        <w:tabs>
          <w:tab w:leader="none" w:pos="235" w:val="left"/>
        </w:tabs>
        <w:numPr>
          <w:ilvl w:val="0"/>
          <w:numId w:val="32"/>
        </w:numPr>
        <w:rPr>
          <w:rFonts w:ascii="Arial" w:cs="Arial" w:eastAsia="Arial" w:hAnsi="Arial"/>
          <w:sz w:val="15"/>
          <w:szCs w:val="15"/>
          <w:color w:val="282A32"/>
        </w:rPr>
      </w:pPr>
      <w:r>
        <w:rPr>
          <w:rFonts w:ascii="Arial" w:cs="Arial" w:eastAsia="Arial" w:hAnsi="Arial"/>
          <w:sz w:val="15"/>
          <w:szCs w:val="15"/>
          <w:color w:val="282A32"/>
        </w:rPr>
        <w:t>The French CICE was a payroll tax credit that was tax-free for French tax purposes and increased French earnings. The amounts in the table above of $39.9 and $77.1 for 2018 and 2017, respectively, represent the French tax benefits using the United States federal rate of 21% for 2018 and 35% for 2017. Included in Other Non-United States tax rate differences are a benefit of $25.5 for 2018 and an expense of $1.3 for 2017 related to the difference between the United States federal rate and French tax rate applied to the respective gross French CICE amounts. In January 2019, the French government replaced the CICE subsidy with new subsidies that are taxable.</w:t>
      </w:r>
    </w:p>
    <w:p>
      <w:pPr>
        <w:spacing w:after="0" w:line="2" w:lineRule="exact"/>
        <w:rPr>
          <w:rFonts w:ascii="Arial" w:cs="Arial" w:eastAsia="Arial" w:hAnsi="Arial"/>
          <w:sz w:val="15"/>
          <w:szCs w:val="15"/>
          <w:color w:val="282A32"/>
        </w:rPr>
      </w:pPr>
    </w:p>
    <w:p>
      <w:pPr>
        <w:jc w:val="both"/>
        <w:ind w:firstLine="8"/>
        <w:spacing w:after="0" w:line="273" w:lineRule="auto"/>
        <w:tabs>
          <w:tab w:leader="none" w:pos="237" w:val="left"/>
        </w:tabs>
        <w:numPr>
          <w:ilvl w:val="0"/>
          <w:numId w:val="32"/>
        </w:numPr>
        <w:rPr>
          <w:rFonts w:ascii="Arial" w:cs="Arial" w:eastAsia="Arial" w:hAnsi="Arial"/>
          <w:sz w:val="16"/>
          <w:szCs w:val="16"/>
          <w:color w:val="282A32"/>
        </w:rPr>
      </w:pPr>
      <w:r>
        <w:rPr>
          <w:rFonts w:ascii="Arial" w:cs="Arial" w:eastAsia="Arial" w:hAnsi="Arial"/>
          <w:sz w:val="16"/>
          <w:szCs w:val="16"/>
          <w:color w:val="282A32"/>
        </w:rPr>
        <w:t>Prior to the enactment of the Tax Act on December 22, 2017, we recorded $83.3 of tax expense in 2017 related to non-United States earnings that were deemed to be not permanently invested. This amount was included in the Repatriation of non-United States earnings consistent with prior years. As a result of the Tax Act, this $83.3 was reversed as we were no longer recording United States federal income tax expense on these earnings, and this tax benefit was included in the United States Tax Act and French tax reform benefit of $73.7.</w:t>
      </w:r>
    </w:p>
    <w:p>
      <w:pPr>
        <w:spacing w:after="0" w:line="13" w:lineRule="exact"/>
        <w:rPr>
          <w:rFonts w:ascii="Arial" w:cs="Arial" w:eastAsia="Arial" w:hAnsi="Arial"/>
          <w:sz w:val="16"/>
          <w:szCs w:val="16"/>
          <w:color w:val="282A32"/>
        </w:rPr>
      </w:pPr>
    </w:p>
    <w:p>
      <w:pPr>
        <w:ind w:left="240" w:hanging="232"/>
        <w:spacing w:after="0"/>
        <w:tabs>
          <w:tab w:leader="none" w:pos="240" w:val="left"/>
        </w:tabs>
        <w:numPr>
          <w:ilvl w:val="0"/>
          <w:numId w:val="32"/>
        </w:numPr>
        <w:rPr>
          <w:rFonts w:ascii="Arial" w:cs="Arial" w:eastAsia="Arial" w:hAnsi="Arial"/>
          <w:sz w:val="16"/>
          <w:szCs w:val="16"/>
          <w:color w:val="282A32"/>
        </w:rPr>
      </w:pPr>
      <w:r>
        <w:rPr>
          <w:rFonts w:ascii="Arial" w:cs="Arial" w:eastAsia="Arial" w:hAnsi="Arial"/>
          <w:sz w:val="16"/>
          <w:szCs w:val="16"/>
          <w:color w:val="282A32"/>
        </w:rPr>
        <w:t>Non-deductible portion of the goodwill impairment charge recorded in Germany in June 2019.</w:t>
      </w:r>
    </w:p>
    <w:p>
      <w:pPr>
        <w:spacing w:after="0" w:line="59" w:lineRule="exact"/>
        <w:rPr>
          <w:rFonts w:ascii="Arial" w:cs="Arial" w:eastAsia="Arial" w:hAnsi="Arial"/>
          <w:sz w:val="16"/>
          <w:szCs w:val="16"/>
          <w:color w:val="282A32"/>
        </w:rPr>
      </w:pPr>
    </w:p>
    <w:p>
      <w:pPr>
        <w:ind w:firstLine="8"/>
        <w:spacing w:after="0" w:line="293" w:lineRule="auto"/>
        <w:tabs>
          <w:tab w:leader="none" w:pos="242" w:val="left"/>
        </w:tabs>
        <w:numPr>
          <w:ilvl w:val="0"/>
          <w:numId w:val="32"/>
        </w:numPr>
        <w:rPr>
          <w:rFonts w:ascii="Arial" w:cs="Arial" w:eastAsia="Arial" w:hAnsi="Arial"/>
          <w:sz w:val="16"/>
          <w:szCs w:val="16"/>
          <w:color w:val="282A32"/>
        </w:rPr>
      </w:pPr>
      <w:r>
        <w:rPr>
          <w:rFonts w:ascii="Arial" w:cs="Arial" w:eastAsia="Arial" w:hAnsi="Arial"/>
          <w:sz w:val="16"/>
          <w:szCs w:val="16"/>
          <w:color w:val="282A32"/>
        </w:rPr>
        <w:t>Non-taxable gains on the disposition of our previously held equity interest in Manpower Switzerland in April 2019 and the deconsolidation of ManpowerGroup Greater China Limited in July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3" w:name="page74"/>
    <w:bookmarkEnd w:id="73"/>
    <w:p>
      <w:pPr>
        <w:jc w:val="both"/>
        <w:spacing w:after="0" w:line="308" w:lineRule="auto"/>
        <w:rPr>
          <w:sz w:val="20"/>
          <w:szCs w:val="20"/>
          <w:color w:val="auto"/>
        </w:rPr>
      </w:pPr>
      <w:r>
        <w:rPr>
          <w:rFonts w:ascii="Arial" w:cs="Arial" w:eastAsia="Arial" w:hAnsi="Arial"/>
          <w:sz w:val="17"/>
          <w:szCs w:val="17"/>
          <w:color w:val="282A32"/>
        </w:rPr>
        <w:t>Deferred income taxes are recorded based on temporary differences at the tax rate expected to be in effect when the temporary differences reverse. The Tax Act significantly impacted our deferred income taxes. Temporary differences, which give rise to the deferred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29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Future Income Tax Benefits (Expense)</w:t>
            </w:r>
          </w:p>
        </w:tc>
        <w:tc>
          <w:tcPr>
            <w:tcW w:w="29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13.8</w:t>
            </w: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29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27.2</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w:t>
            </w: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9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62.3</w:t>
            </w:r>
          </w:p>
        </w:tc>
        <w:tc>
          <w:tcPr>
            <w:tcW w:w="7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46.9</w:t>
            </w: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9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(108.7)</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Repatriation of non-United States earnings</w:t>
            </w:r>
          </w:p>
        </w:tc>
        <w:tc>
          <w:tcPr>
            <w:tcW w:w="29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Loans denominated in foreign currencies</w:t>
            </w:r>
          </w:p>
        </w:tc>
        <w:tc>
          <w:tcPr>
            <w:tcW w:w="29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(16.4)</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lease ROU assets</w:t>
            </w:r>
          </w:p>
        </w:tc>
        <w:tc>
          <w:tcPr>
            <w:tcW w:w="29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7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9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118.1</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operating losses</w:t>
            </w:r>
          </w:p>
        </w:tc>
        <w:tc>
          <w:tcPr>
            <w:tcW w:w="29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89.5</w:t>
            </w:r>
          </w:p>
        </w:tc>
        <w:tc>
          <w:tcPr>
            <w:tcW w:w="7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100.5</w:t>
            </w: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135.0</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97.4</w:t>
            </w:r>
          </w:p>
        </w:tc>
      </w:tr>
      <w:tr>
        <w:trPr>
          <w:trHeight w:val="230"/>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w:t>
            </w:r>
          </w:p>
        </w:tc>
        <w:tc>
          <w:tcPr>
            <w:tcW w:w="2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(87.8)</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future tax benefits</w:t>
            </w:r>
          </w:p>
        </w:tc>
        <w:tc>
          <w:tcPr>
            <w:tcW w:w="298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107.4</w:t>
            </w:r>
          </w:p>
        </w:tc>
        <w:tc>
          <w:tcPr>
            <w:tcW w:w="7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67.0</w:t>
            </w: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tax asset</w:t>
            </w:r>
          </w:p>
        </w:tc>
        <w:tc>
          <w:tcPr>
            <w:tcW w:w="2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126.2</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99.3</w:t>
            </w:r>
          </w:p>
        </w:tc>
      </w:tr>
      <w:tr>
        <w:trPr>
          <w:trHeight w:val="230"/>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9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(18.8)</w:t>
            </w:r>
          </w:p>
        </w:tc>
        <w:tc>
          <w:tcPr>
            <w:tcW w:w="7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2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future tax benefits</w:t>
            </w:r>
          </w:p>
        </w:tc>
        <w:tc>
          <w:tcPr>
            <w:tcW w:w="2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107.4</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67.0</w:t>
            </w: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Pre-tax earnings of non-United States operations were $416.6, $551.0 and $514.9 in 2019, 2018 and 2017, respectively. We have not provided deferred taxes on $371.5 of unremitted earnings of non-United States subsidiaries that are considered permanently invested. As of December 31, 2019, deferred taxes for non-United States withholding and other taxes were provided on $1,867.0 of unremitted earnings of non-United States subsidiaries that may be remitted to the United States. As of December 31, 2019 and 2018, we have recorded a deferred tax liability of $8.8 and $15.3, respectively, related to these non-United States earnings that may be remitted.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82A32"/>
        </w:rPr>
        <w:t>We had United States federal and non-United States net operating loss carryforwards and United States state net operating loss carryforwards totaling $399.4 and $169.2, respectively, as of December 31, 2019. The net operating loss carryforwards expire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United States</w:t>
            </w: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Federal and</w:t>
            </w: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Non-United</w:t>
            </w:r>
          </w:p>
        </w:tc>
        <w:tc>
          <w:tcPr>
            <w:tcW w:w="5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United States</w:t>
            </w:r>
          </w:p>
        </w:tc>
      </w:tr>
      <w:tr>
        <w:trPr>
          <w:trHeight w:val="230"/>
        </w:trPr>
        <w:tc>
          <w:tcPr>
            <w:tcW w:w="2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States</w:t>
            </w: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State</w:t>
            </w: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2021</w:t>
            </w:r>
          </w:p>
        </w:tc>
        <w:tc>
          <w:tcPr>
            <w:tcW w:w="29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9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29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9.8</w:t>
            </w: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9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57.3</w:t>
            </w: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25.2</w:t>
            </w:r>
          </w:p>
        </w:tc>
        <w:tc>
          <w:tcPr>
            <w:tcW w:w="5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87.8</w:t>
            </w:r>
          </w:p>
        </w:tc>
      </w:tr>
      <w:tr>
        <w:trPr>
          <w:trHeight w:val="230"/>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 expirations</w:t>
            </w:r>
          </w:p>
        </w:tc>
        <w:tc>
          <w:tcPr>
            <w:tcW w:w="29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353.4</w:t>
            </w: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operating loss carryforwards</w:t>
            </w:r>
          </w:p>
        </w:tc>
        <w:tc>
          <w:tcPr>
            <w:tcW w:w="2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399.4</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169.2</w:t>
            </w: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82A32"/>
        </w:rPr>
        <w:t>We have recorded a deferred tax asset of $89.5 as of December 31, 2019, for the benefit of these net operating losses. Realization of this asset is dependent on generating sufficient taxable income prior to the expiration of the loss carryforwards. A related valuation allowance of $72.7 was recorded as of December 31, 2019, as management believed that realization of certain net operating loss carryforwards is unlikely.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282A32"/>
        </w:rPr>
        <w:t xml:space="preserve">As of December 31, 2019, we had gross unrecognized tax benefits related to various tax jurisdictions, including interest and penalties, of $69.5 that would favorably affect the effective tax rate if recognized. </w:t>
      </w:r>
      <w:r>
        <w:rPr>
          <w:rFonts w:ascii="Arial" w:cs="Arial" w:eastAsia="Arial" w:hAnsi="Arial"/>
          <w:sz w:val="18"/>
          <w:szCs w:val="18"/>
          <w:color w:val="272931"/>
        </w:rPr>
        <w:t>During 2019, we filed our 2018 United States federal tax return with a position related to the transition tax</w:t>
      </w:r>
      <w:r>
        <w:rPr>
          <w:rFonts w:ascii="Arial" w:cs="Arial" w:eastAsia="Arial" w:hAnsi="Arial"/>
          <w:sz w:val="18"/>
          <w:szCs w:val="18"/>
          <w:color w:val="282A32"/>
        </w:rPr>
        <w:t xml:space="preserve"> </w:t>
      </w:r>
      <w:r>
        <w:rPr>
          <w:rFonts w:ascii="Arial" w:cs="Arial" w:eastAsia="Arial" w:hAnsi="Arial"/>
          <w:sz w:val="18"/>
          <w:szCs w:val="18"/>
          <w:color w:val="272931"/>
        </w:rPr>
        <w:t>imposed as part of the Tax Act, resulting in an increase to our unrecognized tax benefits of $</w:t>
      </w:r>
      <w:r>
        <w:rPr>
          <w:rFonts w:ascii="Arial" w:cs="Arial" w:eastAsia="Arial" w:hAnsi="Arial"/>
          <w:sz w:val="18"/>
          <w:szCs w:val="18"/>
          <w:color w:val="282A32"/>
        </w:rPr>
        <w:t>32.0</w:t>
      </w:r>
      <w:r>
        <w:rPr>
          <w:rFonts w:ascii="Arial" w:cs="Arial" w:eastAsia="Arial" w:hAnsi="Arial"/>
          <w:sz w:val="18"/>
          <w:szCs w:val="18"/>
          <w:color w:val="272931"/>
        </w:rPr>
        <w:t xml:space="preserve"> with minimal impact to the tax provision. </w:t>
      </w:r>
      <w:r>
        <w:rPr>
          <w:rFonts w:ascii="Arial" w:cs="Arial" w:eastAsia="Arial" w:hAnsi="Arial"/>
          <w:sz w:val="18"/>
          <w:szCs w:val="18"/>
          <w:color w:val="282A32"/>
        </w:rPr>
        <w:t>We do not expect</w:t>
      </w:r>
      <w:r>
        <w:rPr>
          <w:rFonts w:ascii="Arial" w:cs="Arial" w:eastAsia="Arial" w:hAnsi="Arial"/>
          <w:sz w:val="18"/>
          <w:szCs w:val="18"/>
          <w:color w:val="272931"/>
        </w:rPr>
        <w:t xml:space="preserve"> </w:t>
      </w:r>
      <w:r>
        <w:rPr>
          <w:rFonts w:ascii="Arial" w:cs="Arial" w:eastAsia="Arial" w:hAnsi="Arial"/>
          <w:sz w:val="18"/>
          <w:szCs w:val="18"/>
          <w:color w:val="282A32"/>
        </w:rPr>
        <w:t>our unrecognized tax benefits to change significantly over the next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282A32"/>
        </w:rPr>
        <w:t>As of December 31, 2018, we had gross unrecognized tax benefits related to various tax jurisdictions, including interest and penalties, of $34.2.</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82A32"/>
        </w:rPr>
        <w:t>We recognize accrued interest and penalties related to unrecognized tax benefits in income tax expense. In 2019, we accrued net interest and penalties of $1.6. In 2018, we recognized a reduction of interest and penalties due to the settlement of tax litigation of $18.4. We accrued net interest and penalties of $0.2 in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282A32"/>
        </w:rPr>
        <w:t>The following table summarizes the activity related to our unrecognized tax benefits during 2019,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beginning of year</w:t>
            </w:r>
          </w:p>
        </w:tc>
        <w:tc>
          <w:tcPr>
            <w:tcW w:w="22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32.2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23.8</w:t>
            </w:r>
          </w:p>
        </w:tc>
      </w:tr>
      <w:tr>
        <w:trPr>
          <w:trHeight w:val="230"/>
        </w:trPr>
        <w:tc>
          <w:tcPr>
            <w:tcW w:w="20" w:type="dxa"/>
            <w:vAlign w:val="bottom"/>
          </w:tcPr>
          <w:p>
            <w:pPr>
              <w:spacing w:after="0"/>
              <w:rPr>
                <w:sz w:val="19"/>
                <w:szCs w:val="19"/>
                <w:color w:val="auto"/>
              </w:rPr>
            </w:pPr>
          </w:p>
        </w:tc>
        <w:tc>
          <w:tcPr>
            <w:tcW w:w="6180" w:type="dxa"/>
            <w:vAlign w:val="bottom"/>
          </w:tcPr>
          <w:p>
            <w:pPr>
              <w:ind w:left="240"/>
              <w:spacing w:after="0"/>
              <w:rPr>
                <w:sz w:val="20"/>
                <w:szCs w:val="20"/>
                <w:color w:val="auto"/>
              </w:rPr>
            </w:pPr>
            <w:r>
              <w:rPr>
                <w:rFonts w:ascii="Arial" w:cs="Arial" w:eastAsia="Arial" w:hAnsi="Arial"/>
                <w:sz w:val="18"/>
                <w:szCs w:val="18"/>
                <w:color w:val="auto"/>
              </w:rPr>
              <w:t>Increases in prior year tax positions</w:t>
            </w:r>
          </w:p>
        </w:tc>
        <w:tc>
          <w:tcPr>
            <w:tcW w:w="224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35.7</w:t>
            </w:r>
          </w:p>
        </w:tc>
        <w:tc>
          <w:tcPr>
            <w:tcW w:w="4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Decreases in prior year tax positions</w:t>
            </w:r>
          </w:p>
        </w:tc>
        <w:tc>
          <w:tcPr>
            <w:tcW w:w="2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6180" w:type="dxa"/>
            <w:vAlign w:val="bottom"/>
          </w:tcPr>
          <w:p>
            <w:pPr>
              <w:ind w:left="240"/>
              <w:spacing w:after="0"/>
              <w:rPr>
                <w:sz w:val="20"/>
                <w:szCs w:val="20"/>
                <w:color w:val="auto"/>
              </w:rPr>
            </w:pPr>
            <w:r>
              <w:rPr>
                <w:rFonts w:ascii="Arial" w:cs="Arial" w:eastAsia="Arial" w:hAnsi="Arial"/>
                <w:sz w:val="18"/>
                <w:szCs w:val="18"/>
                <w:color w:val="auto"/>
              </w:rPr>
              <w:t>Increases for current year tax positions</w:t>
            </w:r>
          </w:p>
        </w:tc>
        <w:tc>
          <w:tcPr>
            <w:tcW w:w="224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30"/>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Expiration of statute of limitations and audit settlements</w:t>
            </w:r>
          </w:p>
        </w:tc>
        <w:tc>
          <w:tcPr>
            <w:tcW w:w="2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unrecognized tax benefits, end of year</w:t>
            </w:r>
          </w:p>
        </w:tc>
        <w:tc>
          <w:tcPr>
            <w:tcW w:w="2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65.9</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Potential interest and penalties</w:t>
            </w:r>
          </w:p>
        </w:tc>
        <w:tc>
          <w:tcPr>
            <w:tcW w:w="2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end of year</w:t>
            </w:r>
          </w:p>
        </w:tc>
        <w:tc>
          <w:tcPr>
            <w:tcW w:w="2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69.5</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We conduct business globally in various countries and territories. We are routinely audited by the tax authorities of the various tax jurisdictions in which we operate. Generally, the tax years that could be subject to examination are 2012 through 2019 for our major operations in France, Germany, Japan, the United Kingdom and the United States. As of December 31, 2019, we were subject to tax audits in Austria, Canada, Denmark, Germany, Israel, and the United States. We believe that the resolution of these audits will not have a material impact on earnings.</w:t>
      </w:r>
    </w:p>
    <w:p>
      <w:pPr>
        <w:spacing w:after="0" w:line="349"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282A32"/>
        </w:rPr>
      </w:pPr>
      <w:r>
        <w:rPr>
          <w:rFonts w:ascii="Arial" w:cs="Arial" w:eastAsia="Arial" w:hAnsi="Arial"/>
          <w:sz w:val="18"/>
          <w:szCs w:val="18"/>
          <w:u w:val="single" w:color="auto"/>
          <w:color w:val="282A32"/>
        </w:rPr>
        <w:t>Net Earnings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82A32"/>
        </w:rPr>
        <w:t>The calculation of net earnings per share - basic and net earnings per share - diluted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7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55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7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465.7</w:t>
            </w:r>
          </w:p>
        </w:tc>
        <w:tc>
          <w:tcPr>
            <w:tcW w:w="64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556.7</w:t>
            </w:r>
          </w:p>
        </w:tc>
        <w:tc>
          <w:tcPr>
            <w:tcW w:w="6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545.4</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17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64.6</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67.1</w:t>
            </w: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Effect of dilutive securities - stock options</w:t>
            </w:r>
          </w:p>
        </w:tc>
        <w:tc>
          <w:tcPr>
            <w:tcW w:w="17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Effect of other share-based awards</w:t>
            </w:r>
          </w:p>
        </w:tc>
        <w:tc>
          <w:tcPr>
            <w:tcW w:w="17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1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65.1</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17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7.78</w:t>
            </w:r>
          </w:p>
        </w:tc>
        <w:tc>
          <w:tcPr>
            <w:tcW w:w="64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8.62</w:t>
            </w:r>
          </w:p>
        </w:tc>
        <w:tc>
          <w:tcPr>
            <w:tcW w:w="6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r>
      <w:tr>
        <w:trPr>
          <w:trHeight w:val="223"/>
        </w:trPr>
        <w:tc>
          <w:tcPr>
            <w:tcW w:w="2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diluted</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8.56</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8.04</w:t>
            </w: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82A32"/>
        </w:rPr>
        <w:t>There were certain share-based awards excluded from the calculation of net earnings per share - diluted for the year ended December 31, 2019 and 2018, because their impact was anti-dilutive. No share-based awards were excluded from the calculation for the year ended December 31, 2017. The number, exercise prices and weighted-average remaining life of these antidilutive awards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(in thousands)</w:t>
            </w:r>
          </w:p>
        </w:tc>
        <w:tc>
          <w:tcPr>
            <w:tcW w:w="25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w:t>
            </w: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264</w:t>
            </w:r>
          </w:p>
        </w:tc>
        <w:tc>
          <w:tcPr>
            <w:tcW w:w="6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remaining life</w:t>
            </w:r>
          </w:p>
        </w:tc>
        <w:tc>
          <w:tcPr>
            <w:tcW w:w="25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 years</w:t>
            </w:r>
          </w:p>
        </w:tc>
        <w:tc>
          <w:tcPr>
            <w:tcW w:w="5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 years</w:t>
            </w:r>
          </w:p>
        </w:tc>
        <w:tc>
          <w:tcPr>
            <w:tcW w:w="6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5" w:name="page76"/>
    <w:bookmarkEnd w:id="75"/>
    <w:p>
      <w:pPr>
        <w:ind w:left="260" w:hanging="252"/>
        <w:spacing w:after="0"/>
        <w:tabs>
          <w:tab w:leader="none" w:pos="260" w:val="left"/>
        </w:tabs>
        <w:numPr>
          <w:ilvl w:val="0"/>
          <w:numId w:val="34"/>
        </w:numPr>
        <w:rPr>
          <w:rFonts w:ascii="Arial" w:cs="Arial" w:eastAsia="Arial" w:hAnsi="Arial"/>
          <w:sz w:val="18"/>
          <w:szCs w:val="18"/>
          <w:color w:val="282A32"/>
        </w:rPr>
      </w:pPr>
      <w:r>
        <w:rPr>
          <w:rFonts w:ascii="Arial" w:cs="Arial" w:eastAsia="Arial" w:hAnsi="Arial"/>
          <w:sz w:val="18"/>
          <w:szCs w:val="18"/>
          <w:u w:val="single" w:color="auto"/>
          <w:color w:val="282A32"/>
        </w:rPr>
        <w:t>Goodwill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82A32"/>
        </w:rPr>
        <w:t>Changes in the carrying value of goodwill by reportable segment and Corporate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Southern</w:t>
            </w:r>
          </w:p>
        </w:tc>
        <w:tc>
          <w:tcPr>
            <w:tcW w:w="2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w w:val="99"/>
              </w:rPr>
              <w:t>Northern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Right</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Americas</w:t>
            </w:r>
            <w:r>
              <w:rPr>
                <w:rFonts w:ascii="Arial" w:cs="Arial" w:eastAsia="Arial" w:hAnsi="Arial"/>
                <w:sz w:val="15"/>
                <w:szCs w:val="15"/>
                <w:color w:val="auto"/>
              </w:rPr>
              <w:t>(1)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Europe</w:t>
            </w:r>
            <w:r>
              <w:rPr>
                <w:rFonts w:ascii="Arial" w:cs="Arial" w:eastAsia="Arial" w:hAnsi="Arial"/>
                <w:sz w:val="15"/>
                <w:szCs w:val="15"/>
                <w:color w:val="auto"/>
                <w:w w:val="96"/>
              </w:rPr>
              <w:t>(2)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APME</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Management</w:t>
            </w: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Corporate</w:t>
            </w:r>
            <w:r>
              <w:rPr>
                <w:rFonts w:ascii="Arial" w:cs="Arial" w:eastAsia="Arial" w:hAnsi="Arial"/>
                <w:sz w:val="15"/>
                <w:szCs w:val="15"/>
                <w:color w:val="auto"/>
              </w:rPr>
              <w:t>(3)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(4)</w:t>
            </w:r>
          </w:p>
        </w:tc>
      </w:tr>
      <w:tr>
        <w:trPr>
          <w:trHeight w:val="223"/>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519.2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121.9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468.1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106.2</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1,343.0</w:t>
            </w:r>
          </w:p>
        </w:tc>
      </w:tr>
      <w:tr>
        <w:trPr>
          <w:trHeight w:val="230"/>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Goodwill acquired</w:t>
            </w:r>
          </w:p>
        </w:tc>
        <w:tc>
          <w:tcPr>
            <w:tcW w:w="5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Goodwill allocated to business units sold</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20" w:type="dxa"/>
            <w:vAlign w:val="bottom"/>
          </w:tcPr>
          <w:p>
            <w:pPr>
              <w:spacing w:after="0"/>
              <w:rPr>
                <w:sz w:val="19"/>
                <w:szCs w:val="19"/>
                <w:color w:val="auto"/>
              </w:rPr>
            </w:pP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Currency impact and other</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23"/>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519.9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435.4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102.0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1,297.1</w:t>
            </w:r>
          </w:p>
        </w:tc>
      </w:tr>
      <w:tr>
        <w:trPr>
          <w:trHeight w:val="230"/>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Goodwill acquired</w:t>
            </w:r>
          </w:p>
        </w:tc>
        <w:tc>
          <w:tcPr>
            <w:tcW w:w="5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48.0</w:t>
            </w: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 allocated to business units</w:t>
            </w:r>
          </w:p>
        </w:tc>
        <w:tc>
          <w:tcPr>
            <w:tcW w:w="5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deconsolidated</w:t>
            </w:r>
            <w:r>
              <w:rPr>
                <w:rFonts w:ascii="Arial" w:cs="Arial" w:eastAsia="Arial" w:hAnsi="Arial"/>
                <w:sz w:val="15"/>
                <w:szCs w:val="15"/>
                <w:color w:val="auto"/>
              </w:rPr>
              <w:t>(5)</w:t>
            </w:r>
          </w:p>
        </w:tc>
        <w:tc>
          <w:tcPr>
            <w:tcW w:w="5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2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Impairment charge</w:t>
            </w:r>
            <w:r>
              <w:rPr>
                <w:rFonts w:ascii="Arial" w:cs="Arial" w:eastAsia="Arial" w:hAnsi="Arial"/>
                <w:sz w:val="15"/>
                <w:szCs w:val="15"/>
                <w:color w:val="auto"/>
              </w:rPr>
              <w:t>(6)</w:t>
            </w:r>
          </w:p>
        </w:tc>
        <w:tc>
          <w:tcPr>
            <w:tcW w:w="5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Currency impact and other</w:t>
            </w:r>
          </w:p>
        </w:tc>
        <w:tc>
          <w:tcPr>
            <w:tcW w:w="5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2019</w:t>
            </w: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374.6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79.1</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1,260.1</w:t>
            </w:r>
          </w:p>
        </w:tc>
      </w:tr>
    </w:tbl>
    <w:p>
      <w:pPr>
        <w:spacing w:after="0" w:line="31"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6"/>
          <w:szCs w:val="16"/>
          <w:color w:val="282A32"/>
        </w:rPr>
      </w:pPr>
      <w:r>
        <w:rPr>
          <w:rFonts w:ascii="Arial" w:cs="Arial" w:eastAsia="Arial" w:hAnsi="Arial"/>
          <w:sz w:val="16"/>
          <w:szCs w:val="16"/>
          <w:color w:val="282A32"/>
        </w:rPr>
        <w:t>Balances related to United States were $476.5 as of January 1, 2018 and December 31, 2018, respectively, and $490.3 as of December 31, 2019.</w:t>
      </w:r>
    </w:p>
    <w:p>
      <w:pPr>
        <w:spacing w:after="0" w:line="59" w:lineRule="exact"/>
        <w:rPr>
          <w:rFonts w:ascii="Arial" w:cs="Arial" w:eastAsia="Arial" w:hAnsi="Arial"/>
          <w:sz w:val="16"/>
          <w:szCs w:val="16"/>
          <w:color w:val="282A32"/>
        </w:rPr>
      </w:pPr>
    </w:p>
    <w:p>
      <w:pPr>
        <w:ind w:firstLine="8"/>
        <w:spacing w:after="0" w:line="290" w:lineRule="auto"/>
        <w:tabs>
          <w:tab w:leader="none" w:pos="243" w:val="left"/>
        </w:tabs>
        <w:numPr>
          <w:ilvl w:val="0"/>
          <w:numId w:val="35"/>
        </w:numPr>
        <w:rPr>
          <w:rFonts w:ascii="Arial" w:cs="Arial" w:eastAsia="Arial" w:hAnsi="Arial"/>
          <w:sz w:val="16"/>
          <w:szCs w:val="16"/>
          <w:color w:val="282A32"/>
        </w:rPr>
      </w:pPr>
      <w:r>
        <w:rPr>
          <w:rFonts w:ascii="Arial" w:cs="Arial" w:eastAsia="Arial" w:hAnsi="Arial"/>
          <w:sz w:val="16"/>
          <w:szCs w:val="16"/>
          <w:color w:val="282A32"/>
        </w:rPr>
        <w:t>Balances related to France were $76.3, $68.9 and $67.3 as of January 1, 2018, December 31, 2018 and December 31, 2019, respectively. Balances related to Italy were $5.0, $4.8 and $4.6 as of January 1, 2018, December 31, 2018 and December 31, 2019, respectively.</w:t>
      </w:r>
    </w:p>
    <w:p>
      <w:pPr>
        <w:spacing w:after="0" w:line="1" w:lineRule="exact"/>
        <w:rPr>
          <w:rFonts w:ascii="Arial" w:cs="Arial" w:eastAsia="Arial" w:hAnsi="Arial"/>
          <w:sz w:val="16"/>
          <w:szCs w:val="16"/>
          <w:color w:val="282A32"/>
        </w:rPr>
      </w:pPr>
    </w:p>
    <w:p>
      <w:pPr>
        <w:jc w:val="both"/>
        <w:ind w:firstLine="8"/>
        <w:spacing w:after="0" w:line="315" w:lineRule="auto"/>
        <w:tabs>
          <w:tab w:leader="none" w:pos="242" w:val="left"/>
        </w:tabs>
        <w:numPr>
          <w:ilvl w:val="0"/>
          <w:numId w:val="35"/>
        </w:numPr>
        <w:rPr>
          <w:rFonts w:ascii="Arial" w:cs="Arial" w:eastAsia="Arial" w:hAnsi="Arial"/>
          <w:sz w:val="14"/>
          <w:szCs w:val="14"/>
          <w:color w:val="282A32"/>
        </w:rPr>
      </w:pPr>
      <w:r>
        <w:rPr>
          <w:rFonts w:ascii="Arial" w:cs="Arial" w:eastAsia="Arial" w:hAnsi="Arial"/>
          <w:sz w:val="14"/>
          <w:szCs w:val="14"/>
          <w:color w:val="282A32"/>
        </w:rPr>
        <w:t>The majority of the Corporate balance as of December 31, 2019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jc w:val="both"/>
        <w:ind w:firstLine="8"/>
        <w:spacing w:after="0" w:line="278" w:lineRule="auto"/>
        <w:tabs>
          <w:tab w:leader="none" w:pos="256" w:val="left"/>
        </w:tabs>
        <w:numPr>
          <w:ilvl w:val="0"/>
          <w:numId w:val="35"/>
        </w:numPr>
        <w:rPr>
          <w:rFonts w:ascii="Arial" w:cs="Arial" w:eastAsia="Arial" w:hAnsi="Arial"/>
          <w:sz w:val="16"/>
          <w:szCs w:val="16"/>
          <w:color w:val="auto"/>
        </w:rPr>
      </w:pPr>
      <w:r>
        <w:rPr>
          <w:rFonts w:ascii="Arial" w:cs="Arial" w:eastAsia="Arial" w:hAnsi="Arial"/>
          <w:sz w:val="16"/>
          <w:szCs w:val="16"/>
          <w:color w:val="282A32"/>
        </w:rPr>
        <w:t>Balances were net of accumulated impairment loss of $513.4 ($235.2 related to Right Management and $278.2 related to Corporate) as of January 1, 2018 and December 31, 2018, respectively, and $577.4 ($60.2 related to Northern Europe, $3.8 related to APME, $235.2 related to Right Management and $278.2 related to Corporate) as of December 31, 2019.</w:t>
      </w:r>
    </w:p>
    <w:p>
      <w:pPr>
        <w:spacing w:after="0" w:line="8" w:lineRule="exact"/>
        <w:rPr>
          <w:rFonts w:ascii="Arial" w:cs="Arial" w:eastAsia="Arial" w:hAnsi="Arial"/>
          <w:sz w:val="16"/>
          <w:szCs w:val="16"/>
          <w:color w:val="auto"/>
        </w:rPr>
      </w:pPr>
    </w:p>
    <w:p>
      <w:pPr>
        <w:ind w:firstLine="8"/>
        <w:spacing w:after="0" w:line="290" w:lineRule="auto"/>
        <w:tabs>
          <w:tab w:leader="none" w:pos="241" w:val="left"/>
        </w:tabs>
        <w:numPr>
          <w:ilvl w:val="0"/>
          <w:numId w:val="35"/>
        </w:numPr>
        <w:rPr>
          <w:rFonts w:ascii="Arial" w:cs="Arial" w:eastAsia="Arial" w:hAnsi="Arial"/>
          <w:sz w:val="16"/>
          <w:szCs w:val="16"/>
          <w:color w:val="282A32"/>
        </w:rPr>
      </w:pPr>
      <w:r>
        <w:rPr>
          <w:rFonts w:ascii="Arial" w:cs="Arial" w:eastAsia="Arial" w:hAnsi="Arial"/>
          <w:sz w:val="16"/>
          <w:szCs w:val="16"/>
          <w:color w:val="282A32"/>
        </w:rPr>
        <w:t>Reductions relate to our China and Hong Kong reporting units, which were deconsolidated as of July 10, 2019. See Note 4 to the Consolidated Financial Statements for further information.</w:t>
      </w:r>
    </w:p>
    <w:p>
      <w:pPr>
        <w:spacing w:after="0" w:line="1" w:lineRule="exact"/>
        <w:rPr>
          <w:rFonts w:ascii="Arial" w:cs="Arial" w:eastAsia="Arial" w:hAnsi="Arial"/>
          <w:sz w:val="16"/>
          <w:szCs w:val="16"/>
          <w:color w:val="282A32"/>
        </w:rPr>
      </w:pPr>
    </w:p>
    <w:p>
      <w:pPr>
        <w:ind w:firstLine="8"/>
        <w:spacing w:after="0" w:line="293" w:lineRule="auto"/>
        <w:tabs>
          <w:tab w:leader="none" w:pos="238" w:val="left"/>
        </w:tabs>
        <w:numPr>
          <w:ilvl w:val="0"/>
          <w:numId w:val="35"/>
        </w:numPr>
        <w:rPr>
          <w:rFonts w:ascii="Arial" w:cs="Arial" w:eastAsia="Arial" w:hAnsi="Arial"/>
          <w:sz w:val="16"/>
          <w:szCs w:val="16"/>
          <w:color w:val="282A32"/>
        </w:rPr>
      </w:pPr>
      <w:r>
        <w:rPr>
          <w:rFonts w:ascii="Arial" w:cs="Arial" w:eastAsia="Arial" w:hAnsi="Arial"/>
          <w:sz w:val="16"/>
          <w:szCs w:val="16"/>
          <w:color w:val="282A32"/>
        </w:rPr>
        <w:t>The impairment charges of $60.2 and $3.8 relate to our Germany and New Zealand reporting units, respectively, which were recorded during the second quarter of 2019. See Note 1 to the Consolidated Financial Statements for further information.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282A32"/>
              </w:rPr>
              <w:t>Goodwill balances by reporting unit were as follows:</w:t>
            </w:r>
          </w:p>
        </w:tc>
        <w:tc>
          <w:tcPr>
            <w:tcW w:w="2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58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256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5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545.8</w:t>
            </w:r>
          </w:p>
        </w:tc>
        <w:tc>
          <w:tcPr>
            <w:tcW w:w="72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532.0</w:t>
            </w: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Netherlands</w:t>
            </w:r>
          </w:p>
        </w:tc>
        <w:tc>
          <w:tcPr>
            <w:tcW w:w="25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109.5</w:t>
            </w:r>
          </w:p>
        </w:tc>
        <w:tc>
          <w:tcPr>
            <w:tcW w:w="7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112.0</w:t>
            </w: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2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97.3</w:t>
            </w: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93.7</w:t>
            </w: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France</w:t>
            </w:r>
          </w:p>
        </w:tc>
        <w:tc>
          <w:tcPr>
            <w:tcW w:w="25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7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68.9</w:t>
            </w: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67.2</w:t>
            </w: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129.2</w:t>
            </w: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Right Management</w:t>
            </w:r>
          </w:p>
        </w:tc>
        <w:tc>
          <w:tcPr>
            <w:tcW w:w="25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62.1</w:t>
            </w:r>
          </w:p>
        </w:tc>
        <w:tc>
          <w:tcPr>
            <w:tcW w:w="7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62.1</w:t>
            </w:r>
          </w:p>
        </w:tc>
      </w:tr>
      <w:tr>
        <w:trPr>
          <w:trHeight w:val="230"/>
        </w:trPr>
        <w:tc>
          <w:tcPr>
            <w:tcW w:w="20" w:type="dxa"/>
            <w:vAlign w:val="bottom"/>
          </w:tcPr>
          <w:p>
            <w:pPr>
              <w:spacing w:after="0"/>
              <w:rPr>
                <w:sz w:val="19"/>
                <w:szCs w:val="19"/>
                <w:color w:val="auto"/>
              </w:rPr>
            </w:pPr>
          </w:p>
        </w:tc>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25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310.9</w:t>
            </w:r>
          </w:p>
        </w:tc>
        <w:tc>
          <w:tcPr>
            <w:tcW w:w="7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299.2</w:t>
            </w:r>
          </w:p>
        </w:tc>
      </w:tr>
      <w:tr>
        <w:trPr>
          <w:trHeight w:val="223"/>
        </w:trPr>
        <w:tc>
          <w:tcPr>
            <w:tcW w:w="2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goodwill</w:t>
            </w:r>
          </w:p>
        </w:tc>
        <w:tc>
          <w:tcPr>
            <w:tcW w:w="2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1,260.1</w:t>
            </w:r>
          </w:p>
        </w:tc>
        <w:tc>
          <w:tcPr>
            <w:tcW w:w="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1,297.1</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color w:val="auto"/>
              </w:rPr>
              <w:t>(8) Debt</w:t>
            </w:r>
          </w:p>
        </w:tc>
        <w:tc>
          <w:tcPr>
            <w:tcW w:w="2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6060" w:type="dxa"/>
            <w:vAlign w:val="bottom"/>
            <w:gridSpan w:val="3"/>
          </w:tcPr>
          <w:p>
            <w:pPr>
              <w:spacing w:after="0"/>
              <w:rPr>
                <w:sz w:val="20"/>
                <w:szCs w:val="20"/>
                <w:color w:val="auto"/>
              </w:rPr>
            </w:pPr>
            <w:r>
              <w:rPr>
                <w:rFonts w:ascii="Arial" w:cs="Arial" w:eastAsia="Arial" w:hAnsi="Arial"/>
                <w:sz w:val="18"/>
                <w:szCs w:val="18"/>
                <w:color w:val="auto"/>
              </w:rPr>
              <w:t>Information concerning short-term borrowings is as follows:</w:t>
            </w:r>
          </w:p>
        </w:tc>
        <w:tc>
          <w:tcPr>
            <w:tcW w:w="2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6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31</w:t>
            </w:r>
          </w:p>
        </w:tc>
        <w:tc>
          <w:tcPr>
            <w:tcW w:w="2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7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223"/>
        </w:trPr>
        <w:tc>
          <w:tcPr>
            <w:tcW w:w="6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3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61.0</w:t>
            </w:r>
          </w:p>
        </w:tc>
        <w:tc>
          <w:tcPr>
            <w:tcW w:w="7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49.9</w:t>
            </w:r>
          </w:p>
        </w:tc>
      </w:tr>
      <w:tr>
        <w:trPr>
          <w:trHeight w:val="230"/>
        </w:trPr>
        <w:tc>
          <w:tcPr>
            <w:tcW w:w="6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Weighted-average interest rates</w:t>
            </w:r>
          </w:p>
        </w:tc>
        <w:tc>
          <w:tcPr>
            <w:tcW w:w="2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2019, such uncommitted credit lines totaled $324.1, of which $253.6 was unused. Under our revolving credit agreement, total subsidiary borrowings cannot exceed $300.0 in the first, second and fourth quarters, and $600.0 in the third quarter of each year. Due to these limitations, additional borrowings of $229.5 could have been made under these lines as of December 31,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A summary of long-term debt is as follows:</w:t>
            </w:r>
          </w:p>
        </w:tc>
        <w:tc>
          <w:tcPr>
            <w:tcW w:w="2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55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290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Euro-denominated notes:</w:t>
            </w:r>
          </w:p>
        </w:tc>
        <w:tc>
          <w:tcPr>
            <w:tcW w:w="29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€500.0 due June 2026</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555.8</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567.8</w:t>
            </w: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€400.0 due September 2022</w:t>
            </w:r>
          </w:p>
        </w:tc>
        <w:tc>
          <w:tcPr>
            <w:tcW w:w="29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447.1</w:t>
            </w: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456.8</w:t>
            </w:r>
          </w:p>
        </w:tc>
      </w:tr>
      <w:tr>
        <w:trPr>
          <w:trHeight w:val="230"/>
        </w:trPr>
        <w:tc>
          <w:tcPr>
            <w:tcW w:w="2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FF0FC"/>
          </w:tcPr>
          <w:p>
            <w:pPr>
              <w:spacing w:after="0"/>
              <w:rPr>
                <w:sz w:val="19"/>
                <w:szCs w:val="19"/>
                <w:color w:val="auto"/>
              </w:rPr>
            </w:pPr>
          </w:p>
        </w:tc>
        <w:tc>
          <w:tcPr>
            <w:tcW w:w="29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1,012.4</w:t>
            </w:r>
          </w:p>
        </w:tc>
        <w:tc>
          <w:tcPr>
            <w:tcW w:w="7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1,025.5</w:t>
            </w: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maturities</w:t>
            </w:r>
          </w:p>
        </w:tc>
        <w:tc>
          <w:tcPr>
            <w:tcW w:w="2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90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1,012.4</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1,025.3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June 22, 2018, we offered and sold </w:t>
      </w:r>
      <w:r>
        <w:rPr>
          <w:rFonts w:ascii="Arial" w:cs="Arial" w:eastAsia="Arial" w:hAnsi="Arial"/>
          <w:sz w:val="18"/>
          <w:szCs w:val="18"/>
          <w:color w:val="282A32"/>
        </w:rPr>
        <w:t>€500.0</w:t>
      </w:r>
      <w:r>
        <w:rPr>
          <w:rFonts w:ascii="Arial" w:cs="Arial" w:eastAsia="Arial" w:hAnsi="Arial"/>
          <w:sz w:val="18"/>
          <w:szCs w:val="18"/>
          <w:color w:val="auto"/>
        </w:rPr>
        <w:t xml:space="preserve"> aggregate principal amount of the Company’s 1.750% notes due June 2026 (the “</w:t>
      </w:r>
      <w:r>
        <w:rPr>
          <w:rFonts w:ascii="Arial" w:cs="Arial" w:eastAsia="Arial" w:hAnsi="Arial"/>
          <w:sz w:val="18"/>
          <w:szCs w:val="18"/>
          <w:color w:val="282A32"/>
        </w:rPr>
        <w:t>€500.0</w:t>
      </w:r>
      <w:r>
        <w:rPr>
          <w:rFonts w:ascii="Arial" w:cs="Arial" w:eastAsia="Arial" w:hAnsi="Arial"/>
          <w:sz w:val="18"/>
          <w:szCs w:val="18"/>
          <w:color w:val="auto"/>
        </w:rPr>
        <w:t xml:space="preserve"> notes”). The net proceeds from t</w:t>
      </w:r>
      <w:r>
        <w:rPr>
          <w:rFonts w:ascii="Arial" w:cs="Arial" w:eastAsia="Arial" w:hAnsi="Arial"/>
          <w:sz w:val="18"/>
          <w:szCs w:val="18"/>
          <w:color w:val="282A32"/>
        </w:rPr>
        <w:t>he €500.0</w:t>
      </w:r>
      <w:r>
        <w:rPr>
          <w:rFonts w:ascii="Arial" w:cs="Arial" w:eastAsia="Arial" w:hAnsi="Arial"/>
          <w:sz w:val="18"/>
          <w:szCs w:val="18"/>
          <w:color w:val="auto"/>
        </w:rPr>
        <w:t xml:space="preserve"> notes of €495.7 were used to repay our </w:t>
      </w:r>
      <w:r>
        <w:rPr>
          <w:rFonts w:ascii="Arial" w:cs="Arial" w:eastAsia="Arial" w:hAnsi="Arial"/>
          <w:sz w:val="18"/>
          <w:szCs w:val="18"/>
          <w:color w:val="282A32"/>
        </w:rPr>
        <w:t>€350.0</w:t>
      </w:r>
      <w:r>
        <w:rPr>
          <w:rFonts w:ascii="Arial" w:cs="Arial" w:eastAsia="Arial" w:hAnsi="Arial"/>
          <w:sz w:val="18"/>
          <w:szCs w:val="18"/>
          <w:color w:val="auto"/>
        </w:rPr>
        <w:t xml:space="preserve"> notes due June 22, 2018, with the remaining balance used for general corporate purposes, which included share repurchases. The </w:t>
      </w:r>
      <w:r>
        <w:rPr>
          <w:rFonts w:ascii="Arial" w:cs="Arial" w:eastAsia="Arial" w:hAnsi="Arial"/>
          <w:sz w:val="18"/>
          <w:szCs w:val="18"/>
          <w:color w:val="282A32"/>
        </w:rPr>
        <w:t>€500.0</w:t>
      </w:r>
      <w:r>
        <w:rPr>
          <w:rFonts w:ascii="Arial" w:cs="Arial" w:eastAsia="Arial" w:hAnsi="Arial"/>
          <w:sz w:val="18"/>
          <w:szCs w:val="18"/>
          <w:color w:val="auto"/>
        </w:rPr>
        <w:t xml:space="preserve"> notes were issued at a price of 99.564% to yield an effective interest rate of 1.809%. Interest on the </w:t>
      </w:r>
      <w:r>
        <w:rPr>
          <w:rFonts w:ascii="Arial" w:cs="Arial" w:eastAsia="Arial" w:hAnsi="Arial"/>
          <w:sz w:val="18"/>
          <w:szCs w:val="18"/>
          <w:color w:val="282A32"/>
        </w:rPr>
        <w:t xml:space="preserve">€500.0 </w:t>
      </w:r>
      <w:r>
        <w:rPr>
          <w:rFonts w:ascii="Arial" w:cs="Arial" w:eastAsia="Arial" w:hAnsi="Arial"/>
          <w:sz w:val="18"/>
          <w:szCs w:val="18"/>
          <w:color w:val="000000"/>
        </w:rPr>
        <w:t>notes is payable in arrears on June 22 of each year. The</w:t>
      </w:r>
      <w:r>
        <w:rPr>
          <w:rFonts w:ascii="Arial" w:cs="Arial" w:eastAsia="Arial" w:hAnsi="Arial"/>
          <w:sz w:val="18"/>
          <w:szCs w:val="18"/>
          <w:color w:val="282A32"/>
        </w:rPr>
        <w:t xml:space="preserve"> €500.0 </w:t>
      </w:r>
      <w:r>
        <w:rPr>
          <w:rFonts w:ascii="Arial" w:cs="Arial" w:eastAsia="Arial" w:hAnsi="Arial"/>
          <w:sz w:val="18"/>
          <w:szCs w:val="18"/>
          <w:color w:val="000000"/>
        </w:rPr>
        <w:t>notes are unsecured senior obligations and will rank equally with all of the Company’s</w:t>
      </w:r>
      <w:r>
        <w:rPr>
          <w:rFonts w:ascii="Arial" w:cs="Arial" w:eastAsia="Arial" w:hAnsi="Arial"/>
          <w:sz w:val="18"/>
          <w:szCs w:val="18"/>
          <w:color w:val="282A32"/>
        </w:rPr>
        <w:t xml:space="preserve"> </w:t>
      </w:r>
      <w:r>
        <w:rPr>
          <w:rFonts w:ascii="Arial" w:cs="Arial" w:eastAsia="Arial" w:hAnsi="Arial"/>
          <w:sz w:val="18"/>
          <w:szCs w:val="18"/>
          <w:color w:val="000000"/>
        </w:rPr>
        <w:t>existing and future senior unsecured debt and other liabilities.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282A32"/>
        </w:rPr>
        <w:t>€400.0</w:t>
      </w:r>
      <w:r>
        <w:rPr>
          <w:rFonts w:ascii="Arial" w:cs="Arial" w:eastAsia="Arial" w:hAnsi="Arial"/>
          <w:sz w:val="18"/>
          <w:szCs w:val="18"/>
          <w:color w:val="auto"/>
        </w:rPr>
        <w:t xml:space="preserve"> aggregate principal amount 1.875% notes (the "</w:t>
      </w:r>
      <w:r>
        <w:rPr>
          <w:rFonts w:ascii="Arial" w:cs="Arial" w:eastAsia="Arial" w:hAnsi="Arial"/>
          <w:sz w:val="18"/>
          <w:szCs w:val="18"/>
          <w:color w:val="282A32"/>
        </w:rPr>
        <w:t>€400.0</w:t>
      </w:r>
      <w:r>
        <w:rPr>
          <w:rFonts w:ascii="Arial" w:cs="Arial" w:eastAsia="Arial" w:hAnsi="Arial"/>
          <w:sz w:val="18"/>
          <w:szCs w:val="18"/>
          <w:color w:val="auto"/>
        </w:rPr>
        <w:t xml:space="preserve"> notes") are due September 2022. When the notes mature, we plan to repay the amounts with available cash, borrowings under our </w:t>
      </w:r>
      <w:r>
        <w:rPr>
          <w:rFonts w:ascii="Arial" w:cs="Arial" w:eastAsia="Arial" w:hAnsi="Arial"/>
          <w:sz w:val="18"/>
          <w:szCs w:val="18"/>
          <w:color w:val="282A32"/>
        </w:rPr>
        <w:t>$600.0 r</w:t>
      </w:r>
      <w:r>
        <w:rPr>
          <w:rFonts w:ascii="Arial" w:cs="Arial" w:eastAsia="Arial" w:hAnsi="Arial"/>
          <w:sz w:val="18"/>
          <w:szCs w:val="18"/>
          <w:color w:val="auto"/>
        </w:rPr>
        <w:t xml:space="preserve">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w:t>
      </w:r>
      <w:r>
        <w:rPr>
          <w:rFonts w:ascii="Arial" w:cs="Arial" w:eastAsia="Arial" w:hAnsi="Arial"/>
          <w:sz w:val="18"/>
          <w:szCs w:val="18"/>
          <w:color w:val="282A32"/>
        </w:rPr>
        <w:t>€500.0</w:t>
      </w:r>
      <w:r>
        <w:rPr>
          <w:rFonts w:ascii="Arial" w:cs="Arial" w:eastAsia="Arial" w:hAnsi="Arial"/>
          <w:sz w:val="18"/>
          <w:szCs w:val="18"/>
          <w:color w:val="auto"/>
        </w:rPr>
        <w:t xml:space="preserve"> notes or the </w:t>
      </w:r>
      <w:r>
        <w:rPr>
          <w:rFonts w:ascii="Arial" w:cs="Arial" w:eastAsia="Arial" w:hAnsi="Arial"/>
          <w:sz w:val="18"/>
          <w:szCs w:val="18"/>
          <w:color w:val="282A32"/>
        </w:rPr>
        <w:t>€400.0</w:t>
      </w:r>
      <w:r>
        <w:rPr>
          <w:rFonts w:ascii="Arial" w:cs="Arial" w:eastAsia="Arial" w:hAnsi="Arial"/>
          <w:sz w:val="18"/>
          <w:szCs w:val="18"/>
          <w:color w:val="auto"/>
        </w:rPr>
        <w:t xml:space="preserve"> notes.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2019.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Revolving Credit Agreement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Five Year Credit Agreement with a syndicate of commercial banks with a termination date of June 18, 2023. The Credit Agreement allows for borrowing of $600.0 in various currencies, and up to $150.0 may be used for the issuance of stand-by letters of credit. We had no borrowings under this facility as of both December 31, 2019 and 2018. Outstanding letters of credit issued under the Credit Agreement totaled $0.5 as of both December 31, 2019 and 2018. Additional borrowings of $599.5 were available to us under the facility as of both December 31, 2019 and 2018.</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maturities of long-term debt payable within each of the four years subsequent to December 31, 2020 are as follows: 2021 - $0.1, 2022 - $454.5, 2023 - $2.0, 2024 - $0.0.</w:t>
      </w:r>
    </w:p>
    <w:p>
      <w:pPr>
        <w:spacing w:after="0" w:line="130"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Retirement and Deferred Compensation Plans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all of our United States defined benefit and retiree health care plans, we adopted the Society of Actuaries’ Pri-2012 Mortality Table with MP-2019 Mortality Improvement Scale in determining the plans’ benefit obligations as of December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sponsor several qualified and nonqualified pension plans covering permanent employees. In 2019, a new pension plan was added as a result of our acquisition of the remaining controlling interest in Manpower Switzerland. (See Note 4 to the Consolidated Financial Statements for further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changes in the plans’ benefit obligations and the fair value of plan assets and the funded status of the plans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United States Plans</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Non-United States Plans</w:t>
            </w: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5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4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450.0</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489.5</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cost</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201.2</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Transfers</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52.7</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Actuarial loss (gain)</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100.1</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Plan participant contributions</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Benefits paid</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Currency exchange rate changes</w:t>
            </w:r>
          </w:p>
        </w:tc>
        <w:tc>
          <w:tcPr>
            <w:tcW w:w="4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48.9</w:t>
            </w:r>
          </w:p>
        </w:tc>
        <w:tc>
          <w:tcPr>
            <w:tcW w:w="5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794.8</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450.0</w:t>
            </w:r>
          </w:p>
        </w:tc>
      </w:tr>
      <w:tr>
        <w:trPr>
          <w:trHeight w:val="453"/>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United States Plans</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Non-United States Plans</w:t>
            </w: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5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Change in Plan Assets</w:t>
            </w:r>
          </w:p>
        </w:tc>
        <w:tc>
          <w:tcPr>
            <w:tcW w:w="4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354.1</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376.7</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Actual return on plan assets</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69.5</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196.8</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Plan participant contributions</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Company contributions</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Benefits paid</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5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Currency exchange rate changes</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Fair value of plan assets, end of year</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38.8</w:t>
            </w:r>
          </w:p>
        </w:tc>
        <w:tc>
          <w:tcPr>
            <w:tcW w:w="50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36.1</w:t>
            </w:r>
          </w:p>
        </w:tc>
        <w:tc>
          <w:tcPr>
            <w:tcW w:w="540" w:type="dxa"/>
            <w:vAlign w:val="bottom"/>
            <w:tcBorders>
              <w:bottom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655.4</w:t>
            </w:r>
          </w:p>
        </w:tc>
        <w:tc>
          <w:tcPr>
            <w:tcW w:w="4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354.1</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Funded status, end of year</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540" w:type="dxa"/>
            <w:vAlign w:val="bottom"/>
            <w:tcBorders>
              <w:bottom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4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Amounts Recognized</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41.4</w:t>
            </w:r>
          </w:p>
        </w:tc>
        <w:tc>
          <w:tcPr>
            <w:tcW w:w="4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46.9</w:t>
            </w: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4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r>
      <w:tr>
        <w:trPr>
          <w:trHeight w:val="223"/>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Amounts recognized in accumulated other comprehensive loss, net of tax, consisted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United States Plans</w:t>
            </w:r>
          </w:p>
        </w:tc>
        <w:tc>
          <w:tcPr>
            <w:tcW w:w="44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color w:val="auto"/>
              </w:rPr>
              <w:t>Non-United States Plans</w:t>
            </w: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7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7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r>
      <w:tr>
        <w:trPr>
          <w:trHeight w:val="230"/>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r>
        <w:trPr>
          <w:trHeight w:val="223"/>
        </w:trPr>
        <w:tc>
          <w:tcPr>
            <w:tcW w:w="5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70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w:t>
            </w:r>
          </w:p>
        </w:tc>
        <w:tc>
          <w:tcPr>
            <w:tcW w:w="5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benefit obligation for our plans that have plan assets was $717.2 and $390.4 as of December 31, 2019 and 2018, respectively. The accumulated benefit obligation for some of our plans exceeded the fair value of plan assets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Accumulated benefit obligation</w:t>
            </w:r>
          </w:p>
        </w:tc>
        <w:tc>
          <w:tcPr>
            <w:tcW w:w="8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163.8</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129.4</w:t>
            </w:r>
          </w:p>
        </w:tc>
      </w:t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80.4</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67.0</w:t>
            </w:r>
          </w:p>
        </w:tc>
      </w:tr>
      <w:tr>
        <w:trPr>
          <w:trHeight w:val="439"/>
        </w:trPr>
        <w:tc>
          <w:tcPr>
            <w:tcW w:w="7660" w:type="dxa"/>
            <w:vAlign w:val="bottom"/>
          </w:tcPr>
          <w:p>
            <w:pPr>
              <w:spacing w:after="0"/>
              <w:rPr>
                <w:sz w:val="20"/>
                <w:szCs w:val="20"/>
                <w:color w:val="auto"/>
              </w:rPr>
            </w:pPr>
            <w:r>
              <w:rPr>
                <w:rFonts w:ascii="Arial" w:cs="Arial" w:eastAsia="Arial" w:hAnsi="Arial"/>
                <w:sz w:val="18"/>
                <w:szCs w:val="18"/>
                <w:color w:val="auto"/>
                <w:w w:val="93"/>
              </w:rPr>
              <w:t>The projected benefit obligation for some of our plans exceeded the fair value of plan assets as follows:</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8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414.6</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135.8</w:t>
            </w:r>
          </w:p>
        </w:tc>
      </w:t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324.3</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Swiss plan that we acquired during 2019 was underfunded, resulting in the significant increase in the amounts above.</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$100.4 and $86.0 as of December 31,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and other amounts recognized in other comprehensive loss for all plans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9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9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6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9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0.7</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0.6</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17.2</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r>
      <w:tr>
        <w:trPr>
          <w:trHeight w:val="205"/>
        </w:trPr>
        <w:tc>
          <w:tcPr>
            <w:tcW w:w="20" w:type="dxa"/>
            <w:vAlign w:val="bottom"/>
          </w:tcPr>
          <w:p>
            <w:pPr>
              <w:spacing w:after="0"/>
              <w:rPr>
                <w:sz w:val="17"/>
                <w:szCs w:val="17"/>
                <w:color w:val="auto"/>
              </w:rPr>
            </w:pPr>
          </w:p>
        </w:tc>
        <w:tc>
          <w:tcPr>
            <w:tcW w:w="63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9"/>
              </w:rPr>
              <w:t>Other Changes in Plan Assets and Benefit Obligation Recognized in Other</w:t>
            </w:r>
          </w:p>
        </w:tc>
        <w:tc>
          <w:tcPr>
            <w:tcW w:w="9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Income/Loss</w:t>
            </w:r>
          </w:p>
        </w:tc>
        <w:tc>
          <w:tcPr>
            <w:tcW w:w="9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 (gain)</w:t>
            </w:r>
          </w:p>
        </w:tc>
        <w:tc>
          <w:tcPr>
            <w:tcW w:w="9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45.5</w:t>
            </w:r>
          </w:p>
        </w:tc>
        <w:tc>
          <w:tcPr>
            <w:tcW w:w="6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9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Amortization of prior service cost</w:t>
            </w:r>
          </w:p>
        </w:tc>
        <w:tc>
          <w:tcPr>
            <w:tcW w:w="9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(0.7)</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(0.6)</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other comprehensive income/loss</w:t>
            </w: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Total recognized in net periodic benefit cost and other comprehensive income/loss</w:t>
            </w:r>
          </w:p>
        </w:tc>
        <w:tc>
          <w:tcPr>
            <w:tcW w:w="9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61.4</w:t>
            </w:r>
          </w:p>
        </w:tc>
        <w:tc>
          <w:tcPr>
            <w:tcW w:w="6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62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0" w:name="page81"/>
    <w:bookmarkEnd w:id="80"/>
    <w:p>
      <w:pPr>
        <w:jc w:val="both"/>
        <w:ind w:right="20"/>
        <w:spacing w:after="0" w:line="277" w:lineRule="auto"/>
        <w:rPr>
          <w:sz w:val="20"/>
          <w:szCs w:val="20"/>
          <w:color w:val="auto"/>
        </w:rPr>
      </w:pPr>
      <w:r>
        <w:rPr>
          <w:rFonts w:ascii="Arial" w:cs="Arial" w:eastAsia="Arial" w:hAnsi="Arial"/>
          <w:sz w:val="18"/>
          <w:szCs w:val="18"/>
          <w:color w:val="auto"/>
        </w:rPr>
        <w:t>The estimated net loss and prior service cost for the defined benefit pension plans that will be amortized from accumulated other comprehensive loss into net periodic benefit cost during 2020 are $3.1 and $0.7,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benefit obligation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880" w:type="dxa"/>
            <w:vAlign w:val="bottom"/>
            <w:gridSpan w:val="3"/>
          </w:tcPr>
          <w:p>
            <w:pPr>
              <w:ind w:left="1160"/>
              <w:spacing w:after="0"/>
              <w:rPr>
                <w:sz w:val="20"/>
                <w:szCs w:val="20"/>
                <w:color w:val="auto"/>
              </w:rPr>
            </w:pPr>
            <w:r>
              <w:rPr>
                <w:rFonts w:ascii="Arial" w:cs="Arial" w:eastAsia="Arial" w:hAnsi="Arial"/>
                <w:sz w:val="18"/>
                <w:szCs w:val="18"/>
                <w:color w:val="auto"/>
              </w:rPr>
              <w:t>United States Plans</w:t>
            </w:r>
          </w:p>
        </w:tc>
        <w:tc>
          <w:tcPr>
            <w:tcW w:w="2760" w:type="dxa"/>
            <w:vAlign w:val="bottom"/>
            <w:gridSpan w:val="2"/>
          </w:tcPr>
          <w:p>
            <w:pPr>
              <w:jc w:val="right"/>
              <w:ind w:right="90"/>
              <w:spacing w:after="0"/>
              <w:rPr>
                <w:sz w:val="20"/>
                <w:szCs w:val="20"/>
                <w:color w:val="auto"/>
              </w:rPr>
            </w:pPr>
            <w:r>
              <w:rPr>
                <w:rFonts w:ascii="Arial" w:cs="Arial" w:eastAsia="Arial" w:hAnsi="Arial"/>
                <w:sz w:val="18"/>
                <w:szCs w:val="18"/>
                <w:color w:val="auto"/>
              </w:rPr>
              <w:t>Non-United States Plans</w:t>
            </w:r>
          </w:p>
        </w:tc>
      </w:tr>
      <w:tr>
        <w:trPr>
          <w:trHeight w:val="223"/>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7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gridSpan w:val="3"/>
          </w:tcPr>
          <w:p>
            <w:pPr>
              <w:ind w:left="440"/>
              <w:spacing w:after="0"/>
              <w:rPr>
                <w:sz w:val="20"/>
                <w:szCs w:val="20"/>
                <w:color w:val="auto"/>
              </w:rPr>
            </w:pPr>
            <w:r>
              <w:rPr>
                <w:rFonts w:ascii="Arial" w:cs="Arial" w:eastAsia="Arial" w:hAnsi="Arial"/>
                <w:sz w:val="18"/>
                <w:szCs w:val="18"/>
                <w:color w:val="auto"/>
              </w:rPr>
              <w:t>United States Plans</w:t>
            </w:r>
          </w:p>
        </w:tc>
        <w:tc>
          <w:tcPr>
            <w:tcW w:w="1220" w:type="dxa"/>
            <w:vAlign w:val="bottom"/>
          </w:tcPr>
          <w:p>
            <w:pPr>
              <w:spacing w:after="0"/>
              <w:rPr>
                <w:sz w:val="20"/>
                <w:szCs w:val="20"/>
                <w:color w:val="auto"/>
              </w:rPr>
            </w:pPr>
          </w:p>
        </w:tc>
        <w:tc>
          <w:tcPr>
            <w:tcW w:w="21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Non-United States Plans</w:t>
            </w:r>
          </w:p>
        </w:tc>
      </w:tr>
      <w:tr>
        <w:trPr>
          <w:trHeight w:val="223"/>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Discount rate - service cost</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4.2%</w:t>
            </w:r>
          </w:p>
        </w:tc>
        <w:tc>
          <w:tcPr>
            <w:tcW w:w="11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3.6%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Discount rate - interest cost</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long-term return on plan assets</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4.3%</w:t>
            </w:r>
          </w:p>
        </w:tc>
        <w:tc>
          <w:tcPr>
            <w:tcW w:w="11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13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our assumption for the discount rate based on an index of high-quality corporate bond yields and matched-funding yield curve analysis as of the end of each fiscal year.</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overall expected long-term rate of return used in the measurement of the 2019 net periodic benefit cost on United States plan assets was 4.3%, while the rates of return on our non-United States plans varied by country and ranged from 1.4% to 3.5%.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2019 allocations, are determined based on the favorable risk tolerance characteristics of the plan and, at times, may be adjusted within a specified range to advance our overall objective.</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our Level 1 and Leve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fair value of our pension plan assets by asset category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United States Plans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Non-United States Plans</w:t>
            </w: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6"/>
                <w:szCs w:val="16"/>
                <w:color w:val="auto"/>
                <w:w w:val="93"/>
              </w:rPr>
              <w:t>Fair Value Measurements Using</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00" w:type="dxa"/>
            <w:vAlign w:val="bottom"/>
            <w:gridSpan w:val="4"/>
          </w:tcPr>
          <w:p>
            <w:pPr>
              <w:jc w:val="right"/>
              <w:ind w:right="39"/>
              <w:spacing w:after="0"/>
              <w:rPr>
                <w:sz w:val="20"/>
                <w:szCs w:val="20"/>
                <w:color w:val="auto"/>
              </w:rPr>
            </w:pPr>
            <w:r>
              <w:rPr>
                <w:rFonts w:ascii="Arial" w:cs="Arial" w:eastAsia="Arial" w:hAnsi="Arial"/>
                <w:sz w:val="16"/>
                <w:szCs w:val="16"/>
                <w:color w:val="auto"/>
                <w:w w:val="94"/>
              </w:rPr>
              <w:t>Fair Value Measurements Using</w:t>
            </w: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Quoted</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Quoted</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Prices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Prices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in Active</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Significant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in Active</w:t>
            </w:r>
          </w:p>
        </w:tc>
        <w:tc>
          <w:tcPr>
            <w:tcW w:w="2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Markets for</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Significant</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w w:val="94"/>
              </w:rPr>
              <w:t>Markets for</w:t>
            </w:r>
          </w:p>
        </w:tc>
        <w:tc>
          <w:tcPr>
            <w:tcW w:w="2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Identical</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w w:val="92"/>
              </w:rPr>
              <w:t>Observable</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Unobservable</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Identical</w:t>
            </w:r>
          </w:p>
        </w:tc>
        <w:tc>
          <w:tcPr>
            <w:tcW w:w="2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2"/>
              </w:rPr>
              <w:t>Observable</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Unobservable</w:t>
            </w:r>
          </w:p>
        </w:tc>
      </w:tr>
      <w:tr>
        <w:trPr>
          <w:trHeight w:val="203"/>
        </w:trPr>
        <w:tc>
          <w:tcPr>
            <w:tcW w:w="2380" w:type="dxa"/>
            <w:vAlign w:val="bottom"/>
          </w:tcPr>
          <w:p>
            <w:pPr>
              <w:spacing w:after="0"/>
              <w:rPr>
                <w:sz w:val="17"/>
                <w:szCs w:val="17"/>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color w:val="auto"/>
                <w:w w:val="99"/>
              </w:rPr>
              <w:t>December 31,</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Inputs</w:t>
            </w:r>
          </w:p>
        </w:tc>
        <w:tc>
          <w:tcPr>
            <w:tcW w:w="2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Inputs</w:t>
            </w:r>
          </w:p>
        </w:tc>
        <w:tc>
          <w:tcPr>
            <w:tcW w:w="1020" w:type="dxa"/>
            <w:vAlign w:val="bottom"/>
            <w:gridSpan w:val="2"/>
          </w:tcPr>
          <w:p>
            <w:pPr>
              <w:spacing w:after="0"/>
              <w:rPr>
                <w:sz w:val="20"/>
                <w:szCs w:val="20"/>
                <w:color w:val="auto"/>
              </w:rPr>
            </w:pPr>
            <w:r>
              <w:rPr>
                <w:rFonts w:ascii="Arial" w:cs="Arial" w:eastAsia="Arial" w:hAnsi="Arial"/>
                <w:sz w:val="16"/>
                <w:szCs w:val="16"/>
                <w:color w:val="auto"/>
                <w:w w:val="99"/>
              </w:rPr>
              <w:t>December 31,</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Inputs</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9"/>
        </w:trPr>
        <w:tc>
          <w:tcPr>
            <w:tcW w:w="2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(Level 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(Level 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(Level 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(Level 3)</w:t>
            </w:r>
          </w:p>
        </w:tc>
      </w:tr>
      <w:tr>
        <w:trPr>
          <w:trHeight w:val="213"/>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2380" w:type="dxa"/>
            <w:vAlign w:val="bottom"/>
          </w:tcPr>
          <w:p>
            <w:pPr>
              <w:spacing w:after="0" w:line="216"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25"/>
                <w:szCs w:val="25"/>
                <w:color w:val="auto"/>
                <w:vertAlign w:val="superscript"/>
              </w:rPr>
              <w:t>(1)</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22.3</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Fixed income instruments: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Fixed income funds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Annuity contract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52.5</w:t>
            </w: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Bonds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37.0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w w:val="92"/>
              </w:rPr>
              <w:t>Guaranteed insurance contracts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Other types of investments: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Insurance contracts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130.6</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130.6</w:t>
            </w: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funds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93.3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16"/>
        </w:trPr>
        <w:tc>
          <w:tcPr>
            <w:tcW w:w="23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8.4</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r>
      <w:tr>
        <w:trPr>
          <w:trHeight w:val="210"/>
        </w:trPr>
        <w:tc>
          <w:tcPr>
            <w:tcW w:w="2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214.8</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 This category includes a prime obligations money market portfolio.</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2" w:name="page83"/>
    <w:bookmarkEnd w:id="82"/>
    <w:p>
      <w:pPr>
        <w:ind w:left="5480"/>
        <w:spacing w:after="0"/>
        <w:rPr>
          <w:sz w:val="20"/>
          <w:szCs w:val="20"/>
          <w:color w:val="auto"/>
        </w:rPr>
      </w:pPr>
      <w:r>
        <w:rPr>
          <w:rFonts w:ascii="Arial" w:cs="Arial" w:eastAsia="Arial" w:hAnsi="Arial"/>
          <w:sz w:val="15"/>
          <w:szCs w:val="15"/>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25400</wp:posOffset>
            </wp:positionV>
            <wp:extent cx="2787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Fair Value Measurements Using</w:t>
      </w:r>
    </w:p>
    <w:p>
      <w:pPr>
        <w:spacing w:after="0" w:line="34" w:lineRule="exact"/>
        <w:rPr>
          <w:sz w:val="20"/>
          <w:szCs w:val="20"/>
          <w:color w:val="auto"/>
        </w:rPr>
      </w:pPr>
    </w:p>
    <w:tbl>
      <w:tblPr>
        <w:tblLayout w:type="fixed"/>
        <w:tblInd w:w="2480" w:type="dxa"/>
        <w:tblCellMar>
          <w:top w:w="0" w:type="dxa"/>
          <w:left w:w="0" w:type="dxa"/>
          <w:bottom w:w="0" w:type="dxa"/>
          <w:right w:w="0" w:type="dxa"/>
        </w:tblCellMar>
      </w:tblPr>
      <w:tr>
        <w:trPr>
          <w:trHeight w:val="206"/>
        </w:trPr>
        <w:tc>
          <w:tcPr>
            <w:tcW w:w="10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Quoted</w:t>
            </w:r>
          </w:p>
        </w:tc>
        <w:tc>
          <w:tcPr>
            <w:tcW w:w="10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Prices</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in Active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c>
          <w:tcPr>
            <w:tcW w:w="11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Markets for</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108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Identical</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Observable</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w w:val="99"/>
              </w:rPr>
              <w:t>Unobservable</w:t>
            </w:r>
          </w:p>
        </w:tc>
      </w:tr>
      <w:tr>
        <w:trPr>
          <w:trHeight w:val="203"/>
        </w:trPr>
        <w:tc>
          <w:tcPr>
            <w:tcW w:w="1080" w:type="dxa"/>
            <w:vAlign w:val="bottom"/>
          </w:tcPr>
          <w:p>
            <w:pPr>
              <w:jc w:val="right"/>
              <w:ind w:right="99"/>
              <w:spacing w:after="0"/>
              <w:rPr>
                <w:sz w:val="20"/>
                <w:szCs w:val="20"/>
                <w:color w:val="auto"/>
              </w:rPr>
            </w:pPr>
            <w:r>
              <w:rPr>
                <w:rFonts w:ascii="Arial" w:cs="Arial" w:eastAsia="Arial" w:hAnsi="Arial"/>
                <w:sz w:val="16"/>
                <w:szCs w:val="16"/>
                <w:color w:val="auto"/>
                <w:w w:val="87"/>
              </w:rPr>
              <w:t>December 31,</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Assets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Inputs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6"/>
        </w:trPr>
        <w:tc>
          <w:tcPr>
            <w:tcW w:w="1080" w:type="dxa"/>
            <w:vAlign w:val="bottom"/>
          </w:tcPr>
          <w:p>
            <w:pPr>
              <w:jc w:val="right"/>
              <w:ind w:right="99"/>
              <w:spacing w:after="0"/>
              <w:rPr>
                <w:sz w:val="20"/>
                <w:szCs w:val="20"/>
                <w:color w:val="auto"/>
              </w:rPr>
            </w:pPr>
            <w:r>
              <w:rPr>
                <w:rFonts w:ascii="Arial" w:cs="Arial" w:eastAsia="Arial" w:hAnsi="Arial"/>
                <w:sz w:val="16"/>
                <w:szCs w:val="16"/>
                <w:color w:val="auto"/>
              </w:rPr>
              <w:t>2018</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(Level 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(Level 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(Level 3)</w:t>
            </w:r>
          </w:p>
        </w:tc>
      </w:tr>
    </w:tbl>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821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Fair Value Measurements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Quoted</w:t>
            </w:r>
          </w:p>
        </w:tc>
        <w:tc>
          <w:tcPr>
            <w:tcW w:w="10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Prices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in Active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c>
          <w:tcPr>
            <w:tcW w:w="116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Markets for</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110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Identical</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Observable</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Unobservable</w:t>
            </w:r>
          </w:p>
        </w:tc>
      </w:tr>
      <w:tr>
        <w:trPr>
          <w:trHeight w:val="203"/>
        </w:trPr>
        <w:tc>
          <w:tcPr>
            <w:tcW w:w="1100" w:type="dxa"/>
            <w:vAlign w:val="bottom"/>
          </w:tcPr>
          <w:p>
            <w:pPr>
              <w:jc w:val="right"/>
              <w:ind w:right="99"/>
              <w:spacing w:after="0"/>
              <w:rPr>
                <w:sz w:val="20"/>
                <w:szCs w:val="20"/>
                <w:color w:val="auto"/>
              </w:rPr>
            </w:pPr>
            <w:r>
              <w:rPr>
                <w:rFonts w:ascii="Arial" w:cs="Arial" w:eastAsia="Arial" w:hAnsi="Arial"/>
                <w:sz w:val="16"/>
                <w:szCs w:val="16"/>
                <w:color w:val="auto"/>
                <w:w w:val="89"/>
              </w:rPr>
              <w:t>December 31,</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Assets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Inputs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6"/>
        </w:trPr>
        <w:tc>
          <w:tcPr>
            <w:tcW w:w="1100" w:type="dxa"/>
            <w:vAlign w:val="bottom"/>
          </w:tcPr>
          <w:p>
            <w:pPr>
              <w:jc w:val="right"/>
              <w:ind w:right="99"/>
              <w:spacing w:after="0"/>
              <w:rPr>
                <w:sz w:val="20"/>
                <w:szCs w:val="20"/>
                <w:color w:val="auto"/>
              </w:rPr>
            </w:pPr>
            <w:r>
              <w:rPr>
                <w:rFonts w:ascii="Arial" w:cs="Arial" w:eastAsia="Arial" w:hAnsi="Arial"/>
                <w:sz w:val="16"/>
                <w:szCs w:val="16"/>
                <w:color w:val="auto"/>
              </w:rPr>
              <w:t>2018</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(Level 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(Level 2)</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(Level 3)</w:t>
            </w:r>
          </w:p>
        </w:tc>
      </w:tr>
    </w:tbl>
    <w:p>
      <w:pPr>
        <w:spacing w:after="0" w:line="1" w:lineRule="exact"/>
        <w:rPr>
          <w:sz w:val="20"/>
          <w:szCs w:val="20"/>
          <w:color w:val="auto"/>
        </w:rPr>
      </w:pPr>
    </w:p>
    <w:p>
      <w:pPr>
        <w:sectPr>
          <w:pgSz w:w="11900" w:h="16838" w:orient="portrait"/>
          <w:cols w:equalWidth="0" w:num="2">
            <w:col w:w="6860" w:space="120"/>
            <w:col w:w="4440"/>
          </w:cols>
          <w:pgMar w:left="240" w:top="616"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4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2380" w:type="dxa"/>
            <w:vAlign w:val="bottom"/>
          </w:tcPr>
          <w:p>
            <w:pPr>
              <w:spacing w:after="0" w:line="216"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25"/>
                <w:szCs w:val="25"/>
                <w:color w:val="auto"/>
                <w:vertAlign w:val="superscript"/>
              </w:rPr>
              <w:t>(1)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5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4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4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Fixed income instruments:</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Fixed income funds</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5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5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99.4</w:t>
            </w:r>
          </w:p>
        </w:tc>
        <w:tc>
          <w:tcPr>
            <w:tcW w:w="4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Annuity contract</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46.2</w:t>
            </w: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46.2</w:t>
            </w: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w w:val="92"/>
              </w:rPr>
              <w:t>Guaranteed insurance contracts</w:t>
            </w:r>
          </w:p>
        </w:tc>
        <w:tc>
          <w:tcPr>
            <w:tcW w:w="4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4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 loans</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8.9</w:t>
            </w: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Other types of investments:</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contracts</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107.7</w:t>
            </w: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107.7</w:t>
            </w:r>
          </w:p>
        </w:tc>
      </w:tr>
      <w:tr>
        <w:trPr>
          <w:trHeight w:val="213"/>
        </w:trPr>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Real estate funds</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3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w:t>
            </w:r>
          </w:p>
        </w:tc>
        <w:tc>
          <w:tcPr>
            <w:tcW w:w="5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6.3</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29.8</w:t>
            </w:r>
          </w:p>
        </w:tc>
        <w:tc>
          <w:tcPr>
            <w:tcW w:w="5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354.1</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66.0</w:t>
            </w:r>
          </w:p>
        </w:tc>
        <w:tc>
          <w:tcPr>
            <w:tcW w:w="4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134.2</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153.9</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 This category includes a prime obligations money market portfolio.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Certain asset categories in the prior year have been reclassified in order to consolidate for presentation purposes and to conform to current year presentation.</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4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2018</w:t>
            </w: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42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153.9</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108.8</w:t>
            </w:r>
          </w:p>
        </w:tc>
      </w:tr>
      <w:tr>
        <w:trPr>
          <w:trHeight w:val="230"/>
        </w:trPr>
        <w:tc>
          <w:tcPr>
            <w:tcW w:w="426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42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30.5</w:t>
            </w:r>
          </w:p>
        </w:tc>
        <w:tc>
          <w:tcPr>
            <w:tcW w:w="78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4.2</w:t>
            </w:r>
          </w:p>
        </w:tc>
      </w:tr>
      <w:tr>
        <w:trPr>
          <w:trHeight w:val="230"/>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4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27.6</w:t>
            </w: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ind w:left="260"/>
              <w:spacing w:after="0"/>
              <w:rPr>
                <w:sz w:val="20"/>
                <w:szCs w:val="20"/>
                <w:color w:val="auto"/>
              </w:rPr>
            </w:pPr>
            <w:r>
              <w:rPr>
                <w:rFonts w:ascii="Arial" w:cs="Arial" w:eastAsia="Arial" w:hAnsi="Arial"/>
                <w:sz w:val="18"/>
                <w:szCs w:val="18"/>
                <w:color w:val="auto"/>
              </w:rPr>
              <w:t>Transfers</w:t>
            </w:r>
          </w:p>
        </w:tc>
        <w:tc>
          <w:tcPr>
            <w:tcW w:w="422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46.2</w:t>
            </w:r>
          </w:p>
        </w:tc>
      </w:tr>
      <w:tr>
        <w:trPr>
          <w:trHeight w:val="230"/>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sales and settlements, net</w:t>
            </w:r>
          </w:p>
        </w:tc>
        <w:tc>
          <w:tcPr>
            <w:tcW w:w="4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Currency exchange rate changes</w:t>
            </w:r>
          </w:p>
        </w:tc>
        <w:tc>
          <w:tcPr>
            <w:tcW w:w="4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0.3</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4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42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214.8</w:t>
            </w:r>
          </w:p>
        </w:tc>
        <w:tc>
          <w:tcPr>
            <w:tcW w:w="78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153.9</w:t>
            </w:r>
          </w:p>
        </w:tc>
      </w:tr>
      <w:tr>
        <w:trPr>
          <w:trHeight w:val="655"/>
        </w:trPr>
        <w:tc>
          <w:tcPr>
            <w:tcW w:w="4260" w:type="dxa"/>
            <w:vAlign w:val="bottom"/>
          </w:tcPr>
          <w:p>
            <w:pPr>
              <w:spacing w:after="0"/>
              <w:rPr>
                <w:sz w:val="24"/>
                <w:szCs w:val="24"/>
                <w:color w:val="auto"/>
              </w:rPr>
            </w:pPr>
          </w:p>
        </w:tc>
        <w:tc>
          <w:tcPr>
            <w:tcW w:w="4220" w:type="dxa"/>
            <w:vAlign w:val="bottom"/>
          </w:tcPr>
          <w:p>
            <w:pPr>
              <w:jc w:val="right"/>
              <w:ind w:right="2590"/>
              <w:spacing w:after="0"/>
              <w:rPr>
                <w:sz w:val="20"/>
                <w:szCs w:val="20"/>
                <w:color w:val="auto"/>
              </w:rPr>
            </w:pPr>
            <w:r>
              <w:rPr>
                <w:rFonts w:ascii="Arial" w:cs="Arial" w:eastAsia="Arial" w:hAnsi="Arial"/>
                <w:sz w:val="18"/>
                <w:szCs w:val="18"/>
                <w:color w:val="auto"/>
              </w:rPr>
              <w:t>83</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 xml:space="preserve">Retiree </w:t>
      </w:r>
      <w:r>
        <w:rPr>
          <w:rFonts w:ascii="Arial" w:cs="Arial" w:eastAsia="Arial" w:hAnsi="Arial"/>
          <w:sz w:val="18"/>
          <w:szCs w:val="18"/>
          <w:i w:val="1"/>
          <w:iCs w:val="1"/>
          <w:color w:val="282A32"/>
        </w:rPr>
        <w:t>Health Care Plan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32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3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32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14.9</w:t>
            </w: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3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Actuarial loss (gain)</w:t>
            </w:r>
          </w:p>
        </w:tc>
        <w:tc>
          <w:tcPr>
            <w:tcW w:w="32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Benefits paid</w:t>
            </w:r>
          </w:p>
        </w:tc>
        <w:tc>
          <w:tcPr>
            <w:tcW w:w="3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3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w:t>
            </w: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Funded Status at End of Year</w:t>
            </w:r>
          </w:p>
        </w:tc>
        <w:tc>
          <w:tcPr>
            <w:tcW w:w="3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end of year</w:t>
            </w:r>
          </w:p>
        </w:tc>
        <w:tc>
          <w:tcPr>
            <w:tcW w:w="3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Amounts Recognized</w:t>
            </w:r>
          </w:p>
        </w:tc>
        <w:tc>
          <w:tcPr>
            <w:tcW w:w="3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liabilities</w:t>
            </w:r>
          </w:p>
        </w:tc>
        <w:tc>
          <w:tcPr>
            <w:tcW w:w="32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(13.0)</w:t>
            </w:r>
          </w:p>
        </w:tc>
        <w:tc>
          <w:tcPr>
            <w:tcW w:w="7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w:t>
            </w:r>
          </w:p>
        </w:tc>
        <w:tc>
          <w:tcPr>
            <w:tcW w:w="3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recognized in accumulated other comprehensive loss, net of tax, consists of a net loss of $1.5 and $0.9 as of December 31, 2019 and 2018, respectively, and a prior service credit of $3.5 and $4.1 as of December 31, 2019 and 2018,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used in the measurement of the benefit obligation was 3.0% and 4.2% in 2019 and 2018, respectively. The discount rate used in the measurement of net periodic benefit cost was 4.2%, 3.2% and 4.0% in 2019, 2018, and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and other amounts recognized in other comprehensive loss for this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9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Periodic Benefit Credit</w:t>
            </w:r>
          </w:p>
        </w:tc>
        <w:tc>
          <w:tcPr>
            <w:tcW w:w="9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cost</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credit</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periodic benefit credit</w:t>
            </w:r>
          </w:p>
        </w:tc>
        <w:tc>
          <w:tcPr>
            <w:tcW w:w="9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(0.3)</w:t>
            </w:r>
          </w:p>
        </w:tc>
        <w:tc>
          <w:tcPr>
            <w:tcW w:w="6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(0.2)</w:t>
            </w:r>
          </w:p>
        </w:tc>
        <w:tc>
          <w:tcPr>
            <w:tcW w:w="62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05"/>
        </w:trPr>
        <w:tc>
          <w:tcPr>
            <w:tcW w:w="20" w:type="dxa"/>
            <w:vAlign w:val="bottom"/>
          </w:tcPr>
          <w:p>
            <w:pPr>
              <w:spacing w:after="0"/>
              <w:rPr>
                <w:sz w:val="17"/>
                <w:szCs w:val="17"/>
                <w:color w:val="auto"/>
              </w:rPr>
            </w:pPr>
          </w:p>
        </w:tc>
        <w:tc>
          <w:tcPr>
            <w:tcW w:w="6340" w:type="dxa"/>
            <w:vAlign w:val="bottom"/>
          </w:tcPr>
          <w:p>
            <w:pPr>
              <w:spacing w:after="0" w:line="205" w:lineRule="exact"/>
              <w:rPr>
                <w:sz w:val="20"/>
                <w:szCs w:val="20"/>
                <w:color w:val="auto"/>
              </w:rPr>
            </w:pPr>
            <w:r>
              <w:rPr>
                <w:rFonts w:ascii="Arial" w:cs="Arial" w:eastAsia="Arial" w:hAnsi="Arial"/>
                <w:sz w:val="18"/>
                <w:szCs w:val="18"/>
                <w:b w:val="1"/>
                <w:bCs w:val="1"/>
                <w:color w:val="auto"/>
                <w:w w:val="98"/>
              </w:rPr>
              <w:t>Other Changes in Plan Assets and Benefit Obligations Recognized in Other</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Income/Loss</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 (gain)</w:t>
            </w:r>
          </w:p>
        </w:tc>
        <w:tc>
          <w:tcPr>
            <w:tcW w:w="9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9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Amortization of prior service credit</w:t>
            </w:r>
          </w:p>
        </w:tc>
        <w:tc>
          <w:tcPr>
            <w:tcW w:w="9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other comprehensive income/loss</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Total recognized in net periodic benefit cost and other comprehensive income/loss</w:t>
            </w:r>
          </w:p>
        </w:tc>
        <w:tc>
          <w:tcPr>
            <w:tcW w:w="9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w:t>
            </w:r>
          </w:p>
        </w:tc>
        <w:tc>
          <w:tcPr>
            <w:tcW w:w="6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net loss and prior service credit for the retiree health care plan that will be amortized from accumulated other comprehensive loss into net periodic benefit cost during 2020 are $0.1 and $0.8, respectively.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health care cost trend rate is assumed to be 6.8% for 2020, decreasing gradually to an ultimate rate of 4.5% in 2027. Assumed health care cost trend rates are not expected to have a material effect on the amounts reported.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Future Contributions and Payments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we plan to contribute approximately $16.0 to our pension plans and to fund our retiree health care payments as incurred. Projected benefit payments from the plans as of December 31, 2019 were estimated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Retiree Health</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3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Pension Plans</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Care Plan</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86.0</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4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w:t>
            </w:r>
          </w:p>
        </w:tc>
        <w:tc>
          <w:tcPr>
            <w:tcW w:w="4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30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25.3</w:t>
            </w:r>
          </w:p>
        </w:tc>
        <w:tc>
          <w:tcPr>
            <w:tcW w:w="4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2025–2029</w:t>
            </w:r>
          </w:p>
        </w:tc>
        <w:tc>
          <w:tcPr>
            <w:tcW w:w="30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142.0</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r>
      <w:tr>
        <w:trPr>
          <w:trHeight w:val="223"/>
        </w:trPr>
        <w:tc>
          <w:tcPr>
            <w:tcW w:w="5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projected benefit payments</w:t>
            </w:r>
          </w:p>
        </w:tc>
        <w:tc>
          <w:tcPr>
            <w:tcW w:w="30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337.4</w:t>
            </w: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 and Deferred Compensation Plans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$16.9, $17.7 and $17.6 for the years ended December 31, 2019, 2018 and 2017, respectively. In certain countries with statutory defined contribution plans, we pay a percentage of the employees' salary in pension premiums. The total expense for the statutory defined contribution plans was $32.1, $37.4 and $35.6 for the years ended December 31, 2019, 2018 and 2017,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deferred compensation plans in the United States. One of the plans had an asset and liability of $106.2 and $88.5 as of December 31, 2019 and 2018, respectively, with the remaining plans holding immaterial amounts of assets and liabilities.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6"/>
          </w:tcPr>
          <w:p>
            <w:pPr>
              <w:spacing w:after="0"/>
              <w:rPr>
                <w:sz w:val="20"/>
                <w:szCs w:val="20"/>
                <w:color w:val="auto"/>
              </w:rPr>
            </w:pPr>
            <w:r>
              <w:rPr>
                <w:rFonts w:ascii="Arial" w:cs="Arial" w:eastAsia="Arial" w:hAnsi="Arial"/>
                <w:sz w:val="18"/>
                <w:szCs w:val="18"/>
                <w:color w:val="282A32"/>
              </w:rPr>
              <w:t>(10) Accumulated Other Comprehensive Loss</w:t>
            </w: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shd w:val="clear" w:color="auto" w:fill="282A3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6520" w:type="dxa"/>
            <w:vAlign w:val="bottom"/>
            <w:gridSpan w:val="6"/>
          </w:tcPr>
          <w:p>
            <w:pPr>
              <w:spacing w:after="0"/>
              <w:rPr>
                <w:sz w:val="20"/>
                <w:szCs w:val="20"/>
                <w:color w:val="auto"/>
              </w:rPr>
            </w:pPr>
            <w:r>
              <w:rPr>
                <w:rFonts w:ascii="Arial" w:cs="Arial" w:eastAsia="Arial" w:hAnsi="Arial"/>
                <w:sz w:val="18"/>
                <w:szCs w:val="18"/>
                <w:color w:val="auto"/>
                <w:w w:val="93"/>
              </w:rPr>
              <w:t>The components of accumulated other comprehensive loss, net of tax, were as follows: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6520" w:type="dxa"/>
            <w:vAlign w:val="bottom"/>
            <w:gridSpan w:val="6"/>
          </w:tcPr>
          <w:p>
            <w:pPr>
              <w:spacing w:after="0"/>
              <w:rPr>
                <w:sz w:val="20"/>
                <w:szCs w:val="20"/>
                <w:color w:val="auto"/>
              </w:rPr>
            </w:pPr>
            <w:r>
              <w:rPr>
                <w:rFonts w:ascii="Arial" w:cs="Arial" w:eastAsia="Arial" w:hAnsi="Arial"/>
                <w:sz w:val="18"/>
                <w:szCs w:val="18"/>
                <w:color w:val="auto"/>
              </w:rPr>
              <w:t>December 31</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auto"/>
            </w:tcBorders>
            <w:gridSpan w:val="5"/>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(260.5)</w:t>
            </w:r>
          </w:p>
        </w:tc>
        <w:tc>
          <w:tcPr>
            <w:tcW w:w="720" w:type="dxa"/>
            <w:vAlign w:val="bottom"/>
            <w:tcBorders>
              <w:top w:val="single" w:sz="8" w:color="auto"/>
            </w:tcBorders>
            <w:shd w:val="clear" w:color="auto" w:fill="CFF0FC"/>
          </w:tcPr>
          <w:p>
            <w:pPr>
              <w:jc w:val="right"/>
              <w:ind w:right="55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r>
      <w:tr>
        <w:trPr>
          <w:trHeight w:val="230"/>
        </w:trPr>
        <w:tc>
          <w:tcPr>
            <w:tcW w:w="20" w:type="dxa"/>
            <w:vAlign w:val="bottom"/>
          </w:tcPr>
          <w:p>
            <w:pPr>
              <w:spacing w:after="0"/>
              <w:rPr>
                <w:sz w:val="19"/>
                <w:szCs w:val="19"/>
                <w:color w:val="auto"/>
              </w:rPr>
            </w:pPr>
          </w:p>
        </w:tc>
        <w:tc>
          <w:tcPr>
            <w:tcW w:w="7600" w:type="dxa"/>
            <w:vAlign w:val="bottom"/>
            <w:gridSpan w:val="6"/>
          </w:tcPr>
          <w:p>
            <w:pPr>
              <w:spacing w:after="0"/>
              <w:rPr>
                <w:sz w:val="20"/>
                <w:szCs w:val="20"/>
                <w:color w:val="auto"/>
              </w:rPr>
            </w:pPr>
            <w:r>
              <w:rPr>
                <w:rFonts w:ascii="Arial" w:cs="Arial" w:eastAsia="Arial" w:hAnsi="Arial"/>
                <w:sz w:val="18"/>
                <w:szCs w:val="18"/>
                <w:color w:val="auto"/>
                <w:w w:val="92"/>
              </w:rPr>
              <w:t>Translation gain (loss) on derivative instruments, net of income taxes of $(9.1) and $(12.9), respectively</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13.1</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19"/>
                <w:szCs w:val="19"/>
                <w:color w:val="auto"/>
              </w:rPr>
            </w:pPr>
          </w:p>
        </w:tc>
        <w:tc>
          <w:tcPr>
            <w:tcW w:w="65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(121.5)</w:t>
            </w:r>
          </w:p>
        </w:tc>
        <w:tc>
          <w:tcPr>
            <w:tcW w:w="7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w w:val="94"/>
              </w:rPr>
              <w:t>Defined benefit pension plans, net of income taxes of $(30.9) and $(23.2), respectively</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(74.1)</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20" w:type="dxa"/>
            <w:vAlign w:val="bottom"/>
          </w:tcPr>
          <w:p>
            <w:pPr>
              <w:spacing w:after="0"/>
              <w:rPr>
                <w:sz w:val="19"/>
                <w:szCs w:val="19"/>
                <w:color w:val="auto"/>
              </w:rPr>
            </w:pPr>
          </w:p>
        </w:tc>
        <w:tc>
          <w:tcPr>
            <w:tcW w:w="6500" w:type="dxa"/>
            <w:vAlign w:val="bottom"/>
            <w:tcBorders>
              <w:bottom w:val="single" w:sz="8" w:color="auto"/>
            </w:tcBorders>
            <w:gridSpan w:val="5"/>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$1.6 and $2.0, respectively</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2.0</w:t>
            </w:r>
          </w:p>
        </w:tc>
        <w:tc>
          <w:tcPr>
            <w:tcW w:w="7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(441.0)</w:t>
            </w: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r>
      <w:tr>
        <w:trPr>
          <w:trHeight w:val="628"/>
        </w:trPr>
        <w:tc>
          <w:tcPr>
            <w:tcW w:w="6520" w:type="dxa"/>
            <w:vAlign w:val="bottom"/>
            <w:gridSpan w:val="6"/>
          </w:tcPr>
          <w:p>
            <w:pPr>
              <w:spacing w:after="0"/>
              <w:rPr>
                <w:sz w:val="20"/>
                <w:szCs w:val="20"/>
                <w:color w:val="auto"/>
              </w:rPr>
            </w:pPr>
            <w:r>
              <w:rPr>
                <w:rFonts w:ascii="Arial" w:cs="Arial" w:eastAsia="Arial" w:hAnsi="Arial"/>
                <w:sz w:val="18"/>
                <w:szCs w:val="18"/>
                <w:color w:val="282A32"/>
              </w:rPr>
              <w:t>(11) Interest and Other (Income) Expenses, Net</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340" w:type="dxa"/>
            <w:vAlign w:val="bottom"/>
            <w:gridSpan w:val="2"/>
          </w:tcPr>
          <w:p>
            <w:pPr>
              <w:spacing w:after="0" w:line="20" w:lineRule="exact"/>
              <w:rPr>
                <w:sz w:val="1"/>
                <w:szCs w:val="1"/>
                <w:color w:val="auto"/>
              </w:rPr>
            </w:pPr>
          </w:p>
        </w:tc>
        <w:tc>
          <w:tcPr>
            <w:tcW w:w="3080" w:type="dxa"/>
            <w:vAlign w:val="bottom"/>
            <w:gridSpan w:val="3"/>
            <w:shd w:val="clear" w:color="auto" w:fill="282A3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6"/>
        </w:trPr>
        <w:tc>
          <w:tcPr>
            <w:tcW w:w="6520" w:type="dxa"/>
            <w:vAlign w:val="bottom"/>
            <w:gridSpan w:val="6"/>
          </w:tcPr>
          <w:p>
            <w:pPr>
              <w:spacing w:after="0"/>
              <w:rPr>
                <w:sz w:val="20"/>
                <w:szCs w:val="20"/>
                <w:color w:val="auto"/>
              </w:rPr>
            </w:pPr>
            <w:r>
              <w:rPr>
                <w:rFonts w:ascii="Arial" w:cs="Arial" w:eastAsia="Arial" w:hAnsi="Arial"/>
                <w:sz w:val="18"/>
                <w:szCs w:val="18"/>
                <w:color w:val="282A32"/>
              </w:rPr>
              <w:t>Interest and other (income) expenses, net consisted of the following:</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6520" w:type="dxa"/>
            <w:vAlign w:val="bottom"/>
            <w:gridSpan w:val="6"/>
          </w:tcPr>
          <w:p>
            <w:pPr>
              <w:spacing w:after="0"/>
              <w:rPr>
                <w:sz w:val="20"/>
                <w:szCs w:val="20"/>
                <w:color w:val="auto"/>
              </w:rPr>
            </w:pPr>
            <w:r>
              <w:rPr>
                <w:rFonts w:ascii="Arial" w:cs="Arial" w:eastAsia="Arial" w:hAnsi="Arial"/>
                <w:sz w:val="18"/>
                <w:szCs w:val="18"/>
                <w:color w:val="auto"/>
              </w:rPr>
              <w:t>Year Ended December 31</w:t>
            </w:r>
          </w:p>
        </w:tc>
        <w:tc>
          <w:tcPr>
            <w:tcW w:w="110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500" w:type="dxa"/>
            <w:vAlign w:val="bottom"/>
            <w:tcBorders>
              <w:top w:val="single" w:sz="8" w:color="auto"/>
            </w:tcBorders>
            <w:gridSpan w:val="5"/>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44.4</w:t>
            </w:r>
          </w:p>
        </w:tc>
        <w:tc>
          <w:tcPr>
            <w:tcW w:w="4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720" w:type="dxa"/>
            <w:vAlign w:val="bottom"/>
            <w:tcBorders>
              <w:top w:val="single" w:sz="8" w:color="auto"/>
            </w:tcBorders>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49.4</w:t>
            </w:r>
          </w:p>
        </w:tc>
      </w:tr>
      <w:tr>
        <w:trPr>
          <w:trHeight w:val="230"/>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9"/>
                <w:szCs w:val="19"/>
                <w:color w:val="auto"/>
              </w:rPr>
            </w:pPr>
          </w:p>
        </w:tc>
        <w:tc>
          <w:tcPr>
            <w:tcW w:w="1720" w:type="dxa"/>
            <w:vAlign w:val="bottom"/>
            <w:gridSpan w:val="2"/>
          </w:tcPr>
          <w:p>
            <w:pPr>
              <w:jc w:val="right"/>
              <w:ind w:right="577"/>
              <w:spacing w:after="0"/>
              <w:rPr>
                <w:sz w:val="20"/>
                <w:szCs w:val="20"/>
                <w:color w:val="auto"/>
              </w:rPr>
            </w:pPr>
            <w:r>
              <w:rPr>
                <w:rFonts w:ascii="Arial" w:cs="Arial" w:eastAsia="Arial" w:hAnsi="Arial"/>
                <w:sz w:val="18"/>
                <w:szCs w:val="18"/>
                <w:color w:val="auto"/>
              </w:rPr>
              <w:t>(6.0)</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19"/>
                <w:szCs w:val="19"/>
                <w:color w:val="auto"/>
              </w:rPr>
            </w:pPr>
          </w:p>
        </w:tc>
        <w:tc>
          <w:tcPr>
            <w:tcW w:w="65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r>
      <w:tr>
        <w:trPr>
          <w:trHeight w:val="230"/>
        </w:trPr>
        <w:tc>
          <w:tcPr>
            <w:tcW w:w="20" w:type="dxa"/>
            <w:vAlign w:val="bottom"/>
          </w:tcPr>
          <w:p>
            <w:pPr>
              <w:spacing w:after="0"/>
              <w:rPr>
                <w:sz w:val="19"/>
                <w:szCs w:val="19"/>
                <w:color w:val="auto"/>
              </w:rPr>
            </w:pPr>
          </w:p>
        </w:tc>
        <w:tc>
          <w:tcPr>
            <w:tcW w:w="65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 xml:space="preserve">Miscellaneous (income) expense, net </w:t>
            </w:r>
            <w:r>
              <w:rPr>
                <w:rFonts w:ascii="Arial" w:cs="Arial" w:eastAsia="Arial" w:hAnsi="Arial"/>
                <w:sz w:val="15"/>
                <w:szCs w:val="15"/>
                <w:color w:val="auto"/>
              </w:rPr>
              <w:t>(1)</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8"/>
                <w:szCs w:val="18"/>
                <w:color w:val="auto"/>
              </w:rPr>
              <w:t>(0.4)</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gridSpan w:val="5"/>
            <w:shd w:val="clear" w:color="auto" w:fill="CFF0FC"/>
          </w:tcPr>
          <w:p>
            <w:pPr>
              <w:spacing w:after="0"/>
              <w:rPr>
                <w:sz w:val="20"/>
                <w:szCs w:val="20"/>
                <w:color w:val="auto"/>
              </w:rPr>
            </w:pPr>
            <w:r>
              <w:rPr>
                <w:rFonts w:ascii="Arial" w:cs="Arial" w:eastAsia="Arial" w:hAnsi="Arial"/>
                <w:sz w:val="18"/>
                <w:szCs w:val="18"/>
                <w:color w:val="auto"/>
              </w:rPr>
              <w:t>Interest and other (income) expenses, net</w:t>
            </w:r>
          </w:p>
        </w:tc>
        <w:tc>
          <w:tcPr>
            <w:tcW w:w="110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(40.6)</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720" w:type="dxa"/>
            <w:vAlign w:val="bottom"/>
            <w:tcBorders>
              <w:bottom w:val="single" w:sz="8" w:color="auto"/>
            </w:tcBorders>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51.9</w:t>
            </w:r>
          </w:p>
        </w:tc>
      </w:tr>
    </w:tbl>
    <w:p>
      <w:pPr>
        <w:spacing w:after="0" w:line="215" w:lineRule="exact"/>
        <w:rPr>
          <w:sz w:val="20"/>
          <w:szCs w:val="20"/>
          <w:color w:val="auto"/>
        </w:rPr>
      </w:pPr>
    </w:p>
    <w:p>
      <w:pPr>
        <w:ind w:firstLine="8"/>
        <w:spacing w:after="0" w:line="277" w:lineRule="auto"/>
        <w:tabs>
          <w:tab w:leader="none" w:pos="2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an $80.4 gain related to our acquisition of the remaining controlling interest in Manpower Switzerland. See Note 4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5" w:name="page86"/>
    <w:bookmarkEnd w:id="85"/>
    <w:p>
      <w:pPr>
        <w:ind w:left="360" w:hanging="352"/>
        <w:spacing w:after="0"/>
        <w:tabs>
          <w:tab w:leader="none" w:pos="360" w:val="left"/>
        </w:tabs>
        <w:numPr>
          <w:ilvl w:val="0"/>
          <w:numId w:val="38"/>
        </w:numPr>
        <w:rPr>
          <w:rFonts w:ascii="Arial" w:cs="Arial" w:eastAsia="Arial" w:hAnsi="Arial"/>
          <w:sz w:val="18"/>
          <w:szCs w:val="18"/>
          <w:color w:val="282A32"/>
        </w:rPr>
      </w:pPr>
      <w:r>
        <w:rPr>
          <w:rFonts w:ascii="Arial" w:cs="Arial" w:eastAsia="Arial" w:hAnsi="Arial"/>
          <w:sz w:val="18"/>
          <w:szCs w:val="18"/>
          <w:u w:val="single" w:color="auto"/>
          <w:color w:val="282A32"/>
        </w:rPr>
        <w:t>Derivative Financial Instruments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82A32"/>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Net Investment Hedges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82A32"/>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82A32"/>
        </w:rPr>
        <w:t>The €400.0 (</w:t>
      </w:r>
      <w:r>
        <w:rPr>
          <w:rFonts w:ascii="Arial" w:cs="Arial" w:eastAsia="Arial" w:hAnsi="Arial"/>
          <w:sz w:val="18"/>
          <w:szCs w:val="18"/>
          <w:color w:val="000000"/>
        </w:rPr>
        <w:t>$447.1</w:t>
      </w:r>
      <w:r>
        <w:rPr>
          <w:rFonts w:ascii="Arial" w:cs="Arial" w:eastAsia="Arial" w:hAnsi="Arial"/>
          <w:sz w:val="18"/>
          <w:szCs w:val="18"/>
          <w:color w:val="282A32"/>
        </w:rPr>
        <w:t>) notes due September 2022 and the €500.0 ($555.8) notes due June 2026 were designated as a hedge of our net investment in our foreign subsidiaries with a Euro-functional currency as of December 31, 2019.</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In September 2019, we entered into a cross-currency swap agreement that net converts fixed-rate Swiss franc (“CHF”) payments to fixed-rate United States dollar payments. This swap was designated as a net investment hedge of our foreign subsidiary with CHF functional currency. The hedging relationship is expected to be perfectly effective, as the critical terms of the swap match the designated hedge. Effectiveness will be assessed prospectively and retrospectively every reporting period by confirming these conditions continue to be met. If they are no longer met at any time during the relationship, the hypothetical derivative method will be used to assess hedge effectiveness.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year ended December 31, 2019, and 2018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7"/>
              </w:rPr>
              <w:t>Gain (Loss) Reclassified</w:t>
            </w:r>
          </w:p>
        </w:tc>
      </w:t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3"/>
              </w:rPr>
              <w:t>Gain (Loss) Recognized in OCI</w:t>
            </w:r>
          </w:p>
        </w:tc>
        <w:tc>
          <w:tcPr>
            <w:tcW w:w="120" w:type="dxa"/>
            <w:vAlign w:val="bottom"/>
            <w:tcBorders>
              <w:bottom w:val="single" w:sz="8" w:color="auto"/>
            </w:tcBorders>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of Gain (Loss) Reclassified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3"/>
              </w:rPr>
              <w:t>from AOCI into Income</w:t>
            </w:r>
          </w:p>
        </w:tc>
      </w:tr>
      <w:tr>
        <w:trPr>
          <w:trHeight w:val="223"/>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Year Ended December 31,</w:t>
            </w:r>
          </w:p>
        </w:tc>
        <w:tc>
          <w:tcPr>
            <w:tcW w:w="120" w:type="dxa"/>
            <w:vAlign w:val="bottom"/>
          </w:tcPr>
          <w:p>
            <w:pPr>
              <w:spacing w:after="0"/>
              <w:rPr>
                <w:sz w:val="19"/>
                <w:szCs w:val="19"/>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20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Instrument</w:t>
            </w:r>
          </w:p>
        </w:tc>
        <w:tc>
          <w:tcPr>
            <w:tcW w:w="16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23"/>
        </w:trPr>
        <w:tc>
          <w:tcPr>
            <w:tcW w:w="1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 Notes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c>
          <w:tcPr>
            <w:tcW w:w="39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Interest and other (income) expenses, net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900" w:type="dxa"/>
            <w:vAlign w:val="bottom"/>
            <w:gridSpan w:val="2"/>
          </w:tcPr>
          <w:p>
            <w:pPr>
              <w:ind w:left="120"/>
              <w:spacing w:after="0"/>
              <w:rPr>
                <w:sz w:val="20"/>
                <w:szCs w:val="20"/>
                <w:color w:val="auto"/>
              </w:rPr>
            </w:pPr>
            <w:r>
              <w:rPr>
                <w:rFonts w:ascii="Arial" w:cs="Arial" w:eastAsia="Arial" w:hAnsi="Arial"/>
                <w:sz w:val="18"/>
                <w:szCs w:val="18"/>
                <w:color w:val="auto"/>
              </w:rPr>
              <w:t>Interest and other (income) expenses, net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Cash Flow Hedges</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82A32"/>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18"/>
          <w:szCs w:val="18"/>
          <w:color w:val="282A32"/>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82A32"/>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apply the hypothetical derivative method in conjunction with regression analysis using a third-party valuation to measure effectiveness of our cross-currency swap agreement.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82A32"/>
        </w:rPr>
        <w:t>The following tables present the impact that changes in the fair values of derivatives designated as cash flow hedges had on OCI, AOCI and earnings for the year ended December 31, 2019, and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89"/>
              </w:rPr>
              <w:t>Gain Reclassified</w:t>
            </w:r>
          </w:p>
        </w:tc>
      </w:t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Gain Recognized in OCI</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4"/>
              </w:rPr>
              <w:t>from AOCI into Income</w:t>
            </w: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6"/>
              </w:rPr>
              <w:t>Year Ended December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Location of Gain Reclassified</w:t>
            </w: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2120" w:type="dxa"/>
            <w:vAlign w:val="bottom"/>
          </w:tcPr>
          <w:p>
            <w:pPr>
              <w:ind w:left="62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2019</w:t>
            </w:r>
          </w:p>
        </w:tc>
        <w:tc>
          <w:tcPr>
            <w:tcW w:w="114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 AOCI into Income</w:t>
            </w:r>
          </w:p>
        </w:tc>
        <w:tc>
          <w:tcPr>
            <w:tcW w:w="300" w:type="dxa"/>
            <w:vAlign w:val="bottom"/>
          </w:tcPr>
          <w:p>
            <w:pPr>
              <w:spacing w:after="0"/>
              <w:rPr>
                <w:sz w:val="19"/>
                <w:szCs w:val="19"/>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09"/>
        </w:trPr>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27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(income)</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net</w:t>
            </w: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bl>
    <w:p>
      <w:pPr>
        <w:spacing w:after="0" w:line="21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the net amount of pre-tax derivative gains and losses included in AOCI at December 31, 2019 to be reclassified into earnings to approximate $10.0 over the next twelve months. The actual amount that will be reclassified to earnings will vary due to future currency exchange rates.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year ended December 31, 2019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Amount of Gain Recognized in Income</w:t>
            </w:r>
          </w:p>
        </w:tc>
      </w:tr>
      <w:tr>
        <w:trPr>
          <w:trHeight w:val="223"/>
        </w:trPr>
        <w:tc>
          <w:tcPr>
            <w:tcW w:w="4040" w:type="dxa"/>
            <w:vAlign w:val="bottom"/>
            <w:gridSpan w:val="2"/>
          </w:tcPr>
          <w:p>
            <w:pPr>
              <w:ind w:left="1540"/>
              <w:spacing w:after="0"/>
              <w:rPr>
                <w:sz w:val="20"/>
                <w:szCs w:val="20"/>
                <w:color w:val="auto"/>
              </w:rPr>
            </w:pPr>
            <w:r>
              <w:rPr>
                <w:rFonts w:ascii="Arial" w:cs="Arial" w:eastAsia="Arial" w:hAnsi="Arial"/>
                <w:sz w:val="18"/>
                <w:szCs w:val="18"/>
                <w:b w:val="1"/>
                <w:bCs w:val="1"/>
                <w:color w:val="auto"/>
              </w:rPr>
              <w:t>Instrument</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Recognized in Income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00" w:type="dxa"/>
            <w:vAlign w:val="bottom"/>
            <w:gridSpan w:val="5"/>
          </w:tcPr>
          <w:p>
            <w:pPr>
              <w:ind w:left="7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394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74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09"/>
        </w:trPr>
        <w:tc>
          <w:tcPr>
            <w:tcW w:w="3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Interest and other (income) expenses,</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contracts</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w:t>
            </w: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282A32"/>
        </w:rPr>
        <w:t>Derivative and Non-Derivative Assets and Liabilities</w:t>
      </w:r>
    </w:p>
    <w:p>
      <w:pPr>
        <w:spacing w:after="0" w:line="239" w:lineRule="exact"/>
        <w:rPr>
          <w:sz w:val="20"/>
          <w:szCs w:val="20"/>
          <w:color w:val="auto"/>
        </w:rPr>
      </w:pPr>
    </w:p>
    <w:p>
      <w:pPr>
        <w:spacing w:after="0" w:line="258" w:lineRule="auto"/>
        <w:rPr>
          <w:sz w:val="20"/>
          <w:szCs w:val="20"/>
          <w:color w:val="auto"/>
        </w:rPr>
      </w:pPr>
      <w:r>
        <w:rPr>
          <w:rFonts w:ascii="Arial" w:cs="Arial" w:eastAsia="Arial" w:hAnsi="Arial"/>
          <w:sz w:val="18"/>
          <w:szCs w:val="18"/>
          <w:color w:val="282A32"/>
        </w:rPr>
        <w:t>The following tables present the fair value of derivative and non-derivative assets and liabilities on the Consolidated Balance Sheets as of December 31,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4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6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9"/>
              </w:rPr>
              <w:t>Balance Sheet Location</w:t>
            </w: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2018</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9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60" w:type="dxa"/>
            <w:vAlign w:val="bottom"/>
            <w:gridSpan w:val="2"/>
          </w:tcPr>
          <w:p>
            <w:pPr>
              <w:ind w:left="900"/>
              <w:spacing w:after="0"/>
              <w:rPr>
                <w:sz w:val="20"/>
                <w:szCs w:val="20"/>
                <w:color w:val="auto"/>
              </w:rPr>
            </w:pPr>
            <w:r>
              <w:rPr>
                <w:rFonts w:ascii="Arial" w:cs="Arial" w:eastAsia="Arial" w:hAnsi="Arial"/>
                <w:sz w:val="18"/>
                <w:szCs w:val="18"/>
                <w:color w:val="auto"/>
                <w:w w:val="93"/>
              </w:rPr>
              <w:t>Prepaid expenses and other assets</w:t>
            </w:r>
          </w:p>
        </w:tc>
        <w:tc>
          <w:tcPr>
            <w:tcW w:w="9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9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3560" w:type="dxa"/>
            <w:vAlign w:val="bottom"/>
            <w:gridSpan w:val="2"/>
          </w:tcPr>
          <w:p>
            <w:pPr>
              <w:ind w:left="90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0.1</w:t>
            </w:r>
          </w:p>
        </w:tc>
      </w:tr>
      <w:tr>
        <w:trPr>
          <w:trHeight w:val="223"/>
        </w:trPr>
        <w:tc>
          <w:tcPr>
            <w:tcW w:w="41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6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r>
      <w:tr>
        <w:trPr>
          <w:trHeight w:val="20"/>
        </w:trPr>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w w:val="99"/>
              </w:rPr>
              <w:t>December 31,</w:t>
            </w:r>
          </w:p>
        </w:tc>
        <w:tc>
          <w:tcPr>
            <w:tcW w:w="1140" w:type="dxa"/>
            <w:vAlign w:val="bottom"/>
            <w:tcBorders>
              <w:bottom w:val="single" w:sz="8" w:color="auto"/>
            </w:tcBorders>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2420" w:type="dxa"/>
            <w:vAlign w:val="bottom"/>
          </w:tcPr>
          <w:p>
            <w:pPr>
              <w:ind w:left="440"/>
              <w:spacing w:after="0"/>
              <w:rPr>
                <w:sz w:val="20"/>
                <w:szCs w:val="20"/>
                <w:color w:val="auto"/>
              </w:rPr>
            </w:pPr>
            <w:r>
              <w:rPr>
                <w:rFonts w:ascii="Arial" w:cs="Arial" w:eastAsia="Arial" w:hAnsi="Arial"/>
                <w:sz w:val="18"/>
                <w:szCs w:val="18"/>
                <w:b w:val="1"/>
                <w:bCs w:val="1"/>
                <w:color w:val="auto"/>
                <w:w w:val="96"/>
              </w:rPr>
              <w:t>Balance Sheet Location</w:t>
            </w:r>
          </w:p>
        </w:tc>
        <w:tc>
          <w:tcPr>
            <w:tcW w:w="340" w:type="dxa"/>
            <w:vAlign w:val="bottom"/>
            <w:gridSpan w:val="2"/>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2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420" w:type="dxa"/>
            <w:vAlign w:val="bottom"/>
          </w:tcPr>
          <w:p>
            <w:pPr>
              <w:spacing w:after="0"/>
              <w:rPr>
                <w:sz w:val="20"/>
                <w:szCs w:val="20"/>
                <w:color w:val="auto"/>
              </w:rPr>
            </w:pPr>
            <w:r>
              <w:rPr>
                <w:rFonts w:ascii="Arial" w:cs="Arial" w:eastAsia="Arial" w:hAnsi="Arial"/>
                <w:sz w:val="18"/>
                <w:szCs w:val="18"/>
                <w:color w:val="auto"/>
              </w:rPr>
              <w:t>Long-term debt</w:t>
            </w:r>
          </w:p>
        </w:tc>
        <w:tc>
          <w:tcPr>
            <w:tcW w:w="1280" w:type="dxa"/>
            <w:vAlign w:val="bottom"/>
            <w:gridSpan w:val="3"/>
          </w:tcPr>
          <w:p>
            <w:pPr>
              <w:jc w:val="right"/>
              <w:ind w:right="7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1,002.9</w:t>
            </w:r>
          </w:p>
        </w:tc>
        <w:tc>
          <w:tcPr>
            <w:tcW w:w="80" w:type="dxa"/>
            <w:vAlign w:val="bottom"/>
          </w:tcPr>
          <w:p>
            <w:pPr>
              <w:spacing w:after="0"/>
              <w:rPr>
                <w:sz w:val="19"/>
                <w:szCs w:val="19"/>
                <w:color w:val="auto"/>
              </w:rPr>
            </w:pP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1,024.6</w:t>
            </w: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Cross-currency swaps</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Instruments not designated as hedges:</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r>
      <w:tr>
        <w:trPr>
          <w:trHeight w:val="223"/>
        </w:trPr>
        <w:tc>
          <w:tcPr>
            <w:tcW w:w="532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1,008.9</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1,024.7</w:t>
            </w:r>
          </w:p>
        </w:tc>
      </w:tr>
      <w:tr>
        <w:trPr>
          <w:trHeight w:val="20"/>
        </w:trPr>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82A32"/>
        </w:rPr>
        <w:t>The fair value measurements of these items recorded in our Consolidated Balance Sheets for the years ended December 31, 2019 and 2018 are disclosed in Note 1 to the Consolidated Financial Statements.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sz w:val="20"/>
                <w:szCs w:val="20"/>
                <w:color w:val="auto"/>
              </w:rPr>
            </w:pPr>
            <w:r>
              <w:rPr>
                <w:rFonts w:ascii="Arial" w:cs="Arial" w:eastAsia="Arial" w:hAnsi="Arial"/>
                <w:sz w:val="18"/>
                <w:szCs w:val="18"/>
                <w:color w:val="282A32"/>
              </w:rPr>
              <w:t>(13) Leases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282A3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20" w:type="dxa"/>
            <w:vAlign w:val="bottom"/>
            <w:gridSpan w:val="3"/>
          </w:tcPr>
          <w:p>
            <w:pPr>
              <w:spacing w:after="0"/>
              <w:rPr>
                <w:sz w:val="20"/>
                <w:szCs w:val="20"/>
                <w:color w:val="auto"/>
              </w:rPr>
            </w:pPr>
            <w:r>
              <w:rPr>
                <w:rFonts w:ascii="Arial" w:cs="Arial" w:eastAsia="Arial" w:hAnsi="Arial"/>
                <w:sz w:val="18"/>
                <w:szCs w:val="18"/>
                <w:color w:val="282A32"/>
              </w:rPr>
              <w:t>The components of lease expense were as follows: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79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23"/>
        </w:trPr>
        <w:tc>
          <w:tcPr>
            <w:tcW w:w="8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Short-term lease expense</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8820" w:type="dxa"/>
            <w:vAlign w:val="bottom"/>
            <w:gridSpan w:val="3"/>
          </w:tcPr>
          <w:p>
            <w:pPr>
              <w:ind w:left="260"/>
              <w:spacing w:after="0"/>
              <w:rPr>
                <w:sz w:val="20"/>
                <w:szCs w:val="20"/>
                <w:color w:val="auto"/>
              </w:rPr>
            </w:pPr>
            <w:r>
              <w:rPr>
                <w:rFonts w:ascii="Arial" w:cs="Arial" w:eastAsia="Arial" w:hAnsi="Arial"/>
                <w:sz w:val="18"/>
                <w:szCs w:val="18"/>
                <w:color w:val="auto"/>
              </w:rPr>
              <w:t>Total lease expense</w:t>
            </w:r>
          </w:p>
        </w:tc>
        <w:tc>
          <w:tcPr>
            <w:tcW w:w="4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(1) Other lease expense includes variable lease expense and sublease income.</w:t>
            </w: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8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820" w:type="dxa"/>
            <w:vAlign w:val="bottom"/>
            <w:gridSpan w:val="3"/>
          </w:tcPr>
          <w:p>
            <w:pPr>
              <w:spacing w:after="0"/>
              <w:rPr>
                <w:sz w:val="20"/>
                <w:szCs w:val="20"/>
                <w:color w:val="auto"/>
              </w:rPr>
            </w:pPr>
            <w:r>
              <w:rPr>
                <w:rFonts w:ascii="Arial" w:cs="Arial" w:eastAsia="Arial" w:hAnsi="Arial"/>
                <w:sz w:val="18"/>
                <w:szCs w:val="18"/>
                <w:color w:val="282A32"/>
              </w:rPr>
              <w:t>Other information related to leases was as follows: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jc w:val="right"/>
              <w:ind w:right="6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661"/>
        </w:trPr>
        <w:tc>
          <w:tcPr>
            <w:tcW w:w="8820" w:type="dxa"/>
            <w:vAlign w:val="bottom"/>
            <w:gridSpan w:val="3"/>
          </w:tcPr>
          <w:p>
            <w:pPr>
              <w:ind w:left="56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3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3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3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3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(1)  Operating lease liabilities - current are included in accrued expenses on our Consolidated Balance Sheets.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4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75"/>
        </w:trPr>
        <w:tc>
          <w:tcPr>
            <w:tcW w:w="8940" w:type="dxa"/>
            <w:vAlign w:val="bottom"/>
          </w:tcPr>
          <w:p>
            <w:pPr>
              <w:spacing w:after="0"/>
              <w:rPr>
                <w:sz w:val="20"/>
                <w:szCs w:val="20"/>
                <w:color w:val="auto"/>
              </w:rPr>
            </w:pPr>
            <w:r>
              <w:rPr>
                <w:rFonts w:ascii="Arial" w:cs="Arial" w:eastAsia="Arial" w:hAnsi="Arial"/>
                <w:sz w:val="18"/>
                <w:szCs w:val="18"/>
                <w:color w:val="282A32"/>
              </w:rPr>
              <w:t>Maturities of operating lease liabilities as of December 31, 2019 were as follows: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Period Ending December 31, 2019</w:t>
            </w:r>
          </w:p>
        </w:tc>
        <w:tc>
          <w:tcPr>
            <w:tcW w:w="460" w:type="dxa"/>
            <w:vAlign w:val="bottom"/>
          </w:tcPr>
          <w:p>
            <w:pPr>
              <w:spacing w:after="0"/>
              <w:rPr>
                <w:sz w:val="19"/>
                <w:szCs w:val="19"/>
                <w:color w:val="auto"/>
              </w:rPr>
            </w:pPr>
          </w:p>
        </w:tc>
        <w:tc>
          <w:tcPr>
            <w:tcW w:w="20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90"/>
              </w:rPr>
              <w:t>Operating Leases</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8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282A32"/>
                <w:w w:val="97"/>
              </w:rPr>
              <w:t>Maturities of operating leases accounted for under ASC 840 as liabilities as of December 31, 2018 were as follows:</w:t>
            </w: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Period Ending December 31, 2018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Operating Leases</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8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8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minimum lease payments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
        </w:trPr>
        <w:tc>
          <w:tcPr>
            <w:tcW w:w="89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282A32"/>
        </w:rPr>
      </w:pPr>
      <w:r>
        <w:rPr>
          <w:rFonts w:ascii="Arial" w:cs="Arial" w:eastAsia="Arial" w:hAnsi="Arial"/>
          <w:sz w:val="18"/>
          <w:szCs w:val="18"/>
          <w:u w:val="single" w:color="auto"/>
          <w:color w:val="282A32"/>
        </w:rPr>
        <w:t>Segment Data</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82A32"/>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APME; and Right Management.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9" w:name="page90"/>
    <w:bookmarkEnd w:id="89"/>
    <w:p>
      <w:pPr>
        <w:jc w:val="both"/>
        <w:spacing w:after="0" w:line="255" w:lineRule="auto"/>
        <w:rPr>
          <w:sz w:val="20"/>
          <w:szCs w:val="20"/>
          <w:color w:val="auto"/>
        </w:rPr>
      </w:pPr>
      <w:r>
        <w:rPr>
          <w:rFonts w:ascii="Arial" w:cs="Arial" w:eastAsia="Arial" w:hAnsi="Arial"/>
          <w:sz w:val="18"/>
          <w:szCs w:val="18"/>
          <w:color w:val="282A32"/>
        </w:rPr>
        <w:t>The Americas, Southern Europe, Northern Europe and APME segments derive a significant majority of their revenues from the placement of contingent workers. The remaining revenues within these segments are derived from other workforce solutions and services, including ManpowerGroup Solutions (RPO, MSP, Proservia and Talent Based Outsourcing (TBO)), recruitment and assessment, and training and development. The Right Management segment revenues are derived from career management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82A32"/>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282A32"/>
        </w:rPr>
        <w:t>Total assets for the segments are reported after the elimination of investments in subsidiaries and intercompany accounts.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28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 from Services</w:t>
            </w:r>
            <w:r>
              <w:rPr>
                <w:rFonts w:ascii="Arial" w:cs="Arial" w:eastAsia="Arial" w:hAnsi="Arial"/>
                <w:sz w:val="15"/>
                <w:szCs w:val="15"/>
                <w:b w:val="1"/>
                <w:bCs w:val="1"/>
                <w:color w:val="auto"/>
              </w:rPr>
              <w:t>(a)</w:t>
            </w:r>
          </w:p>
        </w:tc>
        <w:tc>
          <w:tcPr>
            <w:tcW w:w="28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Americas:</w:t>
            </w: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r>
              <w:rPr>
                <w:rFonts w:ascii="Arial" w:cs="Arial" w:eastAsia="Arial" w:hAnsi="Arial"/>
                <w:sz w:val="15"/>
                <w:szCs w:val="15"/>
                <w:color w:val="auto"/>
              </w:rPr>
              <w:t>(b)</w:t>
            </w:r>
          </w:p>
        </w:tc>
        <w:tc>
          <w:tcPr>
            <w:tcW w:w="28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2,507.0</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2,522.3</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2,659.0</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2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1,675.3</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1,637.0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1,557.4</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spacing w:after="0"/>
              <w:rPr>
                <w:sz w:val="19"/>
                <w:szCs w:val="19"/>
                <w:color w:val="auto"/>
              </w:rPr>
            </w:pPr>
          </w:p>
        </w:tc>
        <w:tc>
          <w:tcPr>
            <w:tcW w:w="28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4,182.3</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4,159.3</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4,216.4</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Southern Europe:</w:t>
            </w: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5,459.7</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5,827.7</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5,477.2</w:t>
            </w: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Italy</w:t>
            </w:r>
          </w:p>
        </w:tc>
        <w:tc>
          <w:tcPr>
            <w:tcW w:w="28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1,506.5</w:t>
            </w: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1,670.6</w:t>
            </w:r>
          </w:p>
        </w:tc>
        <w:tc>
          <w:tcPr>
            <w:tcW w:w="4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1,475.9</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28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2,200.2</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1,873.3</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1,703.9</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9,166.4</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9,371.6</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8,657.0</w:t>
            </w: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4,691.3</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5,370.5</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5,306.4</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APME</w:t>
            </w:r>
          </w:p>
        </w:tc>
        <w:tc>
          <w:tcPr>
            <w:tcW w:w="28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2,627.2</w:t>
            </w: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2,890.3</w:t>
            </w:r>
          </w:p>
        </w:tc>
        <w:tc>
          <w:tcPr>
            <w:tcW w:w="4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2,636.4</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28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196.3</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199.5</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218.1</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20,863.5</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21,991.2</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21,034.3</w:t>
            </w: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Unit Profit</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Americas:</w:t>
            </w: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8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113.2</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130.8</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152.1</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2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73.1</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spacing w:after="0"/>
              <w:rPr>
                <w:sz w:val="19"/>
                <w:szCs w:val="19"/>
                <w:color w:val="auto"/>
              </w:rPr>
            </w:pPr>
          </w:p>
        </w:tc>
        <w:tc>
          <w:tcPr>
            <w:tcW w:w="28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186.3</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203.9</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213.3</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Southern Europe:</w:t>
            </w: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284.3</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290.4</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280.0</w:t>
            </w: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Italy</w:t>
            </w:r>
          </w:p>
        </w:tc>
        <w:tc>
          <w:tcPr>
            <w:tcW w:w="28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111.1</w:t>
            </w:r>
          </w:p>
        </w:tc>
        <w:tc>
          <w:tcPr>
            <w:tcW w:w="4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104.5</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28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67.7</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66.1</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59.4</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454.6</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467.6</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443.9</w:t>
            </w: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67.1</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122.7</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140.1</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APME</w:t>
            </w:r>
          </w:p>
        </w:tc>
        <w:tc>
          <w:tcPr>
            <w:tcW w:w="28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122.6</w:t>
            </w: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114.8</w:t>
            </w:r>
          </w:p>
        </w:tc>
        <w:tc>
          <w:tcPr>
            <w:tcW w:w="4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98.9</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28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30.0</w:t>
            </w: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32.8</w:t>
            </w: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36.0</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860.6</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941.8</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932.2</w:t>
            </w: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(121.9)</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(110.0)</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 impairment charge</w:t>
            </w:r>
          </w:p>
        </w:tc>
        <w:tc>
          <w:tcPr>
            <w:tcW w:w="28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15"/>
                <w:szCs w:val="15"/>
                <w:color w:val="auto"/>
              </w:rPr>
              <w:t>(c)</w:t>
            </w:r>
          </w:p>
        </w:tc>
        <w:tc>
          <w:tcPr>
            <w:tcW w:w="2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(29.8)</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(35.1)</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income (expenses), net</w:t>
            </w:r>
          </w:p>
        </w:tc>
        <w:tc>
          <w:tcPr>
            <w:tcW w:w="2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40.6</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Earnings before income taxes</w:t>
            </w:r>
          </w:p>
        </w:tc>
        <w:tc>
          <w:tcPr>
            <w:tcW w:w="28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685.5</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754.7</w:t>
            </w:r>
          </w:p>
        </w:tc>
        <w:tc>
          <w:tcPr>
            <w:tcW w:w="4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737.3</w:t>
            </w:r>
          </w:p>
        </w:tc>
      </w:tr>
      <w:tr>
        <w:trPr>
          <w:trHeight w:val="66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80" w:type="dxa"/>
            <w:vAlign w:val="bottom"/>
          </w:tcPr>
          <w:p>
            <w:pPr>
              <w:jc w:val="right"/>
              <w:ind w:right="1290"/>
              <w:spacing w:after="0"/>
              <w:rPr>
                <w:sz w:val="20"/>
                <w:szCs w:val="20"/>
                <w:color w:val="auto"/>
              </w:rPr>
            </w:pPr>
            <w:r>
              <w:rPr>
                <w:rFonts w:ascii="Arial" w:cs="Arial" w:eastAsia="Arial" w:hAnsi="Arial"/>
                <w:sz w:val="18"/>
                <w:szCs w:val="18"/>
                <w:color w:val="auto"/>
              </w:rPr>
              <w:t>90</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6"/>
        </w:trPr>
        <w:tc>
          <w:tcPr>
            <w:tcW w:w="6260" w:type="dxa"/>
            <w:vAlign w:val="bottom"/>
          </w:tcPr>
          <w:p>
            <w:pPr>
              <w:spacing w:after="0"/>
              <w:rPr>
                <w:sz w:val="20"/>
                <w:szCs w:val="20"/>
                <w:color w:val="auto"/>
              </w:rPr>
            </w:pPr>
            <w:r>
              <w:rPr>
                <w:rFonts w:ascii="Arial" w:cs="Arial" w:eastAsia="Arial" w:hAnsi="Arial"/>
                <w:sz w:val="16"/>
                <w:szCs w:val="16"/>
                <w:color w:val="282A32"/>
                <w:w w:val="99"/>
              </w:rPr>
              <w:t>(a) Further breakdown of revenues from services by geographical region was as follows:</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5"/>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Revenues from Services</w:t>
            </w: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2,590.6</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2,608.9</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2,758.5</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France</w:t>
            </w:r>
          </w:p>
        </w:tc>
        <w:tc>
          <w:tcPr>
            <w:tcW w:w="9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5,479.6</w:t>
            </w:r>
          </w:p>
        </w:tc>
        <w:tc>
          <w:tcPr>
            <w:tcW w:w="5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5,846.4</w:t>
            </w: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5,493.9</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Italy</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1,508.3</w:t>
            </w: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1,673.9</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1,479.4</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United Kingdom</w:t>
            </w:r>
          </w:p>
        </w:tc>
        <w:tc>
          <w:tcPr>
            <w:tcW w:w="9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1,598.6</w:t>
            </w:r>
          </w:p>
        </w:tc>
        <w:tc>
          <w:tcPr>
            <w:tcW w:w="5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1,672.1</w:t>
            </w:r>
          </w:p>
        </w:tc>
        <w:tc>
          <w:tcPr>
            <w:tcW w:w="5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1,619.2</w:t>
            </w:r>
          </w:p>
        </w:tc>
      </w:tr>
      <w:tr>
        <w:trPr>
          <w:trHeight w:val="230"/>
        </w:trPr>
        <w:tc>
          <w:tcPr>
            <w:tcW w:w="6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Foreign</w:t>
            </w:r>
          </w:p>
        </w:tc>
        <w:tc>
          <w:tcPr>
            <w:tcW w:w="9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18,272.9</w:t>
            </w: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19,382.3</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18,275.8</w:t>
            </w:r>
          </w:p>
        </w:tc>
      </w:tr>
    </w:tbl>
    <w:p>
      <w:pPr>
        <w:spacing w:after="0" w:line="31" w:lineRule="exact"/>
        <w:rPr>
          <w:sz w:val="20"/>
          <w:szCs w:val="20"/>
          <w:color w:val="auto"/>
        </w:rPr>
      </w:pPr>
    </w:p>
    <w:p>
      <w:pPr>
        <w:ind w:firstLine="8"/>
        <w:spacing w:after="0" w:line="290" w:lineRule="auto"/>
        <w:tabs>
          <w:tab w:leader="none" w:pos="245" w:val="left"/>
        </w:tabs>
        <w:numPr>
          <w:ilvl w:val="0"/>
          <w:numId w:val="40"/>
        </w:numPr>
        <w:rPr>
          <w:rFonts w:ascii="Arial" w:cs="Arial" w:eastAsia="Arial" w:hAnsi="Arial"/>
          <w:sz w:val="16"/>
          <w:szCs w:val="16"/>
          <w:color w:val="282A32"/>
        </w:rPr>
      </w:pPr>
      <w:r>
        <w:rPr>
          <w:rFonts w:ascii="Arial" w:cs="Arial" w:eastAsia="Arial" w:hAnsi="Arial"/>
          <w:sz w:val="16"/>
          <w:szCs w:val="16"/>
          <w:color w:val="282A32"/>
        </w:rPr>
        <w:t>The United States revenues above represent revenues from our company-owned branches and franchise fees received from our franchise operations, which were $14.1, $15.0 and $14.8 for 2019, 2018 and 2017, respectively.</w:t>
      </w:r>
    </w:p>
    <w:p>
      <w:pPr>
        <w:spacing w:after="0" w:line="1" w:lineRule="exact"/>
        <w:rPr>
          <w:rFonts w:ascii="Arial" w:cs="Arial" w:eastAsia="Arial" w:hAnsi="Arial"/>
          <w:sz w:val="16"/>
          <w:szCs w:val="16"/>
          <w:color w:val="282A32"/>
        </w:rPr>
      </w:pPr>
    </w:p>
    <w:p>
      <w:pPr>
        <w:ind w:left="220" w:hanging="212"/>
        <w:spacing w:after="0"/>
        <w:tabs>
          <w:tab w:leader="none" w:pos="220" w:val="left"/>
        </w:tabs>
        <w:numPr>
          <w:ilvl w:val="0"/>
          <w:numId w:val="40"/>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238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3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Americas:</w:t>
            </w:r>
          </w:p>
        </w:tc>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3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2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FF0FC"/>
          </w:tcPr>
          <w:p>
            <w:pPr>
              <w:spacing w:after="0"/>
              <w:rPr>
                <w:sz w:val="19"/>
                <w:szCs w:val="19"/>
                <w:color w:val="auto"/>
              </w:rPr>
            </w:pPr>
          </w:p>
        </w:tc>
        <w:tc>
          <w:tcPr>
            <w:tcW w:w="2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10.3</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10.4</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Southern Europe:</w:t>
            </w:r>
          </w:p>
        </w:tc>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13.7</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14.0</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r>
        <w:trPr>
          <w:trHeight w:val="230"/>
        </w:trPr>
        <w:tc>
          <w:tcPr>
            <w:tcW w:w="20" w:type="dxa"/>
            <w:vAlign w:val="bottom"/>
          </w:tcPr>
          <w:p>
            <w:pPr>
              <w:spacing w:after="0"/>
              <w:rPr>
                <w:sz w:val="19"/>
                <w:szCs w:val="19"/>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Italy</w:t>
            </w:r>
          </w:p>
        </w:tc>
        <w:tc>
          <w:tcPr>
            <w:tcW w:w="238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2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4.9</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4.8</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9.5</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11.0</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APME</w:t>
            </w:r>
          </w:p>
        </w:tc>
        <w:tc>
          <w:tcPr>
            <w:tcW w:w="238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Corporate expenses</w:t>
            </w:r>
          </w:p>
        </w:tc>
        <w:tc>
          <w:tcPr>
            <w:tcW w:w="238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15"/>
                <w:szCs w:val="15"/>
                <w:color w:val="auto"/>
              </w:rPr>
              <w:t>(a)</w:t>
            </w:r>
          </w:p>
        </w:tc>
        <w:tc>
          <w:tcPr>
            <w:tcW w:w="2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29.8</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35.1</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77.2</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85.8</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84.4</w:t>
            </w: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from Equity Investments</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Americas:</w:t>
            </w:r>
          </w:p>
        </w:tc>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3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2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FF0FC"/>
          </w:tcPr>
          <w:p>
            <w:pPr>
              <w:spacing w:after="0"/>
              <w:rPr>
                <w:sz w:val="19"/>
                <w:szCs w:val="19"/>
                <w:color w:val="auto"/>
              </w:rPr>
            </w:pPr>
          </w:p>
        </w:tc>
        <w:tc>
          <w:tcPr>
            <w:tcW w:w="2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Southern Europe:</w:t>
            </w:r>
          </w:p>
        </w:tc>
        <w:tc>
          <w:tcPr>
            <w:tcW w:w="2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Italy</w:t>
            </w:r>
          </w:p>
        </w:tc>
        <w:tc>
          <w:tcPr>
            <w:tcW w:w="2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2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47.5</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1.7</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47.4</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APME</w:t>
            </w:r>
          </w:p>
        </w:tc>
        <w:tc>
          <w:tcPr>
            <w:tcW w:w="238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2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50.5</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bl>
    <w:p>
      <w:pPr>
        <w:spacing w:after="0" w:line="31"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41" w:lineRule="exact"/>
        <w:rPr>
          <w:rFonts w:ascii="Arial" w:cs="Arial" w:eastAsia="Arial" w:hAnsi="Arial"/>
          <w:sz w:val="15"/>
          <w:szCs w:val="15"/>
          <w:color w:val="282A32"/>
        </w:rPr>
      </w:pPr>
    </w:p>
    <w:p>
      <w:pPr>
        <w:ind w:left="5620"/>
        <w:spacing w:after="0"/>
        <w:rPr>
          <w:rFonts w:ascii="Arial" w:cs="Arial" w:eastAsia="Arial" w:hAnsi="Arial"/>
          <w:sz w:val="15"/>
          <w:szCs w:val="15"/>
          <w:color w:val="282A32"/>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As of December 31</w:t>
            </w:r>
          </w:p>
        </w:tc>
        <w:tc>
          <w:tcPr>
            <w:tcW w:w="28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8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Americas:</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8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2,107.8</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1,827.4</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1,781.4</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2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379.2</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341.5</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329.2</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FF0FC"/>
          </w:tcPr>
          <w:p>
            <w:pPr>
              <w:spacing w:after="0"/>
              <w:rPr>
                <w:sz w:val="19"/>
                <w:szCs w:val="19"/>
                <w:color w:val="auto"/>
              </w:rPr>
            </w:pPr>
          </w:p>
        </w:tc>
        <w:tc>
          <w:tcPr>
            <w:tcW w:w="28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2,487.0</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2,168.9</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2,110.6</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Southern Europe:</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2,722.7</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2,729.7</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2,753.1</w:t>
            </w: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Italy</w:t>
            </w:r>
          </w:p>
        </w:tc>
        <w:tc>
          <w:tcPr>
            <w:tcW w:w="28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463.4</w:t>
            </w:r>
          </w:p>
        </w:tc>
        <w:tc>
          <w:tcPr>
            <w:tcW w:w="5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405.0</w:t>
            </w:r>
          </w:p>
        </w:tc>
        <w:tc>
          <w:tcPr>
            <w:tcW w:w="5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436.7</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28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771.0</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576.7</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596.2</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3,957.1</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3,711.4</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3,786.0</w:t>
            </w: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1,470.6</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1,237.0</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1,569.0</w:t>
            </w: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APME</w:t>
            </w:r>
          </w:p>
        </w:tc>
        <w:tc>
          <w:tcPr>
            <w:tcW w:w="28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707.6</w:t>
            </w:r>
          </w:p>
        </w:tc>
        <w:tc>
          <w:tcPr>
            <w:tcW w:w="5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754.0</w:t>
            </w:r>
          </w:p>
        </w:tc>
        <w:tc>
          <w:tcPr>
            <w:tcW w:w="5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780.7</w:t>
            </w: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112.1</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127.6</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138.1</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15"/>
                <w:szCs w:val="15"/>
                <w:color w:val="auto"/>
              </w:rPr>
              <w:t>(a)</w:t>
            </w:r>
          </w:p>
        </w:tc>
        <w:tc>
          <w:tcPr>
            <w:tcW w:w="2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489.4</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520.9</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499.2</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FF0FC"/>
          </w:tcPr>
          <w:p>
            <w:pPr>
              <w:spacing w:after="0"/>
              <w:rPr>
                <w:sz w:val="19"/>
                <w:szCs w:val="19"/>
                <w:color w:val="auto"/>
              </w:rPr>
            </w:pPr>
          </w:p>
        </w:tc>
        <w:tc>
          <w:tcPr>
            <w:tcW w:w="28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c>
          <w:tcPr>
            <w:tcW w:w="58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8,519.8</w:t>
            </w:r>
          </w:p>
        </w:tc>
        <w:tc>
          <w:tcPr>
            <w:tcW w:w="5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8,883.6</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2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Americas</w:t>
            </w:r>
          </w:p>
        </w:tc>
        <w:tc>
          <w:tcPr>
            <w:tcW w:w="28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Southern Europe:</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France</w:t>
            </w:r>
          </w:p>
        </w:tc>
        <w:tc>
          <w:tcPr>
            <w:tcW w:w="28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Italy</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Southern Europe</w:t>
            </w:r>
          </w:p>
        </w:tc>
        <w:tc>
          <w:tcPr>
            <w:tcW w:w="2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157.8</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157.2</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FF0FC"/>
          </w:tcPr>
          <w:p>
            <w:pPr>
              <w:spacing w:after="0"/>
              <w:rPr>
                <w:sz w:val="19"/>
                <w:szCs w:val="19"/>
                <w:color w:val="auto"/>
              </w:rPr>
            </w:pPr>
          </w:p>
        </w:tc>
        <w:tc>
          <w:tcPr>
            <w:tcW w:w="28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158.1</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157.6</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Northern Europe</w:t>
            </w:r>
          </w:p>
        </w:tc>
        <w:tc>
          <w:tcPr>
            <w:tcW w:w="28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APME</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Right Management</w:t>
            </w:r>
          </w:p>
        </w:tc>
        <w:tc>
          <w:tcPr>
            <w:tcW w:w="28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w:t>
            </w:r>
          </w:p>
        </w:tc>
        <w:tc>
          <w:tcPr>
            <w:tcW w:w="28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97.5</w:t>
            </w: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97.8</w:t>
            </w: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161.4</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158.7</w:t>
            </w:r>
          </w:p>
        </w:tc>
      </w:tr>
    </w:tbl>
    <w:p>
      <w:pPr>
        <w:spacing w:after="0" w:line="31"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6"/>
          <w:szCs w:val="16"/>
          <w:color w:val="282A32"/>
        </w:rPr>
      </w:pPr>
      <w:r>
        <w:rPr>
          <w:rFonts w:ascii="Arial" w:cs="Arial" w:eastAsia="Arial" w:hAnsi="Arial"/>
          <w:sz w:val="16"/>
          <w:szCs w:val="16"/>
          <w:color w:val="282A32"/>
        </w:rPr>
        <w:t>Corporate assets include assets that were not used in the operations of any segment, the most significant of which were purchased intangibles and cash.</w:t>
      </w:r>
    </w:p>
    <w:p>
      <w:pPr>
        <w:spacing w:after="0" w:line="230" w:lineRule="exact"/>
        <w:rPr>
          <w:rFonts w:ascii="Arial" w:cs="Arial" w:eastAsia="Arial" w:hAnsi="Arial"/>
          <w:sz w:val="16"/>
          <w:szCs w:val="16"/>
          <w:color w:val="282A32"/>
        </w:rPr>
      </w:pPr>
    </w:p>
    <w:p>
      <w:pPr>
        <w:ind w:left="5620"/>
        <w:spacing w:after="0"/>
        <w:rPr>
          <w:rFonts w:ascii="Arial" w:cs="Arial" w:eastAsia="Arial" w:hAnsi="Arial"/>
          <w:sz w:val="16"/>
          <w:szCs w:val="16"/>
          <w:color w:val="282A32"/>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As of and Year Ended December 31</w:t>
            </w:r>
          </w:p>
        </w:tc>
        <w:tc>
          <w:tcPr>
            <w:tcW w:w="12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15"/>
                <w:szCs w:val="15"/>
                <w:b w:val="1"/>
                <w:bCs w:val="1"/>
                <w:color w:val="auto"/>
              </w:rPr>
              <w:t>(a)</w:t>
            </w:r>
          </w:p>
        </w:tc>
        <w:tc>
          <w:tcPr>
            <w:tcW w:w="1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Americas: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12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6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Americas</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25.6</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26.7</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Southern Europe: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46.3</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49.2</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47.9</w:t>
            </w:r>
          </w:p>
        </w:tc>
      </w:tr>
      <w:tr>
        <w:trPr>
          <w:trHeight w:val="230"/>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Italy</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Southern Europe</w:t>
            </w:r>
          </w:p>
        </w:tc>
        <w:tc>
          <w:tcPr>
            <w:tcW w:w="1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23.4</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77.6</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APME</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150.9</w:t>
            </w:r>
          </w:p>
        </w:tc>
        <w:tc>
          <w:tcPr>
            <w:tcW w:w="64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160.0</w:t>
            </w:r>
          </w:p>
        </w:tc>
        <w:tc>
          <w:tcPr>
            <w:tcW w:w="6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161.3</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Additions to Long-Lived Assets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Other Americas</w:t>
            </w:r>
          </w:p>
        </w:tc>
        <w:tc>
          <w:tcPr>
            <w:tcW w:w="1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Southern Europe: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France</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Italy</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Southern Europe</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26.2</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25.7</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Northern Europe</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APME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Right Management</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w:t>
            </w:r>
          </w:p>
        </w:tc>
        <w:tc>
          <w:tcPr>
            <w:tcW w:w="1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60.3</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53.9</w:t>
            </w:r>
          </w:p>
        </w:tc>
      </w:tr>
      <w:tr>
        <w:trPr>
          <w:trHeight w:val="231"/>
        </w:trPr>
        <w:tc>
          <w:tcPr>
            <w:tcW w:w="6060" w:type="dxa"/>
            <w:vAlign w:val="bottom"/>
            <w:gridSpan w:val="2"/>
          </w:tcPr>
          <w:p>
            <w:pPr>
              <w:spacing w:after="0"/>
              <w:rPr>
                <w:sz w:val="20"/>
                <w:szCs w:val="20"/>
                <w:color w:val="auto"/>
              </w:rPr>
            </w:pPr>
            <w:r>
              <w:rPr>
                <w:rFonts w:ascii="Arial" w:cs="Arial" w:eastAsia="Arial" w:hAnsi="Arial"/>
                <w:sz w:val="16"/>
                <w:szCs w:val="16"/>
                <w:color w:val="282A32"/>
              </w:rPr>
              <w:t>(a) Further breakdown of long-lived assets by geographical region was as follows:</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65"/>
        </w:trPr>
        <w:tc>
          <w:tcPr>
            <w:tcW w:w="606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12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0" w:type="dxa"/>
            <w:vAlign w:val="bottom"/>
          </w:tcPr>
          <w:p>
            <w:pPr>
              <w:spacing w:after="0"/>
              <w:rPr>
                <w:sz w:val="19"/>
                <w:szCs w:val="19"/>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c>
          <w:tcPr>
            <w:tcW w:w="64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22.4</w:t>
            </w:r>
          </w:p>
        </w:tc>
        <w:tc>
          <w:tcPr>
            <w:tcW w:w="6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49.1</w:t>
            </w: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Italy</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United Kingdom</w:t>
            </w:r>
          </w:p>
        </w:tc>
        <w:tc>
          <w:tcPr>
            <w:tcW w:w="12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6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9.1</w:t>
            </w:r>
          </w:p>
        </w:tc>
      </w:tr>
      <w:tr>
        <w:trPr>
          <w:trHeight w:val="230"/>
        </w:trPr>
        <w:tc>
          <w:tcPr>
            <w:tcW w:w="20" w:type="dxa"/>
            <w:vAlign w:val="bottom"/>
          </w:tcPr>
          <w:p>
            <w:pPr>
              <w:spacing w:after="0"/>
              <w:rPr>
                <w:sz w:val="19"/>
                <w:szCs w:val="19"/>
                <w:color w:val="auto"/>
              </w:rPr>
            </w:pPr>
          </w:p>
        </w:tc>
        <w:tc>
          <w:tcPr>
            <w:tcW w:w="6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Foreign</w:t>
            </w:r>
          </w:p>
        </w:tc>
        <w:tc>
          <w:tcPr>
            <w:tcW w:w="1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130.4</w:t>
            </w: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137.6</w:t>
            </w: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136.4</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282A32"/>
        </w:rPr>
        <w:t xml:space="preserve">(15) </w:t>
      </w:r>
      <w:r>
        <w:rPr>
          <w:rFonts w:ascii="Arial" w:cs="Arial" w:eastAsia="Arial" w:hAnsi="Arial"/>
          <w:sz w:val="18"/>
          <w:szCs w:val="18"/>
          <w:u w:val="single" w:color="auto"/>
          <w:color w:val="282A32"/>
        </w:rPr>
        <w:t>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Litigation</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82A32"/>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93" w:name="page94"/>
    <w:bookmarkEnd w:id="93"/>
    <w:p>
      <w:pPr>
        <w:ind w:right="40"/>
        <w:spacing w:after="0" w:line="259" w:lineRule="auto"/>
        <w:rPr>
          <w:sz w:val="20"/>
          <w:szCs w:val="20"/>
          <w:color w:val="auto"/>
        </w:rPr>
      </w:pPr>
      <w:r>
        <w:rPr>
          <w:rFonts w:ascii="Arial" w:cs="Arial" w:eastAsia="Arial" w:hAnsi="Arial"/>
          <w:sz w:val="18"/>
          <w:szCs w:val="18"/>
          <w:color w:val="282A32"/>
        </w:rPr>
        <w:t>On April 26, 2017, the sellers of 7S, a company we acquired in 2015, formally disputed the contingent consideration related to the acquisition, claiming an additional $23.7 (€20.8), plus interest. The dispute was submitted to an arbitration tribunal in Germany. On June 28, 2019, the arbitration forum handed down its decision, rejecting the claims brought by the 7S sellers. Finding in favor of ManpowerGroup, the arbitration tribunal confirmed that no further amounts are owed by us, and also awarded us reimbursement of legal fees and other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Guarantees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82A32"/>
        </w:rPr>
        <w:t xml:space="preserve">We have entered into certain guarantee contracts and stand-by letters of credit that total $845.0 as of December 31, 2019 ($793.4 for guarantees and $51.6 for stand-by letters of credit, respectively). </w:t>
      </w:r>
      <w:r>
        <w:rPr>
          <w:rFonts w:ascii="Arial" w:cs="Arial" w:eastAsia="Arial" w:hAnsi="Arial"/>
          <w:sz w:val="18"/>
          <w:szCs w:val="18"/>
          <w:color w:val="000000"/>
        </w:rPr>
        <w:t>The guarantees primarily relate to staffing license requirements, operating leases and indebtedness. The stand-by</w:t>
      </w:r>
      <w:r>
        <w:rPr>
          <w:rFonts w:ascii="Arial" w:cs="Arial" w:eastAsia="Arial" w:hAnsi="Arial"/>
          <w:sz w:val="18"/>
          <w:szCs w:val="18"/>
          <w:color w:val="282A32"/>
        </w:rPr>
        <w:t xml:space="preserve"> </w:t>
      </w:r>
      <w:r>
        <w:rPr>
          <w:rFonts w:ascii="Arial" w:cs="Arial" w:eastAsia="Arial" w:hAnsi="Arial"/>
          <w:sz w:val="18"/>
          <w:szCs w:val="18"/>
          <w:color w:val="000000"/>
        </w:rPr>
        <w:t>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r>
        <w:rPr>
          <w:rFonts w:ascii="Arial" w:cs="Arial" w:eastAsia="Arial" w:hAnsi="Arial"/>
          <w:sz w:val="18"/>
          <w:szCs w:val="18"/>
          <w:color w:val="282A32"/>
        </w:rPr>
        <w:t>.</w:t>
      </w:r>
    </w:p>
    <w:p>
      <w:pPr>
        <w:spacing w:after="0" w:line="121"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282A32"/>
        </w:rPr>
      </w:pPr>
      <w:r>
        <w:rPr>
          <w:rFonts w:ascii="Arial" w:cs="Arial" w:eastAsia="Arial" w:hAnsi="Arial"/>
          <w:sz w:val="18"/>
          <w:szCs w:val="18"/>
          <w:u w:val="single" w:color="auto"/>
          <w:color w:val="282A32"/>
        </w:rPr>
        <w:t>Quarterly Data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First</w:t>
            </w:r>
          </w:p>
        </w:tc>
        <w:tc>
          <w:tcPr>
            <w:tcW w:w="4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Second</w:t>
            </w:r>
          </w:p>
        </w:tc>
        <w:tc>
          <w:tcPr>
            <w:tcW w:w="4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Third</w:t>
            </w:r>
          </w:p>
        </w:tc>
        <w:tc>
          <w:tcPr>
            <w:tcW w:w="4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Fourth</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Quarter</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Quarter</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Quarter</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Quarter</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5,044.9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5,373.1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5,248.9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5,196.6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804.8</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870.4</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840.3</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859.6</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profit</w:t>
            </w:r>
            <w:r>
              <w:rPr>
                <w:rFonts w:ascii="Arial" w:cs="Arial" w:eastAsia="Arial" w:hAnsi="Arial"/>
                <w:sz w:val="15"/>
                <w:szCs w:val="15"/>
                <w:color w:val="auto"/>
              </w:rPr>
              <w:t>(a)(b)(d)</w:t>
            </w:r>
          </w:p>
        </w:tc>
        <w:tc>
          <w:tcPr>
            <w:tcW w:w="1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105.5</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130.8</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217.0</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191.6</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earnings</w:t>
            </w:r>
            <w:r>
              <w:rPr>
                <w:rFonts w:ascii="Arial" w:cs="Arial" w:eastAsia="Arial" w:hAnsi="Arial"/>
                <w:sz w:val="15"/>
                <w:szCs w:val="15"/>
                <w:color w:val="auto"/>
              </w:rPr>
              <w:t>(a)(b)(c)(d)</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0.88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earnings per share - diluted</w:t>
            </w:r>
            <w:r>
              <w:rPr>
                <w:rFonts w:ascii="Arial" w:cs="Arial" w:eastAsia="Arial" w:hAnsi="Arial"/>
                <w:sz w:val="15"/>
                <w:szCs w:val="15"/>
                <w:color w:val="auto"/>
              </w:rPr>
              <w:t>(e)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0.88</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Dividends per share</w:t>
            </w:r>
          </w:p>
        </w:tc>
        <w:tc>
          <w:tcPr>
            <w:tcW w:w="1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5,522.4</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5,656.9</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5,418.7</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5,393.2</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885.4</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922.7</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890.6</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880.3</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w:t>
            </w:r>
            <w:r>
              <w:rPr>
                <w:rFonts w:ascii="Arial" w:cs="Arial" w:eastAsia="Arial" w:hAnsi="Arial"/>
                <w:sz w:val="15"/>
                <w:szCs w:val="15"/>
                <w:color w:val="auto"/>
              </w:rPr>
              <w:t>(f)</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153.8</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208.3</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216.7</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217.9</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earnings</w:t>
            </w:r>
            <w:r>
              <w:rPr>
                <w:rFonts w:ascii="Arial" w:cs="Arial" w:eastAsia="Arial" w:hAnsi="Arial"/>
                <w:sz w:val="15"/>
                <w:szCs w:val="15"/>
                <w:color w:val="auto"/>
              </w:rPr>
              <w:t>(f)</w:t>
            </w:r>
          </w:p>
        </w:tc>
        <w:tc>
          <w:tcPr>
            <w:tcW w:w="1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97.0</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143.4</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158.0</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158.3</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earnings per share - diluted</w:t>
            </w:r>
            <w:r>
              <w:rPr>
                <w:rFonts w:ascii="Arial" w:cs="Arial" w:eastAsia="Arial" w:hAnsi="Arial"/>
                <w:sz w:val="15"/>
                <w:szCs w:val="15"/>
                <w:color w:val="auto"/>
              </w:rPr>
              <w:t>(g)</w:t>
            </w:r>
          </w:p>
        </w:tc>
        <w:tc>
          <w:tcPr>
            <w:tcW w:w="17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Dividends per share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restructuring costs of $39.8, $31.4 net of tax, recorded in the first quarter.</w:t>
      </w:r>
    </w:p>
    <w:p>
      <w:pPr>
        <w:spacing w:after="0" w:line="22" w:lineRule="exact"/>
        <w:rPr>
          <w:rFonts w:ascii="Arial" w:cs="Arial" w:eastAsia="Arial" w:hAnsi="Arial"/>
          <w:sz w:val="16"/>
          <w:szCs w:val="16"/>
          <w:color w:val="auto"/>
        </w:rPr>
      </w:pPr>
    </w:p>
    <w:p>
      <w:pPr>
        <w:ind w:firstLine="8"/>
        <w:spacing w:after="0" w:line="264"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goodwill impairment and related charges of $65.6 recorded in selling and administrative expenses and related tax charges of $10.3 recorded in provision for income taxes in the second quarter.</w:t>
      </w:r>
    </w:p>
    <w:p>
      <w:pPr>
        <w:ind w:firstLine="8"/>
        <w:spacing w:after="0" w:line="264" w:lineRule="auto"/>
        <w:tabs>
          <w:tab w:leader="none" w:pos="2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gain of $80.4 from the acquisition of the remaining controlling interest in Manpower Switzerland recorded in interest and other (income) expenses, net in the second quarter.</w:t>
      </w: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gain of $30.4 from the ManpowerGroup Greater China Limited IPO recorded in the third quarter.</w:t>
      </w:r>
    </w:p>
    <w:p>
      <w:pPr>
        <w:spacing w:after="0" w:line="18" w:lineRule="exact"/>
        <w:rPr>
          <w:rFonts w:ascii="Arial" w:cs="Arial" w:eastAsia="Arial" w:hAnsi="Arial"/>
          <w:sz w:val="16"/>
          <w:szCs w:val="16"/>
          <w:color w:val="auto"/>
        </w:rPr>
      </w:pPr>
    </w:p>
    <w:p>
      <w:pPr>
        <w:jc w:val="both"/>
        <w:ind w:left="300" w:hanging="285"/>
        <w:spacing w:after="0" w:line="268" w:lineRule="auto"/>
        <w:tabs>
          <w:tab w:leader="none" w:pos="2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in the results are restructuring costs per diluted share of $(0.51) for the first quarter, goodwill and related tax and other charges per diluted share of $(1.26) for the second quarter, Manpower Switzerland acquisition gain per diluted share of $1.32 for the second quarter and ManpowerGroup Greater China Limited IPO gain per diluted share of $0.50 for the third quarter.</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restructuring costs of $24.0, $18.1 net of tax, and $15.3, $11.8 net of tax, recorded in the first and second quarter, respectively.</w:t>
      </w:r>
    </w:p>
    <w:p>
      <w:pPr>
        <w:spacing w:after="0" w:line="72" w:lineRule="exact"/>
        <w:rPr>
          <w:rFonts w:ascii="Arial" w:cs="Arial" w:eastAsia="Arial" w:hAnsi="Arial"/>
          <w:sz w:val="16"/>
          <w:szCs w:val="16"/>
          <w:color w:val="auto"/>
        </w:rPr>
      </w:pP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Included in the results are restructuring costs per diluted share of $(0.27) and $(0.18) for the first and second quarter, respectively.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4" w:name="page95"/>
    <w:bookmarkEnd w:id="94"/>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2019.</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Deloitte &amp; Touche LLP, an independent registered public accounting firm, as stated in their report which appears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 During 2019, we implemented internal controls to ensure we have adequately evaluated our lease portfolio and properly assessed the impact of the new accounting standards related to leases on our financial statements to support the adoption on January 1, 2019. We did not have any significant changes to our internal control over financial reporting due to the adoption of the new standard.</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96" w:name="page97"/>
    <w:bookmarkEnd w:id="96"/>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89" w:lineRule="exact"/>
        <w:rPr>
          <w:sz w:val="20"/>
          <w:szCs w:val="20"/>
          <w:color w:val="auto"/>
        </w:rPr>
      </w:pPr>
    </w:p>
    <w:p>
      <w:pPr>
        <w:ind w:left="580" w:hanging="369"/>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184" w:lineRule="exact"/>
        <w:rPr>
          <w:rFonts w:ascii="Arial" w:cs="Arial" w:eastAsia="Arial" w:hAnsi="Arial"/>
          <w:sz w:val="18"/>
          <w:szCs w:val="18"/>
          <w:color w:val="auto"/>
        </w:rPr>
      </w:pPr>
    </w:p>
    <w:p>
      <w:pPr>
        <w:ind w:left="580" w:hanging="369"/>
        <w:spacing w:after="0" w:line="27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8, 2020 under the caption “Election of Directors,” which information is hereby incorporated herein by reference.</w:t>
      </w:r>
    </w:p>
    <w:p>
      <w:pPr>
        <w:spacing w:after="0" w:line="129" w:lineRule="exact"/>
        <w:rPr>
          <w:rFonts w:ascii="Arial" w:cs="Arial" w:eastAsia="Arial" w:hAnsi="Arial"/>
          <w:sz w:val="18"/>
          <w:szCs w:val="18"/>
          <w:color w:val="auto"/>
        </w:rPr>
      </w:pPr>
    </w:p>
    <w:p>
      <w:pPr>
        <w:jc w:val="both"/>
        <w:ind w:left="580" w:hanging="369"/>
        <w:spacing w:after="0" w:line="264"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of directors has determined that each of Gina R. Boswell, John F. Ferraro, and Paul Read, chair of the audit committee, is an “audit committee financial expert.” Ms. Boswell, Mr. Ferraro, and Mr. Read are all “independent” as that term is used in Item 7(d)(3)(iv) of Schedule 14A under the Exchange Act.</w:t>
      </w:r>
    </w:p>
    <w:p>
      <w:pPr>
        <w:spacing w:after="0" w:line="140" w:lineRule="exact"/>
        <w:rPr>
          <w:rFonts w:ascii="Arial" w:cs="Arial" w:eastAsia="Arial" w:hAnsi="Arial"/>
          <w:sz w:val="18"/>
          <w:szCs w:val="18"/>
          <w:color w:val="auto"/>
        </w:rPr>
      </w:pPr>
    </w:p>
    <w:p>
      <w:pPr>
        <w:jc w:val="both"/>
        <w:ind w:left="580" w:hanging="369"/>
        <w:spacing w:after="0" w:line="264"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Audit Committee. The information required by this Item is set forth in our Proxy Statement for the Annual Meeting of Shareholders to be held on May 8, 2020 under the caption “Election of Directors - Meetings and Committees of the Board,” which information is hereby incorporated herein by reference.</w:t>
      </w:r>
    </w:p>
    <w:p>
      <w:pPr>
        <w:spacing w:after="0" w:line="140" w:lineRule="exact"/>
        <w:rPr>
          <w:rFonts w:ascii="Arial" w:cs="Arial" w:eastAsia="Arial" w:hAnsi="Arial"/>
          <w:sz w:val="18"/>
          <w:szCs w:val="18"/>
          <w:color w:val="auto"/>
        </w:rPr>
      </w:pPr>
    </w:p>
    <w:p>
      <w:pPr>
        <w:jc w:val="both"/>
        <w:ind w:left="580" w:hanging="369"/>
        <w:spacing w:after="0" w:line="276"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8, 2020, under the captions "Compensation Discussion and Analysis," "Compensation Tables" and "CEO Pay Ratio;" under the caption “Executive Compensation and Human Resources Committee Interlocks and Insider Participation;” and under the caption “Report of the Executive Compensation and Human Resources Committee of the Board of Directors,” which information is hereby incorporated herein by reference.</w:t>
      </w:r>
    </w:p>
    <w:p>
      <w:pPr>
        <w:spacing w:after="0" w:line="1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8, 2020, under the caption “Security Ownership of Certain Beneficial Owners,” under the caption “Beneficial Ownership of Directors and Executive Officers,” and under caption “Equity Compensation Plan Information,” which information is hereby incorporated herein by reference.</w:t>
      </w:r>
    </w:p>
    <w:p>
      <w:pPr>
        <w:spacing w:after="0" w:line="1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8, 2020, under the caption “Board Independence and Related Party Transactions” and “Meetings and Committees of the Board,” which information is hereby incorporated herein by reference.</w:t>
      </w:r>
    </w:p>
    <w:p>
      <w:pPr>
        <w:spacing w:after="0" w:line="1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8, 2020, under the captions “Audit Fees,” “Audit-Related Fees,” “Tax Fees,” “All Other Fees” and “Approval Procedures” in the Audit Committee Report, which information is hereby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(a)(1) Financial Statements.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
              <w:spacing w:after="0"/>
              <w:rPr>
                <w:sz w:val="20"/>
                <w:szCs w:val="20"/>
                <w:color w:val="auto"/>
              </w:rPr>
            </w:pPr>
            <w:r>
              <w:rPr>
                <w:rFonts w:ascii="Arial" w:cs="Arial" w:eastAsia="Arial" w:hAnsi="Arial"/>
                <w:sz w:val="18"/>
                <w:szCs w:val="18"/>
                <w:b w:val="1"/>
                <w:bCs w:val="1"/>
                <w:color w:val="auto"/>
                <w:w w:val="91"/>
              </w:rPr>
              <w:t>Page Number</w:t>
            </w:r>
          </w:p>
        </w:tc>
        <w:tc>
          <w:tcPr>
            <w:tcW w:w="0" w:type="dxa"/>
            <w:vAlign w:val="bottom"/>
          </w:tcPr>
          <w:p>
            <w:pPr>
              <w:spacing w:after="0"/>
              <w:rPr>
                <w:sz w:val="1"/>
                <w:szCs w:val="1"/>
                <w:color w:val="auto"/>
              </w:rPr>
            </w:pPr>
          </w:p>
        </w:tc>
      </w:tr>
      <w:tr>
        <w:trPr>
          <w:trHeight w:val="230"/>
        </w:trPr>
        <w:tc>
          <w:tcPr>
            <w:tcW w:w="3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Consolidated Financial Statements: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60" w:type="dxa"/>
            <w:vAlign w:val="bottom"/>
            <w:gridSpan w:val="8"/>
          </w:tcPr>
          <w:p>
            <w:pPr>
              <w:ind w:left="44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214"/>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shd w:val="clear" w:color="auto" w:fill="CFF0FC"/>
          </w:tcPr>
          <w:p>
            <w:pPr>
              <w:spacing w:after="0"/>
              <w:rPr>
                <w:sz w:val="15"/>
                <w:szCs w:val="15"/>
                <w:color w:val="auto"/>
              </w:rPr>
            </w:pPr>
          </w:p>
        </w:tc>
        <w:tc>
          <w:tcPr>
            <w:tcW w:w="7260" w:type="dxa"/>
            <w:vAlign w:val="bottom"/>
            <w:gridSpan w:val="15"/>
            <w:shd w:val="clear" w:color="auto" w:fill="CFF0FC"/>
          </w:tcPr>
          <w:p>
            <w:pPr>
              <w:spacing w:after="0" w:line="17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Consolidated Statements of Operations for the years ended December 31, 2019, 2018 and 2017</w:t>
              </w:r>
            </w:hyperlink>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center"/>
              <w:ind w:right="214"/>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44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2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74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400" w:type="dxa"/>
            <w:vAlign w:val="bottom"/>
            <w:gridSpan w:val="19"/>
          </w:tcPr>
          <w:p>
            <w:pPr>
              <w:spacing w:after="0" w:line="17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Consolidated Statements of Comprehensive Income for the years ended December 31, 2019, 2018 and 2017</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214"/>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4660" w:type="dxa"/>
            <w:vAlign w:val="bottom"/>
            <w:tcBorders>
              <w:bottom w:val="single" w:sz="8" w:color="0000EE"/>
            </w:tcBorders>
            <w:gridSpan w:val="6"/>
            <w:shd w:val="clear" w:color="auto" w:fill="CFF0FC"/>
          </w:tcPr>
          <w:p>
            <w:pPr>
              <w:spacing w:after="0" w:line="17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 as of December 31, 2019 and 2018</w:t>
              </w:r>
            </w:hyperlink>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center"/>
              <w:ind w:right="214"/>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76"/>
        </w:trPr>
        <w:tc>
          <w:tcPr>
            <w:tcW w:w="7700" w:type="dxa"/>
            <w:vAlign w:val="bottom"/>
            <w:gridSpan w:val="16"/>
          </w:tcPr>
          <w:p>
            <w:pPr>
              <w:ind w:left="440"/>
              <w:spacing w:after="0" w:line="17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Consolidated Statements of Cash Flows for the years ended December 31, 2019, 2018 and 2017</w:t>
              </w:r>
            </w:hyperlink>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214"/>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7600" w:type="dxa"/>
            <w:vAlign w:val="bottom"/>
            <w:tcBorders>
              <w:bottom w:val="single" w:sz="8" w:color="0000EE"/>
            </w:tcBorders>
            <w:gridSpan w:val="17"/>
            <w:shd w:val="clear" w:color="auto" w:fill="CFF0FC"/>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Shareholders’ Equity for the years ended December 31, 2019, 2018 and 2017</w:t>
              </w:r>
            </w:hyperlink>
          </w:p>
        </w:tc>
        <w:tc>
          <w:tcPr>
            <w:tcW w:w="8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center"/>
              <w:ind w:right="214"/>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3160" w:type="dxa"/>
            <w:vAlign w:val="bottom"/>
            <w:tcBorders>
              <w:bottom w:val="single" w:sz="8" w:color="0000EE"/>
            </w:tcBorders>
          </w:tcPr>
          <w:p>
            <w:pP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214"/>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466"/>
        </w:trPr>
        <w:tc>
          <w:tcPr>
            <w:tcW w:w="3880" w:type="dxa"/>
            <w:vAlign w:val="bottom"/>
            <w:gridSpan w:val="3"/>
          </w:tcPr>
          <w:p>
            <w:pPr>
              <w:spacing w:after="0"/>
              <w:rPr>
                <w:sz w:val="20"/>
                <w:szCs w:val="20"/>
                <w:color w:val="auto"/>
              </w:rPr>
            </w:pPr>
            <w:r>
              <w:rPr>
                <w:rFonts w:ascii="Arial" w:cs="Arial" w:eastAsia="Arial" w:hAnsi="Arial"/>
                <w:sz w:val="18"/>
                <w:szCs w:val="18"/>
                <w:color w:val="auto"/>
              </w:rPr>
              <w:t>(a)(2) Financial Statement Schedule.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880" w:type="dxa"/>
            <w:vAlign w:val="bottom"/>
            <w:gridSpan w:val="3"/>
          </w:tcPr>
          <w:p>
            <w:pPr>
              <w:spacing w:after="0"/>
              <w:rPr>
                <w:sz w:val="20"/>
                <w:szCs w:val="20"/>
                <w:color w:val="auto"/>
              </w:rPr>
            </w:pPr>
            <w:r>
              <w:rPr>
                <w:rFonts w:ascii="Arial" w:cs="Arial" w:eastAsia="Arial" w:hAnsi="Arial"/>
                <w:sz w:val="18"/>
                <w:szCs w:val="18"/>
                <w:color w:val="auto"/>
                <w:w w:val="95"/>
              </w:rPr>
              <w:t>SCHEDULE II—Valuation and Qualifying Accounts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8"/>
          </w:tcPr>
          <w:p>
            <w:pPr>
              <w:spacing w:after="0"/>
              <w:rPr>
                <w:sz w:val="20"/>
                <w:szCs w:val="20"/>
                <w:color w:val="auto"/>
              </w:rPr>
            </w:pPr>
            <w:r>
              <w:rPr>
                <w:rFonts w:ascii="Arial" w:cs="Arial" w:eastAsia="Arial" w:hAnsi="Arial"/>
                <w:sz w:val="18"/>
                <w:szCs w:val="18"/>
                <w:color w:val="auto"/>
                <w:w w:val="93"/>
              </w:rPr>
              <w:t>For the years ended December 31, 2019, 2018 and 2017, in millions: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8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24"/>
                <w:szCs w:val="24"/>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Provisions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Translation</w:t>
            </w:r>
          </w:p>
        </w:tc>
        <w:tc>
          <w:tcPr>
            <w:tcW w:w="120" w:type="dxa"/>
            <w:vAlign w:val="bottom"/>
          </w:tcPr>
          <w:p>
            <w:pPr>
              <w:spacing w:after="0"/>
              <w:rPr>
                <w:sz w:val="24"/>
                <w:szCs w:val="2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Reclassifications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of Year</w:t>
            </w:r>
          </w:p>
        </w:tc>
        <w:tc>
          <w:tcPr>
            <w:tcW w:w="120" w:type="dxa"/>
            <w:vAlign w:val="bottom"/>
          </w:tcPr>
          <w:p>
            <w:pPr>
              <w:spacing w:after="0"/>
              <w:rPr>
                <w:sz w:val="14"/>
                <w:szCs w:val="14"/>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gridSpan w:val="2"/>
            <w:shd w:val="clear" w:color="auto" w:fill="CFF0FC"/>
          </w:tcPr>
          <w:p>
            <w:pPr>
              <w:ind w:left="170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115.7</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3600" w:type="dxa"/>
            <w:vAlign w:val="bottom"/>
            <w:gridSpan w:val="2"/>
          </w:tcPr>
          <w:p>
            <w:pPr>
              <w:ind w:left="170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FF0FC"/>
          </w:tcPr>
          <w:p>
            <w:pPr>
              <w:ind w:left="1700"/>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(c) below.</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3.1</w:t>
            </w:r>
          </w:p>
        </w:tc>
        <w:tc>
          <w:tcPr>
            <w:tcW w:w="10500" w:type="dxa"/>
            <w:vAlign w:val="bottom"/>
            <w:tcBorders>
              <w:bottom w:val="single" w:sz="8" w:color="0000EE"/>
            </w:tcBorders>
            <w:gridSpan w:val="6"/>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Amended and Restated Articles of Incorporation of ManpowerGroup Inc., incorporated by reference to the Company’s Quarterly Report on Form</w:t>
              </w:r>
            </w:hyperlink>
          </w:p>
        </w:tc>
      </w:tr>
      <w:tr>
        <w:trPr>
          <w:trHeight w:val="196"/>
        </w:trPr>
        <w:tc>
          <w:tcPr>
            <w:tcW w:w="920" w:type="dxa"/>
            <w:vAlign w:val="bottom"/>
          </w:tcPr>
          <w:p>
            <w:pPr>
              <w:spacing w:after="0"/>
              <w:rPr>
                <w:sz w:val="17"/>
                <w:szCs w:val="17"/>
                <w:color w:val="auto"/>
              </w:rPr>
            </w:pPr>
          </w:p>
        </w:tc>
        <w:tc>
          <w:tcPr>
            <w:tcW w:w="10500" w:type="dxa"/>
            <w:vAlign w:val="bottom"/>
            <w:gridSpan w:val="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10-Q for the quarter ended June 30, 2013.</w:t>
              </w:r>
            </w:hyperlink>
          </w:p>
        </w:tc>
      </w:tr>
      <w:tr>
        <w:trPr>
          <w:trHeight w:val="20"/>
        </w:trPr>
        <w:tc>
          <w:tcPr>
            <w:tcW w:w="9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3.2</w:t>
            </w:r>
          </w:p>
        </w:tc>
        <w:tc>
          <w:tcPr>
            <w:tcW w:w="10240" w:type="dxa"/>
            <w:vAlign w:val="bottom"/>
            <w:tcBorders>
              <w:bottom w:val="single" w:sz="8" w:color="0000EE"/>
            </w:tcBorders>
            <w:gridSpan w:val="4"/>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Amended and Restated By-laws of ManpowerGroup Inc., incorporated by reference to the Company’s Quarterly Report on Form 10-Q for the</w:t>
              </w:r>
            </w:hyperlink>
          </w:p>
        </w:tc>
        <w:tc>
          <w:tcPr>
            <w:tcW w:w="2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00" w:type="dxa"/>
            <w:vAlign w:val="bottom"/>
            <w:gridSpan w:val="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quarter ended March 31, 2014.</w:t>
              </w:r>
            </w:hyperlink>
          </w:p>
        </w:tc>
      </w:tr>
      <w:tr>
        <w:trPr>
          <w:trHeight w:val="20"/>
        </w:trPr>
        <w:tc>
          <w:tcPr>
            <w:tcW w:w="9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4.1</w:t>
            </w:r>
          </w:p>
        </w:tc>
        <w:tc>
          <w:tcPr>
            <w:tcW w:w="10500" w:type="dxa"/>
            <w:vAlign w:val="bottom"/>
            <w:gridSpan w:val="6"/>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Fiscal and Paying Agency Agreement between the Company and Citibank, N.A., London Branch as Fiscal Agent, Principal Paying Agent and</w:t>
              </w:r>
            </w:hyperlink>
          </w:p>
        </w:tc>
      </w:tr>
      <w:tr>
        <w:trPr>
          <w:trHeight w:val="20"/>
        </w:trPr>
        <w:tc>
          <w:tcPr>
            <w:tcW w:w="92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Registrar and Transfer Agent, dated as of June 22, 2018 (including the form of Note attached thereto as Schedule I), incorporated by reference to</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the Company’s Current Report on Form 8-K dated June 22, 2018.</w:t>
              </w:r>
            </w:hyperlink>
          </w:p>
        </w:tc>
        <w:tc>
          <w:tcPr>
            <w:tcW w:w="5760" w:type="dxa"/>
            <w:vAlign w:val="bottom"/>
            <w:gridSpan w:val="3"/>
          </w:tcPr>
          <w:p>
            <w:pPr>
              <w:spacing w:after="0"/>
              <w:rPr>
                <w:sz w:val="17"/>
                <w:szCs w:val="17"/>
                <w:color w:val="auto"/>
              </w:rPr>
            </w:pPr>
          </w:p>
        </w:tc>
      </w:tr>
      <w:tr>
        <w:trPr>
          <w:trHeight w:val="885"/>
        </w:trPr>
        <w:tc>
          <w:tcPr>
            <w:tcW w:w="920" w:type="dxa"/>
            <w:vAlign w:val="bottom"/>
          </w:tcPr>
          <w:p>
            <w:pPr>
              <w:spacing w:after="0"/>
              <w:rPr>
                <w:sz w:val="24"/>
                <w:szCs w:val="24"/>
                <w:color w:val="auto"/>
              </w:rPr>
            </w:pPr>
          </w:p>
        </w:tc>
        <w:tc>
          <w:tcPr>
            <w:tcW w:w="10240" w:type="dxa"/>
            <w:vAlign w:val="bottom"/>
            <w:gridSpan w:val="4"/>
          </w:tcPr>
          <w:p>
            <w:pPr>
              <w:ind w:left="470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31"/>
          </w:tcPr>
          <w:p>
            <w:pPr>
              <w:spacing w:after="0"/>
              <w:rPr>
                <w:rFonts w:ascii="Arial" w:cs="Arial" w:eastAsia="Arial" w:hAnsi="Arial"/>
                <w:sz w:val="18"/>
                <w:szCs w:val="18"/>
                <w:color w:val="0000EE"/>
                <w:w w:val="94"/>
              </w:rPr>
            </w:pPr>
            <w:hyperlink r:id="rId125">
              <w:r>
                <w:rPr>
                  <w:rFonts w:ascii="Arial" w:cs="Arial" w:eastAsia="Arial" w:hAnsi="Arial"/>
                  <w:sz w:val="18"/>
                  <w:szCs w:val="18"/>
                  <w:color w:val="0000EE"/>
                  <w:w w:val="94"/>
                </w:rPr>
                <w:t>Fiscal and Paying Agency Agreement between the Company and Citibank, N.A., as Fiscal Agent, Principal Paying Agent and Registrar and</w:t>
              </w:r>
            </w:hyperlink>
          </w:p>
        </w:tc>
      </w:tr>
      <w:tr>
        <w:trPr>
          <w:trHeight w:val="20"/>
        </w:trPr>
        <w:tc>
          <w:tcPr>
            <w:tcW w:w="9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Transfer Agent, dated as of September 11, 2015 (including the form of Note attached thereto as Schedule I), incorporated by reference to the</w:t>
              </w:r>
            </w:hyperlink>
          </w:p>
        </w:tc>
      </w:tr>
      <w:tr>
        <w:trPr>
          <w:trHeight w:val="196"/>
        </w:trPr>
        <w:tc>
          <w:tcPr>
            <w:tcW w:w="920" w:type="dxa"/>
            <w:vAlign w:val="bottom"/>
          </w:tcPr>
          <w:p>
            <w:pPr>
              <w:spacing w:after="0"/>
              <w:rPr>
                <w:sz w:val="17"/>
                <w:szCs w:val="17"/>
                <w:color w:val="auto"/>
              </w:rPr>
            </w:pPr>
          </w:p>
        </w:tc>
        <w:tc>
          <w:tcPr>
            <w:tcW w:w="10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Company’s Current Report on Form 8-K dated September 11, 2015.</w:t>
              </w:r>
            </w:hyperlink>
          </w:p>
        </w:tc>
        <w:tc>
          <w:tcPr>
            <w:tcW w:w="38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71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Description of Securities Registered Pursuant to Section 12 of the Securities Exchange Act of 1934</w:t>
              </w:r>
            </w:hyperlink>
          </w:p>
        </w:tc>
        <w:tc>
          <w:tcPr>
            <w:tcW w:w="3340" w:type="dxa"/>
            <w:vAlign w:val="bottom"/>
            <w:gridSpan w:val="16"/>
          </w:tcPr>
          <w:p>
            <w:pPr>
              <w:spacing w:after="0"/>
              <w:rPr>
                <w:sz w:val="24"/>
                <w:szCs w:val="24"/>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Borders>
              <w:bottom w:val="single" w:sz="8" w:color="0000EE"/>
            </w:tcBorders>
            <w:gridSpan w:val="31"/>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Amended and Restated Five-Year Credit Agreement dated as of June 18, 2018 among the Company, a syndicate of lenders and Citibank, N.A., as</w:t>
              </w:r>
            </w:hyperlink>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Administrative Agent, incorporated by reference to the Company’s Current Report on Form 8-K dated June 22, 2018.</w:t>
              </w:r>
            </w:hyperlink>
          </w:p>
        </w:tc>
      </w:tr>
      <w:tr>
        <w:trPr>
          <w:trHeight w:val="20"/>
        </w:trPr>
        <w:tc>
          <w:tcPr>
            <w:tcW w:w="9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360" w:type="dxa"/>
            <w:vAlign w:val="bottom"/>
            <w:tcBorders>
              <w:bottom w:val="single" w:sz="8" w:color="0000EE"/>
            </w:tcBorders>
            <w:gridSpan w:val="29"/>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Manpower Savings Related Share Option Scheme incorporated by reference to the Company’s Annual Report on Form 10-K for the year ended</w:t>
              </w:r>
            </w:hyperlink>
          </w:p>
        </w:tc>
        <w:tc>
          <w:tcPr>
            <w:tcW w:w="1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7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December 31, 2010. **</w:t>
              </w:r>
            </w:hyperlink>
          </w:p>
        </w:tc>
        <w:tc>
          <w:tcPr>
            <w:tcW w:w="8800" w:type="dxa"/>
            <w:vAlign w:val="bottom"/>
            <w:gridSpan w:val="2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340" w:type="dxa"/>
            <w:vAlign w:val="bottom"/>
            <w:tcBorders>
              <w:bottom w:val="single" w:sz="8" w:color="0000EE"/>
            </w:tcBorders>
            <w:gridSpan w:val="28"/>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Manpower 1990 Employee Stock Purchase Plan (Amended and Restated effective April 26, 2005), incorporated by reference to the Company’s</w:t>
              </w:r>
            </w:hyperlink>
          </w:p>
        </w:tc>
        <w:tc>
          <w:tcPr>
            <w:tcW w:w="1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3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Quarterly Report on Form 10-Q for the quarter ended March 31, 2005. **</w:t>
              </w:r>
            </w:hyperlink>
          </w:p>
        </w:tc>
        <w:tc>
          <w:tcPr>
            <w:tcW w:w="5180" w:type="dxa"/>
            <w:vAlign w:val="bottom"/>
            <w:gridSpan w:val="20"/>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10.6(a)</w:t>
            </w:r>
          </w:p>
        </w:tc>
        <w:tc>
          <w:tcPr>
            <w:tcW w:w="1048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Terms and Conditions Regarding the Grant of Awards to Non-Employee Directors Under the 2011 Equity Incentive Plan (Amended and Restated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January 1, 2020), **</w:t>
              </w:r>
            </w:hyperlink>
          </w:p>
        </w:tc>
      </w:tr>
      <w:tr>
        <w:trPr>
          <w:trHeight w:val="20"/>
        </w:trPr>
        <w:tc>
          <w:tcPr>
            <w:tcW w:w="9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10.6(b)</w:t>
            </w:r>
          </w:p>
        </w:tc>
        <w:tc>
          <w:tcPr>
            <w:tcW w:w="10500" w:type="dxa"/>
            <w:vAlign w:val="bottom"/>
            <w:gridSpan w:val="3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ManpowerGroup Inc. Compensation for Non-Employee Directors (Amended and Restated Effective January 1, 2020. **</w:t>
              </w:r>
            </w:hyperlink>
          </w:p>
        </w:tc>
      </w:tr>
      <w:tr>
        <w:trPr>
          <w:trHeight w:val="20"/>
        </w:trPr>
        <w:tc>
          <w:tcPr>
            <w:tcW w:w="9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10.6(c)</w:t>
            </w:r>
          </w:p>
        </w:tc>
        <w:tc>
          <w:tcPr>
            <w:tcW w:w="10500" w:type="dxa"/>
            <w:vAlign w:val="bottom"/>
            <w:gridSpan w:val="31"/>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Severance Agreement between Jonas Prising and the Company dated as of May 2, 2017, incorporated by reference to the Company’s Quarterly</w:t>
              </w:r>
            </w:hyperlink>
          </w:p>
        </w:tc>
      </w:tr>
      <w:tr>
        <w:trPr>
          <w:trHeight w:val="196"/>
        </w:trPr>
        <w:tc>
          <w:tcPr>
            <w:tcW w:w="920" w:type="dxa"/>
            <w:vAlign w:val="bottom"/>
          </w:tcPr>
          <w:p>
            <w:pPr>
              <w:spacing w:after="0"/>
              <w:rPr>
                <w:sz w:val="17"/>
                <w:szCs w:val="17"/>
                <w:color w:val="auto"/>
              </w:rPr>
            </w:pPr>
          </w:p>
        </w:tc>
        <w:tc>
          <w:tcPr>
            <w:tcW w:w="103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Report on Form 10-Q for the quarter ended March 31, 2017. **</w:t>
              </w:r>
            </w:hyperlink>
          </w:p>
        </w:tc>
        <w:tc>
          <w:tcPr>
            <w:tcW w:w="18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10.6(d)</w:t>
            </w:r>
          </w:p>
        </w:tc>
        <w:tc>
          <w:tcPr>
            <w:tcW w:w="9960" w:type="dxa"/>
            <w:vAlign w:val="bottom"/>
            <w:tcBorders>
              <w:bottom w:val="single" w:sz="8" w:color="0000EE"/>
            </w:tcBorders>
            <w:gridSpan w:val="19"/>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Severance Agreement between Mara Swan and the Company dated as of December 11, 2017, incorporated by reference to the Company’s</w:t>
              </w:r>
            </w:hyperlink>
          </w:p>
        </w:tc>
        <w:tc>
          <w:tcPr>
            <w:tcW w:w="54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Current Report on Form 8-K dated December 12, 2017. **</w:t>
              </w:r>
            </w:hyperlink>
          </w:p>
        </w:tc>
      </w:tr>
      <w:tr>
        <w:trPr>
          <w:trHeight w:val="20"/>
        </w:trPr>
        <w:tc>
          <w:tcPr>
            <w:tcW w:w="9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10.6(e)</w:t>
            </w:r>
          </w:p>
        </w:tc>
        <w:tc>
          <w:tcPr>
            <w:tcW w:w="10500" w:type="dxa"/>
            <w:vAlign w:val="bottom"/>
            <w:tcBorders>
              <w:bottom w:val="single" w:sz="8" w:color="0000EE"/>
            </w:tcBorders>
            <w:gridSpan w:val="31"/>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Form of Amendment to Severance Agreement entered into between the Company and Jonas Prising and Mara Swan, incorporated by reference to</w:t>
              </w:r>
            </w:hyperlink>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the Company's Quarterly Report on Form 10-Q for the quarter ended March 31, 2018. **</w:t>
              </w:r>
            </w:hyperlink>
          </w:p>
        </w:tc>
      </w:tr>
      <w:tr>
        <w:trPr>
          <w:trHeight w:val="20"/>
        </w:trPr>
        <w:tc>
          <w:tcPr>
            <w:tcW w:w="9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10.6(f)</w:t>
            </w:r>
          </w:p>
        </w:tc>
        <w:tc>
          <w:tcPr>
            <w:tcW w:w="7040" w:type="dxa"/>
            <w:vAlign w:val="bottom"/>
            <w:tcBorders>
              <w:bottom w:val="single" w:sz="8" w:color="0000EE"/>
            </w:tcBorders>
            <w:gridSpan w:val="14"/>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Severance Agreement dated November 8, 2018 between the Company and Richard Buchband. **</w:t>
              </w:r>
            </w:hyperlink>
          </w:p>
        </w:tc>
        <w:tc>
          <w:tcPr>
            <w:tcW w:w="3460" w:type="dxa"/>
            <w:vAlign w:val="bottom"/>
            <w:gridSpan w:val="17"/>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10.6(g)</w:t>
            </w:r>
          </w:p>
        </w:tc>
        <w:tc>
          <w:tcPr>
            <w:tcW w:w="10220" w:type="dxa"/>
            <w:vAlign w:val="bottom"/>
            <w:tcBorders>
              <w:bottom w:val="single" w:sz="8" w:color="0000EE"/>
            </w:tcBorders>
            <w:gridSpan w:val="23"/>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2003 Equity Incentive Plan of Manpower Inc. (Amended and Restated Effective April 28, 2009), incorporated by reference to the Company’s</w:t>
              </w:r>
            </w:hyperlink>
          </w:p>
        </w:tc>
        <w:tc>
          <w:tcPr>
            <w:tcW w:w="28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Registration Statement on Form S-8 dated September 4, 2009. **</w:t>
              </w:r>
            </w:hyperlink>
          </w:p>
        </w:tc>
        <w:tc>
          <w:tcPr>
            <w:tcW w:w="5780" w:type="dxa"/>
            <w:vAlign w:val="bottom"/>
            <w:gridSpan w:val="2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10.6(h)</w:t>
            </w:r>
          </w:p>
        </w:tc>
        <w:tc>
          <w:tcPr>
            <w:tcW w:w="10500" w:type="dxa"/>
            <w:vAlign w:val="bottom"/>
            <w:gridSpan w:val="31"/>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Amendment of Manpower Inc. 2003 Equity Incentive Plan, incorporated by reference to the Company’s Quarterly Report on Form 10-Q for the</w:t>
              </w:r>
            </w:hyperlink>
          </w:p>
        </w:tc>
      </w:tr>
      <w:tr>
        <w:trPr>
          <w:trHeight w:val="196"/>
        </w:trPr>
        <w:tc>
          <w:tcPr>
            <w:tcW w:w="9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quarter ended March 31, 2010. **</w:t>
              </w:r>
            </w:hyperlink>
          </w:p>
        </w:tc>
        <w:tc>
          <w:tcPr>
            <w:tcW w:w="7900" w:type="dxa"/>
            <w:vAlign w:val="bottom"/>
            <w:tcBorders>
              <w:top w:val="single" w:sz="8" w:color="0000EE"/>
            </w:tcBorders>
            <w:gridSpan w:val="26"/>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10.6(i)</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2011 Equity Incentive Plan of Manpower Inc. (Amended and Restated Effective April 29, 2014), incorporated by reference to the Company’s</w:t>
              </w:r>
            </w:hyperlink>
          </w:p>
        </w:tc>
        <w:tc>
          <w:tcPr>
            <w:tcW w:w="30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Quarterly Report on Form 10-Q for the quarter ended June 30, 2014. **</w:t>
              </w:r>
            </w:hyperlink>
          </w:p>
        </w:tc>
        <w:tc>
          <w:tcPr>
            <w:tcW w:w="5320" w:type="dxa"/>
            <w:vAlign w:val="bottom"/>
            <w:gridSpan w:val="2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10.6(j)</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Form of Indemnification Agreement, incorporated by reference to the Company’s Current Report on Form 8-K dated October 31, 2006.</w:t>
              </w:r>
            </w:hyperlink>
          </w:p>
        </w:tc>
        <w:tc>
          <w:tcPr>
            <w:tcW w:w="720" w:type="dxa"/>
            <w:vAlign w:val="bottom"/>
            <w:gridSpan w:val="13"/>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10.7(a)</w:t>
            </w:r>
          </w:p>
        </w:tc>
        <w:tc>
          <w:tcPr>
            <w:tcW w:w="10500" w:type="dxa"/>
            <w:vAlign w:val="bottom"/>
            <w:tcBorders>
              <w:bottom w:val="single" w:sz="8" w:color="0000EE"/>
            </w:tcBorders>
            <w:gridSpan w:val="31"/>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Stock Option Agreement under 2011 Equity Incentive Plan, incorporated by reference to the Company’s Quarterly Report on Form 10-Q</w:t>
              </w:r>
            </w:hyperlink>
          </w:p>
        </w:tc>
      </w:tr>
      <w:tr>
        <w:trPr>
          <w:trHeight w:val="196"/>
        </w:trPr>
        <w:tc>
          <w:tcPr>
            <w:tcW w:w="920" w:type="dxa"/>
            <w:vAlign w:val="bottom"/>
          </w:tcPr>
          <w:p>
            <w:pPr>
              <w:spacing w:after="0"/>
              <w:rPr>
                <w:sz w:val="17"/>
                <w:szCs w:val="17"/>
                <w:color w:val="auto"/>
              </w:rPr>
            </w:pPr>
          </w:p>
        </w:tc>
        <w:tc>
          <w:tcPr>
            <w:tcW w:w="29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 the quarter ended March 31, 2019. **</w:t>
              </w:r>
            </w:hyperlink>
          </w:p>
        </w:tc>
        <w:tc>
          <w:tcPr>
            <w:tcW w:w="7520" w:type="dxa"/>
            <w:vAlign w:val="bottom"/>
            <w:gridSpan w:val="2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10.7(b)</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Form of Restricted Stock Unit Agreement under 2011 Equity Incentive Plan, incorporated by reference to the Company’s Quarterly Report on</w:t>
              </w:r>
            </w:hyperlink>
          </w:p>
        </w:tc>
        <w:tc>
          <w:tcPr>
            <w:tcW w:w="26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Form 10-Q for the quarter ended March 31, 2012. **</w:t>
              </w:r>
            </w:hyperlink>
          </w:p>
        </w:tc>
      </w:tr>
      <w:tr>
        <w:trPr>
          <w:trHeight w:val="20"/>
        </w:trPr>
        <w:tc>
          <w:tcPr>
            <w:tcW w:w="920" w:type="dxa"/>
            <w:vAlign w:val="bottom"/>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10.7(c)</w:t>
            </w:r>
          </w:p>
        </w:tc>
        <w:tc>
          <w:tcPr>
            <w:tcW w:w="10300" w:type="dxa"/>
            <w:vAlign w:val="bottom"/>
            <w:tcBorders>
              <w:bottom w:val="single" w:sz="8" w:color="0000EE"/>
            </w:tcBorders>
            <w:gridSpan w:val="26"/>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Form of 2014 Career Share Agreement under the 2011 Equity Incentive Plan, incorporated by reference to the Company’s Quarterly Report on</w:t>
              </w:r>
            </w:hyperlink>
          </w:p>
        </w:tc>
        <w:tc>
          <w:tcPr>
            <w:tcW w:w="2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Form 10-Q for the quarter ended March 31, 2014. **</w:t>
              </w:r>
            </w:hyperlink>
          </w:p>
        </w:tc>
      </w:tr>
      <w:tr>
        <w:trPr>
          <w:trHeight w:val="20"/>
        </w:trPr>
        <w:tc>
          <w:tcPr>
            <w:tcW w:w="920" w:type="dxa"/>
            <w:vAlign w:val="bottom"/>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10.7 (d)</w:t>
            </w:r>
          </w:p>
        </w:tc>
        <w:tc>
          <w:tcPr>
            <w:tcW w:w="10280" w:type="dxa"/>
            <w:vAlign w:val="bottom"/>
            <w:tcBorders>
              <w:bottom w:val="single" w:sz="8" w:color="0000EE"/>
            </w:tcBorders>
            <w:gridSpan w:val="25"/>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Form of 2016 Performance Share Unit Agreement under 2011 Equity Incentive Plan of ManpowerGroup Inc., incorporated by reference to the</w:t>
              </w:r>
            </w:hyperlink>
          </w:p>
        </w:tc>
        <w:tc>
          <w:tcPr>
            <w:tcW w:w="22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Company’s Quarterly Report on Form 10-Q for the Quarter ended March 31, 2016. **</w:t>
              </w:r>
            </w:hyperlink>
          </w:p>
        </w:tc>
      </w:tr>
      <w:tr>
        <w:trPr>
          <w:trHeight w:val="898"/>
        </w:trPr>
        <w:tc>
          <w:tcPr>
            <w:tcW w:w="920" w:type="dxa"/>
            <w:vAlign w:val="bottom"/>
          </w:tcPr>
          <w:p>
            <w:pPr>
              <w:spacing w:after="0"/>
              <w:rPr>
                <w:sz w:val="24"/>
                <w:szCs w:val="24"/>
                <w:color w:val="auto"/>
              </w:rPr>
            </w:pPr>
          </w:p>
        </w:tc>
        <w:tc>
          <w:tcPr>
            <w:tcW w:w="4900" w:type="dxa"/>
            <w:vAlign w:val="bottom"/>
            <w:tcBorders>
              <w:top w:val="single" w:sz="8" w:color="0000EE"/>
            </w:tcBorders>
            <w:gridSpan w:val="9"/>
          </w:tcPr>
          <w:p>
            <w:pPr>
              <w:ind w:left="4700"/>
              <w:spacing w:after="0"/>
              <w:rPr>
                <w:sz w:val="20"/>
                <w:szCs w:val="20"/>
                <w:color w:val="auto"/>
              </w:rPr>
            </w:pPr>
            <w:r>
              <w:rPr>
                <w:rFonts w:ascii="Arial" w:cs="Arial" w:eastAsia="Arial" w:hAnsi="Arial"/>
                <w:sz w:val="18"/>
                <w:szCs w:val="18"/>
                <w:color w:val="auto"/>
                <w:w w:val="89"/>
              </w:rPr>
              <w:t>99</w:t>
            </w: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9" w:name="page100"/>
    <w:bookmarkEnd w:id="99"/>
    <w:p>
      <w:pPr>
        <w:ind w:left="920" w:right="220" w:hanging="9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 (e)</w:t>
      </w:r>
      <w:r>
        <w:rPr>
          <w:sz w:val="20"/>
          <w:szCs w:val="20"/>
          <w:color w:val="auto"/>
        </w:rPr>
        <w:tab/>
      </w:r>
      <w:hyperlink r:id="rId143">
        <w:r>
          <w:rPr>
            <w:rFonts w:ascii="Arial" w:cs="Arial" w:eastAsia="Arial" w:hAnsi="Arial"/>
            <w:sz w:val="18"/>
            <w:szCs w:val="18"/>
            <w:u w:val="single" w:color="auto"/>
            <w:color w:val="0000EE"/>
          </w:rPr>
          <w:t>Form of 2019 Performance Share Unit Agreement under 2011 Equity Incentive Plan of ManpowerGroup Inc., incorporated by reference to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Company’s Quarterly Report on Form 10-Q for the Quarter ended March 31, 2019. **</w:t>
        </w:r>
      </w:hyperlink>
    </w:p>
    <w:p>
      <w:pPr>
        <w:spacing w:after="0" w:line="170" w:lineRule="exact"/>
        <w:rPr>
          <w:sz w:val="20"/>
          <w:szCs w:val="20"/>
          <w:color w:val="auto"/>
        </w:rPr>
      </w:pPr>
    </w:p>
    <w:p>
      <w:pPr>
        <w:ind w:left="920" w:right="620" w:hanging="9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10.8(a)</w:t>
      </w:r>
      <w:r>
        <w:rPr>
          <w:sz w:val="20"/>
          <w:szCs w:val="20"/>
          <w:color w:val="auto"/>
        </w:rPr>
        <w:tab/>
      </w:r>
      <w:hyperlink r:id="rId144">
        <w:r>
          <w:rPr>
            <w:rFonts w:ascii="Arial" w:cs="Arial" w:eastAsia="Arial" w:hAnsi="Arial"/>
            <w:sz w:val="18"/>
            <w:szCs w:val="18"/>
            <w:u w:val="single" w:color="auto"/>
            <w:color w:val="0000EE"/>
          </w:rPr>
          <w:t>Severance Agreement between Ram Chandrashekar and the Company dated August 2, 2018, incorporated by reference to the Company's</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Quarterly Report on Form 10-Q for the quarter ended June 30, 2018. **</w:t>
        </w:r>
      </w:hyperlink>
    </w:p>
    <w:p>
      <w:pPr>
        <w:spacing w:after="0" w:line="170" w:lineRule="exact"/>
        <w:rPr>
          <w:sz w:val="20"/>
          <w:szCs w:val="20"/>
          <w:color w:val="auto"/>
        </w:rPr>
      </w:pPr>
    </w:p>
    <w:p>
      <w:pPr>
        <w:ind w:left="920" w:right="400" w:hanging="9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10.8(b)</w:t>
      </w:r>
      <w:r>
        <w:rPr>
          <w:sz w:val="20"/>
          <w:szCs w:val="20"/>
          <w:color w:val="auto"/>
        </w:rPr>
        <w:tab/>
      </w:r>
      <w:hyperlink r:id="rId145">
        <w:r>
          <w:rPr>
            <w:rFonts w:ascii="Arial" w:cs="Arial" w:eastAsia="Arial" w:hAnsi="Arial"/>
            <w:sz w:val="18"/>
            <w:szCs w:val="18"/>
            <w:u w:val="single" w:color="auto"/>
            <w:color w:val="0000EE"/>
          </w:rPr>
          <w:t>Letter Agreement between Ram Chandrashekar and the Company dated March 8, 2013, incorporated by reference to the Company's Annual</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Report on Form 10-K for the year ended December 31, 2014. **</w:t>
        </w:r>
      </w:hyperlink>
    </w:p>
    <w:p>
      <w:pPr>
        <w:spacing w:after="0" w:line="170" w:lineRule="exact"/>
        <w:rPr>
          <w:sz w:val="20"/>
          <w:szCs w:val="20"/>
          <w:color w:val="auto"/>
        </w:rPr>
      </w:pPr>
    </w:p>
    <w:p>
      <w:pPr>
        <w:ind w:left="920" w:right="480" w:hanging="9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10.9(a)</w:t>
      </w:r>
      <w:r>
        <w:rPr>
          <w:sz w:val="20"/>
          <w:szCs w:val="20"/>
          <w:color w:val="auto"/>
        </w:rPr>
        <w:tab/>
      </w:r>
      <w:hyperlink r:id="rId146">
        <w:r>
          <w:rPr>
            <w:rFonts w:ascii="Arial" w:cs="Arial" w:eastAsia="Arial" w:hAnsi="Arial"/>
            <w:sz w:val="18"/>
            <w:szCs w:val="18"/>
            <w:u w:val="single" w:color="auto"/>
            <w:color w:val="0000EE"/>
          </w:rPr>
          <w:t>Severance Agreement between John T. McGinnis and the Company dated December 12, 2018, incorporated by reference to the Company's</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Current Report on Form 8-K dated December 12, 2018. **</w:t>
        </w:r>
      </w:hyperlink>
    </w:p>
    <w:p>
      <w:pPr>
        <w:spacing w:after="0" w:line="170" w:lineRule="exact"/>
        <w:rPr>
          <w:sz w:val="20"/>
          <w:szCs w:val="20"/>
          <w:color w:val="auto"/>
        </w:rPr>
      </w:pPr>
    </w:p>
    <w:p>
      <w:pPr>
        <w:ind w:left="920" w:right="380" w:hanging="9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10.9(b)</w:t>
      </w:r>
      <w:r>
        <w:rPr>
          <w:sz w:val="20"/>
          <w:szCs w:val="20"/>
          <w:color w:val="auto"/>
        </w:rPr>
        <w:tab/>
      </w:r>
      <w:hyperlink r:id="rId147">
        <w:r>
          <w:rPr>
            <w:rFonts w:ascii="Arial" w:cs="Arial" w:eastAsia="Arial" w:hAnsi="Arial"/>
            <w:sz w:val="18"/>
            <w:szCs w:val="18"/>
            <w:u w:val="single" w:color="auto"/>
            <w:color w:val="0000EE"/>
          </w:rPr>
          <w:t>Letter Agreement between John T. McGinnis and the Company dated as of November 17, 2015, incorporated by reference to the Company's</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Current Report on Form 8-K dated January 28, 2016. **</w:t>
        </w:r>
      </w:hyperlink>
    </w:p>
    <w:p>
      <w:pPr>
        <w:spacing w:after="0" w:line="170"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48">
        <w:r>
          <w:rPr>
            <w:rFonts w:ascii="Arial" w:cs="Arial" w:eastAsia="Arial" w:hAnsi="Arial"/>
            <w:sz w:val="16"/>
            <w:szCs w:val="16"/>
            <w:u w:val="single" w:color="auto"/>
            <w:color w:val="0000EE"/>
          </w:rPr>
          <w:t>ManpowerGroup Inc. Annual Incentive Plan, incorporated by reference to the Company's Current Report on Form 8-K dated February 15, 2018.</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w:t>
        </w:r>
      </w:hyperlink>
    </w:p>
    <w:p>
      <w:pPr>
        <w:spacing w:after="0" w:line="224" w:lineRule="exact"/>
        <w:rPr>
          <w:sz w:val="20"/>
          <w:szCs w:val="20"/>
          <w:color w:val="auto"/>
        </w:rPr>
      </w:pPr>
    </w:p>
    <w:p>
      <w:pPr>
        <w:ind w:left="920" w:hanging="912"/>
        <w:spacing w:after="0"/>
        <w:tabs>
          <w:tab w:leader="none" w:pos="920" w:val="left"/>
        </w:tabs>
        <w:numPr>
          <w:ilvl w:val="0"/>
          <w:numId w:val="46"/>
        </w:numPr>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Subsidiaries of the Company.</w:t>
        </w:r>
      </w:hyperlink>
    </w:p>
    <w:p>
      <w:pPr>
        <w:spacing w:after="0" w:line="225"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8">
        <w:r>
          <w:rPr>
            <w:rFonts w:ascii="Arial" w:cs="Arial" w:eastAsia="Arial" w:hAnsi="Arial"/>
            <w:sz w:val="16"/>
            <w:szCs w:val="16"/>
            <w:u w:val="single" w:color="auto"/>
            <w:color w:val="0000EE"/>
          </w:rPr>
          <w:t>Consent of Deloitte &amp; Touche LLP.</w:t>
        </w:r>
      </w:hyperlink>
    </w:p>
    <w:p>
      <w:pPr>
        <w:spacing w:after="0" w:line="225" w:lineRule="exact"/>
        <w:rPr>
          <w:sz w:val="20"/>
          <w:szCs w:val="20"/>
          <w:color w:val="auto"/>
        </w:rPr>
      </w:pPr>
    </w:p>
    <w:p>
      <w:pPr>
        <w:ind w:left="920" w:hanging="912"/>
        <w:spacing w:after="0"/>
        <w:tabs>
          <w:tab w:leader="none" w:pos="920" w:val="left"/>
        </w:tabs>
        <w:numPr>
          <w:ilvl w:val="0"/>
          <w:numId w:val="47"/>
        </w:numPr>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Power of Attorney.</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Certification of Jonas Prising, Chief Executive Officer, pursuant to Section 13a-14(a) of the Securities Exchange Act of 1934.</w:t>
              </w:r>
            </w:hyperlink>
          </w:p>
        </w:tc>
      </w:tr>
      <w:tr>
        <w:trPr>
          <w:trHeight w:val="20"/>
        </w:trPr>
        <w:tc>
          <w:tcPr>
            <w:tcW w:w="9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6"/>
          </w:tcPr>
          <w:p>
            <w:pPr>
              <w:spacing w:after="0"/>
              <w:rPr>
                <w:rFonts w:ascii="Arial" w:cs="Arial" w:eastAsia="Arial" w:hAnsi="Arial"/>
                <w:sz w:val="18"/>
                <w:szCs w:val="18"/>
                <w:color w:val="0000EE"/>
                <w:w w:val="98"/>
              </w:rPr>
            </w:pPr>
            <w:hyperlink w:anchor="page121">
              <w:r>
                <w:rPr>
                  <w:rFonts w:ascii="Arial" w:cs="Arial" w:eastAsia="Arial" w:hAnsi="Arial"/>
                  <w:sz w:val="18"/>
                  <w:szCs w:val="18"/>
                  <w:color w:val="0000EE"/>
                  <w:w w:val="98"/>
                </w:rPr>
                <w:t>Certification of John T. McGinnis, Executive Vice President and Chief Financial Officer, pursuant to Section 13a-14(a) of the Securities</w:t>
              </w:r>
            </w:hyperlink>
          </w:p>
        </w:tc>
      </w:tr>
      <w:tr>
        <w:trPr>
          <w:trHeight w:val="196"/>
        </w:trPr>
        <w:tc>
          <w:tcPr>
            <w:tcW w:w="920" w:type="dxa"/>
            <w:vAlign w:val="bottom"/>
          </w:tcPr>
          <w:p>
            <w:pPr>
              <w:spacing w:after="0"/>
              <w:rPr>
                <w:sz w:val="17"/>
                <w:szCs w:val="17"/>
                <w:color w:val="auto"/>
              </w:rPr>
            </w:pPr>
          </w:p>
        </w:tc>
        <w:tc>
          <w:tcPr>
            <w:tcW w:w="98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Exchange Act of 1934.</w:t>
              </w:r>
            </w:hyperlink>
          </w:p>
        </w:tc>
        <w:tc>
          <w:tcPr>
            <w:tcW w:w="7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Statement of Jonas Prising, Chief Executive Officer, pursuant to 18 U.S.C. ss. 1350.</w:t>
              </w:r>
            </w:hyperlink>
          </w:p>
        </w:tc>
      </w:tr>
      <w:tr>
        <w:trPr>
          <w:trHeight w:val="20"/>
        </w:trPr>
        <w:tc>
          <w:tcPr>
            <w:tcW w:w="920" w:type="dxa"/>
            <w:vAlign w:val="bottom"/>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6"/>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Statement of John T. McGinnis, Executive Vice President and Chief Financial Officer, pursuant to 18 U.S.C. ss. 1350.</w:t>
              </w:r>
            </w:hyperlink>
          </w:p>
        </w:tc>
      </w:tr>
      <w:tr>
        <w:trPr>
          <w:trHeight w:val="20"/>
        </w:trPr>
        <w:tc>
          <w:tcPr>
            <w:tcW w:w="920" w:type="dxa"/>
            <w:vAlign w:val="bottom"/>
          </w:tcPr>
          <w:p>
            <w:pPr>
              <w:spacing w:after="0" w:line="20" w:lineRule="exact"/>
              <w:rPr>
                <w:sz w:val="1"/>
                <w:szCs w:val="1"/>
                <w:color w:val="auto"/>
              </w:rPr>
            </w:pPr>
          </w:p>
        </w:tc>
        <w:tc>
          <w:tcPr>
            <w:tcW w:w="8500" w:type="dxa"/>
            <w:vAlign w:val="bottom"/>
            <w:gridSpan w:val="3"/>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6"/>
          </w:tcPr>
          <w:p>
            <w:pPr>
              <w:spacing w:after="0"/>
              <w:rPr>
                <w:sz w:val="20"/>
                <w:szCs w:val="20"/>
                <w:color w:val="auto"/>
              </w:rPr>
            </w:pPr>
            <w:r>
              <w:rPr>
                <w:rFonts w:ascii="Arial" w:cs="Arial" w:eastAsia="Arial" w:hAnsi="Arial"/>
                <w:sz w:val="18"/>
                <w:szCs w:val="18"/>
                <w:color w:val="212529"/>
                <w:w w:val="94"/>
              </w:rPr>
              <w:t xml:space="preserve">Inline XBRL Instance Document </w:t>
            </w:r>
            <w:r>
              <w:rPr>
                <w:rFonts w:ascii="Arial" w:cs="Arial" w:eastAsia="Arial" w:hAnsi="Arial"/>
                <w:sz w:val="18"/>
                <w:szCs w:val="18"/>
                <w:color w:val="000000"/>
                <w:w w:val="94"/>
              </w:rPr>
              <w:t>- the instance document does not appear in the Interactive Data File because its XBRL tags are embedded</w:t>
            </w:r>
          </w:p>
        </w:tc>
      </w:tr>
      <w:tr>
        <w:trPr>
          <w:trHeight w:val="230"/>
        </w:trPr>
        <w:tc>
          <w:tcPr>
            <w:tcW w:w="920" w:type="dxa"/>
            <w:vAlign w:val="bottom"/>
          </w:tcPr>
          <w:p>
            <w:pPr>
              <w:spacing w:after="0"/>
              <w:rPr>
                <w:sz w:val="20"/>
                <w:szCs w:val="20"/>
                <w:color w:val="auto"/>
              </w:rPr>
            </w:pPr>
          </w:p>
        </w:tc>
        <w:tc>
          <w:tcPr>
            <w:tcW w:w="105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44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4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6"/>
          </w:tcPr>
          <w:p>
            <w:pPr>
              <w:spacing w:after="0"/>
              <w:rPr>
                <w:sz w:val="20"/>
                <w:szCs w:val="20"/>
                <w:color w:val="auto"/>
              </w:rPr>
            </w:pPr>
            <w:r>
              <w:rPr>
                <w:rFonts w:ascii="Arial" w:cs="Arial" w:eastAsia="Arial" w:hAnsi="Arial"/>
                <w:sz w:val="18"/>
                <w:szCs w:val="18"/>
                <w:color w:val="212529"/>
              </w:rPr>
              <w:t>Inline XBRL Taxonomy Extension Calculation Linkbase Document</w:t>
            </w:r>
          </w:p>
        </w:tc>
      </w:tr>
      <w:tr>
        <w:trPr>
          <w:trHeight w:val="44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6"/>
          </w:tcPr>
          <w:p>
            <w:pPr>
              <w:spacing w:after="0"/>
              <w:rPr>
                <w:sz w:val="20"/>
                <w:szCs w:val="20"/>
                <w:color w:val="auto"/>
              </w:rPr>
            </w:pPr>
            <w:r>
              <w:rPr>
                <w:rFonts w:ascii="Arial" w:cs="Arial" w:eastAsia="Arial" w:hAnsi="Arial"/>
                <w:sz w:val="18"/>
                <w:szCs w:val="18"/>
                <w:color w:val="212529"/>
              </w:rPr>
              <w:t>Inline XBRL Taxonomy Extension Definition Linkbase Document</w:t>
            </w:r>
          </w:p>
        </w:tc>
      </w:tr>
      <w:tr>
        <w:trPr>
          <w:trHeight w:val="44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6"/>
          </w:tcPr>
          <w:p>
            <w:pPr>
              <w:spacing w:after="0"/>
              <w:rPr>
                <w:sz w:val="20"/>
                <w:szCs w:val="20"/>
                <w:color w:val="auto"/>
              </w:rPr>
            </w:pPr>
            <w:r>
              <w:rPr>
                <w:rFonts w:ascii="Arial" w:cs="Arial" w:eastAsia="Arial" w:hAnsi="Arial"/>
                <w:sz w:val="18"/>
                <w:szCs w:val="18"/>
                <w:color w:val="212529"/>
              </w:rPr>
              <w:t>Inline XBRL Taxonomy Extension Label Linkbase Document</w:t>
            </w:r>
          </w:p>
        </w:tc>
      </w:tr>
      <w:tr>
        <w:trPr>
          <w:trHeight w:val="446"/>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6"/>
          </w:tcPr>
          <w:p>
            <w:pPr>
              <w:spacing w:after="0"/>
              <w:rPr>
                <w:sz w:val="20"/>
                <w:szCs w:val="20"/>
                <w:color w:val="auto"/>
              </w:rPr>
            </w:pPr>
            <w:r>
              <w:rPr>
                <w:rFonts w:ascii="Arial" w:cs="Arial" w:eastAsia="Arial" w:hAnsi="Arial"/>
                <w:sz w:val="18"/>
                <w:szCs w:val="18"/>
                <w:color w:val="212529"/>
              </w:rPr>
              <w:t>Inline XBRL Taxonomy Extension Presentation Linkbase Document</w:t>
            </w:r>
          </w:p>
        </w:tc>
      </w:tr>
    </w:tbl>
    <w:p>
      <w:pPr>
        <w:spacing w:after="0" w:line="215" w:lineRule="exact"/>
        <w:rPr>
          <w:sz w:val="20"/>
          <w:szCs w:val="20"/>
          <w:color w:val="auto"/>
        </w:rPr>
      </w:pPr>
    </w:p>
    <w:p>
      <w:pPr>
        <w:ind w:left="920" w:hanging="912"/>
        <w:spacing w:after="0" w:line="27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cover page from the Company’s Annual Report on Form 10-K for the fiscal year ended December 31, 2019 has been formatted in Inline</w:t>
      </w:r>
      <w:r>
        <w:rPr>
          <w:rFonts w:ascii="Arial" w:cs="Arial" w:eastAsia="Arial" w:hAnsi="Arial"/>
          <w:sz w:val="18"/>
          <w:szCs w:val="18"/>
          <w:color w:val="212529"/>
        </w:rPr>
        <w:t xml:space="preserve"> </w:t>
      </w:r>
      <w:r>
        <w:rPr>
          <w:rFonts w:ascii="Arial" w:cs="Arial" w:eastAsia="Arial" w:hAnsi="Arial"/>
          <w:sz w:val="18"/>
          <w:szCs w:val="18"/>
          <w:color w:val="000000"/>
        </w:rPr>
        <w:t>XBRL (Inline Extensible Business Reporting Language).</w:t>
      </w:r>
    </w:p>
    <w:p>
      <w:pPr>
        <w:spacing w:after="0" w:line="11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MANPOWERGROUP INC.</w:t>
      </w:r>
    </w:p>
    <w:p>
      <w:pPr>
        <w:spacing w:after="0" w:line="306" w:lineRule="exact"/>
        <w:rPr>
          <w:sz w:val="20"/>
          <w:szCs w:val="20"/>
          <w:color w:val="auto"/>
        </w:rPr>
      </w:pPr>
    </w:p>
    <w:p>
      <w:pPr>
        <w:ind w:left="71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Jonas Prising</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Jonas Prising</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Chairman and Chief Executive Officer</w:t>
      </w:r>
    </w:p>
    <w:p>
      <w:pPr>
        <w:spacing w:after="0" w:line="305" w:lineRule="exact"/>
        <w:rPr>
          <w:sz w:val="20"/>
          <w:szCs w:val="20"/>
          <w:color w:val="auto"/>
        </w:rPr>
      </w:pPr>
    </w:p>
    <w:p>
      <w:pPr>
        <w:ind w:left="7120"/>
        <w:spacing w:after="0"/>
        <w:tabs>
          <w:tab w:leader="none" w:pos="7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21, 2020</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gridSpan w:val="4"/>
          </w:tcPr>
          <w:p>
            <w:pPr>
              <w:ind w:left="116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7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Date</w:t>
            </w:r>
          </w:p>
        </w:tc>
      </w:tr>
      <w:tr>
        <w:trPr>
          <w:trHeight w:val="419"/>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Jonas Prising</w:t>
            </w:r>
          </w:p>
        </w:tc>
        <w:tc>
          <w:tcPr>
            <w:tcW w:w="1700" w:type="dxa"/>
            <w:vAlign w:val="bottom"/>
            <w:gridSpan w:val="4"/>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a Director</w:t>
            </w:r>
          </w:p>
        </w:tc>
        <w:tc>
          <w:tcPr>
            <w:tcW w:w="2720" w:type="dxa"/>
            <w:vAlign w:val="bottom"/>
          </w:tcPr>
          <w:p>
            <w:pPr>
              <w:spacing w:after="0"/>
              <w:rPr>
                <w:sz w:val="20"/>
                <w:szCs w:val="20"/>
                <w:color w:val="auto"/>
              </w:rPr>
            </w:pPr>
            <w:r>
              <w:rPr>
                <w:rFonts w:ascii="Arial" w:cs="Arial" w:eastAsia="Arial" w:hAnsi="Arial"/>
                <w:sz w:val="18"/>
                <w:szCs w:val="18"/>
                <w:color w:val="auto"/>
              </w:rPr>
              <w:t>February 21, 2020</w:t>
            </w:r>
          </w:p>
        </w:tc>
      </w:tr>
      <w:tr>
        <w:trPr>
          <w:trHeight w:val="237"/>
        </w:trPr>
        <w:tc>
          <w:tcPr>
            <w:tcW w:w="2880" w:type="dxa"/>
            <w:vAlign w:val="bottom"/>
            <w:gridSpan w:val="5"/>
          </w:tcPr>
          <w:p>
            <w:pPr>
              <w:spacing w:after="0"/>
              <w:rPr>
                <w:sz w:val="20"/>
                <w:szCs w:val="20"/>
                <w:color w:val="auto"/>
              </w:rPr>
            </w:pPr>
            <w:r>
              <w:rPr>
                <w:rFonts w:ascii="Arial" w:cs="Arial" w:eastAsia="Arial" w:hAnsi="Arial"/>
                <w:sz w:val="18"/>
                <w:szCs w:val="18"/>
                <w:color w:val="auto"/>
              </w:rPr>
              <w:t>Jonas Prising</w:t>
            </w:r>
          </w:p>
        </w:tc>
        <w:tc>
          <w:tcPr>
            <w:tcW w:w="58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720" w:type="dxa"/>
            <w:vAlign w:val="bottom"/>
          </w:tcPr>
          <w:p>
            <w:pPr>
              <w:spacing w:after="0"/>
              <w:rPr>
                <w:sz w:val="20"/>
                <w:szCs w:val="20"/>
                <w:color w:val="auto"/>
              </w:rPr>
            </w:pPr>
          </w:p>
        </w:tc>
      </w:tr>
      <w:tr>
        <w:trPr>
          <w:trHeight w:val="527"/>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John T. McGinnis</w:t>
            </w:r>
          </w:p>
        </w:tc>
        <w:tc>
          <w:tcPr>
            <w:tcW w:w="1360" w:type="dxa"/>
            <w:vAlign w:val="bottom"/>
            <w:gridSpan w:val="2"/>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720" w:type="dxa"/>
            <w:vAlign w:val="bottom"/>
          </w:tcPr>
          <w:p>
            <w:pPr>
              <w:spacing w:after="0"/>
              <w:rPr>
                <w:sz w:val="20"/>
                <w:szCs w:val="20"/>
                <w:color w:val="auto"/>
              </w:rPr>
            </w:pPr>
            <w:r>
              <w:rPr>
                <w:rFonts w:ascii="Arial" w:cs="Arial" w:eastAsia="Arial" w:hAnsi="Arial"/>
                <w:sz w:val="18"/>
                <w:szCs w:val="18"/>
                <w:color w:val="auto"/>
              </w:rPr>
              <w:t>February 21, 2020</w:t>
            </w:r>
          </w:p>
        </w:tc>
      </w:tr>
      <w:tr>
        <w:trPr>
          <w:trHeight w:val="237"/>
        </w:trPr>
        <w:tc>
          <w:tcPr>
            <w:tcW w:w="2880" w:type="dxa"/>
            <w:vAlign w:val="bottom"/>
            <w:gridSpan w:val="5"/>
          </w:tcPr>
          <w:p>
            <w:pPr>
              <w:spacing w:after="0"/>
              <w:rPr>
                <w:sz w:val="20"/>
                <w:szCs w:val="20"/>
                <w:color w:val="auto"/>
              </w:rPr>
            </w:pPr>
            <w:r>
              <w:rPr>
                <w:rFonts w:ascii="Arial" w:cs="Arial" w:eastAsia="Arial" w:hAnsi="Arial"/>
                <w:sz w:val="18"/>
                <w:szCs w:val="18"/>
                <w:color w:val="auto"/>
              </w:rPr>
              <w:t>John T. McGinnis</w:t>
            </w:r>
          </w:p>
        </w:tc>
        <w:tc>
          <w:tcPr>
            <w:tcW w:w="58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2720" w:type="dxa"/>
            <w:vAlign w:val="bottom"/>
          </w:tcPr>
          <w:p>
            <w:pPr>
              <w:spacing w:after="0"/>
              <w:rPr>
                <w:sz w:val="20"/>
                <w:szCs w:val="20"/>
                <w:color w:val="auto"/>
              </w:rPr>
            </w:pPr>
          </w:p>
        </w:tc>
      </w:tr>
      <w:tr>
        <w:trPr>
          <w:trHeight w:val="473"/>
        </w:trPr>
        <w:tc>
          <w:tcPr>
            <w:tcW w:w="2880" w:type="dxa"/>
            <w:vAlign w:val="bottom"/>
            <w:gridSpan w:val="5"/>
          </w:tcPr>
          <w:p>
            <w:pPr>
              <w:spacing w:after="0"/>
              <w:rPr>
                <w:sz w:val="20"/>
                <w:szCs w:val="20"/>
                <w:color w:val="auto"/>
              </w:rPr>
            </w:pPr>
            <w:r>
              <w:rPr>
                <w:rFonts w:ascii="Arial" w:cs="Arial" w:eastAsia="Arial" w:hAnsi="Arial"/>
                <w:sz w:val="18"/>
                <w:szCs w:val="18"/>
                <w:color w:val="auto"/>
              </w:rPr>
              <w:t>/s/ Donald Mondano</w:t>
            </w:r>
          </w:p>
        </w:tc>
        <w:tc>
          <w:tcPr>
            <w:tcW w:w="5820" w:type="dxa"/>
            <w:vAlign w:val="bottom"/>
            <w:gridSpan w:val="2"/>
          </w:tcPr>
          <w:p>
            <w:pPr>
              <w:spacing w:after="0"/>
              <w:rPr>
                <w:sz w:val="20"/>
                <w:szCs w:val="20"/>
                <w:color w:val="auto"/>
              </w:rPr>
            </w:pPr>
            <w:r>
              <w:rPr>
                <w:rFonts w:ascii="Arial" w:cs="Arial" w:eastAsia="Arial" w:hAnsi="Arial"/>
                <w:sz w:val="18"/>
                <w:szCs w:val="18"/>
                <w:color w:val="auto"/>
              </w:rPr>
              <w:t>Senior Vice President, Global Controller and Treasurer</w:t>
            </w:r>
          </w:p>
        </w:tc>
        <w:tc>
          <w:tcPr>
            <w:tcW w:w="2720" w:type="dxa"/>
            <w:vAlign w:val="bottom"/>
          </w:tcPr>
          <w:p>
            <w:pPr>
              <w:spacing w:after="0"/>
              <w:rPr>
                <w:sz w:val="20"/>
                <w:szCs w:val="20"/>
                <w:color w:val="auto"/>
              </w:rPr>
            </w:pPr>
            <w:r>
              <w:rPr>
                <w:rFonts w:ascii="Arial" w:cs="Arial" w:eastAsia="Arial" w:hAnsi="Arial"/>
                <w:sz w:val="18"/>
                <w:szCs w:val="18"/>
                <w:color w:val="auto"/>
              </w:rPr>
              <w:t>February 21, 2020</w:t>
            </w:r>
          </w:p>
        </w:tc>
      </w:tr>
      <w:tr>
        <w:trPr>
          <w:trHeight w:val="237"/>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Donald Mondano</w:t>
            </w:r>
          </w:p>
        </w:tc>
        <w:tc>
          <w:tcPr>
            <w:tcW w:w="1400" w:type="dxa"/>
            <w:vAlign w:val="bottom"/>
            <w:gridSpan w:val="3"/>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720" w:type="dxa"/>
            <w:vAlign w:val="bottom"/>
          </w:tcPr>
          <w:p>
            <w:pPr>
              <w:spacing w:after="0"/>
              <w:rPr>
                <w:sz w:val="20"/>
                <w:szCs w:val="20"/>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Directors: Gina R. Boswell, Cari M. Dominguez, William Downe, John F. Ferraro, Patricia A. Hemingway Hall, Julie M. Howard, Ulice Payne, Jr., Paul Read, Elizabeth P. Sartain, and Michael J. Van Handel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Richard Buchband</w:t>
            </w:r>
          </w:p>
        </w:tc>
      </w:tr>
      <w:tr>
        <w:trPr>
          <w:trHeight w:val="222"/>
        </w:trPr>
        <w:tc>
          <w:tcPr>
            <w:tcW w:w="7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Richard Buchband</w:t>
            </w:r>
          </w:p>
        </w:tc>
      </w:tr>
      <w:tr>
        <w:trPr>
          <w:trHeight w:val="230"/>
        </w:trPr>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513"/>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1560" w:type="dxa"/>
            <w:vAlign w:val="bottom"/>
          </w:tcPr>
          <w:p>
            <w:pPr>
              <w:spacing w:after="0"/>
              <w:rPr>
                <w:sz w:val="20"/>
                <w:szCs w:val="20"/>
                <w:color w:val="auto"/>
              </w:rPr>
            </w:pPr>
            <w:r>
              <w:rPr>
                <w:rFonts w:ascii="Arial" w:cs="Arial" w:eastAsia="Arial" w:hAnsi="Arial"/>
                <w:sz w:val="18"/>
                <w:szCs w:val="18"/>
                <w:color w:val="auto"/>
              </w:rPr>
              <w:t>February 21, 2020</w:t>
            </w:r>
          </w:p>
        </w:tc>
      </w:tr>
    </w:tbl>
    <w:p>
      <w:pPr>
        <w:spacing w:after="0" w:line="215" w:lineRule="exact"/>
        <w:rPr>
          <w:sz w:val="20"/>
          <w:szCs w:val="20"/>
          <w:color w:val="auto"/>
        </w:rPr>
      </w:pPr>
    </w:p>
    <w:p>
      <w:pPr>
        <w:ind w:left="5580" w:right="4860" w:hanging="5572"/>
        <w:spacing w:after="0" w:line="624" w:lineRule="auto"/>
        <w:tabs>
          <w:tab w:leader="none" w:pos="2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Pursuant to authority granted by powers of attorney, copies of which are filed herewith. 101</w:t>
      </w:r>
    </w:p>
    <w:p>
      <w:pPr>
        <w:sectPr>
          <w:pgSz w:w="11900" w:h="16838" w:orient="portrait"/>
          <w:cols w:equalWidth="0" w:num="1">
            <w:col w:w="11420"/>
          </w:cols>
          <w:pgMar w:left="240" w:top="35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4.3</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Inc.</w:t>
      </w:r>
    </w:p>
    <w:p>
      <w:pPr>
        <w:spacing w:after="0" w:line="239" w:lineRule="exact"/>
        <w:rPr>
          <w:sz w:val="20"/>
          <w:szCs w:val="20"/>
          <w:color w:val="auto"/>
        </w:rPr>
      </w:pPr>
    </w:p>
    <w:p>
      <w:pPr>
        <w:ind w:left="3600"/>
        <w:spacing w:after="0"/>
        <w:rPr>
          <w:sz w:val="20"/>
          <w:szCs w:val="20"/>
          <w:color w:val="auto"/>
        </w:rPr>
      </w:pPr>
      <w:r>
        <w:rPr>
          <w:rFonts w:ascii="Arial" w:cs="Arial" w:eastAsia="Arial" w:hAnsi="Arial"/>
          <w:sz w:val="22"/>
          <w:szCs w:val="22"/>
          <w:i w:val="1"/>
          <w:iCs w:val="1"/>
          <w:color w:val="auto"/>
        </w:rPr>
        <w:t>Description of Securities Registered Pursuant to</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22"/>
          <w:szCs w:val="22"/>
          <w:i w:val="1"/>
          <w:iCs w:val="1"/>
          <w:color w:val="auto"/>
        </w:rPr>
        <w:t>Section 12 of the Securities Exchange Act of 1934</w:t>
      </w:r>
    </w:p>
    <w:p>
      <w:pPr>
        <w:spacing w:after="0" w:line="215" w:lineRule="exact"/>
        <w:rPr>
          <w:sz w:val="20"/>
          <w:szCs w:val="20"/>
          <w:color w:val="auto"/>
        </w:rPr>
      </w:pPr>
    </w:p>
    <w:p>
      <w:pPr>
        <w:ind w:right="100" w:firstLine="877"/>
        <w:spacing w:after="0" w:line="247" w:lineRule="auto"/>
        <w:rPr>
          <w:sz w:val="20"/>
          <w:szCs w:val="20"/>
          <w:color w:val="auto"/>
        </w:rPr>
      </w:pPr>
      <w:r>
        <w:rPr>
          <w:rFonts w:ascii="Arial" w:cs="Arial" w:eastAsia="Arial" w:hAnsi="Arial"/>
          <w:sz w:val="21"/>
          <w:szCs w:val="21"/>
          <w:color w:val="auto"/>
        </w:rPr>
        <w:t>As of December 31, 2019, ManpowerGroup Inc. (“ManpowerGroup,” “we,” “our,” “us”) has one class of securities registered under Section 12 of the Securities Exchange Act of 1934, as amended: common stock, $.01 par value, authorized 125,000,000 shares, issued 117,190,883 shares (the “Common Stock”). The following is a summary of the material terms and rights of our Common Stock and the provisions of our Amended and Restated Articles of Incorporation (the “Articles”) and our Amended and Restated By-laws (the “By-laws”), each of which is incorporated by reference as an exhibit to our Annual Report on Form 10-K for the year ended December 31, 2019, of which this exhibit is a part. The summary is not complete and you should refer to the applicable provisions of our Articles and By-laws.</w:t>
      </w:r>
    </w:p>
    <w:p>
      <w:pPr>
        <w:spacing w:after="0" w:line="205"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Our Articles authorize us to issue up to 25,000,000 shares of preferred stock, $.01 par value. As of December 31, 2019, we have not issued any shares of preferred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Rights</w:t>
      </w:r>
    </w:p>
    <w:p>
      <w:pPr>
        <w:spacing w:after="0" w:line="239" w:lineRule="exact"/>
        <w:rPr>
          <w:sz w:val="20"/>
          <w:szCs w:val="20"/>
          <w:color w:val="auto"/>
        </w:rPr>
      </w:pPr>
    </w:p>
    <w:p>
      <w:pPr>
        <w:jc w:val="both"/>
        <w:ind w:right="240" w:firstLine="877"/>
        <w:spacing w:after="0"/>
        <w:rPr>
          <w:sz w:val="20"/>
          <w:szCs w:val="20"/>
          <w:color w:val="auto"/>
        </w:rPr>
      </w:pPr>
      <w:r>
        <w:rPr>
          <w:rFonts w:ascii="Arial" w:cs="Arial" w:eastAsia="Arial" w:hAnsi="Arial"/>
          <w:sz w:val="22"/>
          <w:szCs w:val="22"/>
          <w:color w:val="auto"/>
        </w:rPr>
        <w:t>The holders of our Common Stock shall be entitled to receive such dividends as may be declared thereon from time to time by the Board of Directors, in its discretion, out of any funds of ManpowerGroup at the time legally available for payment of dividends on Common Stock.</w:t>
      </w:r>
    </w:p>
    <w:p>
      <w:pPr>
        <w:spacing w:after="0" w:line="213" w:lineRule="exact"/>
        <w:rPr>
          <w:sz w:val="20"/>
          <w:szCs w:val="20"/>
          <w:color w:val="auto"/>
        </w:rPr>
      </w:pPr>
    </w:p>
    <w:p>
      <w:pPr>
        <w:ind w:right="60" w:firstLine="877"/>
        <w:spacing w:after="0" w:line="248" w:lineRule="auto"/>
        <w:rPr>
          <w:sz w:val="20"/>
          <w:szCs w:val="20"/>
          <w:color w:val="auto"/>
        </w:rPr>
      </w:pPr>
      <w:r>
        <w:rPr>
          <w:rFonts w:ascii="Arial" w:cs="Arial" w:eastAsia="Arial" w:hAnsi="Arial"/>
          <w:sz w:val="21"/>
          <w:szCs w:val="21"/>
          <w:color w:val="auto"/>
        </w:rPr>
        <w:t>If we were to issue preferred stock, any dividends in connection with such preferred stock shall be paid or declared and set apart for payment for each dividend period before any dividend (other than a dividend payable solely in Common Stock) for the same period shall be paid upon or set apart for payment on the Common Stock, and, if dividends on the preferred stock shall be cumulative or partially cumulative, all unpaid dividends thereon for any past dividend period shall be fully paid or declared and set apart for payment, but without interest, before any dividend (other than a dividend payable solely in Common Stock) shall be paid upon or set apart for payment in the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Rights</w:t>
      </w:r>
    </w:p>
    <w:p>
      <w:pPr>
        <w:spacing w:after="0" w:line="239"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color w:val="auto"/>
        </w:rPr>
        <w:t>Except as otherwise provided by law and except as may be determined by the Board of Directors with respect to shares of preferred stock as provided in our Articles, only the holders of shares of Common Stock shall be entitled to vote for the election of directors of ManpowerGroup and for all other corporate purposes. Except as otherwise provided by law, upon any such vote, each holder of Common Stock shall be entitled to one vote for each share of Common Stock held of record by such shareholder. Our Articles do not provide for cumulative voting. Further, our Board of Directors does not have a classified structure.</w:t>
      </w:r>
    </w:p>
    <w:p>
      <w:pPr>
        <w:spacing w:after="0" w:line="175"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Pursuant to our By-laws if a quorum exists, generally, action on a matter by a voting group is approved if the votes cast within the voting group favoring the action exceed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cast opposing the action, unless our Articles, By-laws, or the Wisconsin business corporation law require a greater number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affirmative votes. For the election of directors, in a non-contested election, directors shall be elected by a majority of the votes cast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by holders of shares of our Common Stock entitled to vote in the election at a shareholders meeting at which a quorum 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present. In a contested election, directors shall be elected by a plurality of the votes cast by holders of shares of our Common Stock</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entitled to vote in the election at a shareholders meeting at which a quorum is present.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Liquidation Rights</w:t>
      </w:r>
    </w:p>
    <w:p>
      <w:pPr>
        <w:spacing w:after="0" w:line="239" w:lineRule="exact"/>
        <w:rPr>
          <w:sz w:val="20"/>
          <w:szCs w:val="20"/>
          <w:color w:val="auto"/>
        </w:rPr>
      </w:pPr>
    </w:p>
    <w:p>
      <w:pPr>
        <w:ind w:right="420" w:firstLine="877"/>
        <w:spacing w:after="0" w:line="287" w:lineRule="auto"/>
        <w:rPr>
          <w:sz w:val="20"/>
          <w:szCs w:val="20"/>
          <w:color w:val="auto"/>
        </w:rPr>
      </w:pPr>
      <w:r>
        <w:rPr>
          <w:rFonts w:ascii="Arial" w:cs="Arial" w:eastAsia="Arial" w:hAnsi="Arial"/>
          <w:sz w:val="19"/>
          <w:szCs w:val="19"/>
          <w:color w:val="auto"/>
        </w:rPr>
        <w:t>In the event of a voluntary or involuntary dissolution, liquidation or winding up of ManpowerGroup, after there have been paid to or set aside for any holders of shares of preferred stock the full preferential amounts to which they are entitled as provided in our Articles, the holders of outstanding shares of Common Stock shall be entitled to share ratably, according to the number of shares held by each, in the remaining assets of ManpowerGroup available for distribution.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Listing</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Our Common Stock is listed for trading on the New York Stock Exchange under the symbol “MAN.”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right="480" w:firstLine="877"/>
        <w:spacing w:after="0" w:line="274" w:lineRule="auto"/>
        <w:rPr>
          <w:sz w:val="20"/>
          <w:szCs w:val="20"/>
          <w:color w:val="auto"/>
        </w:rPr>
      </w:pPr>
      <w:r>
        <w:rPr>
          <w:rFonts w:ascii="Arial" w:cs="Arial" w:eastAsia="Arial" w:hAnsi="Arial"/>
          <w:sz w:val="21"/>
          <w:szCs w:val="21"/>
          <w:color w:val="auto"/>
        </w:rPr>
        <w:t>There are no conversion rights or redemption or sinking fund provisions for our Common Stock. The holders of our Common Stock also do not have preemptive rights to purchase or subscribe for any stock or other securities.</w:t>
      </w:r>
    </w:p>
    <w:p>
      <w:pPr>
        <w:sectPr>
          <w:pgSz w:w="11900" w:h="16838" w:orient="portrait"/>
          <w:cols w:equalWidth="0" w:num="1">
            <w:col w:w="11420"/>
          </w:cols>
          <w:pgMar w:left="240" w:top="36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Exhibit 10.6(a)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Regarding the Grant of Awards</w:t>
      </w:r>
    </w:p>
    <w:p>
      <w:pPr>
        <w:spacing w:after="0" w:line="10"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b w:val="1"/>
          <w:bCs w:val="1"/>
          <w:color w:val="auto"/>
        </w:rPr>
        <w:t>to Non</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Employee Directors under the 2011 Equity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(Amended and Restated Effective January 1, 2020)</w:t>
      </w:r>
    </w:p>
    <w:p>
      <w:pPr>
        <w:spacing w:after="0" w:line="185" w:lineRule="exact"/>
        <w:rPr>
          <w:sz w:val="20"/>
          <w:szCs w:val="20"/>
          <w:color w:val="auto"/>
        </w:rPr>
      </w:pPr>
    </w:p>
    <w:p>
      <w:pPr>
        <w:ind w:left="880" w:hanging="872"/>
        <w:spacing w:after="0"/>
        <w:tabs>
          <w:tab w:leader="none" w:pos="88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Unless the context otherwise requires, the following terms shall have the meanings set forth below:</w:t>
      </w:r>
    </w:p>
    <w:p>
      <w:pPr>
        <w:spacing w:after="0" w:line="202" w:lineRule="exact"/>
        <w:rPr>
          <w:sz w:val="20"/>
          <w:szCs w:val="20"/>
          <w:color w:val="auto"/>
        </w:rPr>
      </w:pPr>
    </w:p>
    <w:p>
      <w:pPr>
        <w:ind w:left="1740" w:right="280" w:hanging="868"/>
        <w:spacing w:after="0" w:line="236" w:lineRule="auto"/>
        <w:tabs>
          <w:tab w:leader="none" w:pos="17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“Average Trading Price” shall mean, with respect to any period, the average of the Market Prices on the last trading day of each full or partial calendar quarter included within such period.</w:t>
      </w:r>
    </w:p>
    <w:p>
      <w:pPr>
        <w:spacing w:after="0" w:line="195" w:lineRule="exact"/>
        <w:rPr>
          <w:rFonts w:ascii="Arial" w:cs="Arial" w:eastAsia="Arial" w:hAnsi="Arial"/>
          <w:sz w:val="20"/>
          <w:szCs w:val="20"/>
          <w:color w:val="auto"/>
        </w:rPr>
      </w:pPr>
    </w:p>
    <w:p>
      <w:pPr>
        <w:ind w:left="1740" w:right="120" w:hanging="868"/>
        <w:spacing w:after="0" w:line="229" w:lineRule="auto"/>
        <w:tabs>
          <w:tab w:leader="none" w:pos="17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199" w:lineRule="exact"/>
        <w:rPr>
          <w:rFonts w:ascii="Arial" w:cs="Arial" w:eastAsia="Arial" w:hAnsi="Arial"/>
          <w:sz w:val="20"/>
          <w:szCs w:val="20"/>
          <w:color w:val="auto"/>
        </w:rPr>
      </w:pPr>
    </w:p>
    <w:p>
      <w:pPr>
        <w:ind w:left="1740" w:hanging="868"/>
        <w:spacing w:after="0"/>
        <w:tabs>
          <w:tab w:leader="none" w:pos="17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“Equity Plan” shall mean the 2011 Equity Incentive Plan of ManpowerGroup Inc.</w:t>
      </w:r>
    </w:p>
    <w:p>
      <w:pPr>
        <w:spacing w:after="0" w:line="202" w:lineRule="exact"/>
        <w:rPr>
          <w:rFonts w:ascii="Arial" w:cs="Arial" w:eastAsia="Arial" w:hAnsi="Arial"/>
          <w:sz w:val="20"/>
          <w:szCs w:val="20"/>
          <w:color w:val="auto"/>
        </w:rPr>
      </w:pPr>
    </w:p>
    <w:p>
      <w:pPr>
        <w:ind w:left="1740" w:right="140" w:hanging="868"/>
        <w:spacing w:after="0" w:line="236" w:lineRule="auto"/>
        <w:tabs>
          <w:tab w:leader="none" w:pos="17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“Retainer” shall mean the annual cash retainer and the additional cash retainer for committee chairs and lead director payable to a Director as established from time to time by the Board of Directors.</w:t>
      </w:r>
    </w:p>
    <w:p>
      <w:pPr>
        <w:spacing w:after="0" w:line="196"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Any capitalized terms used below which are not otherwise defined above will have the meanings assigned to them in the Equity Plan.</w:t>
      </w:r>
    </w:p>
    <w:p>
      <w:pPr>
        <w:spacing w:after="0" w:line="172" w:lineRule="exact"/>
        <w:rPr>
          <w:sz w:val="20"/>
          <w:szCs w:val="20"/>
          <w:color w:val="auto"/>
        </w:rPr>
      </w:pPr>
    </w:p>
    <w:p>
      <w:pPr>
        <w:ind w:left="880" w:hanging="872"/>
        <w:spacing w:after="0"/>
        <w:tabs>
          <w:tab w:leader="none" w:pos="88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Right to Elect Deferred Stock in Lieu of Retainer.</w:t>
      </w:r>
    </w:p>
    <w:p>
      <w:pPr>
        <w:spacing w:after="0" w:line="226"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 (i) on or before the December 31 immediately preceding the beginning of the Election Period for an individual serving as a Director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ind w:right="120"/>
        <w:spacing w:after="0" w:line="232" w:lineRule="auto"/>
        <w:rPr>
          <w:sz w:val="20"/>
          <w:szCs w:val="20"/>
          <w:color w:val="auto"/>
        </w:rPr>
      </w:pPr>
      <w:r>
        <w:rPr>
          <w:rFonts w:ascii="Arial" w:cs="Arial" w:eastAsia="Arial" w:hAnsi="Arial"/>
          <w:sz w:val="20"/>
          <w:szCs w:val="20"/>
          <w:color w:val="auto"/>
        </w:rPr>
        <w:t>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73"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Annual Grant of Deferred Stock or Restricted Stock.</w:t>
      </w:r>
    </w:p>
    <w:p>
      <w:pPr>
        <w:spacing w:after="0" w:line="206" w:lineRule="exact"/>
        <w:rPr>
          <w:rFonts w:ascii="Arial" w:cs="Arial" w:eastAsia="Arial" w:hAnsi="Arial"/>
          <w:sz w:val="20"/>
          <w:szCs w:val="20"/>
          <w:b w:val="1"/>
          <w:bCs w:val="1"/>
          <w:color w:val="auto"/>
        </w:rPr>
      </w:pPr>
    </w:p>
    <w:p>
      <w:pPr>
        <w:ind w:left="1740" w:hanging="868"/>
        <w:spacing w:after="0" w:line="227" w:lineRule="auto"/>
        <w:tabs>
          <w:tab w:leader="none" w:pos="1740" w:val="left"/>
        </w:tabs>
        <w:numPr>
          <w:ilvl w:val="1"/>
          <w:numId w:val="53"/>
        </w:numPr>
        <w:rPr>
          <w:rFonts w:ascii="Arial" w:cs="Arial" w:eastAsia="Arial" w:hAnsi="Arial"/>
          <w:sz w:val="20"/>
          <w:szCs w:val="20"/>
          <w:color w:val="auto"/>
        </w:rPr>
      </w:pPr>
      <w:r>
        <w:rPr>
          <w:rFonts w:ascii="Arial" w:cs="Arial" w:eastAsia="Arial" w:hAnsi="Arial"/>
          <w:sz w:val="20"/>
          <w:szCs w:val="20"/>
          <w:i w:val="1"/>
          <w:iCs w:val="1"/>
          <w:color w:val="auto"/>
        </w:rPr>
        <w:t xml:space="preserve">Grant of Deferred Stock. </w:t>
      </w:r>
      <w:r>
        <w:rPr>
          <w:rFonts w:ascii="Arial" w:cs="Arial" w:eastAsia="Arial" w:hAnsi="Arial"/>
          <w:sz w:val="20"/>
          <w:szCs w:val="20"/>
          <w:color w:val="auto"/>
        </w:rPr>
        <w:t>Each individual serving as a Director on the first day of each calendar year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granted on that day, automatically and specifically without further action of the Board of Directors, a number of shares of Deferred Stock equal to $175,000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$175,000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185" w:lineRule="exact"/>
        <w:rPr>
          <w:rFonts w:ascii="Arial" w:cs="Arial" w:eastAsia="Arial" w:hAnsi="Arial"/>
          <w:sz w:val="20"/>
          <w:szCs w:val="20"/>
          <w:color w:val="auto"/>
        </w:rPr>
      </w:pPr>
    </w:p>
    <w:p>
      <w:pPr>
        <w:ind w:left="1740" w:right="20" w:hanging="868"/>
        <w:spacing w:after="0" w:line="241" w:lineRule="auto"/>
        <w:tabs>
          <w:tab w:leader="none" w:pos="1740"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 xml:space="preserve">Alternative Grant of Restricted Stock. </w:t>
      </w:r>
      <w:r>
        <w:rPr>
          <w:rFonts w:ascii="Arial" w:cs="Arial" w:eastAsia="Arial" w:hAnsi="Arial"/>
          <w:sz w:val="19"/>
          <w:szCs w:val="19"/>
          <w:color w:val="auto"/>
        </w:rPr>
        <w:t>Instead of receiving a grant of Deferred Stock under this paragraph 3, a</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 shall have the right to elect 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2" w:right="279" w:bottom="1440" w:gutter="0" w:footer="0" w:header="0"/>
        </w:sectPr>
      </w:pPr>
    </w:p>
    <w:bookmarkStart w:id="105" w:name="page106"/>
    <w:bookmarkEnd w:id="105"/>
    <w:p>
      <w:pPr>
        <w:ind w:left="1740" w:right="80"/>
        <w:spacing w:after="0" w:line="229" w:lineRule="auto"/>
        <w:rPr>
          <w:sz w:val="20"/>
          <w:szCs w:val="20"/>
          <w:color w:val="auto"/>
        </w:rPr>
      </w:pPr>
      <w:r>
        <w:rPr>
          <w:rFonts w:ascii="Arial" w:cs="Arial" w:eastAsia="Arial" w:hAnsi="Arial"/>
          <w:sz w:val="20"/>
          <w:szCs w:val="20"/>
          <w:color w:val="auto"/>
        </w:rPr>
        <w:t>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pacing w:after="0" w:line="172" w:lineRule="exact"/>
        <w:rPr>
          <w:sz w:val="20"/>
          <w:szCs w:val="20"/>
          <w:color w:val="auto"/>
        </w:rPr>
      </w:pPr>
    </w:p>
    <w:p>
      <w:pPr>
        <w:ind w:left="880" w:hanging="872"/>
        <w:spacing w:after="0"/>
        <w:tabs>
          <w:tab w:leader="none" w:pos="88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Deferred Stock: General Provisions.</w:t>
      </w:r>
    </w:p>
    <w:p>
      <w:pPr>
        <w:spacing w:after="0" w:line="206" w:lineRule="exact"/>
        <w:rPr>
          <w:rFonts w:ascii="Arial" w:cs="Arial" w:eastAsia="Arial" w:hAnsi="Arial"/>
          <w:sz w:val="20"/>
          <w:szCs w:val="20"/>
          <w:b w:val="1"/>
          <w:bCs w:val="1"/>
          <w:color w:val="auto"/>
        </w:rPr>
      </w:pPr>
    </w:p>
    <w:p>
      <w:pPr>
        <w:ind w:left="1740" w:hanging="868"/>
        <w:spacing w:after="0" w:line="228" w:lineRule="auto"/>
        <w:tabs>
          <w:tab w:leader="none" w:pos="1740" w:val="left"/>
        </w:tabs>
        <w:numPr>
          <w:ilvl w:val="1"/>
          <w:numId w:val="54"/>
        </w:numPr>
        <w:rPr>
          <w:rFonts w:ascii="Arial" w:cs="Arial" w:eastAsia="Arial" w:hAnsi="Arial"/>
          <w:sz w:val="20"/>
          <w:szCs w:val="20"/>
          <w:color w:val="auto"/>
        </w:rPr>
      </w:pPr>
      <w:r>
        <w:rPr>
          <w:rFonts w:ascii="Arial" w:cs="Arial" w:eastAsia="Arial" w:hAnsi="Arial"/>
          <w:sz w:val="20"/>
          <w:szCs w:val="20"/>
          <w:i w:val="1"/>
          <w:iCs w:val="1"/>
          <w:color w:val="auto"/>
        </w:rPr>
        <w:t xml:space="preserve">Distribution of Shares. </w:t>
      </w:r>
      <w:r>
        <w:rPr>
          <w:rFonts w:ascii="Arial" w:cs="Arial" w:eastAsia="Arial" w:hAnsi="Arial"/>
          <w:sz w:val="20"/>
          <w:szCs w:val="20"/>
          <w:color w:val="auto"/>
        </w:rPr>
        <w:t>The Company shall settle Deferred Stock granted under these Terms and Conditions in</w:t>
      </w:r>
      <w:r>
        <w:rPr>
          <w:rFonts w:ascii="Arial" w:cs="Arial" w:eastAsia="Arial" w:hAnsi="Arial"/>
          <w:sz w:val="20"/>
          <w:szCs w:val="20"/>
          <w:i w:val="1"/>
          <w:iCs w:val="1"/>
          <w:color w:val="auto"/>
        </w:rPr>
        <w:t xml:space="preserve"> </w:t>
      </w:r>
      <w:r>
        <w:rPr>
          <w:rFonts w:ascii="Arial" w:cs="Arial" w:eastAsia="Arial" w:hAnsi="Arial"/>
          <w:sz w:val="20"/>
          <w:szCs w:val="20"/>
          <w:color w:val="auto"/>
        </w:rPr>
        <w:t>Shares. Shares shall be distributed 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ManpowerGroup Inc. Statement of Policy on Securities Trading), then the Company may delay the distribution of such Shares until the beginning of the next Trading Window.</w:t>
      </w:r>
    </w:p>
    <w:p>
      <w:pPr>
        <w:spacing w:after="0" w:line="184" w:lineRule="exact"/>
        <w:rPr>
          <w:rFonts w:ascii="Arial" w:cs="Arial" w:eastAsia="Arial" w:hAnsi="Arial"/>
          <w:sz w:val="20"/>
          <w:szCs w:val="20"/>
          <w:color w:val="auto"/>
        </w:rPr>
      </w:pPr>
    </w:p>
    <w:p>
      <w:pPr>
        <w:ind w:left="1740" w:right="40" w:hanging="868"/>
        <w:spacing w:after="0" w:line="228" w:lineRule="auto"/>
        <w:tabs>
          <w:tab w:leader="none" w:pos="1740" w:val="left"/>
        </w:tabs>
        <w:numPr>
          <w:ilvl w:val="1"/>
          <w:numId w:val="54"/>
        </w:numPr>
        <w:rPr>
          <w:rFonts w:ascii="Arial" w:cs="Arial" w:eastAsia="Arial" w:hAnsi="Arial"/>
          <w:sz w:val="20"/>
          <w:szCs w:val="20"/>
          <w:color w:val="auto"/>
        </w:rPr>
      </w:pPr>
      <w:r>
        <w:rPr>
          <w:rFonts w:ascii="Arial" w:cs="Arial" w:eastAsia="Arial" w:hAnsi="Arial"/>
          <w:sz w:val="20"/>
          <w:szCs w:val="20"/>
          <w:i w:val="1"/>
          <w:iCs w:val="1"/>
          <w:color w:val="auto"/>
        </w:rPr>
        <w:t>Dividends and Distributions</w:t>
      </w:r>
      <w:r>
        <w:rPr>
          <w:rFonts w:ascii="Arial" w:cs="Arial" w:eastAsia="Arial" w:hAnsi="Arial"/>
          <w:sz w:val="20"/>
          <w:szCs w:val="20"/>
          <w:color w:val="auto"/>
        </w:rPr>
        <w:t>. On the first day of each calendar year, each Director shall be granted,</w:t>
      </w:r>
      <w:r>
        <w:rPr>
          <w:rFonts w:ascii="Arial" w:cs="Arial" w:eastAsia="Arial" w:hAnsi="Arial"/>
          <w:sz w:val="20"/>
          <w:szCs w:val="20"/>
          <w:i w:val="1"/>
          <w:iCs w:val="1"/>
          <w:color w:val="auto"/>
        </w:rPr>
        <w:t xml:space="preserve"> </w:t>
      </w:r>
      <w:r>
        <w:rPr>
          <w:rFonts w:ascii="Arial" w:cs="Arial" w:eastAsia="Arial" w:hAnsi="Arial"/>
          <w:sz w:val="20"/>
          <w:szCs w:val="20"/>
          <w:color w:val="auto"/>
        </w:rPr>
        <w:t>automatically and specifically without further 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or who holds Deferred Stock with a Fixed Distribution Date other than the first day of the calendar year shall be granted, automatically and specifically without further action of the Board of Directors, on the day following the date of such cessation or on the Fixed Distribution Date, a number of shares of Deferred Stock equal to (i) the total amount of dividends which would have been received by the Director during the year in which termination occurs or in which the Fixed Distribution Date occurs, as applicable, if the applicable Deferred Stock held by the Director (whether or not vested) on the record date of any such dividend had been outstanding common stock of the Company on such date, (ii) divided by the Average Trading Price for the period from January 1 of such year through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06" w:name="page107"/>
    <w:bookmarkEnd w:id="106"/>
    <w:p>
      <w:pPr>
        <w:ind w:left="1740"/>
        <w:spacing w:after="0" w:line="229" w:lineRule="auto"/>
        <w:rPr>
          <w:sz w:val="20"/>
          <w:szCs w:val="20"/>
          <w:color w:val="auto"/>
        </w:rPr>
      </w:pPr>
      <w:r>
        <w:rPr>
          <w:rFonts w:ascii="Arial" w:cs="Arial" w:eastAsia="Arial" w:hAnsi="Arial"/>
          <w:sz w:val="20"/>
          <w:szCs w:val="20"/>
          <w:color w:val="auto"/>
        </w:rPr>
        <w:t>date of such cessation or Fixed Distribution Date, as applicable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175" w:lineRule="exact"/>
        <w:rPr>
          <w:sz w:val="20"/>
          <w:szCs w:val="20"/>
          <w:color w:val="auto"/>
        </w:rPr>
      </w:pPr>
    </w:p>
    <w:p>
      <w:pPr>
        <w:ind w:left="880" w:hanging="872"/>
        <w:spacing w:after="0"/>
        <w:tabs>
          <w:tab w:leader="none" w:pos="88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Other Provisions.</w:t>
      </w:r>
    </w:p>
    <w:p>
      <w:pPr>
        <w:spacing w:after="0" w:line="226" w:lineRule="exact"/>
        <w:rPr>
          <w:sz w:val="20"/>
          <w:szCs w:val="20"/>
          <w:color w:val="auto"/>
        </w:rPr>
      </w:pPr>
    </w:p>
    <w:p>
      <w:pPr>
        <w:ind w:right="280"/>
        <w:spacing w:after="0" w:line="223" w:lineRule="exact"/>
        <w:rPr>
          <w:sz w:val="20"/>
          <w:szCs w:val="20"/>
          <w:color w:val="auto"/>
        </w:rPr>
      </w:pPr>
      <w:r>
        <w:rPr>
          <w:rFonts w:ascii="Arial" w:cs="Arial" w:eastAsia="Arial" w:hAnsi="Arial"/>
          <w:sz w:val="20"/>
          <w:szCs w:val="20"/>
          <w:color w:val="auto"/>
        </w:rPr>
        <w:t>These amended and restated Terms and Conditions shall become effective on January 1, 2020, and effective on that date shall supersede and replace the amended and restated Terms and Conditions Regarding the Grant of Awards to Non</w:t>
      </w:r>
      <w:r>
        <w:rPr>
          <w:rFonts w:ascii="MS PGothic" w:cs="MS PGothic" w:eastAsia="MS PGothic" w:hAnsi="MS PGothic"/>
          <w:sz w:val="20"/>
          <w:szCs w:val="20"/>
          <w:color w:val="auto"/>
        </w:rPr>
        <w:t>‑</w:t>
      </w:r>
      <w:r>
        <w:rPr>
          <w:rFonts w:ascii="Arial" w:cs="Arial" w:eastAsia="Arial" w:hAnsi="Arial"/>
          <w:sz w:val="20"/>
          <w:szCs w:val="20"/>
          <w:color w:val="auto"/>
        </w:rPr>
        <w:t>Employee Directors under the 2011 Equity Incentive Plan in effect immediately prior thereto.</w:t>
      </w:r>
    </w:p>
    <w:p>
      <w:pPr>
        <w:spacing w:after="0" w:line="173" w:lineRule="exact"/>
        <w:rPr>
          <w:sz w:val="20"/>
          <w:szCs w:val="20"/>
          <w:color w:val="auto"/>
        </w:rPr>
      </w:pPr>
    </w:p>
    <w:p>
      <w:pPr>
        <w:ind w:left="880" w:hanging="872"/>
        <w:spacing w:after="0"/>
        <w:tabs>
          <w:tab w:leader="none" w:pos="88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Application of Plan.</w:t>
      </w:r>
    </w:p>
    <w:p>
      <w:pPr>
        <w:spacing w:after="0" w:line="226"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Except as otherwise provided in these Terms and Conditions, the Equity Plan shall apply to any Deferred Stock granted pursuant to these Terms and Conditions.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52"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10.6(b)</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for Non-Employee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Effective January 1,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226" w:lineRule="exact"/>
        <w:rPr>
          <w:sz w:val="20"/>
          <w:szCs w:val="20"/>
          <w:color w:val="auto"/>
        </w:rPr>
      </w:pPr>
    </w:p>
    <w:p>
      <w:pPr>
        <w:ind w:left="880" w:hanging="872"/>
        <w:spacing w:after="0"/>
        <w:tabs>
          <w:tab w:leader="none" w:pos="8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Annual cash retainer: $115,000 per year</w:t>
      </w:r>
    </w:p>
    <w:p>
      <w:pPr>
        <w:spacing w:after="0" w:line="215" w:lineRule="exact"/>
        <w:rPr>
          <w:rFonts w:ascii="Arial" w:cs="Arial" w:eastAsia="Arial" w:hAnsi="Arial"/>
          <w:sz w:val="20"/>
          <w:szCs w:val="20"/>
          <w:color w:val="auto"/>
        </w:rPr>
      </w:pPr>
    </w:p>
    <w:p>
      <w:pPr>
        <w:ind w:left="880" w:hanging="872"/>
        <w:spacing w:after="0"/>
        <w:tabs>
          <w:tab w:leader="none" w:pos="8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Fee structure for annual retainer for committee chairs and lead director:</w:t>
      </w:r>
    </w:p>
    <w:p>
      <w:pPr>
        <w:spacing w:after="0" w:line="215" w:lineRule="exact"/>
        <w:rPr>
          <w:rFonts w:ascii="Arial" w:cs="Arial" w:eastAsia="Arial" w:hAnsi="Arial"/>
          <w:sz w:val="20"/>
          <w:szCs w:val="20"/>
          <w:color w:val="auto"/>
        </w:rPr>
      </w:pPr>
    </w:p>
    <w:p>
      <w:pPr>
        <w:ind w:left="1860" w:right="500" w:hanging="866"/>
        <w:spacing w:after="0" w:line="236" w:lineRule="auto"/>
        <w:tabs>
          <w:tab w:leader="none" w:pos="1860" w:val="left"/>
        </w:tabs>
        <w:numPr>
          <w:ilvl w:val="1"/>
          <w:numId w:val="57"/>
        </w:numPr>
        <w:rPr>
          <w:rFonts w:ascii="Arial" w:cs="Arial" w:eastAsia="Arial" w:hAnsi="Arial"/>
          <w:sz w:val="20"/>
          <w:szCs w:val="20"/>
          <w:color w:val="auto"/>
        </w:rPr>
      </w:pPr>
      <w:r>
        <w:rPr>
          <w:rFonts w:ascii="Arial" w:cs="Arial" w:eastAsia="Arial" w:hAnsi="Arial"/>
          <w:sz w:val="20"/>
          <w:szCs w:val="20"/>
          <w:color w:val="auto"/>
        </w:rPr>
        <w:t>$20,000 Annual retainer for services as chair of the nominating and governance committee or executive compensation and human resources committee</w:t>
      </w:r>
    </w:p>
    <w:p>
      <w:pPr>
        <w:spacing w:after="0" w:line="195" w:lineRule="exact"/>
        <w:rPr>
          <w:rFonts w:ascii="Arial" w:cs="Arial" w:eastAsia="Arial" w:hAnsi="Arial"/>
          <w:sz w:val="20"/>
          <w:szCs w:val="20"/>
          <w:color w:val="auto"/>
        </w:rPr>
      </w:pPr>
    </w:p>
    <w:p>
      <w:pPr>
        <w:ind w:left="1860" w:hanging="866"/>
        <w:spacing w:after="0"/>
        <w:tabs>
          <w:tab w:leader="none" w:pos="1860" w:val="left"/>
        </w:tabs>
        <w:numPr>
          <w:ilvl w:val="1"/>
          <w:numId w:val="57"/>
        </w:numPr>
        <w:rPr>
          <w:rFonts w:ascii="Arial" w:cs="Arial" w:eastAsia="Arial" w:hAnsi="Arial"/>
          <w:sz w:val="20"/>
          <w:szCs w:val="20"/>
          <w:color w:val="auto"/>
        </w:rPr>
      </w:pPr>
      <w:r>
        <w:rPr>
          <w:rFonts w:ascii="Arial" w:cs="Arial" w:eastAsia="Arial" w:hAnsi="Arial"/>
          <w:sz w:val="20"/>
          <w:szCs w:val="20"/>
          <w:color w:val="auto"/>
        </w:rPr>
        <w:t>$27,500 per year for services as chair of the audit committee</w:t>
      </w:r>
    </w:p>
    <w:p>
      <w:pPr>
        <w:spacing w:after="0" w:line="215" w:lineRule="exact"/>
        <w:rPr>
          <w:rFonts w:ascii="Arial" w:cs="Arial" w:eastAsia="Arial" w:hAnsi="Arial"/>
          <w:sz w:val="20"/>
          <w:szCs w:val="20"/>
          <w:color w:val="auto"/>
        </w:rPr>
      </w:pPr>
    </w:p>
    <w:p>
      <w:pPr>
        <w:ind w:left="1860" w:hanging="866"/>
        <w:spacing w:after="0"/>
        <w:tabs>
          <w:tab w:leader="none" w:pos="1860" w:val="left"/>
        </w:tabs>
        <w:numPr>
          <w:ilvl w:val="1"/>
          <w:numId w:val="57"/>
        </w:numPr>
        <w:rPr>
          <w:rFonts w:ascii="Arial" w:cs="Arial" w:eastAsia="Arial" w:hAnsi="Arial"/>
          <w:sz w:val="20"/>
          <w:szCs w:val="20"/>
          <w:color w:val="auto"/>
        </w:rPr>
      </w:pPr>
      <w:r>
        <w:rPr>
          <w:rFonts w:ascii="Arial" w:cs="Arial" w:eastAsia="Arial" w:hAnsi="Arial"/>
          <w:sz w:val="20"/>
          <w:szCs w:val="20"/>
          <w:color w:val="auto"/>
        </w:rPr>
        <w:t>$25,000 annual retainer for service as lead director</w:t>
      </w:r>
    </w:p>
    <w:p>
      <w:pPr>
        <w:spacing w:after="0" w:line="215" w:lineRule="exact"/>
        <w:rPr>
          <w:rFonts w:ascii="Arial" w:cs="Arial" w:eastAsia="Arial" w:hAnsi="Arial"/>
          <w:sz w:val="20"/>
          <w:szCs w:val="20"/>
          <w:color w:val="auto"/>
        </w:rPr>
      </w:pPr>
    </w:p>
    <w:p>
      <w:pPr>
        <w:ind w:left="1860" w:hanging="866"/>
        <w:spacing w:after="0"/>
        <w:tabs>
          <w:tab w:leader="none" w:pos="1860" w:val="left"/>
        </w:tabs>
        <w:numPr>
          <w:ilvl w:val="1"/>
          <w:numId w:val="57"/>
        </w:numPr>
        <w:rPr>
          <w:rFonts w:ascii="Arial" w:cs="Arial" w:eastAsia="Arial" w:hAnsi="Arial"/>
          <w:sz w:val="20"/>
          <w:szCs w:val="20"/>
          <w:color w:val="auto"/>
        </w:rPr>
      </w:pPr>
      <w:r>
        <w:rPr>
          <w:rFonts w:ascii="Arial" w:cs="Arial" w:eastAsia="Arial" w:hAnsi="Arial"/>
          <w:sz w:val="20"/>
          <w:szCs w:val="20"/>
          <w:color w:val="auto"/>
        </w:rPr>
        <w:t>$30,000 annual retainer in the case where the lead director also serves as chair of one of the committees</w:t>
      </w:r>
    </w:p>
    <w:p>
      <w:pPr>
        <w:spacing w:after="0" w:line="215" w:lineRule="exact"/>
        <w:rPr>
          <w:rFonts w:ascii="Arial" w:cs="Arial" w:eastAsia="Arial" w:hAnsi="Arial"/>
          <w:sz w:val="20"/>
          <w:szCs w:val="20"/>
          <w:color w:val="auto"/>
        </w:rPr>
      </w:pPr>
    </w:p>
    <w:p>
      <w:pPr>
        <w:ind w:left="880" w:right="440" w:hanging="872"/>
        <w:spacing w:after="0" w:line="236" w:lineRule="auto"/>
        <w:tabs>
          <w:tab w:leader="none" w:pos="8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annual cash retainer and additional cash retainer for committee chairs and lead director will be paid quarterly in arrears within two weeks following the last day of each calendar quarter.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to Receive Deferred Stock in Lieu of Cash Retainer</w:t>
      </w:r>
    </w:p>
    <w:p>
      <w:pPr>
        <w:spacing w:after="0" w:line="226" w:lineRule="exact"/>
        <w:rPr>
          <w:sz w:val="20"/>
          <w:szCs w:val="20"/>
          <w:color w:val="auto"/>
        </w:rPr>
      </w:pPr>
    </w:p>
    <w:p>
      <w:pPr>
        <w:ind w:left="880" w:right="220" w:hanging="872"/>
        <w:spacing w:after="0" w:line="247" w:lineRule="auto"/>
        <w:tabs>
          <w:tab w:leader="none" w:pos="8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lieu of the annual cash retainer and additional cash retainer for committee chairs and lead director, outside directors may elect to receive Deferred Stock under the Company’s 2011 Equity Incentive Plan (the “Plan”). The election may cover 50%, 75% or 100% of the annual cash retainer payable to the director for the period covered by the election.</w:t>
      </w:r>
    </w:p>
    <w:p>
      <w:pPr>
        <w:spacing w:after="0" w:line="189" w:lineRule="exact"/>
        <w:rPr>
          <w:rFonts w:ascii="Arial" w:cs="Arial" w:eastAsia="Arial" w:hAnsi="Arial"/>
          <w:sz w:val="19"/>
          <w:szCs w:val="19"/>
          <w:color w:val="auto"/>
        </w:rPr>
      </w:pPr>
    </w:p>
    <w:p>
      <w:pPr>
        <w:ind w:left="880" w:right="60" w:hanging="872"/>
        <w:spacing w:after="0" w:line="219" w:lineRule="exact"/>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w:t>
      </w:r>
      <w:r>
        <w:rPr>
          <w:rFonts w:ascii="MS PGothic" w:cs="MS PGothic" w:eastAsia="MS PGothic" w:hAnsi="MS PGothic"/>
          <w:sz w:val="20"/>
          <w:szCs w:val="20"/>
          <w:color w:val="auto"/>
        </w:rPr>
        <w:t>‑</w:t>
      </w:r>
      <w:r>
        <w:rPr>
          <w:rFonts w:ascii="Arial" w:cs="Arial" w:eastAsia="Arial" w:hAnsi="Arial"/>
          <w:sz w:val="20"/>
          <w:szCs w:val="20"/>
          <w:color w:val="auto"/>
        </w:rPr>
        <w:t>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spacing w:after="0" w:line="199" w:lineRule="exact"/>
        <w:rPr>
          <w:rFonts w:ascii="Arial" w:cs="Arial" w:eastAsia="Arial" w:hAnsi="Arial"/>
          <w:sz w:val="20"/>
          <w:szCs w:val="20"/>
          <w:color w:val="auto"/>
        </w:rPr>
      </w:pPr>
    </w:p>
    <w:p>
      <w:pPr>
        <w:ind w:left="880" w:right="220" w:hanging="872"/>
        <w:spacing w:after="0" w:line="236" w:lineRule="auto"/>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number of shares of Deferred Stock granted to the director will be equal to the amount of the annual cash retainer to which the election applies, divided by the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ind w:left="880" w:right="700"/>
        <w:spacing w:after="0" w:line="236" w:lineRule="auto"/>
        <w:rPr>
          <w:sz w:val="20"/>
          <w:szCs w:val="20"/>
          <w:color w:val="auto"/>
        </w:rPr>
      </w:pPr>
      <w:r>
        <w:rPr>
          <w:rFonts w:ascii="Arial" w:cs="Arial" w:eastAsia="Arial" w:hAnsi="Arial"/>
          <w:sz w:val="20"/>
          <w:szCs w:val="20"/>
          <w:color w:val="auto"/>
        </w:rPr>
        <w:t>of the closing prices of the stock on the last trading day of each full or partial calendar quarter included within the election period.</w:t>
      </w:r>
    </w:p>
    <w:p>
      <w:pPr>
        <w:spacing w:after="0" w:line="196" w:lineRule="exact"/>
        <w:rPr>
          <w:sz w:val="20"/>
          <w:szCs w:val="20"/>
          <w:color w:val="auto"/>
        </w:rPr>
      </w:pPr>
    </w:p>
    <w:p>
      <w:pPr>
        <w:ind w:left="880" w:right="20" w:hanging="872"/>
        <w:spacing w:after="0" w:line="228" w:lineRule="auto"/>
        <w:tabs>
          <w:tab w:leader="none" w:pos="8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However,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Grant of Deferred Stock or Restricted Stock</w:t>
      </w:r>
    </w:p>
    <w:p>
      <w:pPr>
        <w:spacing w:after="0" w:line="226" w:lineRule="exact"/>
        <w:rPr>
          <w:sz w:val="20"/>
          <w:szCs w:val="20"/>
          <w:color w:val="auto"/>
        </w:rPr>
      </w:pPr>
    </w:p>
    <w:p>
      <w:pPr>
        <w:ind w:left="880" w:right="140" w:hanging="872"/>
        <w:spacing w:after="0" w:line="220" w:lineRule="exact"/>
        <w:tabs>
          <w:tab w:leader="none" w:pos="8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 addition to the cash compensation (or elective Deferred Stock), non</w:t>
      </w:r>
      <w:r>
        <w:rPr>
          <w:rFonts w:ascii="MS PGothic" w:cs="MS PGothic" w:eastAsia="MS PGothic" w:hAnsi="MS PGothic"/>
          <w:sz w:val="20"/>
          <w:szCs w:val="20"/>
          <w:color w:val="auto"/>
        </w:rPr>
        <w:t>‑</w:t>
      </w:r>
      <w:r>
        <w:rPr>
          <w:rFonts w:ascii="Arial" w:cs="Arial" w:eastAsia="Arial" w:hAnsi="Arial"/>
          <w:sz w:val="20"/>
          <w:szCs w:val="20"/>
          <w:color w:val="auto"/>
        </w:rPr>
        <w:t>employee directors each will receive an annual grant of Deferred Stock under the Plan. The grant will be effective on the first day of each year, and the number of shares granted will equal $175,000 divided by the closing sale price of a share of the Company’s common stock on the last business day of the preceding year. Such Deferred Stock will vest in equal quarterly installments on the last day of each calendar quarter during the year.</w:t>
      </w:r>
    </w:p>
    <w:p>
      <w:pPr>
        <w:spacing w:after="0" w:line="199" w:lineRule="exact"/>
        <w:rPr>
          <w:rFonts w:ascii="Arial" w:cs="Arial" w:eastAsia="Arial" w:hAnsi="Arial"/>
          <w:sz w:val="20"/>
          <w:szCs w:val="20"/>
          <w:color w:val="auto"/>
        </w:rPr>
      </w:pPr>
    </w:p>
    <w:p>
      <w:pPr>
        <w:ind w:left="880" w:hanging="872"/>
        <w:spacing w:after="0"/>
        <w:tabs>
          <w:tab w:leader="none" w:pos="8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199" w:lineRule="exact"/>
        <w:rPr>
          <w:rFonts w:ascii="Arial" w:cs="Arial" w:eastAsia="Arial" w:hAnsi="Arial"/>
          <w:sz w:val="19"/>
          <w:szCs w:val="19"/>
          <w:color w:val="auto"/>
        </w:rPr>
      </w:pPr>
    </w:p>
    <w:p>
      <w:pPr>
        <w:ind w:left="880" w:right="100" w:hanging="872"/>
        <w:spacing w:after="0" w:line="222" w:lineRule="exact"/>
        <w:tabs>
          <w:tab w:leader="none" w:pos="8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Instead of receiving this grant of Deferred Stock, non</w:t>
      </w:r>
      <w:r>
        <w:rPr>
          <w:rFonts w:ascii="MS PGothic" w:cs="MS PGothic" w:eastAsia="MS PGothic" w:hAnsi="MS PGothic"/>
          <w:sz w:val="20"/>
          <w:szCs w:val="20"/>
          <w:color w:val="auto"/>
        </w:rPr>
        <w:t>‑</w:t>
      </w:r>
      <w:r>
        <w:rPr>
          <w:rFonts w:ascii="Arial" w:cs="Arial" w:eastAsia="Arial" w:hAnsi="Arial"/>
          <w:sz w:val="20"/>
          <w:szCs w:val="20"/>
          <w:color w:val="auto"/>
        </w:rPr>
        <w:t>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195" w:lineRule="exact"/>
        <w:rPr>
          <w:rFonts w:ascii="Arial" w:cs="Arial" w:eastAsia="Arial" w:hAnsi="Arial"/>
          <w:sz w:val="20"/>
          <w:szCs w:val="20"/>
          <w:color w:val="auto"/>
        </w:rPr>
      </w:pPr>
    </w:p>
    <w:p>
      <w:pPr>
        <w:ind w:left="880" w:right="100" w:hanging="872"/>
        <w:spacing w:after="0" w:line="219" w:lineRule="exact"/>
        <w:tabs>
          <w:tab w:leader="none" w:pos="8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new non</w:t>
      </w:r>
      <w:r>
        <w:rPr>
          <w:rFonts w:ascii="MS PGothic" w:cs="MS PGothic" w:eastAsia="MS PGothic" w:hAnsi="MS PGothic"/>
          <w:sz w:val="20"/>
          <w:szCs w:val="20"/>
          <w:color w:val="auto"/>
        </w:rPr>
        <w:t>‑</w:t>
      </w:r>
      <w:r>
        <w:rPr>
          <w:rFonts w:ascii="Arial" w:cs="Arial" w:eastAsia="Arial" w:hAnsi="Arial"/>
          <w:sz w:val="20"/>
          <w:szCs w:val="20"/>
          <w:color w:val="auto"/>
        </w:rPr>
        <w:t>employee director will receive a grant of Deferred Stock effective the date the director is appointed to the Board. The grant will be for a number of shares of Deferred Stock equal to $175,000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w:t>
      </w:r>
      <w:r>
        <w:rPr>
          <w:rFonts w:ascii="MS PGothic" w:cs="MS PGothic" w:eastAsia="MS PGothic" w:hAnsi="MS PGothic"/>
          <w:sz w:val="20"/>
          <w:szCs w:val="20"/>
          <w:color w:val="auto"/>
        </w:rPr>
        <w:t>‑</w:t>
      </w:r>
      <w:r>
        <w:rPr>
          <w:rFonts w:ascii="Arial" w:cs="Arial" w:eastAsia="Arial" w:hAnsi="Arial"/>
          <w:sz w:val="20"/>
          <w:szCs w:val="20"/>
          <w:color w:val="auto"/>
        </w:rPr>
        <w:t>employee director will have the right to elect to receive the same number of shares of Restricted Stock under the Plan, with a vesting schedule the same as the Deferred Stock the director would otherwise have received.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109" w:name="page110"/>
    <w:bookmarkEnd w:id="109"/>
    <w:p>
      <w:pPr>
        <w:ind w:left="880" w:right="20"/>
        <w:spacing w:after="0" w:line="229" w:lineRule="auto"/>
        <w:rPr>
          <w:sz w:val="20"/>
          <w:szCs w:val="20"/>
          <w:color w:val="auto"/>
        </w:rPr>
      </w:pPr>
      <w:r>
        <w:rPr>
          <w:rFonts w:ascii="Arial" w:cs="Arial" w:eastAsia="Arial" w:hAnsi="Arial"/>
          <w:sz w:val="20"/>
          <w:szCs w:val="20"/>
          <w:color w:val="auto"/>
        </w:rPr>
        <w:t>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on Deferred Stock</w:t>
      </w:r>
    </w:p>
    <w:p>
      <w:pPr>
        <w:spacing w:after="0" w:line="226" w:lineRule="exact"/>
        <w:rPr>
          <w:sz w:val="20"/>
          <w:szCs w:val="20"/>
          <w:color w:val="auto"/>
        </w:rPr>
      </w:pPr>
    </w:p>
    <w:p>
      <w:pPr>
        <w:ind w:left="880" w:right="60" w:hanging="872"/>
        <w:spacing w:after="0" w:line="227" w:lineRule="auto"/>
        <w:tabs>
          <w:tab w:leader="none" w:pos="8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In addition, for any director whose membership on the Board ceases during the year or who received Deferred Stock on a grant date other than January 1, a partial year grant of Deferred Stock will be made on the last day of the final partial year that such Deferred Stock is held by the director equal to (i) the amount of dividends the director would have received during the partial year if the Deferred Stock held by the Director had been outstanding common stock, (ii) divided by the average closing prices of the stock on the last trading day of each calendar quarter during the partial year.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226" w:lineRule="exact"/>
        <w:rPr>
          <w:sz w:val="20"/>
          <w:szCs w:val="20"/>
          <w:color w:val="auto"/>
        </w:rPr>
      </w:pPr>
    </w:p>
    <w:p>
      <w:pPr>
        <w:ind w:left="880" w:hanging="872"/>
        <w:spacing w:after="0" w:line="229" w:lineRule="auto"/>
        <w:tabs>
          <w:tab w:leader="none" w:pos="8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Non-employee directors are expected to own shares equal in value to five times the annual cash retainer ($90,000 at January 1, 2015, for a total guideline of $450,000) divided by the closing price of the Company’s common stock on December 31, 2014 for directors in office as of January 1, 2015. For any non-employee director appointed after January 1, 2015 the total guideline is $450,000 divided by the closing price of the Company’s common stock on the last business day of the month during which the director was or is first appointed to the Board of Directors.</w:t>
      </w:r>
    </w:p>
    <w:p>
      <w:pPr>
        <w:spacing w:after="0" w:line="199" w:lineRule="exact"/>
        <w:rPr>
          <w:rFonts w:ascii="Arial" w:cs="Arial" w:eastAsia="Arial" w:hAnsi="Arial"/>
          <w:sz w:val="20"/>
          <w:szCs w:val="20"/>
          <w:color w:val="auto"/>
        </w:rPr>
      </w:pPr>
    </w:p>
    <w:p>
      <w:pPr>
        <w:ind w:left="880" w:right="700" w:hanging="872"/>
        <w:spacing w:after="0" w:line="227" w:lineRule="exact"/>
        <w:tabs>
          <w:tab w:leader="none" w:pos="8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Non</w:t>
      </w:r>
      <w:r>
        <w:rPr>
          <w:rFonts w:ascii="MS PGothic" w:cs="MS PGothic" w:eastAsia="MS PGothic" w:hAnsi="MS PGothic"/>
          <w:sz w:val="20"/>
          <w:szCs w:val="20"/>
          <w:color w:val="auto"/>
        </w:rPr>
        <w:t>‑</w:t>
      </w:r>
      <w:r>
        <w:rPr>
          <w:rFonts w:ascii="Arial" w:cs="Arial" w:eastAsia="Arial" w:hAnsi="Arial"/>
          <w:sz w:val="20"/>
          <w:szCs w:val="20"/>
          <w:color w:val="auto"/>
        </w:rPr>
        <w:t>employee directors have three years to attain this guideline from January 1, 2015, or for new non</w:t>
      </w:r>
      <w:r>
        <w:rPr>
          <w:rFonts w:ascii="MS PGothic" w:cs="MS PGothic" w:eastAsia="MS PGothic" w:hAnsi="MS PGothic"/>
          <w:sz w:val="20"/>
          <w:szCs w:val="20"/>
          <w:color w:val="auto"/>
        </w:rPr>
        <w:t>‑</w:t>
      </w:r>
      <w:r>
        <w:rPr>
          <w:rFonts w:ascii="Arial" w:cs="Arial" w:eastAsia="Arial" w:hAnsi="Arial"/>
          <w:sz w:val="20"/>
          <w:szCs w:val="20"/>
          <w:color w:val="auto"/>
        </w:rPr>
        <w:t>employee directors, four years from the date of the director’s appointment to the Board.</w:t>
      </w:r>
    </w:p>
    <w:p>
      <w:pPr>
        <w:spacing w:after="0" w:line="195" w:lineRule="exact"/>
        <w:rPr>
          <w:rFonts w:ascii="Arial" w:cs="Arial" w:eastAsia="Arial" w:hAnsi="Arial"/>
          <w:sz w:val="20"/>
          <w:szCs w:val="20"/>
          <w:color w:val="auto"/>
        </w:rPr>
      </w:pPr>
    </w:p>
    <w:p>
      <w:pPr>
        <w:ind w:left="880" w:right="260" w:hanging="872"/>
        <w:spacing w:after="0" w:line="236" w:lineRule="auto"/>
        <w:tabs>
          <w:tab w:leader="none" w:pos="8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For this purpose, ownership includes Deferred Stock and Restricted Stock but only to the extent vested, and does not include unexercised stock options.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352" w:right="259" w:bottom="1440" w:gutter="0" w:footer="0" w:header="0"/>
        </w:sectPr>
      </w:pPr>
    </w:p>
    <w:bookmarkStart w:id="110" w:name="page111"/>
    <w:bookmarkEnd w:id="110"/>
    <w:p>
      <w:pPr>
        <w:ind w:left="10620"/>
        <w:spacing w:after="0"/>
        <w:rPr>
          <w:sz w:val="20"/>
          <w:szCs w:val="20"/>
          <w:color w:val="auto"/>
        </w:rPr>
      </w:pPr>
      <w:r>
        <w:rPr>
          <w:rFonts w:ascii="Arial" w:cs="Arial" w:eastAsia="Arial" w:hAnsi="Arial"/>
          <w:sz w:val="17"/>
          <w:szCs w:val="17"/>
          <w:b w:val="1"/>
          <w:bCs w:val="1"/>
          <w:color w:val="auto"/>
        </w:rPr>
        <w:t>Exhibit 21</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MANPOWERGROUP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Corporation Name</w:t>
            </w:r>
          </w:p>
        </w:tc>
        <w:tc>
          <w:tcPr>
            <w:tcW w:w="4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Incorporated in State /Country of</w:t>
            </w:r>
          </w:p>
        </w:tc>
        <w:tc>
          <w:tcPr>
            <w:tcW w:w="1040" w:type="dxa"/>
            <w:vAlign w:val="bottom"/>
          </w:tcPr>
          <w:p>
            <w:pPr>
              <w:spacing w:after="0"/>
              <w:rPr>
                <w:sz w:val="17"/>
                <w:szCs w:val="17"/>
                <w:color w:val="auto"/>
              </w:rPr>
            </w:pPr>
          </w:p>
        </w:tc>
      </w:tr>
      <w:tr>
        <w:trPr>
          <w:trHeight w:val="249"/>
        </w:trPr>
        <w:tc>
          <w:tcPr>
            <w:tcW w:w="5440" w:type="dxa"/>
            <w:vAlign w:val="bottom"/>
            <w:gridSpan w:val="2"/>
          </w:tcPr>
          <w:p>
            <w:pPr>
              <w:spacing w:after="0"/>
              <w:rPr>
                <w:sz w:val="20"/>
                <w:szCs w:val="20"/>
                <w:color w:val="auto"/>
              </w:rPr>
            </w:pPr>
            <w:r>
              <w:rPr>
                <w:rFonts w:ascii="Arial" w:cs="Arial" w:eastAsia="Arial" w:hAnsi="Arial"/>
                <w:sz w:val="18"/>
                <w:szCs w:val="18"/>
                <w:color w:val="auto"/>
              </w:rPr>
              <w:t>Benefits S.A.</w:t>
            </w:r>
          </w:p>
        </w:tc>
        <w:tc>
          <w:tcPr>
            <w:tcW w:w="25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Cotecsud Compania Technica Sudamericana S.A.S.E.</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Argentina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Salespower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Greythorn Pty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Marks Sattin (Australia) Pty Limited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Marks Sattin Holdings (AsiaPac) Pty Limited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Consultants (OC) Pty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Consultants Holdings Pty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Consultants International Pty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Consultants Pty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Experis Services GmbH</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ManpowerGroup GmbH</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ManpowerGroup Holding GmbH</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ManpowerGroup (Barbados) SRL</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Bel LLC</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Experis Belgium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Personal Services NV</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ManpowerGroup Solutions Belgium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Belgium NV</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Stegmann Belgium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w w:val="94"/>
              </w:rPr>
              <w:t>Anyhelp Brasil Assessoria E Servicos em Sistemas de Informacao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do Brasil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Bulgaria OOD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Manpowergroup EOOD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Inc. / California Peninsula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Right Management Canada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Techno5, Inc.</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Veritaaq Technology House Inc.</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Servicios Integrales SpA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Servicios Especializados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Empresa de Servicios Transitorios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Business Consulting (Shanghai) Co.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Caden (China) Co.,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de Colombia Ltda.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Professional Ltd.</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Tahuma SAS</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Costa Rica,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Professional Costa Rica, S.A.</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DOO</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 Savjetovanje DOO</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ManpowerGroup s.r.o.</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Workforce Solutions s.r.o.</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CareerHarmony, Inc.</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COMSYS Information Technology Services, LLC</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Experis IT Services US, LLC</w:t>
            </w:r>
          </w:p>
        </w:tc>
        <w:tc>
          <w:tcPr>
            <w:tcW w:w="25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Econometrix, LLC</w:t>
            </w:r>
          </w:p>
        </w:tc>
        <w:tc>
          <w:tcPr>
            <w:tcW w:w="256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432"/>
        </w:trPr>
        <w:tc>
          <w:tcPr>
            <w:tcW w:w="1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60" w:type="dxa"/>
            <w:vAlign w:val="bottom"/>
          </w:tcPr>
          <w:p>
            <w:pPr>
              <w:jc w:val="right"/>
              <w:ind w:right="2150"/>
              <w:spacing w:after="0"/>
              <w:rPr>
                <w:sz w:val="20"/>
                <w:szCs w:val="20"/>
                <w:color w:val="auto"/>
              </w:rPr>
            </w:pPr>
            <w:r>
              <w:rPr>
                <w:rFonts w:ascii="Arial" w:cs="Arial" w:eastAsia="Arial" w:hAnsi="Arial"/>
                <w:sz w:val="18"/>
                <w:szCs w:val="18"/>
                <w:color w:val="auto"/>
              </w:rPr>
              <w:t>1</w:t>
            </w:r>
          </w:p>
        </w:tc>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Experis Finance US, LLC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CIS Inc.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Franchises, LLC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US Holdings LLC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Holdings, Inc.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US Inc.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Right License Holding, Inc.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TAPFIN LLC</w:t>
            </w:r>
          </w:p>
        </w:tc>
        <w:tc>
          <w:tcPr>
            <w:tcW w:w="6760" w:type="dxa"/>
            <w:vAlign w:val="bottom"/>
          </w:tcPr>
          <w:p>
            <w:pPr>
              <w:ind w:left="3320"/>
              <w:spacing w:after="0"/>
              <w:rPr>
                <w:sz w:val="20"/>
                <w:szCs w:val="20"/>
                <w:color w:val="auto"/>
              </w:rPr>
            </w:pPr>
            <w:r>
              <w:rPr>
                <w:rFonts w:ascii="Arial" w:cs="Arial" w:eastAsia="Arial" w:hAnsi="Arial"/>
                <w:sz w:val="18"/>
                <w:szCs w:val="18"/>
                <w:color w:val="auto"/>
              </w:rPr>
              <w:t>DE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Experis A/S</w:t>
            </w:r>
          </w:p>
        </w:tc>
        <w:tc>
          <w:tcPr>
            <w:tcW w:w="6760" w:type="dxa"/>
            <w:vAlign w:val="bottom"/>
          </w:tcPr>
          <w:p>
            <w:pPr>
              <w:ind w:left="3320"/>
              <w:spacing w:after="0"/>
              <w:rPr>
                <w:sz w:val="20"/>
                <w:szCs w:val="20"/>
                <w:color w:val="auto"/>
              </w:rPr>
            </w:pPr>
            <w:r>
              <w:rPr>
                <w:rFonts w:ascii="Arial" w:cs="Arial" w:eastAsia="Arial" w:hAnsi="Arial"/>
                <w:sz w:val="18"/>
                <w:szCs w:val="18"/>
                <w:color w:val="auto"/>
              </w:rPr>
              <w:t>Denmark</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Europe Holdings, Aps</w:t>
            </w:r>
          </w:p>
        </w:tc>
        <w:tc>
          <w:tcPr>
            <w:tcW w:w="6760" w:type="dxa"/>
            <w:vAlign w:val="bottom"/>
          </w:tcPr>
          <w:p>
            <w:pPr>
              <w:ind w:left="3320"/>
              <w:spacing w:after="0"/>
              <w:rPr>
                <w:sz w:val="20"/>
                <w:szCs w:val="20"/>
                <w:color w:val="auto"/>
              </w:rPr>
            </w:pPr>
            <w:r>
              <w:rPr>
                <w:rFonts w:ascii="Arial" w:cs="Arial" w:eastAsia="Arial" w:hAnsi="Arial"/>
                <w:sz w:val="18"/>
                <w:szCs w:val="18"/>
                <w:color w:val="auto"/>
              </w:rPr>
              <w:t>Denmark</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Right Management Denmark A/S</w:t>
            </w:r>
          </w:p>
        </w:tc>
        <w:tc>
          <w:tcPr>
            <w:tcW w:w="6760" w:type="dxa"/>
            <w:vAlign w:val="bottom"/>
          </w:tcPr>
          <w:p>
            <w:pPr>
              <w:ind w:left="3320"/>
              <w:spacing w:after="0"/>
              <w:rPr>
                <w:sz w:val="20"/>
                <w:szCs w:val="20"/>
                <w:color w:val="auto"/>
              </w:rPr>
            </w:pPr>
            <w:r>
              <w:rPr>
                <w:rFonts w:ascii="Arial" w:cs="Arial" w:eastAsia="Arial" w:hAnsi="Arial"/>
                <w:sz w:val="18"/>
                <w:szCs w:val="18"/>
                <w:color w:val="auto"/>
              </w:rPr>
              <w:t>Denmark</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Right Management Nordic Holding A/S</w:t>
            </w:r>
          </w:p>
        </w:tc>
        <w:tc>
          <w:tcPr>
            <w:tcW w:w="6760" w:type="dxa"/>
            <w:vAlign w:val="bottom"/>
          </w:tcPr>
          <w:p>
            <w:pPr>
              <w:ind w:left="3320"/>
              <w:spacing w:after="0"/>
              <w:rPr>
                <w:sz w:val="20"/>
                <w:szCs w:val="20"/>
                <w:color w:val="auto"/>
              </w:rPr>
            </w:pPr>
            <w:r>
              <w:rPr>
                <w:rFonts w:ascii="Arial" w:cs="Arial" w:eastAsia="Arial" w:hAnsi="Arial"/>
                <w:sz w:val="18"/>
                <w:szCs w:val="18"/>
                <w:color w:val="auto"/>
              </w:rPr>
              <w:t>Denmark</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Republica Dominicana, S.A.</w:t>
            </w:r>
          </w:p>
        </w:tc>
        <w:tc>
          <w:tcPr>
            <w:tcW w:w="6760" w:type="dxa"/>
            <w:vAlign w:val="bottom"/>
          </w:tcPr>
          <w:p>
            <w:pPr>
              <w:ind w:left="3320"/>
              <w:spacing w:after="0"/>
              <w:rPr>
                <w:sz w:val="20"/>
                <w:szCs w:val="20"/>
                <w:color w:val="auto"/>
              </w:rPr>
            </w:pPr>
            <w:r>
              <w:rPr>
                <w:rFonts w:ascii="Arial" w:cs="Arial" w:eastAsia="Arial" w:hAnsi="Arial"/>
                <w:sz w:val="18"/>
                <w:szCs w:val="18"/>
                <w:color w:val="auto"/>
              </w:rPr>
              <w:t>Dominican Republic</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El Salvador, S.A. de C.V.</w:t>
            </w:r>
          </w:p>
        </w:tc>
        <w:tc>
          <w:tcPr>
            <w:tcW w:w="6760" w:type="dxa"/>
            <w:vAlign w:val="bottom"/>
          </w:tcPr>
          <w:p>
            <w:pPr>
              <w:ind w:left="3320"/>
              <w:spacing w:after="0"/>
              <w:rPr>
                <w:sz w:val="20"/>
                <w:szCs w:val="20"/>
                <w:color w:val="auto"/>
              </w:rPr>
            </w:pPr>
            <w:r>
              <w:rPr>
                <w:rFonts w:ascii="Arial" w:cs="Arial" w:eastAsia="Arial" w:hAnsi="Arial"/>
                <w:sz w:val="18"/>
                <w:szCs w:val="18"/>
                <w:color w:val="auto"/>
              </w:rPr>
              <w:t>El Salvador</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OÜ</w:t>
            </w:r>
          </w:p>
        </w:tc>
        <w:tc>
          <w:tcPr>
            <w:tcW w:w="6760" w:type="dxa"/>
            <w:vAlign w:val="bottom"/>
          </w:tcPr>
          <w:p>
            <w:pPr>
              <w:ind w:left="3320"/>
              <w:spacing w:after="0"/>
              <w:rPr>
                <w:sz w:val="20"/>
                <w:szCs w:val="20"/>
                <w:color w:val="auto"/>
              </w:rPr>
            </w:pPr>
            <w:r>
              <w:rPr>
                <w:rFonts w:ascii="Arial" w:cs="Arial" w:eastAsia="Arial" w:hAnsi="Arial"/>
                <w:sz w:val="18"/>
                <w:szCs w:val="18"/>
                <w:color w:val="auto"/>
              </w:rPr>
              <w:t>Estonia</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Inclusive Oy</w:t>
            </w:r>
          </w:p>
        </w:tc>
        <w:tc>
          <w:tcPr>
            <w:tcW w:w="6760" w:type="dxa"/>
            <w:vAlign w:val="bottom"/>
          </w:tcPr>
          <w:p>
            <w:pPr>
              <w:ind w:left="3320"/>
              <w:spacing w:after="0"/>
              <w:rPr>
                <w:sz w:val="20"/>
                <w:szCs w:val="20"/>
                <w:color w:val="auto"/>
              </w:rPr>
            </w:pPr>
            <w:r>
              <w:rPr>
                <w:rFonts w:ascii="Arial" w:cs="Arial" w:eastAsia="Arial" w:hAnsi="Arial"/>
                <w:sz w:val="18"/>
                <w:szCs w:val="18"/>
                <w:color w:val="auto"/>
              </w:rPr>
              <w:t>Finland</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OY</w:t>
            </w:r>
          </w:p>
        </w:tc>
        <w:tc>
          <w:tcPr>
            <w:tcW w:w="6760" w:type="dxa"/>
            <w:vAlign w:val="bottom"/>
          </w:tcPr>
          <w:p>
            <w:pPr>
              <w:ind w:left="3320"/>
              <w:spacing w:after="0"/>
              <w:rPr>
                <w:sz w:val="20"/>
                <w:szCs w:val="20"/>
                <w:color w:val="auto"/>
              </w:rPr>
            </w:pPr>
            <w:r>
              <w:rPr>
                <w:rFonts w:ascii="Arial" w:cs="Arial" w:eastAsia="Arial" w:hAnsi="Arial"/>
                <w:sz w:val="18"/>
                <w:szCs w:val="18"/>
                <w:color w:val="auto"/>
              </w:rPr>
              <w:t>Finland</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Solutions OY</w:t>
            </w:r>
          </w:p>
        </w:tc>
        <w:tc>
          <w:tcPr>
            <w:tcW w:w="6760" w:type="dxa"/>
            <w:vAlign w:val="bottom"/>
          </w:tcPr>
          <w:p>
            <w:pPr>
              <w:ind w:left="3320"/>
              <w:spacing w:after="0"/>
              <w:rPr>
                <w:sz w:val="20"/>
                <w:szCs w:val="20"/>
                <w:color w:val="auto"/>
              </w:rPr>
            </w:pPr>
            <w:r>
              <w:rPr>
                <w:rFonts w:ascii="Arial" w:cs="Arial" w:eastAsia="Arial" w:hAnsi="Arial"/>
                <w:sz w:val="18"/>
                <w:szCs w:val="18"/>
                <w:color w:val="auto"/>
              </w:rPr>
              <w:t>Finland</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Damilo Consulting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Damilo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Experis Executive France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Experis Management de Transition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FuturSkill IT</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France Holding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France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France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Solutions Enterprise</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Nouvelles Competences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Solutions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Peevee</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Proservia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Right Management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Supplay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Syfadis SAS</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Tapfin Sarl</w:t>
            </w:r>
          </w:p>
        </w:tc>
        <w:tc>
          <w:tcPr>
            <w:tcW w:w="6760" w:type="dxa"/>
            <w:vAlign w:val="bottom"/>
          </w:tcPr>
          <w:p>
            <w:pPr>
              <w:ind w:left="3320"/>
              <w:spacing w:after="0"/>
              <w:rPr>
                <w:sz w:val="20"/>
                <w:szCs w:val="20"/>
                <w:color w:val="auto"/>
              </w:rPr>
            </w:pPr>
            <w:r>
              <w:rPr>
                <w:rFonts w:ascii="Arial" w:cs="Arial" w:eastAsia="Arial" w:hAnsi="Arial"/>
                <w:sz w:val="18"/>
                <w:szCs w:val="18"/>
                <w:color w:val="auto"/>
              </w:rPr>
              <w:t>France</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7S Group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Arcqus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Arcqus Professionals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AviationPower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AviationPower Technical Services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Aviation Staff Management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Bankpower GmbH Personaldienstleistungen</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Experis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Jefferson Wells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jenovation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K&amp;K HR-Services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Beteiligungsgesellschaft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Deutschland Verwaltungs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Financial Services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Deutschland GmbH &amp; Co. KG</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ManpowerGroup Solutions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Manpower GmbH &amp; Co. KG</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Proservia Field Services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Proservia GmbH &amp; Co. KG</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Proservia Verwaltungs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Right Management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Shoga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Splu Experts GmbH</w:t>
            </w:r>
          </w:p>
        </w:tc>
        <w:tc>
          <w:tcPr>
            <w:tcW w:w="6760" w:type="dxa"/>
            <w:vAlign w:val="bottom"/>
          </w:tcPr>
          <w:p>
            <w:pPr>
              <w:ind w:left="3320"/>
              <w:spacing w:after="0"/>
              <w:rPr>
                <w:sz w:val="20"/>
                <w:szCs w:val="20"/>
                <w:color w:val="auto"/>
              </w:rPr>
            </w:pPr>
            <w:r>
              <w:rPr>
                <w:rFonts w:ascii="Arial" w:cs="Arial" w:eastAsia="Arial" w:hAnsi="Arial"/>
                <w:sz w:val="18"/>
                <w:szCs w:val="18"/>
                <w:color w:val="auto"/>
              </w:rPr>
              <w:t>Germany</w:t>
            </w:r>
          </w:p>
        </w:tc>
      </w:tr>
      <w:tr>
        <w:trPr>
          <w:trHeight w:val="432"/>
        </w:trPr>
        <w:tc>
          <w:tcPr>
            <w:tcW w:w="4680" w:type="dxa"/>
            <w:vAlign w:val="bottom"/>
          </w:tcPr>
          <w:p>
            <w:pPr>
              <w:spacing w:after="0"/>
              <w:rPr>
                <w:sz w:val="24"/>
                <w:szCs w:val="24"/>
                <w:color w:val="auto"/>
              </w:rPr>
            </w:pPr>
          </w:p>
        </w:tc>
        <w:tc>
          <w:tcPr>
            <w:tcW w:w="6760" w:type="dxa"/>
            <w:vAlign w:val="bottom"/>
          </w:tcPr>
          <w:p>
            <w:pPr>
              <w:ind w:left="980"/>
              <w:spacing w:after="0"/>
              <w:rPr>
                <w:sz w:val="20"/>
                <w:szCs w:val="20"/>
                <w:color w:val="auto"/>
              </w:rPr>
            </w:pPr>
            <w:r>
              <w:rPr>
                <w:rFonts w:ascii="Arial" w:cs="Arial" w:eastAsia="Arial" w:hAnsi="Arial"/>
                <w:sz w:val="18"/>
                <w:szCs w:val="18"/>
                <w:color w:val="auto"/>
              </w:rPr>
              <w:t>2</w:t>
            </w:r>
          </w:p>
        </w:tc>
      </w:tr>
      <w:tr>
        <w:trPr>
          <w:trHeight w:val="115"/>
        </w:trPr>
        <w:tc>
          <w:tcPr>
            <w:tcW w:w="4680" w:type="dxa"/>
            <w:vAlign w:val="bottom"/>
            <w:tcBorders>
              <w:bottom w:val="single" w:sz="8" w:color="9A9A9A"/>
            </w:tcBorders>
          </w:tcPr>
          <w:p>
            <w:pPr>
              <w:spacing w:after="0"/>
              <w:rPr>
                <w:sz w:val="10"/>
                <w:szCs w:val="10"/>
                <w:color w:val="auto"/>
              </w:rPr>
            </w:pPr>
          </w:p>
        </w:tc>
        <w:tc>
          <w:tcPr>
            <w:tcW w:w="6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Stegdoc GmbH</w:t>
            </w:r>
          </w:p>
        </w:tc>
        <w:tc>
          <w:tcPr>
            <w:tcW w:w="652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Stegmann Personaldienstleistung GmbH</w:t>
            </w:r>
          </w:p>
        </w:tc>
        <w:tc>
          <w:tcPr>
            <w:tcW w:w="652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Stegmed GmbH</w:t>
            </w:r>
          </w:p>
        </w:tc>
        <w:tc>
          <w:tcPr>
            <w:tcW w:w="652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VIS GmbH</w:t>
            </w:r>
          </w:p>
        </w:tc>
        <w:tc>
          <w:tcPr>
            <w:tcW w:w="6520" w:type="dxa"/>
            <w:vAlign w:val="bottom"/>
          </w:tcPr>
          <w:p>
            <w:pPr>
              <w:ind w:left="3080"/>
              <w:spacing w:after="0"/>
              <w:rPr>
                <w:sz w:val="20"/>
                <w:szCs w:val="20"/>
                <w:color w:val="auto"/>
              </w:rPr>
            </w:pPr>
            <w:r>
              <w:rPr>
                <w:rFonts w:ascii="Arial" w:cs="Arial" w:eastAsia="Arial" w:hAnsi="Arial"/>
                <w:sz w:val="18"/>
                <w:szCs w:val="18"/>
                <w:color w:val="auto"/>
              </w:rPr>
              <w:t>Germany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S.A.</w:t>
            </w:r>
          </w:p>
        </w:tc>
        <w:tc>
          <w:tcPr>
            <w:tcW w:w="6520" w:type="dxa"/>
            <w:vAlign w:val="bottom"/>
          </w:tcPr>
          <w:p>
            <w:pPr>
              <w:ind w:left="3080"/>
              <w:spacing w:after="0"/>
              <w:rPr>
                <w:sz w:val="20"/>
                <w:szCs w:val="20"/>
                <w:color w:val="auto"/>
              </w:rPr>
            </w:pPr>
            <w:r>
              <w:rPr>
                <w:rFonts w:ascii="Arial" w:cs="Arial" w:eastAsia="Arial" w:hAnsi="Arial"/>
                <w:sz w:val="18"/>
                <w:szCs w:val="18"/>
                <w:color w:val="auto"/>
              </w:rPr>
              <w:t>Greece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Project Solutions S.A.</w:t>
            </w:r>
          </w:p>
        </w:tc>
        <w:tc>
          <w:tcPr>
            <w:tcW w:w="6520" w:type="dxa"/>
            <w:vAlign w:val="bottom"/>
          </w:tcPr>
          <w:p>
            <w:pPr>
              <w:ind w:left="3080"/>
              <w:spacing w:after="0"/>
              <w:rPr>
                <w:sz w:val="20"/>
                <w:szCs w:val="20"/>
                <w:color w:val="auto"/>
              </w:rPr>
            </w:pPr>
            <w:r>
              <w:rPr>
                <w:rFonts w:ascii="Arial" w:cs="Arial" w:eastAsia="Arial" w:hAnsi="Arial"/>
                <w:sz w:val="18"/>
                <w:szCs w:val="18"/>
                <w:color w:val="auto"/>
              </w:rPr>
              <w:t>Greece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Guatemala S.A.</w:t>
            </w:r>
          </w:p>
        </w:tc>
        <w:tc>
          <w:tcPr>
            <w:tcW w:w="6520" w:type="dxa"/>
            <w:vAlign w:val="bottom"/>
          </w:tcPr>
          <w:p>
            <w:pPr>
              <w:ind w:left="3080"/>
              <w:spacing w:after="0"/>
              <w:rPr>
                <w:sz w:val="20"/>
                <w:szCs w:val="20"/>
                <w:color w:val="auto"/>
              </w:rPr>
            </w:pPr>
            <w:r>
              <w:rPr>
                <w:rFonts w:ascii="Arial" w:cs="Arial" w:eastAsia="Arial" w:hAnsi="Arial"/>
                <w:sz w:val="18"/>
                <w:szCs w:val="18"/>
                <w:color w:val="auto"/>
              </w:rPr>
              <w:t>Guatemala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Professional Guatemala S.A.</w:t>
            </w:r>
          </w:p>
        </w:tc>
        <w:tc>
          <w:tcPr>
            <w:tcW w:w="6520" w:type="dxa"/>
            <w:vAlign w:val="bottom"/>
          </w:tcPr>
          <w:p>
            <w:pPr>
              <w:ind w:left="3080"/>
              <w:spacing w:after="0"/>
              <w:rPr>
                <w:sz w:val="20"/>
                <w:szCs w:val="20"/>
                <w:color w:val="auto"/>
              </w:rPr>
            </w:pPr>
            <w:r>
              <w:rPr>
                <w:rFonts w:ascii="Arial" w:cs="Arial" w:eastAsia="Arial" w:hAnsi="Arial"/>
                <w:sz w:val="18"/>
                <w:szCs w:val="18"/>
                <w:color w:val="auto"/>
              </w:rPr>
              <w:t>Guatemala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Honduras, S.A.</w:t>
            </w:r>
          </w:p>
        </w:tc>
        <w:tc>
          <w:tcPr>
            <w:tcW w:w="6520" w:type="dxa"/>
            <w:vAlign w:val="bottom"/>
          </w:tcPr>
          <w:p>
            <w:pPr>
              <w:ind w:left="3080"/>
              <w:spacing w:after="0"/>
              <w:rPr>
                <w:sz w:val="20"/>
                <w:szCs w:val="20"/>
                <w:color w:val="auto"/>
              </w:rPr>
            </w:pPr>
            <w:r>
              <w:rPr>
                <w:rFonts w:ascii="Arial" w:cs="Arial" w:eastAsia="Arial" w:hAnsi="Arial"/>
                <w:sz w:val="18"/>
                <w:szCs w:val="18"/>
                <w:color w:val="auto"/>
              </w:rPr>
              <w:t>Honduras</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Jefferson Wells HK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Hong Kong</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Holdings Hong Kong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Hong Kong</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Right Management Hong Kong Ltd.</w:t>
            </w:r>
          </w:p>
        </w:tc>
        <w:tc>
          <w:tcPr>
            <w:tcW w:w="6520" w:type="dxa"/>
            <w:vAlign w:val="bottom"/>
          </w:tcPr>
          <w:p>
            <w:pPr>
              <w:ind w:left="3080"/>
              <w:spacing w:after="0"/>
              <w:rPr>
                <w:sz w:val="20"/>
                <w:szCs w:val="20"/>
                <w:color w:val="auto"/>
              </w:rPr>
            </w:pPr>
            <w:r>
              <w:rPr>
                <w:rFonts w:ascii="Arial" w:cs="Arial" w:eastAsia="Arial" w:hAnsi="Arial"/>
                <w:sz w:val="18"/>
                <w:szCs w:val="18"/>
                <w:color w:val="auto"/>
              </w:rPr>
              <w:t>Hong Kong</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Business Solutions Kft</w:t>
            </w:r>
          </w:p>
        </w:tc>
        <w:tc>
          <w:tcPr>
            <w:tcW w:w="6520" w:type="dxa"/>
            <w:vAlign w:val="bottom"/>
          </w:tcPr>
          <w:p>
            <w:pPr>
              <w:ind w:left="3080"/>
              <w:spacing w:after="0"/>
              <w:rPr>
                <w:sz w:val="20"/>
                <w:szCs w:val="20"/>
                <w:color w:val="auto"/>
              </w:rPr>
            </w:pPr>
            <w:r>
              <w:rPr>
                <w:rFonts w:ascii="Arial" w:cs="Arial" w:eastAsia="Arial" w:hAnsi="Arial"/>
                <w:sz w:val="18"/>
                <w:szCs w:val="18"/>
                <w:color w:val="auto"/>
              </w:rPr>
              <w:t>Hungary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Munkaero Szervezesi KFT</w:t>
            </w:r>
          </w:p>
        </w:tc>
        <w:tc>
          <w:tcPr>
            <w:tcW w:w="6520" w:type="dxa"/>
            <w:vAlign w:val="bottom"/>
          </w:tcPr>
          <w:p>
            <w:pPr>
              <w:ind w:left="3080"/>
              <w:spacing w:after="0"/>
              <w:rPr>
                <w:sz w:val="20"/>
                <w:szCs w:val="20"/>
                <w:color w:val="auto"/>
              </w:rPr>
            </w:pPr>
            <w:r>
              <w:rPr>
                <w:rFonts w:ascii="Arial" w:cs="Arial" w:eastAsia="Arial" w:hAnsi="Arial"/>
                <w:sz w:val="18"/>
                <w:szCs w:val="18"/>
                <w:color w:val="auto"/>
              </w:rPr>
              <w:t>Hungary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RMC OF Illinois, Inc.</w:t>
            </w:r>
          </w:p>
        </w:tc>
        <w:tc>
          <w:tcPr>
            <w:tcW w:w="6520" w:type="dxa"/>
            <w:vAlign w:val="bottom"/>
          </w:tcPr>
          <w:p>
            <w:pPr>
              <w:ind w:left="3080"/>
              <w:spacing w:after="0"/>
              <w:rPr>
                <w:sz w:val="20"/>
                <w:szCs w:val="20"/>
                <w:color w:val="auto"/>
              </w:rPr>
            </w:pPr>
            <w:r>
              <w:rPr>
                <w:rFonts w:ascii="Arial" w:cs="Arial" w:eastAsia="Arial" w:hAnsi="Arial"/>
                <w:sz w:val="18"/>
                <w:szCs w:val="18"/>
                <w:color w:val="auto"/>
              </w:rPr>
              <w:t>IL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COMSYS IT India, Inc.</w:t>
            </w:r>
          </w:p>
        </w:tc>
        <w:tc>
          <w:tcPr>
            <w:tcW w:w="6520" w:type="dxa"/>
            <w:vAlign w:val="bottom"/>
          </w:tcPr>
          <w:p>
            <w:pPr>
              <w:ind w:left="3080"/>
              <w:spacing w:after="0"/>
              <w:rPr>
                <w:sz w:val="20"/>
                <w:szCs w:val="20"/>
                <w:color w:val="auto"/>
              </w:rPr>
            </w:pPr>
            <w:r>
              <w:rPr>
                <w:rFonts w:ascii="Arial" w:cs="Arial" w:eastAsia="Arial" w:hAnsi="Arial"/>
                <w:sz w:val="18"/>
                <w:szCs w:val="18"/>
                <w:color w:val="auto"/>
              </w:rPr>
              <w:t>India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IT Private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India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Solutions Pvt.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India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Services India Pvt.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India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Right Management India Pvt.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India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Rotostat Services Private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India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P.T. Manpower Business Solutions Indonesia</w:t>
            </w:r>
          </w:p>
        </w:tc>
        <w:tc>
          <w:tcPr>
            <w:tcW w:w="6520" w:type="dxa"/>
            <w:vAlign w:val="bottom"/>
          </w:tcPr>
          <w:p>
            <w:pPr>
              <w:ind w:left="3080"/>
              <w:spacing w:after="0"/>
              <w:rPr>
                <w:sz w:val="20"/>
                <w:szCs w:val="20"/>
                <w:color w:val="auto"/>
              </w:rPr>
            </w:pPr>
            <w:r>
              <w:rPr>
                <w:rFonts w:ascii="Arial" w:cs="Arial" w:eastAsia="Arial" w:hAnsi="Arial"/>
                <w:sz w:val="18"/>
                <w:szCs w:val="18"/>
                <w:color w:val="auto"/>
              </w:rPr>
              <w:t>Indonesia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Ireland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(Ireland)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Ireland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Holdings (Ireland)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Ireland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Right Transition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Ireland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Adam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Adi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Career Harmony,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BI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Cyber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I.T.S.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Software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M.F.S. Manpower Facility Services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M.G.S.M. Advanced Medical Services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Care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Israel Holdings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Israel Limited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Language Services</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MNPM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Nativ 2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Telepower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Unison Engineering Projects Ltd.</w:t>
            </w:r>
          </w:p>
        </w:tc>
        <w:tc>
          <w:tcPr>
            <w:tcW w:w="6520" w:type="dxa"/>
            <w:vAlign w:val="bottom"/>
          </w:tcPr>
          <w:p>
            <w:pPr>
              <w:ind w:left="3080"/>
              <w:spacing w:after="0"/>
              <w:rPr>
                <w:sz w:val="20"/>
                <w:szCs w:val="20"/>
                <w:color w:val="auto"/>
              </w:rPr>
            </w:pPr>
            <w:r>
              <w:rPr>
                <w:rFonts w:ascii="Arial" w:cs="Arial" w:eastAsia="Arial" w:hAnsi="Arial"/>
                <w:sz w:val="18"/>
                <w:szCs w:val="18"/>
                <w:color w:val="auto"/>
              </w:rPr>
              <w:t>Israel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Italia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Sales and Marketing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Sport and Events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Talent Solution Company s.r.l.</w:t>
            </w:r>
          </w:p>
        </w:tc>
        <w:tc>
          <w:tcPr>
            <w:tcW w:w="6520" w:type="dxa"/>
            <w:vAlign w:val="bottom"/>
          </w:tcPr>
          <w:p>
            <w:pPr>
              <w:ind w:left="3080"/>
              <w:spacing w:after="0"/>
              <w:rPr>
                <w:sz w:val="20"/>
                <w:szCs w:val="20"/>
                <w:color w:val="auto"/>
              </w:rPr>
            </w:pPr>
            <w:r>
              <w:rPr>
                <w:rFonts w:ascii="Arial" w:cs="Arial" w:eastAsia="Arial" w:hAnsi="Arial"/>
                <w:sz w:val="18"/>
                <w:szCs w:val="18"/>
                <w:color w:val="auto"/>
              </w:rPr>
              <w:t>Italy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Executive Co. Ltd.</w:t>
            </w:r>
          </w:p>
        </w:tc>
        <w:tc>
          <w:tcPr>
            <w:tcW w:w="6520" w:type="dxa"/>
            <w:vAlign w:val="bottom"/>
          </w:tcPr>
          <w:p>
            <w:pPr>
              <w:ind w:left="3080"/>
              <w:spacing w:after="0"/>
              <w:rPr>
                <w:sz w:val="20"/>
                <w:szCs w:val="20"/>
                <w:color w:val="auto"/>
              </w:rPr>
            </w:pPr>
            <w:r>
              <w:rPr>
                <w:rFonts w:ascii="Arial" w:cs="Arial" w:eastAsia="Arial" w:hAnsi="Arial"/>
                <w:sz w:val="18"/>
                <w:szCs w:val="18"/>
                <w:color w:val="auto"/>
              </w:rPr>
              <w:t>Japan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JobSupportpower Co. Ltd.</w:t>
            </w:r>
          </w:p>
        </w:tc>
        <w:tc>
          <w:tcPr>
            <w:tcW w:w="6520" w:type="dxa"/>
            <w:vAlign w:val="bottom"/>
          </w:tcPr>
          <w:p>
            <w:pPr>
              <w:ind w:left="3080"/>
              <w:spacing w:after="0"/>
              <w:rPr>
                <w:sz w:val="20"/>
                <w:szCs w:val="20"/>
                <w:color w:val="auto"/>
              </w:rPr>
            </w:pPr>
            <w:r>
              <w:rPr>
                <w:rFonts w:ascii="Arial" w:cs="Arial" w:eastAsia="Arial" w:hAnsi="Arial"/>
                <w:sz w:val="18"/>
                <w:szCs w:val="18"/>
                <w:color w:val="auto"/>
              </w:rPr>
              <w:t>Japan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Co. Ltd.</w:t>
            </w:r>
          </w:p>
        </w:tc>
        <w:tc>
          <w:tcPr>
            <w:tcW w:w="6520" w:type="dxa"/>
            <w:vAlign w:val="bottom"/>
          </w:tcPr>
          <w:p>
            <w:pPr>
              <w:ind w:left="3080"/>
              <w:spacing w:after="0"/>
              <w:rPr>
                <w:sz w:val="20"/>
                <w:szCs w:val="20"/>
                <w:color w:val="auto"/>
              </w:rPr>
            </w:pPr>
            <w:r>
              <w:rPr>
                <w:rFonts w:ascii="Arial" w:cs="Arial" w:eastAsia="Arial" w:hAnsi="Arial"/>
                <w:sz w:val="18"/>
                <w:szCs w:val="18"/>
                <w:color w:val="auto"/>
              </w:rPr>
              <w:t>Japan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Pro-Hunt Co., Ltd.</w:t>
            </w:r>
          </w:p>
        </w:tc>
        <w:tc>
          <w:tcPr>
            <w:tcW w:w="6520" w:type="dxa"/>
            <w:vAlign w:val="bottom"/>
          </w:tcPr>
          <w:p>
            <w:pPr>
              <w:ind w:left="3080"/>
              <w:spacing w:after="0"/>
              <w:rPr>
                <w:sz w:val="20"/>
                <w:szCs w:val="20"/>
                <w:color w:val="auto"/>
              </w:rPr>
            </w:pPr>
            <w:r>
              <w:rPr>
                <w:rFonts w:ascii="Arial" w:cs="Arial" w:eastAsia="Arial" w:hAnsi="Arial"/>
                <w:sz w:val="18"/>
                <w:szCs w:val="18"/>
                <w:color w:val="auto"/>
              </w:rPr>
              <w:t>Japan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Kaz LLC</w:t>
            </w:r>
          </w:p>
        </w:tc>
        <w:tc>
          <w:tcPr>
            <w:tcW w:w="6520" w:type="dxa"/>
            <w:vAlign w:val="bottom"/>
          </w:tcPr>
          <w:p>
            <w:pPr>
              <w:ind w:left="3080"/>
              <w:spacing w:after="0"/>
              <w:rPr>
                <w:sz w:val="20"/>
                <w:szCs w:val="20"/>
                <w:color w:val="auto"/>
              </w:rPr>
            </w:pPr>
            <w:r>
              <w:rPr>
                <w:rFonts w:ascii="Arial" w:cs="Arial" w:eastAsia="Arial" w:hAnsi="Arial"/>
                <w:sz w:val="18"/>
                <w:szCs w:val="18"/>
                <w:color w:val="auto"/>
              </w:rPr>
              <w:t>Kazakhstan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Korea, Inc.</w:t>
            </w:r>
          </w:p>
        </w:tc>
        <w:tc>
          <w:tcPr>
            <w:tcW w:w="6520" w:type="dxa"/>
            <w:vAlign w:val="bottom"/>
          </w:tcPr>
          <w:p>
            <w:pPr>
              <w:ind w:left="3080"/>
              <w:spacing w:after="0"/>
              <w:rPr>
                <w:sz w:val="20"/>
                <w:szCs w:val="20"/>
                <w:color w:val="auto"/>
              </w:rPr>
            </w:pPr>
            <w:r>
              <w:rPr>
                <w:rFonts w:ascii="Arial" w:cs="Arial" w:eastAsia="Arial" w:hAnsi="Arial"/>
                <w:sz w:val="18"/>
                <w:szCs w:val="18"/>
                <w:color w:val="auto"/>
              </w:rPr>
              <w:t>Korea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Logis Inc.</w:t>
            </w:r>
          </w:p>
        </w:tc>
        <w:tc>
          <w:tcPr>
            <w:tcW w:w="6520" w:type="dxa"/>
            <w:vAlign w:val="bottom"/>
          </w:tcPr>
          <w:p>
            <w:pPr>
              <w:ind w:left="3080"/>
              <w:spacing w:after="0"/>
              <w:rPr>
                <w:sz w:val="20"/>
                <w:szCs w:val="20"/>
                <w:color w:val="auto"/>
              </w:rPr>
            </w:pPr>
            <w:r>
              <w:rPr>
                <w:rFonts w:ascii="Arial" w:cs="Arial" w:eastAsia="Arial" w:hAnsi="Arial"/>
                <w:sz w:val="18"/>
                <w:szCs w:val="18"/>
                <w:color w:val="auto"/>
              </w:rPr>
              <w:t>Korea</w:t>
            </w:r>
          </w:p>
        </w:tc>
      </w:tr>
      <w:tr>
        <w:trPr>
          <w:trHeight w:val="432"/>
        </w:trPr>
        <w:tc>
          <w:tcPr>
            <w:tcW w:w="4920" w:type="dxa"/>
            <w:vAlign w:val="bottom"/>
          </w:tcPr>
          <w:p>
            <w:pPr>
              <w:spacing w:after="0"/>
              <w:rPr>
                <w:sz w:val="24"/>
                <w:szCs w:val="24"/>
                <w:color w:val="auto"/>
              </w:rPr>
            </w:pPr>
          </w:p>
        </w:tc>
        <w:tc>
          <w:tcPr>
            <w:tcW w:w="6520" w:type="dxa"/>
            <w:vAlign w:val="bottom"/>
          </w:tcPr>
          <w:p>
            <w:pPr>
              <w:ind w:left="740"/>
              <w:spacing w:after="0"/>
              <w:rPr>
                <w:sz w:val="20"/>
                <w:szCs w:val="20"/>
                <w:color w:val="auto"/>
              </w:rPr>
            </w:pPr>
            <w:r>
              <w:rPr>
                <w:rFonts w:ascii="Arial" w:cs="Arial" w:eastAsia="Arial" w:hAnsi="Arial"/>
                <w:sz w:val="18"/>
                <w:szCs w:val="18"/>
                <w:color w:val="auto"/>
              </w:rPr>
              <w:t>3</w:t>
            </w:r>
          </w:p>
        </w:tc>
      </w:tr>
      <w:tr>
        <w:trPr>
          <w:trHeight w:val="115"/>
        </w:trPr>
        <w:tc>
          <w:tcPr>
            <w:tcW w:w="492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ManpowerGroup Korea, Inc.</w:t>
            </w:r>
          </w:p>
        </w:tc>
        <w:tc>
          <w:tcPr>
            <w:tcW w:w="6540" w:type="dxa"/>
            <w:vAlign w:val="bottom"/>
          </w:tcPr>
          <w:p>
            <w:pPr>
              <w:ind w:left="3100"/>
              <w:spacing w:after="0"/>
              <w:rPr>
                <w:sz w:val="20"/>
                <w:szCs w:val="20"/>
                <w:color w:val="auto"/>
              </w:rPr>
            </w:pPr>
            <w:r>
              <w:rPr>
                <w:rFonts w:ascii="Arial" w:cs="Arial" w:eastAsia="Arial" w:hAnsi="Arial"/>
                <w:sz w:val="18"/>
                <w:szCs w:val="18"/>
                <w:color w:val="auto"/>
              </w:rPr>
              <w:t>Korea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Right Management Korea Co. Ltd.</w:t>
            </w:r>
          </w:p>
        </w:tc>
        <w:tc>
          <w:tcPr>
            <w:tcW w:w="6540" w:type="dxa"/>
            <w:vAlign w:val="bottom"/>
          </w:tcPr>
          <w:p>
            <w:pPr>
              <w:ind w:left="3100"/>
              <w:spacing w:after="0"/>
              <w:rPr>
                <w:sz w:val="20"/>
                <w:szCs w:val="20"/>
                <w:color w:val="auto"/>
              </w:rPr>
            </w:pPr>
            <w:r>
              <w:rPr>
                <w:rFonts w:ascii="Arial" w:cs="Arial" w:eastAsia="Arial" w:hAnsi="Arial"/>
                <w:sz w:val="18"/>
                <w:szCs w:val="18"/>
                <w:color w:val="auto"/>
              </w:rPr>
              <w:t>Korea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Representative Office of UAB "Manpower Lit" in Latvia</w:t>
            </w:r>
          </w:p>
        </w:tc>
        <w:tc>
          <w:tcPr>
            <w:tcW w:w="6540" w:type="dxa"/>
            <w:vAlign w:val="bottom"/>
          </w:tcPr>
          <w:p>
            <w:pPr>
              <w:ind w:left="3100"/>
              <w:spacing w:after="0"/>
              <w:rPr>
                <w:sz w:val="20"/>
                <w:szCs w:val="20"/>
                <w:color w:val="auto"/>
              </w:rPr>
            </w:pPr>
            <w:r>
              <w:rPr>
                <w:rFonts w:ascii="Arial" w:cs="Arial" w:eastAsia="Arial" w:hAnsi="Arial"/>
                <w:sz w:val="18"/>
                <w:szCs w:val="18"/>
                <w:color w:val="auto"/>
              </w:rPr>
              <w:t>Latvia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Lit UAB</w:t>
            </w:r>
          </w:p>
        </w:tc>
        <w:tc>
          <w:tcPr>
            <w:tcW w:w="6540" w:type="dxa"/>
            <w:vAlign w:val="bottom"/>
          </w:tcPr>
          <w:p>
            <w:pPr>
              <w:ind w:left="3100"/>
              <w:spacing w:after="0"/>
              <w:rPr>
                <w:sz w:val="20"/>
                <w:szCs w:val="20"/>
                <w:color w:val="auto"/>
              </w:rPr>
            </w:pPr>
            <w:r>
              <w:rPr>
                <w:rFonts w:ascii="Arial" w:cs="Arial" w:eastAsia="Arial" w:hAnsi="Arial"/>
                <w:sz w:val="18"/>
                <w:szCs w:val="18"/>
                <w:color w:val="auto"/>
              </w:rPr>
              <w:t>Lithuania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Elan IT Resource S.a.r.l.</w:t>
            </w:r>
          </w:p>
        </w:tc>
        <w:tc>
          <w:tcPr>
            <w:tcW w:w="6540" w:type="dxa"/>
            <w:vAlign w:val="bottom"/>
          </w:tcPr>
          <w:p>
            <w:pPr>
              <w:ind w:left="3100"/>
              <w:spacing w:after="0"/>
              <w:rPr>
                <w:sz w:val="20"/>
                <w:szCs w:val="20"/>
                <w:color w:val="auto"/>
              </w:rPr>
            </w:pPr>
            <w:r>
              <w:rPr>
                <w:rFonts w:ascii="Arial" w:cs="Arial" w:eastAsia="Arial" w:hAnsi="Arial"/>
                <w:sz w:val="18"/>
                <w:szCs w:val="18"/>
                <w:color w:val="auto"/>
              </w:rPr>
              <w:t>Luxembourg</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Business Solutions Luxembourg S.A.</w:t>
            </w:r>
          </w:p>
        </w:tc>
        <w:tc>
          <w:tcPr>
            <w:tcW w:w="6540" w:type="dxa"/>
            <w:vAlign w:val="bottom"/>
          </w:tcPr>
          <w:p>
            <w:pPr>
              <w:ind w:left="3100"/>
              <w:spacing w:after="0"/>
              <w:rPr>
                <w:sz w:val="20"/>
                <w:szCs w:val="20"/>
                <w:color w:val="auto"/>
              </w:rPr>
            </w:pPr>
            <w:r>
              <w:rPr>
                <w:rFonts w:ascii="Arial" w:cs="Arial" w:eastAsia="Arial" w:hAnsi="Arial"/>
                <w:sz w:val="18"/>
                <w:szCs w:val="18"/>
                <w:color w:val="auto"/>
              </w:rPr>
              <w:t>Luxembourg</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Luxembourg S.A.</w:t>
            </w:r>
          </w:p>
        </w:tc>
        <w:tc>
          <w:tcPr>
            <w:tcW w:w="6540" w:type="dxa"/>
            <w:vAlign w:val="bottom"/>
          </w:tcPr>
          <w:p>
            <w:pPr>
              <w:ind w:left="3100"/>
              <w:spacing w:after="0"/>
              <w:rPr>
                <w:sz w:val="20"/>
                <w:szCs w:val="20"/>
                <w:color w:val="auto"/>
              </w:rPr>
            </w:pPr>
            <w:r>
              <w:rPr>
                <w:rFonts w:ascii="Arial" w:cs="Arial" w:eastAsia="Arial" w:hAnsi="Arial"/>
                <w:sz w:val="18"/>
                <w:szCs w:val="18"/>
                <w:color w:val="auto"/>
              </w:rPr>
              <w:t>Luxembourg</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Right Management Luxembourg SA</w:t>
            </w:r>
          </w:p>
        </w:tc>
        <w:tc>
          <w:tcPr>
            <w:tcW w:w="6540" w:type="dxa"/>
            <w:vAlign w:val="bottom"/>
          </w:tcPr>
          <w:p>
            <w:pPr>
              <w:ind w:left="3100"/>
              <w:spacing w:after="0"/>
              <w:rPr>
                <w:sz w:val="20"/>
                <w:szCs w:val="20"/>
                <w:color w:val="auto"/>
              </w:rPr>
            </w:pPr>
            <w:r>
              <w:rPr>
                <w:rFonts w:ascii="Arial" w:cs="Arial" w:eastAsia="Arial" w:hAnsi="Arial"/>
                <w:sz w:val="18"/>
                <w:szCs w:val="18"/>
                <w:color w:val="auto"/>
              </w:rPr>
              <w:t>Luxembourg</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Agensi Pekerjaan Manpower Recruitment Sdn Bhd</w:t>
            </w:r>
          </w:p>
        </w:tc>
        <w:tc>
          <w:tcPr>
            <w:tcW w:w="6540" w:type="dxa"/>
            <w:vAlign w:val="bottom"/>
          </w:tcPr>
          <w:p>
            <w:pPr>
              <w:ind w:left="3100"/>
              <w:spacing w:after="0"/>
              <w:rPr>
                <w:sz w:val="20"/>
                <w:szCs w:val="20"/>
                <w:color w:val="auto"/>
              </w:rPr>
            </w:pPr>
            <w:r>
              <w:rPr>
                <w:rFonts w:ascii="Arial" w:cs="Arial" w:eastAsia="Arial" w:hAnsi="Arial"/>
                <w:sz w:val="18"/>
                <w:szCs w:val="18"/>
                <w:color w:val="auto"/>
              </w:rPr>
              <w:t>Malaysia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Experis (M) Sdn Bhd</w:t>
            </w:r>
          </w:p>
        </w:tc>
        <w:tc>
          <w:tcPr>
            <w:tcW w:w="6540" w:type="dxa"/>
            <w:vAlign w:val="bottom"/>
          </w:tcPr>
          <w:p>
            <w:pPr>
              <w:ind w:left="3100"/>
              <w:spacing w:after="0"/>
              <w:rPr>
                <w:sz w:val="20"/>
                <w:szCs w:val="20"/>
                <w:color w:val="auto"/>
              </w:rPr>
            </w:pPr>
            <w:r>
              <w:rPr>
                <w:rFonts w:ascii="Arial" w:cs="Arial" w:eastAsia="Arial" w:hAnsi="Arial"/>
                <w:sz w:val="18"/>
                <w:szCs w:val="18"/>
                <w:color w:val="auto"/>
              </w:rPr>
              <w:t>Malaysia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Business Solutions (M) Sdn Bhd</w:t>
            </w:r>
          </w:p>
        </w:tc>
        <w:tc>
          <w:tcPr>
            <w:tcW w:w="6540" w:type="dxa"/>
            <w:vAlign w:val="bottom"/>
          </w:tcPr>
          <w:p>
            <w:pPr>
              <w:ind w:left="3100"/>
              <w:spacing w:after="0"/>
              <w:rPr>
                <w:sz w:val="20"/>
                <w:szCs w:val="20"/>
                <w:color w:val="auto"/>
              </w:rPr>
            </w:pPr>
            <w:r>
              <w:rPr>
                <w:rFonts w:ascii="Arial" w:cs="Arial" w:eastAsia="Arial" w:hAnsi="Arial"/>
                <w:sz w:val="18"/>
                <w:szCs w:val="18"/>
                <w:color w:val="auto"/>
              </w:rPr>
              <w:t>Malaysia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Staffing Services (Malaysia) Sdn Bhd</w:t>
            </w:r>
          </w:p>
        </w:tc>
        <w:tc>
          <w:tcPr>
            <w:tcW w:w="6540" w:type="dxa"/>
            <w:vAlign w:val="bottom"/>
          </w:tcPr>
          <w:p>
            <w:pPr>
              <w:ind w:left="3100"/>
              <w:spacing w:after="0"/>
              <w:rPr>
                <w:sz w:val="20"/>
                <w:szCs w:val="20"/>
                <w:color w:val="auto"/>
              </w:rPr>
            </w:pPr>
            <w:r>
              <w:rPr>
                <w:rFonts w:ascii="Arial" w:cs="Arial" w:eastAsia="Arial" w:hAnsi="Arial"/>
                <w:sz w:val="18"/>
                <w:szCs w:val="18"/>
                <w:color w:val="auto"/>
              </w:rPr>
              <w:t>Malaysia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Pancaran Pertiwi Sdn Bhd</w:t>
            </w:r>
          </w:p>
        </w:tc>
        <w:tc>
          <w:tcPr>
            <w:tcW w:w="6540" w:type="dxa"/>
            <w:vAlign w:val="bottom"/>
          </w:tcPr>
          <w:p>
            <w:pPr>
              <w:ind w:left="3100"/>
              <w:spacing w:after="0"/>
              <w:rPr>
                <w:sz w:val="20"/>
                <w:szCs w:val="20"/>
                <w:color w:val="auto"/>
              </w:rPr>
            </w:pPr>
            <w:r>
              <w:rPr>
                <w:rFonts w:ascii="Arial" w:cs="Arial" w:eastAsia="Arial" w:hAnsi="Arial"/>
                <w:sz w:val="18"/>
                <w:szCs w:val="18"/>
                <w:color w:val="auto"/>
              </w:rPr>
              <w:t>Malaysia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Right Management (Malaysia) Sdn Bhd</w:t>
            </w:r>
          </w:p>
        </w:tc>
        <w:tc>
          <w:tcPr>
            <w:tcW w:w="6540" w:type="dxa"/>
            <w:vAlign w:val="bottom"/>
          </w:tcPr>
          <w:p>
            <w:pPr>
              <w:ind w:left="3100"/>
              <w:spacing w:after="0"/>
              <w:rPr>
                <w:sz w:val="20"/>
                <w:szCs w:val="20"/>
                <w:color w:val="auto"/>
              </w:rPr>
            </w:pPr>
            <w:r>
              <w:rPr>
                <w:rFonts w:ascii="Arial" w:cs="Arial" w:eastAsia="Arial" w:hAnsi="Arial"/>
                <w:sz w:val="18"/>
                <w:szCs w:val="18"/>
                <w:color w:val="auto"/>
              </w:rPr>
              <w:t>Malaysia</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Agropower,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Experis Mexico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Factoria Y Manufactura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Innovacion Tecnologia Smart,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Intelecto Tecnologico,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Corporativo,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Industrial, S. de R.L.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Profesionales Tecnicos Manpower,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Professional,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Nurse.Co de Mexico,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Payment Services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Right Management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Tecnologia Y Manufactura, S.A. de C.V.</w:t>
            </w:r>
          </w:p>
        </w:tc>
        <w:tc>
          <w:tcPr>
            <w:tcW w:w="6540" w:type="dxa"/>
            <w:vAlign w:val="bottom"/>
          </w:tcPr>
          <w:p>
            <w:pPr>
              <w:ind w:left="3100"/>
              <w:spacing w:after="0"/>
              <w:rPr>
                <w:sz w:val="20"/>
                <w:szCs w:val="20"/>
                <w:color w:val="auto"/>
              </w:rPr>
            </w:pPr>
            <w:r>
              <w:rPr>
                <w:rFonts w:ascii="Arial" w:cs="Arial" w:eastAsia="Arial" w:hAnsi="Arial"/>
                <w:sz w:val="18"/>
                <w:szCs w:val="18"/>
                <w:color w:val="auto"/>
              </w:rPr>
              <w:t>Mexico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Monaco SAM</w:t>
            </w:r>
          </w:p>
        </w:tc>
        <w:tc>
          <w:tcPr>
            <w:tcW w:w="6540" w:type="dxa"/>
            <w:vAlign w:val="bottom"/>
          </w:tcPr>
          <w:p>
            <w:pPr>
              <w:ind w:left="3100"/>
              <w:spacing w:after="0"/>
              <w:rPr>
                <w:sz w:val="20"/>
                <w:szCs w:val="20"/>
                <w:color w:val="auto"/>
              </w:rPr>
            </w:pPr>
            <w:r>
              <w:rPr>
                <w:rFonts w:ascii="Arial" w:cs="Arial" w:eastAsia="Arial" w:hAnsi="Arial"/>
                <w:sz w:val="18"/>
                <w:szCs w:val="18"/>
                <w:color w:val="auto"/>
              </w:rPr>
              <w:t>Monaco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Management Business Services Maroc Sarl</w:t>
            </w:r>
          </w:p>
        </w:tc>
        <w:tc>
          <w:tcPr>
            <w:tcW w:w="6540" w:type="dxa"/>
            <w:vAlign w:val="bottom"/>
          </w:tcPr>
          <w:p>
            <w:pPr>
              <w:ind w:left="3100"/>
              <w:spacing w:after="0"/>
              <w:rPr>
                <w:sz w:val="20"/>
                <w:szCs w:val="20"/>
                <w:color w:val="auto"/>
              </w:rPr>
            </w:pPr>
            <w:r>
              <w:rPr>
                <w:rFonts w:ascii="Arial" w:cs="Arial" w:eastAsia="Arial" w:hAnsi="Arial"/>
                <w:sz w:val="18"/>
                <w:szCs w:val="18"/>
                <w:color w:val="auto"/>
              </w:rPr>
              <w:t>Morocco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Societe Marocaine De Travail Temporaire</w:t>
            </w:r>
          </w:p>
        </w:tc>
        <w:tc>
          <w:tcPr>
            <w:tcW w:w="6540" w:type="dxa"/>
            <w:vAlign w:val="bottom"/>
          </w:tcPr>
          <w:p>
            <w:pPr>
              <w:ind w:left="3100"/>
              <w:spacing w:after="0"/>
              <w:rPr>
                <w:sz w:val="20"/>
                <w:szCs w:val="20"/>
                <w:color w:val="auto"/>
              </w:rPr>
            </w:pPr>
            <w:r>
              <w:rPr>
                <w:rFonts w:ascii="Arial" w:cs="Arial" w:eastAsia="Arial" w:hAnsi="Arial"/>
                <w:sz w:val="18"/>
                <w:szCs w:val="18"/>
                <w:color w:val="auto"/>
              </w:rPr>
              <w:t>Morocco</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Experis Ciber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Experis Nederland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iJobs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&amp; …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Amsterdam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Beheer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Consulting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Contract Beheer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Corporate Staffing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Eindhoven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General Staffing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Rotterdam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iSense Utrecht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Business Services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Direkt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Engineering Industry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Food Industry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Heavy Industry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Logistics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Management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ManpowerGroup Netherlands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Pharmaceuticals &amp; Basic Industry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ManpowerGroup Solutions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Solutions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Manpower Special Staffing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Peak Holding B.V.</w:t>
            </w:r>
          </w:p>
        </w:tc>
        <w:tc>
          <w:tcPr>
            <w:tcW w:w="6540" w:type="dxa"/>
            <w:vAlign w:val="bottom"/>
          </w:tcPr>
          <w:p>
            <w:pPr>
              <w:ind w:left="3100"/>
              <w:spacing w:after="0"/>
              <w:rPr>
                <w:sz w:val="20"/>
                <w:szCs w:val="20"/>
                <w:color w:val="auto"/>
              </w:rPr>
            </w:pPr>
            <w:r>
              <w:rPr>
                <w:rFonts w:ascii="Arial" w:cs="Arial" w:eastAsia="Arial" w:hAnsi="Arial"/>
                <w:sz w:val="18"/>
                <w:szCs w:val="18"/>
                <w:color w:val="auto"/>
              </w:rPr>
              <w:t>Netherlands</w:t>
            </w:r>
          </w:p>
        </w:tc>
      </w:tr>
      <w:tr>
        <w:trPr>
          <w:trHeight w:val="432"/>
        </w:trPr>
        <w:tc>
          <w:tcPr>
            <w:tcW w:w="4900" w:type="dxa"/>
            <w:vAlign w:val="bottom"/>
          </w:tcPr>
          <w:p>
            <w:pPr>
              <w:spacing w:after="0"/>
              <w:rPr>
                <w:sz w:val="24"/>
                <w:szCs w:val="24"/>
                <w:color w:val="auto"/>
              </w:rPr>
            </w:pPr>
          </w:p>
        </w:tc>
        <w:tc>
          <w:tcPr>
            <w:tcW w:w="6540" w:type="dxa"/>
            <w:vAlign w:val="bottom"/>
          </w:tcPr>
          <w:p>
            <w:pPr>
              <w:ind w:left="760"/>
              <w:spacing w:after="0"/>
              <w:rPr>
                <w:sz w:val="20"/>
                <w:szCs w:val="20"/>
                <w:color w:val="auto"/>
              </w:rPr>
            </w:pPr>
            <w:r>
              <w:rPr>
                <w:rFonts w:ascii="Arial" w:cs="Arial" w:eastAsia="Arial" w:hAnsi="Arial"/>
                <w:sz w:val="18"/>
                <w:szCs w:val="18"/>
                <w:color w:val="auto"/>
              </w:rPr>
              <w:t>4</w:t>
            </w:r>
          </w:p>
        </w:tc>
      </w:tr>
      <w:tr>
        <w:trPr>
          <w:trHeight w:val="115"/>
        </w:trPr>
        <w:tc>
          <w:tcPr>
            <w:tcW w:w="4900" w:type="dxa"/>
            <w:vAlign w:val="bottom"/>
            <w:tcBorders>
              <w:bottom w:val="single" w:sz="8" w:color="9A9A9A"/>
            </w:tcBorders>
          </w:tcPr>
          <w:p>
            <w:pPr>
              <w:spacing w:after="0"/>
              <w:rPr>
                <w:sz w:val="10"/>
                <w:szCs w:val="10"/>
                <w:color w:val="auto"/>
              </w:rPr>
            </w:pPr>
          </w:p>
        </w:tc>
        <w:tc>
          <w:tcPr>
            <w:tcW w:w="6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Peak IT B.V.</w:t>
            </w:r>
          </w:p>
        </w:tc>
        <w:tc>
          <w:tcPr>
            <w:tcW w:w="6480" w:type="dxa"/>
            <w:vAlign w:val="bottom"/>
          </w:tcPr>
          <w:p>
            <w:pPr>
              <w:ind w:left="3040"/>
              <w:spacing w:after="0"/>
              <w:rPr>
                <w:sz w:val="20"/>
                <w:szCs w:val="20"/>
                <w:color w:val="auto"/>
              </w:rPr>
            </w:pPr>
            <w:r>
              <w:rPr>
                <w:rFonts w:ascii="Arial" w:cs="Arial" w:eastAsia="Arial" w:hAnsi="Arial"/>
                <w:sz w:val="18"/>
                <w:szCs w:val="18"/>
                <w:color w:val="auto"/>
              </w:rPr>
              <w:t>Netherlands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Peak-IT Managed Services B.V.</w:t>
            </w:r>
          </w:p>
        </w:tc>
        <w:tc>
          <w:tcPr>
            <w:tcW w:w="6480" w:type="dxa"/>
            <w:vAlign w:val="bottom"/>
          </w:tcPr>
          <w:p>
            <w:pPr>
              <w:ind w:left="3040"/>
              <w:spacing w:after="0"/>
              <w:rPr>
                <w:sz w:val="20"/>
                <w:szCs w:val="20"/>
                <w:color w:val="auto"/>
              </w:rPr>
            </w:pPr>
            <w:r>
              <w:rPr>
                <w:rFonts w:ascii="Arial" w:cs="Arial" w:eastAsia="Arial" w:hAnsi="Arial"/>
                <w:sz w:val="18"/>
                <w:szCs w:val="18"/>
                <w:color w:val="auto"/>
              </w:rPr>
              <w:t>Netherlands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Right Management Nederland B.V.</w:t>
            </w:r>
          </w:p>
        </w:tc>
        <w:tc>
          <w:tcPr>
            <w:tcW w:w="6480" w:type="dxa"/>
            <w:vAlign w:val="bottom"/>
          </w:tcPr>
          <w:p>
            <w:pPr>
              <w:ind w:left="3040"/>
              <w:spacing w:after="0"/>
              <w:rPr>
                <w:sz w:val="20"/>
                <w:szCs w:val="20"/>
                <w:color w:val="auto"/>
              </w:rPr>
            </w:pPr>
            <w:r>
              <w:rPr>
                <w:rFonts w:ascii="Arial" w:cs="Arial" w:eastAsia="Arial" w:hAnsi="Arial"/>
                <w:sz w:val="18"/>
                <w:szCs w:val="18"/>
                <w:color w:val="auto"/>
              </w:rPr>
              <w:t>Netherlands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Salarisprofs B.V.</w:t>
            </w:r>
          </w:p>
        </w:tc>
        <w:tc>
          <w:tcPr>
            <w:tcW w:w="6480" w:type="dxa"/>
            <w:vAlign w:val="bottom"/>
          </w:tcPr>
          <w:p>
            <w:pPr>
              <w:ind w:left="3040"/>
              <w:spacing w:after="0"/>
              <w:rPr>
                <w:sz w:val="20"/>
                <w:szCs w:val="20"/>
                <w:color w:val="auto"/>
              </w:rPr>
            </w:pPr>
            <w:r>
              <w:rPr>
                <w:rFonts w:ascii="Arial" w:cs="Arial" w:eastAsia="Arial" w:hAnsi="Arial"/>
                <w:sz w:val="18"/>
                <w:szCs w:val="18"/>
                <w:color w:val="auto"/>
              </w:rPr>
              <w:t>Netherlands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Ultrasearch B.V.</w:t>
            </w:r>
          </w:p>
        </w:tc>
        <w:tc>
          <w:tcPr>
            <w:tcW w:w="6480" w:type="dxa"/>
            <w:vAlign w:val="bottom"/>
          </w:tcPr>
          <w:p>
            <w:pPr>
              <w:ind w:left="3040"/>
              <w:spacing w:after="0"/>
              <w:rPr>
                <w:sz w:val="20"/>
                <w:szCs w:val="20"/>
                <w:color w:val="auto"/>
              </w:rPr>
            </w:pPr>
            <w:r>
              <w:rPr>
                <w:rFonts w:ascii="Arial" w:cs="Arial" w:eastAsia="Arial" w:hAnsi="Arial"/>
                <w:sz w:val="18"/>
                <w:szCs w:val="18"/>
                <w:color w:val="auto"/>
              </w:rPr>
              <w:t>Netherlands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Nouvelle Caledonie Sarl</w:t>
            </w:r>
          </w:p>
        </w:tc>
        <w:tc>
          <w:tcPr>
            <w:tcW w:w="6480" w:type="dxa"/>
            <w:vAlign w:val="bottom"/>
          </w:tcPr>
          <w:p>
            <w:pPr>
              <w:ind w:left="3040"/>
              <w:spacing w:after="0"/>
              <w:rPr>
                <w:sz w:val="20"/>
                <w:szCs w:val="20"/>
                <w:color w:val="auto"/>
              </w:rPr>
            </w:pPr>
            <w:r>
              <w:rPr>
                <w:rFonts w:ascii="Arial" w:cs="Arial" w:eastAsia="Arial" w:hAnsi="Arial"/>
                <w:sz w:val="18"/>
                <w:szCs w:val="18"/>
                <w:color w:val="auto"/>
              </w:rPr>
              <w:t>New Caledonia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Recrutement Sarl</w:t>
            </w:r>
          </w:p>
        </w:tc>
        <w:tc>
          <w:tcPr>
            <w:tcW w:w="6480" w:type="dxa"/>
            <w:vAlign w:val="bottom"/>
          </w:tcPr>
          <w:p>
            <w:pPr>
              <w:ind w:left="3040"/>
              <w:spacing w:after="0"/>
              <w:rPr>
                <w:sz w:val="20"/>
                <w:szCs w:val="20"/>
                <w:color w:val="auto"/>
              </w:rPr>
            </w:pPr>
            <w:r>
              <w:rPr>
                <w:rFonts w:ascii="Arial" w:cs="Arial" w:eastAsia="Arial" w:hAnsi="Arial"/>
                <w:sz w:val="18"/>
                <w:szCs w:val="18"/>
                <w:color w:val="auto"/>
              </w:rPr>
              <w:t>New Caledonia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Services (New Zealand) Ltd.</w:t>
            </w:r>
          </w:p>
        </w:tc>
        <w:tc>
          <w:tcPr>
            <w:tcW w:w="6480" w:type="dxa"/>
            <w:vAlign w:val="bottom"/>
          </w:tcPr>
          <w:p>
            <w:pPr>
              <w:ind w:left="3040"/>
              <w:spacing w:after="0"/>
              <w:rPr>
                <w:sz w:val="20"/>
                <w:szCs w:val="20"/>
                <w:color w:val="auto"/>
              </w:rPr>
            </w:pPr>
            <w:r>
              <w:rPr>
                <w:rFonts w:ascii="Arial" w:cs="Arial" w:eastAsia="Arial" w:hAnsi="Arial"/>
                <w:sz w:val="18"/>
                <w:szCs w:val="18"/>
                <w:color w:val="auto"/>
              </w:rPr>
              <w:t>New Zealand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Nicaruagua S.A.</w:t>
            </w:r>
          </w:p>
        </w:tc>
        <w:tc>
          <w:tcPr>
            <w:tcW w:w="6480" w:type="dxa"/>
            <w:vAlign w:val="bottom"/>
          </w:tcPr>
          <w:p>
            <w:pPr>
              <w:ind w:left="3040"/>
              <w:spacing w:after="0"/>
              <w:rPr>
                <w:sz w:val="20"/>
                <w:szCs w:val="20"/>
                <w:color w:val="auto"/>
              </w:rPr>
            </w:pPr>
            <w:r>
              <w:rPr>
                <w:rFonts w:ascii="Arial" w:cs="Arial" w:eastAsia="Arial" w:hAnsi="Arial"/>
                <w:sz w:val="18"/>
                <w:szCs w:val="18"/>
                <w:color w:val="auto"/>
              </w:rPr>
              <w:t>Nicaragua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Avan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Experis Ciber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Experis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Experis Staffing Service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Framnaes Installajon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Solutions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Staffing Services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Right Management Norway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Workshop Bemanning og Kompetanse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Workshop Holding AS</w:t>
            </w:r>
          </w:p>
        </w:tc>
        <w:tc>
          <w:tcPr>
            <w:tcW w:w="6480" w:type="dxa"/>
            <w:vAlign w:val="bottom"/>
          </w:tcPr>
          <w:p>
            <w:pPr>
              <w:ind w:left="3040"/>
              <w:spacing w:after="0"/>
              <w:rPr>
                <w:sz w:val="20"/>
                <w:szCs w:val="20"/>
                <w:color w:val="auto"/>
              </w:rPr>
            </w:pPr>
            <w:r>
              <w:rPr>
                <w:rFonts w:ascii="Arial" w:cs="Arial" w:eastAsia="Arial" w:hAnsi="Arial"/>
                <w:sz w:val="18"/>
                <w:szCs w:val="18"/>
                <w:color w:val="auto"/>
              </w:rPr>
              <w:t>Norway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Right Management Inc.</w:t>
            </w:r>
          </w:p>
        </w:tc>
        <w:tc>
          <w:tcPr>
            <w:tcW w:w="6480" w:type="dxa"/>
            <w:vAlign w:val="bottom"/>
          </w:tcPr>
          <w:p>
            <w:pPr>
              <w:ind w:left="3040"/>
              <w:spacing w:after="0"/>
              <w:rPr>
                <w:sz w:val="20"/>
                <w:szCs w:val="20"/>
                <w:color w:val="auto"/>
              </w:rPr>
            </w:pPr>
            <w:r>
              <w:rPr>
                <w:rFonts w:ascii="Arial" w:cs="Arial" w:eastAsia="Arial" w:hAnsi="Arial"/>
                <w:sz w:val="18"/>
                <w:szCs w:val="18"/>
                <w:color w:val="auto"/>
              </w:rPr>
              <w:t>PA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Panama S.A.</w:t>
            </w:r>
          </w:p>
        </w:tc>
        <w:tc>
          <w:tcPr>
            <w:tcW w:w="6480" w:type="dxa"/>
            <w:vAlign w:val="bottom"/>
          </w:tcPr>
          <w:p>
            <w:pPr>
              <w:ind w:left="3040"/>
              <w:spacing w:after="0"/>
              <w:rPr>
                <w:sz w:val="20"/>
                <w:szCs w:val="20"/>
                <w:color w:val="auto"/>
              </w:rPr>
            </w:pPr>
            <w:r>
              <w:rPr>
                <w:rFonts w:ascii="Arial" w:cs="Arial" w:eastAsia="Arial" w:hAnsi="Arial"/>
                <w:sz w:val="18"/>
                <w:szCs w:val="18"/>
                <w:color w:val="auto"/>
              </w:rPr>
              <w:t>Panama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Panama Pacifico, S.A.</w:t>
            </w:r>
          </w:p>
        </w:tc>
        <w:tc>
          <w:tcPr>
            <w:tcW w:w="6480" w:type="dxa"/>
            <w:vAlign w:val="bottom"/>
          </w:tcPr>
          <w:p>
            <w:pPr>
              <w:ind w:left="3040"/>
              <w:spacing w:after="0"/>
              <w:rPr>
                <w:sz w:val="20"/>
                <w:szCs w:val="20"/>
                <w:color w:val="auto"/>
              </w:rPr>
            </w:pPr>
            <w:r>
              <w:rPr>
                <w:rFonts w:ascii="Arial" w:cs="Arial" w:eastAsia="Arial" w:hAnsi="Arial"/>
                <w:sz w:val="18"/>
                <w:szCs w:val="18"/>
                <w:color w:val="auto"/>
              </w:rPr>
              <w:t>Panama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Staffing Services Panama, S.A.</w:t>
            </w:r>
          </w:p>
        </w:tc>
        <w:tc>
          <w:tcPr>
            <w:tcW w:w="6480" w:type="dxa"/>
            <w:vAlign w:val="bottom"/>
          </w:tcPr>
          <w:p>
            <w:pPr>
              <w:ind w:left="3040"/>
              <w:spacing w:after="0"/>
              <w:rPr>
                <w:sz w:val="20"/>
                <w:szCs w:val="20"/>
                <w:color w:val="auto"/>
              </w:rPr>
            </w:pPr>
            <w:r>
              <w:rPr>
                <w:rFonts w:ascii="Arial" w:cs="Arial" w:eastAsia="Arial" w:hAnsi="Arial"/>
                <w:sz w:val="18"/>
                <w:szCs w:val="18"/>
                <w:color w:val="auto"/>
              </w:rPr>
              <w:t>Panama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Paraguay S.R.L.</w:t>
            </w:r>
          </w:p>
        </w:tc>
        <w:tc>
          <w:tcPr>
            <w:tcW w:w="6480" w:type="dxa"/>
            <w:vAlign w:val="bottom"/>
          </w:tcPr>
          <w:p>
            <w:pPr>
              <w:ind w:left="3040"/>
              <w:spacing w:after="0"/>
              <w:rPr>
                <w:sz w:val="20"/>
                <w:szCs w:val="20"/>
                <w:color w:val="auto"/>
              </w:rPr>
            </w:pPr>
            <w:r>
              <w:rPr>
                <w:rFonts w:ascii="Arial" w:cs="Arial" w:eastAsia="Arial" w:hAnsi="Arial"/>
                <w:sz w:val="18"/>
                <w:szCs w:val="18"/>
                <w:color w:val="auto"/>
              </w:rPr>
              <w:t>Paraguay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Peru S.A.</w:t>
            </w:r>
          </w:p>
        </w:tc>
        <w:tc>
          <w:tcPr>
            <w:tcW w:w="6480" w:type="dxa"/>
            <w:vAlign w:val="bottom"/>
          </w:tcPr>
          <w:p>
            <w:pPr>
              <w:ind w:left="3040"/>
              <w:spacing w:after="0"/>
              <w:rPr>
                <w:sz w:val="20"/>
                <w:szCs w:val="20"/>
                <w:color w:val="auto"/>
              </w:rPr>
            </w:pPr>
            <w:r>
              <w:rPr>
                <w:rFonts w:ascii="Arial" w:cs="Arial" w:eastAsia="Arial" w:hAnsi="Arial"/>
                <w:sz w:val="18"/>
                <w:szCs w:val="18"/>
                <w:color w:val="auto"/>
              </w:rPr>
              <w:t>Peru</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Professional Services S.A.</w:t>
            </w:r>
          </w:p>
        </w:tc>
        <w:tc>
          <w:tcPr>
            <w:tcW w:w="6480" w:type="dxa"/>
            <w:vAlign w:val="bottom"/>
          </w:tcPr>
          <w:p>
            <w:pPr>
              <w:ind w:left="3040"/>
              <w:spacing w:after="0"/>
              <w:rPr>
                <w:sz w:val="20"/>
                <w:szCs w:val="20"/>
                <w:color w:val="auto"/>
              </w:rPr>
            </w:pPr>
            <w:r>
              <w:rPr>
                <w:rFonts w:ascii="Arial" w:cs="Arial" w:eastAsia="Arial" w:hAnsi="Arial"/>
                <w:sz w:val="18"/>
                <w:szCs w:val="18"/>
                <w:color w:val="auto"/>
              </w:rPr>
              <w:t>Peru</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Right Management Peru S.A.C.</w:t>
            </w:r>
          </w:p>
        </w:tc>
        <w:tc>
          <w:tcPr>
            <w:tcW w:w="6480" w:type="dxa"/>
            <w:vAlign w:val="bottom"/>
          </w:tcPr>
          <w:p>
            <w:pPr>
              <w:ind w:left="3040"/>
              <w:spacing w:after="0"/>
              <w:rPr>
                <w:sz w:val="20"/>
                <w:szCs w:val="20"/>
                <w:color w:val="auto"/>
              </w:rPr>
            </w:pPr>
            <w:r>
              <w:rPr>
                <w:rFonts w:ascii="Arial" w:cs="Arial" w:eastAsia="Arial" w:hAnsi="Arial"/>
                <w:sz w:val="18"/>
                <w:szCs w:val="18"/>
                <w:color w:val="auto"/>
              </w:rPr>
              <w:t>Peru</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Outsourcing Services Inc.</w:t>
            </w:r>
          </w:p>
        </w:tc>
        <w:tc>
          <w:tcPr>
            <w:tcW w:w="6480" w:type="dxa"/>
            <w:vAlign w:val="bottom"/>
          </w:tcPr>
          <w:p>
            <w:pPr>
              <w:ind w:left="3040"/>
              <w:spacing w:after="0"/>
              <w:rPr>
                <w:sz w:val="20"/>
                <w:szCs w:val="20"/>
                <w:color w:val="auto"/>
              </w:rPr>
            </w:pPr>
            <w:r>
              <w:rPr>
                <w:rFonts w:ascii="Arial" w:cs="Arial" w:eastAsia="Arial" w:hAnsi="Arial"/>
                <w:sz w:val="18"/>
                <w:szCs w:val="18"/>
                <w:color w:val="auto"/>
              </w:rPr>
              <w:t>Philippines</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HR Hunters Sp.z.o.o.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Sp. z 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Solutions SP. Zo.o.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Transactions Sp. z 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MP Management Sp.z.o.o.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MP Services Sp. z 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Proservia Polska z.o.o.</w:t>
            </w:r>
          </w:p>
        </w:tc>
        <w:tc>
          <w:tcPr>
            <w:tcW w:w="6480" w:type="dxa"/>
            <w:vAlign w:val="bottom"/>
          </w:tcPr>
          <w:p>
            <w:pPr>
              <w:ind w:left="3040"/>
              <w:spacing w:after="0"/>
              <w:rPr>
                <w:sz w:val="20"/>
                <w:szCs w:val="20"/>
                <w:color w:val="auto"/>
              </w:rPr>
            </w:pPr>
            <w:r>
              <w:rPr>
                <w:rFonts w:ascii="Arial" w:cs="Arial" w:eastAsia="Arial" w:hAnsi="Arial"/>
                <w:sz w:val="18"/>
                <w:szCs w:val="18"/>
                <w:color w:val="auto"/>
              </w:rPr>
              <w:t>Poland</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Experis Lda.</w:t>
            </w:r>
          </w:p>
        </w:tc>
        <w:tc>
          <w:tcPr>
            <w:tcW w:w="6480" w:type="dxa"/>
            <w:vAlign w:val="bottom"/>
          </w:tcPr>
          <w:p>
            <w:pPr>
              <w:ind w:left="3040"/>
              <w:spacing w:after="0"/>
              <w:rPr>
                <w:sz w:val="20"/>
                <w:szCs w:val="20"/>
                <w:color w:val="auto"/>
              </w:rPr>
            </w:pPr>
            <w:r>
              <w:rPr>
                <w:rFonts w:ascii="Arial" w:cs="Arial" w:eastAsia="Arial" w:hAnsi="Arial"/>
                <w:sz w:val="18"/>
                <w:szCs w:val="18"/>
                <w:color w:val="auto"/>
              </w:rPr>
              <w:t>Portugal</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Portugal Empresa de Trabalho Temporario S.A.</w:t>
            </w:r>
          </w:p>
        </w:tc>
        <w:tc>
          <w:tcPr>
            <w:tcW w:w="6480" w:type="dxa"/>
            <w:vAlign w:val="bottom"/>
          </w:tcPr>
          <w:p>
            <w:pPr>
              <w:ind w:left="3040"/>
              <w:spacing w:after="0"/>
              <w:rPr>
                <w:sz w:val="20"/>
                <w:szCs w:val="20"/>
                <w:color w:val="auto"/>
              </w:rPr>
            </w:pPr>
            <w:r>
              <w:rPr>
                <w:rFonts w:ascii="Arial" w:cs="Arial" w:eastAsia="Arial" w:hAnsi="Arial"/>
                <w:sz w:val="18"/>
                <w:szCs w:val="18"/>
                <w:color w:val="auto"/>
              </w:rPr>
              <w:t>Portugal</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Portugal - SGPS, S.A.</w:t>
            </w:r>
          </w:p>
        </w:tc>
        <w:tc>
          <w:tcPr>
            <w:tcW w:w="6480" w:type="dxa"/>
            <w:vAlign w:val="bottom"/>
          </w:tcPr>
          <w:p>
            <w:pPr>
              <w:ind w:left="3040"/>
              <w:spacing w:after="0"/>
              <w:rPr>
                <w:sz w:val="20"/>
                <w:szCs w:val="20"/>
                <w:color w:val="auto"/>
              </w:rPr>
            </w:pPr>
            <w:r>
              <w:rPr>
                <w:rFonts w:ascii="Arial" w:cs="Arial" w:eastAsia="Arial" w:hAnsi="Arial"/>
                <w:sz w:val="18"/>
                <w:szCs w:val="18"/>
                <w:color w:val="auto"/>
              </w:rPr>
              <w:t>Portugal</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Solutions Lda.</w:t>
            </w:r>
          </w:p>
        </w:tc>
        <w:tc>
          <w:tcPr>
            <w:tcW w:w="6480" w:type="dxa"/>
            <w:vAlign w:val="bottom"/>
          </w:tcPr>
          <w:p>
            <w:pPr>
              <w:ind w:left="3040"/>
              <w:spacing w:after="0"/>
              <w:rPr>
                <w:sz w:val="20"/>
                <w:szCs w:val="20"/>
                <w:color w:val="auto"/>
              </w:rPr>
            </w:pPr>
            <w:r>
              <w:rPr>
                <w:rFonts w:ascii="Arial" w:cs="Arial" w:eastAsia="Arial" w:hAnsi="Arial"/>
                <w:sz w:val="18"/>
                <w:szCs w:val="18"/>
                <w:color w:val="auto"/>
              </w:rPr>
              <w:t>Portugal</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HR SRL</w:t>
            </w:r>
          </w:p>
        </w:tc>
        <w:tc>
          <w:tcPr>
            <w:tcW w:w="6480" w:type="dxa"/>
            <w:vAlign w:val="bottom"/>
          </w:tcPr>
          <w:p>
            <w:pPr>
              <w:ind w:left="3040"/>
              <w:spacing w:after="0"/>
              <w:rPr>
                <w:sz w:val="20"/>
                <w:szCs w:val="20"/>
                <w:color w:val="auto"/>
              </w:rPr>
            </w:pPr>
            <w:r>
              <w:rPr>
                <w:rFonts w:ascii="Arial" w:cs="Arial" w:eastAsia="Arial" w:hAnsi="Arial"/>
                <w:sz w:val="18"/>
                <w:szCs w:val="18"/>
                <w:color w:val="auto"/>
              </w:rPr>
              <w:t>Romania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SC Manpower Romania SRL</w:t>
            </w:r>
          </w:p>
        </w:tc>
        <w:tc>
          <w:tcPr>
            <w:tcW w:w="6480" w:type="dxa"/>
            <w:vAlign w:val="bottom"/>
          </w:tcPr>
          <w:p>
            <w:pPr>
              <w:ind w:left="3040"/>
              <w:spacing w:after="0"/>
              <w:rPr>
                <w:sz w:val="20"/>
                <w:szCs w:val="20"/>
                <w:color w:val="auto"/>
              </w:rPr>
            </w:pPr>
            <w:r>
              <w:rPr>
                <w:rFonts w:ascii="Arial" w:cs="Arial" w:eastAsia="Arial" w:hAnsi="Arial"/>
                <w:sz w:val="18"/>
                <w:szCs w:val="18"/>
                <w:color w:val="auto"/>
              </w:rPr>
              <w:t>Romania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IT LLC</w:t>
            </w:r>
          </w:p>
        </w:tc>
        <w:tc>
          <w:tcPr>
            <w:tcW w:w="6480" w:type="dxa"/>
            <w:vAlign w:val="bottom"/>
          </w:tcPr>
          <w:p>
            <w:pPr>
              <w:ind w:left="3040"/>
              <w:spacing w:after="0"/>
              <w:rPr>
                <w:sz w:val="20"/>
                <w:szCs w:val="20"/>
                <w:color w:val="auto"/>
              </w:rPr>
            </w:pPr>
            <w:r>
              <w:rPr>
                <w:rFonts w:ascii="Arial" w:cs="Arial" w:eastAsia="Arial" w:hAnsi="Arial"/>
                <w:sz w:val="18"/>
                <w:szCs w:val="18"/>
                <w:color w:val="auto"/>
              </w:rPr>
              <w:t>Russia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LLC</w:t>
            </w:r>
          </w:p>
        </w:tc>
        <w:tc>
          <w:tcPr>
            <w:tcW w:w="6480" w:type="dxa"/>
            <w:vAlign w:val="bottom"/>
          </w:tcPr>
          <w:p>
            <w:pPr>
              <w:ind w:left="3040"/>
              <w:spacing w:after="0"/>
              <w:rPr>
                <w:sz w:val="20"/>
                <w:szCs w:val="20"/>
                <w:color w:val="auto"/>
              </w:rPr>
            </w:pPr>
            <w:r>
              <w:rPr>
                <w:rFonts w:ascii="Arial" w:cs="Arial" w:eastAsia="Arial" w:hAnsi="Arial"/>
                <w:sz w:val="18"/>
                <w:szCs w:val="18"/>
                <w:color w:val="auto"/>
              </w:rPr>
              <w:t>Russia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Private Employment Agency Manpower, LLC</w:t>
            </w:r>
          </w:p>
        </w:tc>
        <w:tc>
          <w:tcPr>
            <w:tcW w:w="6480" w:type="dxa"/>
            <w:vAlign w:val="bottom"/>
          </w:tcPr>
          <w:p>
            <w:pPr>
              <w:ind w:left="3040"/>
              <w:spacing w:after="0"/>
              <w:rPr>
                <w:sz w:val="20"/>
                <w:szCs w:val="20"/>
                <w:color w:val="auto"/>
              </w:rPr>
            </w:pPr>
            <w:r>
              <w:rPr>
                <w:rFonts w:ascii="Arial" w:cs="Arial" w:eastAsia="Arial" w:hAnsi="Arial"/>
                <w:sz w:val="18"/>
                <w:szCs w:val="18"/>
                <w:color w:val="auto"/>
              </w:rPr>
              <w:t>Russia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Training Center Manpower LLC</w:t>
            </w:r>
          </w:p>
        </w:tc>
        <w:tc>
          <w:tcPr>
            <w:tcW w:w="6480" w:type="dxa"/>
            <w:vAlign w:val="bottom"/>
          </w:tcPr>
          <w:p>
            <w:pPr>
              <w:ind w:left="3040"/>
              <w:spacing w:after="0"/>
              <w:rPr>
                <w:sz w:val="20"/>
                <w:szCs w:val="20"/>
                <w:color w:val="auto"/>
              </w:rPr>
            </w:pPr>
            <w:r>
              <w:rPr>
                <w:rFonts w:ascii="Arial" w:cs="Arial" w:eastAsia="Arial" w:hAnsi="Arial"/>
                <w:sz w:val="18"/>
                <w:szCs w:val="18"/>
                <w:color w:val="auto"/>
              </w:rPr>
              <w:t>Russia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Clarendon Parker Arabia</w:t>
            </w:r>
          </w:p>
        </w:tc>
        <w:tc>
          <w:tcPr>
            <w:tcW w:w="6480" w:type="dxa"/>
            <w:vAlign w:val="bottom"/>
          </w:tcPr>
          <w:p>
            <w:pPr>
              <w:ind w:left="3040"/>
              <w:spacing w:after="0"/>
              <w:rPr>
                <w:sz w:val="20"/>
                <w:szCs w:val="20"/>
                <w:color w:val="auto"/>
              </w:rPr>
            </w:pPr>
            <w:r>
              <w:rPr>
                <w:rFonts w:ascii="Arial" w:cs="Arial" w:eastAsia="Arial" w:hAnsi="Arial"/>
                <w:sz w:val="18"/>
                <w:szCs w:val="18"/>
                <w:color w:val="auto"/>
              </w:rPr>
              <w:t>Saudi Arabia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Business Solutions d.o.o.</w:t>
            </w:r>
          </w:p>
        </w:tc>
        <w:tc>
          <w:tcPr>
            <w:tcW w:w="6480" w:type="dxa"/>
            <w:vAlign w:val="bottom"/>
          </w:tcPr>
          <w:p>
            <w:pPr>
              <w:ind w:left="3040"/>
              <w:spacing w:after="0"/>
              <w:rPr>
                <w:sz w:val="20"/>
                <w:szCs w:val="20"/>
                <w:color w:val="auto"/>
              </w:rPr>
            </w:pPr>
            <w:r>
              <w:rPr>
                <w:rFonts w:ascii="Arial" w:cs="Arial" w:eastAsia="Arial" w:hAnsi="Arial"/>
                <w:sz w:val="18"/>
                <w:szCs w:val="18"/>
                <w:color w:val="auto"/>
              </w:rPr>
              <w:t>Serbia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LLC Belgrade</w:t>
            </w:r>
          </w:p>
        </w:tc>
        <w:tc>
          <w:tcPr>
            <w:tcW w:w="6480" w:type="dxa"/>
            <w:vAlign w:val="bottom"/>
          </w:tcPr>
          <w:p>
            <w:pPr>
              <w:ind w:left="3040"/>
              <w:spacing w:after="0"/>
              <w:rPr>
                <w:sz w:val="20"/>
                <w:szCs w:val="20"/>
                <w:color w:val="auto"/>
              </w:rPr>
            </w:pPr>
            <w:r>
              <w:rPr>
                <w:rFonts w:ascii="Arial" w:cs="Arial" w:eastAsia="Arial" w:hAnsi="Arial"/>
                <w:sz w:val="18"/>
                <w:szCs w:val="18"/>
                <w:color w:val="auto"/>
              </w:rPr>
              <w:t>Serbia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Experis Technology Solutions Pte. Ltd.</w:t>
            </w:r>
          </w:p>
        </w:tc>
        <w:tc>
          <w:tcPr>
            <w:tcW w:w="6480" w:type="dxa"/>
            <w:vAlign w:val="bottom"/>
          </w:tcPr>
          <w:p>
            <w:pPr>
              <w:ind w:left="3040"/>
              <w:spacing w:after="0"/>
              <w:rPr>
                <w:sz w:val="20"/>
                <w:szCs w:val="20"/>
                <w:color w:val="auto"/>
              </w:rPr>
            </w:pPr>
            <w:r>
              <w:rPr>
                <w:rFonts w:ascii="Arial" w:cs="Arial" w:eastAsia="Arial" w:hAnsi="Arial"/>
                <w:sz w:val="18"/>
                <w:szCs w:val="18"/>
                <w:color w:val="auto"/>
              </w:rPr>
              <w:t>Singapore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Professional Singapore Pte Ltd</w:t>
            </w:r>
          </w:p>
        </w:tc>
        <w:tc>
          <w:tcPr>
            <w:tcW w:w="6480" w:type="dxa"/>
            <w:vAlign w:val="bottom"/>
          </w:tcPr>
          <w:p>
            <w:pPr>
              <w:ind w:left="3040"/>
              <w:spacing w:after="0"/>
              <w:rPr>
                <w:sz w:val="20"/>
                <w:szCs w:val="20"/>
                <w:color w:val="auto"/>
              </w:rPr>
            </w:pPr>
            <w:r>
              <w:rPr>
                <w:rFonts w:ascii="Arial" w:cs="Arial" w:eastAsia="Arial" w:hAnsi="Arial"/>
                <w:sz w:val="18"/>
                <w:szCs w:val="18"/>
                <w:color w:val="auto"/>
              </w:rPr>
              <w:t>Singapore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 Staffing Services (Singapore) Pte. Ltd.</w:t>
            </w:r>
          </w:p>
        </w:tc>
        <w:tc>
          <w:tcPr>
            <w:tcW w:w="6480" w:type="dxa"/>
            <w:vAlign w:val="bottom"/>
          </w:tcPr>
          <w:p>
            <w:pPr>
              <w:ind w:left="3040"/>
              <w:spacing w:after="0"/>
              <w:rPr>
                <w:sz w:val="20"/>
                <w:szCs w:val="20"/>
                <w:color w:val="auto"/>
              </w:rPr>
            </w:pPr>
            <w:r>
              <w:rPr>
                <w:rFonts w:ascii="Arial" w:cs="Arial" w:eastAsia="Arial" w:hAnsi="Arial"/>
                <w:sz w:val="18"/>
                <w:szCs w:val="18"/>
                <w:color w:val="auto"/>
              </w:rPr>
              <w:t>Singapore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Marks Sattin (Singapore) Pte. Limited</w:t>
            </w:r>
          </w:p>
        </w:tc>
        <w:tc>
          <w:tcPr>
            <w:tcW w:w="6480" w:type="dxa"/>
            <w:vAlign w:val="bottom"/>
          </w:tcPr>
          <w:p>
            <w:pPr>
              <w:ind w:left="3040"/>
              <w:spacing w:after="0"/>
              <w:rPr>
                <w:sz w:val="20"/>
                <w:szCs w:val="20"/>
                <w:color w:val="auto"/>
              </w:rPr>
            </w:pPr>
            <w:r>
              <w:rPr>
                <w:rFonts w:ascii="Arial" w:cs="Arial" w:eastAsia="Arial" w:hAnsi="Arial"/>
                <w:sz w:val="18"/>
                <w:szCs w:val="18"/>
                <w:color w:val="auto"/>
              </w:rPr>
              <w:t>Singapore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Right Management Singapore Pte. Ltd.</w:t>
            </w:r>
          </w:p>
        </w:tc>
        <w:tc>
          <w:tcPr>
            <w:tcW w:w="6480" w:type="dxa"/>
            <w:vAlign w:val="bottom"/>
          </w:tcPr>
          <w:p>
            <w:pPr>
              <w:ind w:left="3040"/>
              <w:spacing w:after="0"/>
              <w:rPr>
                <w:sz w:val="20"/>
                <w:szCs w:val="20"/>
                <w:color w:val="auto"/>
              </w:rPr>
            </w:pPr>
            <w:r>
              <w:rPr>
                <w:rFonts w:ascii="Arial" w:cs="Arial" w:eastAsia="Arial" w:hAnsi="Arial"/>
                <w:sz w:val="18"/>
                <w:szCs w:val="18"/>
                <w:color w:val="auto"/>
              </w:rPr>
              <w:t>Singapore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WDC Consulting Singapore Pte. Ltd.</w:t>
            </w:r>
          </w:p>
        </w:tc>
        <w:tc>
          <w:tcPr>
            <w:tcW w:w="6480" w:type="dxa"/>
            <w:vAlign w:val="bottom"/>
          </w:tcPr>
          <w:p>
            <w:pPr>
              <w:ind w:left="3040"/>
              <w:spacing w:after="0"/>
              <w:rPr>
                <w:sz w:val="20"/>
                <w:szCs w:val="20"/>
                <w:color w:val="auto"/>
              </w:rPr>
            </w:pPr>
            <w:r>
              <w:rPr>
                <w:rFonts w:ascii="Arial" w:cs="Arial" w:eastAsia="Arial" w:hAnsi="Arial"/>
                <w:sz w:val="18"/>
                <w:szCs w:val="18"/>
                <w:color w:val="auto"/>
              </w:rPr>
              <w:t>Singapore</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Slovensko s.r.o.</w:t>
            </w:r>
          </w:p>
        </w:tc>
        <w:tc>
          <w:tcPr>
            <w:tcW w:w="6480" w:type="dxa"/>
            <w:vAlign w:val="bottom"/>
          </w:tcPr>
          <w:p>
            <w:pPr>
              <w:ind w:left="3040"/>
              <w:spacing w:after="0"/>
              <w:rPr>
                <w:sz w:val="20"/>
                <w:szCs w:val="20"/>
                <w:color w:val="auto"/>
              </w:rPr>
            </w:pPr>
            <w:r>
              <w:rPr>
                <w:rFonts w:ascii="Arial" w:cs="Arial" w:eastAsia="Arial" w:hAnsi="Arial"/>
                <w:sz w:val="18"/>
                <w:szCs w:val="18"/>
                <w:color w:val="auto"/>
              </w:rPr>
              <w:t>Slovakia</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ManpowerGroup Solutions s.r.o.</w:t>
            </w:r>
          </w:p>
        </w:tc>
        <w:tc>
          <w:tcPr>
            <w:tcW w:w="6480" w:type="dxa"/>
            <w:vAlign w:val="bottom"/>
          </w:tcPr>
          <w:p>
            <w:pPr>
              <w:ind w:left="3040"/>
              <w:spacing w:after="0"/>
              <w:rPr>
                <w:sz w:val="20"/>
                <w:szCs w:val="20"/>
                <w:color w:val="auto"/>
              </w:rPr>
            </w:pPr>
            <w:r>
              <w:rPr>
                <w:rFonts w:ascii="Arial" w:cs="Arial" w:eastAsia="Arial" w:hAnsi="Arial"/>
                <w:sz w:val="18"/>
                <w:szCs w:val="18"/>
                <w:color w:val="auto"/>
              </w:rPr>
              <w:t>Slovakia</w:t>
            </w:r>
          </w:p>
        </w:tc>
      </w:tr>
      <w:tr>
        <w:trPr>
          <w:trHeight w:val="432"/>
        </w:trPr>
        <w:tc>
          <w:tcPr>
            <w:tcW w:w="4960" w:type="dxa"/>
            <w:vAlign w:val="bottom"/>
          </w:tcPr>
          <w:p>
            <w:pPr>
              <w:spacing w:after="0"/>
              <w:rPr>
                <w:sz w:val="24"/>
                <w:szCs w:val="24"/>
                <w:color w:val="auto"/>
              </w:rPr>
            </w:pPr>
          </w:p>
        </w:tc>
        <w:tc>
          <w:tcPr>
            <w:tcW w:w="6480" w:type="dxa"/>
            <w:vAlign w:val="bottom"/>
          </w:tcPr>
          <w:p>
            <w:pPr>
              <w:ind w:left="700"/>
              <w:spacing w:after="0"/>
              <w:rPr>
                <w:sz w:val="20"/>
                <w:szCs w:val="20"/>
                <w:color w:val="auto"/>
              </w:rPr>
            </w:pPr>
            <w:r>
              <w:rPr>
                <w:rFonts w:ascii="Arial" w:cs="Arial" w:eastAsia="Arial" w:hAnsi="Arial"/>
                <w:sz w:val="18"/>
                <w:szCs w:val="18"/>
                <w:color w:val="auto"/>
              </w:rPr>
              <w:t>5</w:t>
            </w:r>
          </w:p>
        </w:tc>
      </w:tr>
      <w:tr>
        <w:trPr>
          <w:trHeight w:val="115"/>
        </w:trPr>
        <w:tc>
          <w:tcPr>
            <w:tcW w:w="4960" w:type="dxa"/>
            <w:vAlign w:val="bottom"/>
            <w:tcBorders>
              <w:bottom w:val="single" w:sz="8" w:color="9A9A9A"/>
            </w:tcBorders>
          </w:tcPr>
          <w:p>
            <w:pPr>
              <w:spacing w:after="0"/>
              <w:rPr>
                <w:sz w:val="10"/>
                <w:szCs w:val="10"/>
                <w:color w:val="auto"/>
              </w:rPr>
            </w:pPr>
          </w:p>
        </w:tc>
        <w:tc>
          <w:tcPr>
            <w:tcW w:w="6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d.o.o.</w:t>
            </w:r>
          </w:p>
        </w:tc>
        <w:tc>
          <w:tcPr>
            <w:tcW w:w="6400" w:type="dxa"/>
            <w:vAlign w:val="bottom"/>
          </w:tcPr>
          <w:p>
            <w:pPr>
              <w:ind w:left="2960"/>
              <w:spacing w:after="0"/>
              <w:rPr>
                <w:sz w:val="20"/>
                <w:szCs w:val="20"/>
                <w:color w:val="auto"/>
              </w:rPr>
            </w:pPr>
            <w:r>
              <w:rPr>
                <w:rFonts w:ascii="Arial" w:cs="Arial" w:eastAsia="Arial" w:hAnsi="Arial"/>
                <w:sz w:val="18"/>
                <w:szCs w:val="18"/>
                <w:color w:val="auto"/>
              </w:rPr>
              <w:t>Slovenia</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SA (Pty) Ltd.</w:t>
            </w:r>
          </w:p>
        </w:tc>
        <w:tc>
          <w:tcPr>
            <w:tcW w:w="6400" w:type="dxa"/>
            <w:vAlign w:val="bottom"/>
          </w:tcPr>
          <w:p>
            <w:pPr>
              <w:ind w:left="2960"/>
              <w:spacing w:after="0"/>
              <w:rPr>
                <w:sz w:val="20"/>
                <w:szCs w:val="20"/>
                <w:color w:val="auto"/>
              </w:rPr>
            </w:pPr>
            <w:r>
              <w:rPr>
                <w:rFonts w:ascii="Arial" w:cs="Arial" w:eastAsia="Arial" w:hAnsi="Arial"/>
                <w:sz w:val="18"/>
                <w:szCs w:val="18"/>
                <w:color w:val="auto"/>
              </w:rPr>
              <w:t>South Africa</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ManpowerGroup S.L.U.</w:t>
            </w:r>
          </w:p>
        </w:tc>
        <w:tc>
          <w:tcPr>
            <w:tcW w:w="640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Innovative Talent Solutions S.L.U.</w:t>
            </w:r>
          </w:p>
        </w:tc>
        <w:tc>
          <w:tcPr>
            <w:tcW w:w="640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Solutions, S.L.U</w:t>
            </w:r>
          </w:p>
        </w:tc>
        <w:tc>
          <w:tcPr>
            <w:tcW w:w="640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Team E.T.T., S.A.U.</w:t>
            </w:r>
          </w:p>
        </w:tc>
        <w:tc>
          <w:tcPr>
            <w:tcW w:w="640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Right Management Spain, S.L.U.</w:t>
            </w:r>
          </w:p>
        </w:tc>
        <w:tc>
          <w:tcPr>
            <w:tcW w:w="640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Elan IT Resource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EL &amp; Tele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Solutions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Solutions IT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Matchning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Student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Right Management Sweden AB</w:t>
            </w:r>
          </w:p>
        </w:tc>
        <w:tc>
          <w:tcPr>
            <w:tcW w:w="640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Allegra Finanz AG</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AG</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M.S.A.</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Schweiz AG</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AG</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Holding AG</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HR Management S.A.</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Right Management Switzerland AG</w:t>
            </w:r>
          </w:p>
        </w:tc>
        <w:tc>
          <w:tcPr>
            <w:tcW w:w="640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Services (Taiwan) Co., Ltd.</w:t>
            </w:r>
          </w:p>
        </w:tc>
        <w:tc>
          <w:tcPr>
            <w:tcW w:w="6400" w:type="dxa"/>
            <w:vAlign w:val="bottom"/>
          </w:tcPr>
          <w:p>
            <w:pPr>
              <w:ind w:left="2960"/>
              <w:spacing w:after="0"/>
              <w:rPr>
                <w:sz w:val="20"/>
                <w:szCs w:val="20"/>
                <w:color w:val="auto"/>
              </w:rPr>
            </w:pPr>
            <w:r>
              <w:rPr>
                <w:rFonts w:ascii="Arial" w:cs="Arial" w:eastAsia="Arial" w:hAnsi="Arial"/>
                <w:sz w:val="18"/>
                <w:szCs w:val="18"/>
                <w:color w:val="auto"/>
              </w:rPr>
              <w:t>Taiwan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Right Management Consulting Taiwan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Taiwan</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HR Power Solution Co., Ltd.</w:t>
            </w:r>
          </w:p>
        </w:tc>
        <w:tc>
          <w:tcPr>
            <w:tcW w:w="6400" w:type="dxa"/>
            <w:vAlign w:val="bottom"/>
          </w:tcPr>
          <w:p>
            <w:pPr>
              <w:ind w:left="2960"/>
              <w:spacing w:after="0"/>
              <w:rPr>
                <w:sz w:val="20"/>
                <w:szCs w:val="20"/>
                <w:color w:val="auto"/>
              </w:rPr>
            </w:pPr>
            <w:r>
              <w:rPr>
                <w:rFonts w:ascii="Arial" w:cs="Arial" w:eastAsia="Arial" w:hAnsi="Arial"/>
                <w:sz w:val="18"/>
                <w:szCs w:val="18"/>
                <w:color w:val="auto"/>
              </w:rPr>
              <w:t>Thailand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Professional and Executive Recruitment Co., Ltd.</w:t>
            </w:r>
          </w:p>
        </w:tc>
        <w:tc>
          <w:tcPr>
            <w:tcW w:w="6400" w:type="dxa"/>
            <w:vAlign w:val="bottom"/>
          </w:tcPr>
          <w:p>
            <w:pPr>
              <w:ind w:left="2960"/>
              <w:spacing w:after="0"/>
              <w:rPr>
                <w:sz w:val="20"/>
                <w:szCs w:val="20"/>
                <w:color w:val="auto"/>
              </w:rPr>
            </w:pPr>
            <w:r>
              <w:rPr>
                <w:rFonts w:ascii="Arial" w:cs="Arial" w:eastAsia="Arial" w:hAnsi="Arial"/>
                <w:sz w:val="18"/>
                <w:szCs w:val="18"/>
                <w:color w:val="auto"/>
              </w:rPr>
              <w:t>Thailand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Skillpower Services (Thailand) Co. Ltd.</w:t>
            </w:r>
          </w:p>
        </w:tc>
        <w:tc>
          <w:tcPr>
            <w:tcW w:w="6400" w:type="dxa"/>
            <w:vAlign w:val="bottom"/>
          </w:tcPr>
          <w:p>
            <w:pPr>
              <w:ind w:left="2960"/>
              <w:spacing w:after="0"/>
              <w:rPr>
                <w:sz w:val="20"/>
                <w:szCs w:val="20"/>
                <w:color w:val="auto"/>
              </w:rPr>
            </w:pPr>
            <w:r>
              <w:rPr>
                <w:rFonts w:ascii="Arial" w:cs="Arial" w:eastAsia="Arial" w:hAnsi="Arial"/>
                <w:sz w:val="18"/>
                <w:szCs w:val="18"/>
                <w:color w:val="auto"/>
              </w:rPr>
              <w:t>Thailand</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Business Services Tunisie Sarl</w:t>
            </w:r>
          </w:p>
        </w:tc>
        <w:tc>
          <w:tcPr>
            <w:tcW w:w="6400" w:type="dxa"/>
            <w:vAlign w:val="bottom"/>
          </w:tcPr>
          <w:p>
            <w:pPr>
              <w:ind w:left="2960"/>
              <w:spacing w:after="0"/>
              <w:rPr>
                <w:sz w:val="20"/>
                <w:szCs w:val="20"/>
                <w:color w:val="auto"/>
              </w:rPr>
            </w:pPr>
            <w:r>
              <w:rPr>
                <w:rFonts w:ascii="Arial" w:cs="Arial" w:eastAsia="Arial" w:hAnsi="Arial"/>
                <w:sz w:val="18"/>
                <w:szCs w:val="18"/>
                <w:color w:val="auto"/>
              </w:rPr>
              <w:t>Tunisia</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Tunisie International Sarl</w:t>
            </w:r>
          </w:p>
        </w:tc>
        <w:tc>
          <w:tcPr>
            <w:tcW w:w="6400" w:type="dxa"/>
            <w:vAlign w:val="bottom"/>
          </w:tcPr>
          <w:p>
            <w:pPr>
              <w:ind w:left="2960"/>
              <w:spacing w:after="0"/>
              <w:rPr>
                <w:sz w:val="20"/>
                <w:szCs w:val="20"/>
                <w:color w:val="auto"/>
              </w:rPr>
            </w:pPr>
            <w:r>
              <w:rPr>
                <w:rFonts w:ascii="Arial" w:cs="Arial" w:eastAsia="Arial" w:hAnsi="Arial"/>
                <w:sz w:val="18"/>
                <w:szCs w:val="18"/>
                <w:color w:val="auto"/>
              </w:rPr>
              <w:t>Tunisia</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Tunisie Sarl</w:t>
            </w:r>
          </w:p>
        </w:tc>
        <w:tc>
          <w:tcPr>
            <w:tcW w:w="6400" w:type="dxa"/>
            <w:vAlign w:val="bottom"/>
          </w:tcPr>
          <w:p>
            <w:pPr>
              <w:ind w:left="2960"/>
              <w:spacing w:after="0"/>
              <w:rPr>
                <w:sz w:val="20"/>
                <w:szCs w:val="20"/>
                <w:color w:val="auto"/>
              </w:rPr>
            </w:pPr>
            <w:r>
              <w:rPr>
                <w:rFonts w:ascii="Arial" w:cs="Arial" w:eastAsia="Arial" w:hAnsi="Arial"/>
                <w:sz w:val="18"/>
                <w:szCs w:val="18"/>
                <w:color w:val="auto"/>
              </w:rPr>
              <w:t>Tunisia</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Insan Kaynaklari Limited Sirketi</w:t>
            </w:r>
          </w:p>
        </w:tc>
        <w:tc>
          <w:tcPr>
            <w:tcW w:w="6400" w:type="dxa"/>
            <w:vAlign w:val="bottom"/>
          </w:tcPr>
          <w:p>
            <w:pPr>
              <w:ind w:left="2960"/>
              <w:spacing w:after="0"/>
              <w:rPr>
                <w:sz w:val="20"/>
                <w:szCs w:val="20"/>
                <w:color w:val="auto"/>
              </w:rPr>
            </w:pPr>
            <w:r>
              <w:rPr>
                <w:rFonts w:ascii="Arial" w:cs="Arial" w:eastAsia="Arial" w:hAnsi="Arial"/>
                <w:sz w:val="18"/>
                <w:szCs w:val="18"/>
                <w:color w:val="auto"/>
              </w:rPr>
              <w:t>Turkey</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Secme ve Yerlestirme Hizmetleri Limited Sirketi</w:t>
            </w:r>
          </w:p>
        </w:tc>
        <w:tc>
          <w:tcPr>
            <w:tcW w:w="6400" w:type="dxa"/>
            <w:vAlign w:val="bottom"/>
          </w:tcPr>
          <w:p>
            <w:pPr>
              <w:ind w:left="2960"/>
              <w:spacing w:after="0"/>
              <w:rPr>
                <w:sz w:val="20"/>
                <w:szCs w:val="20"/>
                <w:color w:val="auto"/>
              </w:rPr>
            </w:pPr>
            <w:r>
              <w:rPr>
                <w:rFonts w:ascii="Arial" w:cs="Arial" w:eastAsia="Arial" w:hAnsi="Arial"/>
                <w:sz w:val="18"/>
                <w:szCs w:val="18"/>
                <w:color w:val="auto"/>
              </w:rPr>
              <w:t>Turkey</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Middle East FZ-LLC</w:t>
            </w:r>
          </w:p>
        </w:tc>
        <w:tc>
          <w:tcPr>
            <w:tcW w:w="6400" w:type="dxa"/>
            <w:vAlign w:val="bottom"/>
          </w:tcPr>
          <w:p>
            <w:pPr>
              <w:ind w:left="2960"/>
              <w:spacing w:after="0"/>
              <w:rPr>
                <w:sz w:val="20"/>
                <w:szCs w:val="20"/>
                <w:color w:val="auto"/>
              </w:rPr>
            </w:pPr>
            <w:r>
              <w:rPr>
                <w:rFonts w:ascii="Arial" w:cs="Arial" w:eastAsia="Arial" w:hAnsi="Arial"/>
                <w:sz w:val="18"/>
                <w:szCs w:val="18"/>
                <w:color w:val="auto"/>
              </w:rPr>
              <w:t>UAE</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Middle East Ltd</w:t>
            </w:r>
          </w:p>
        </w:tc>
        <w:tc>
          <w:tcPr>
            <w:tcW w:w="6400" w:type="dxa"/>
            <w:vAlign w:val="bottom"/>
          </w:tcPr>
          <w:p>
            <w:pPr>
              <w:ind w:left="2960"/>
              <w:spacing w:after="0"/>
              <w:rPr>
                <w:sz w:val="20"/>
                <w:szCs w:val="20"/>
                <w:color w:val="auto"/>
              </w:rPr>
            </w:pPr>
            <w:r>
              <w:rPr>
                <w:rFonts w:ascii="Arial" w:cs="Arial" w:eastAsia="Arial" w:hAnsi="Arial"/>
                <w:sz w:val="18"/>
                <w:szCs w:val="18"/>
                <w:color w:val="auto"/>
              </w:rPr>
              <w:t>UAE</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Ukraine LLC</w:t>
            </w:r>
          </w:p>
        </w:tc>
        <w:tc>
          <w:tcPr>
            <w:tcW w:w="6400" w:type="dxa"/>
            <w:vAlign w:val="bottom"/>
          </w:tcPr>
          <w:p>
            <w:pPr>
              <w:ind w:left="2960"/>
              <w:spacing w:after="0"/>
              <w:rPr>
                <w:sz w:val="20"/>
                <w:szCs w:val="20"/>
                <w:color w:val="auto"/>
              </w:rPr>
            </w:pPr>
            <w:r>
              <w:rPr>
                <w:rFonts w:ascii="Arial" w:cs="Arial" w:eastAsia="Arial" w:hAnsi="Arial"/>
                <w:sz w:val="18"/>
                <w:szCs w:val="18"/>
                <w:color w:val="auto"/>
              </w:rPr>
              <w:t>Ukraine</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Representative Office of Manpower CIS LLC in Ukraine</w:t>
            </w:r>
          </w:p>
        </w:tc>
        <w:tc>
          <w:tcPr>
            <w:tcW w:w="6400" w:type="dxa"/>
            <w:vAlign w:val="bottom"/>
          </w:tcPr>
          <w:p>
            <w:pPr>
              <w:ind w:left="2960"/>
              <w:spacing w:after="0"/>
              <w:rPr>
                <w:sz w:val="20"/>
                <w:szCs w:val="20"/>
                <w:color w:val="auto"/>
              </w:rPr>
            </w:pPr>
            <w:r>
              <w:rPr>
                <w:rFonts w:ascii="Arial" w:cs="Arial" w:eastAsia="Arial" w:hAnsi="Arial"/>
                <w:sz w:val="18"/>
                <w:szCs w:val="18"/>
                <w:color w:val="auto"/>
              </w:rPr>
              <w:t>Ukraine</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AviationPower UK Ltd.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Bafin Holdings</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Brook Street (UK)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Brook Street Bureau PLC</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BS Project Services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Challoners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Comsys VMS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Finance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Group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Experis Resource Support Services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Integral Search &amp; Selection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Jefferson Wells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Juice Resource Solutions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Contract Services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ManpowerGroup Digital Holdings Ltd.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Holdings (UK)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IT Services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Manpower Nominees Limited</w:t>
            </w:r>
          </w:p>
        </w:tc>
        <w:tc>
          <w:tcPr>
            <w:tcW w:w="6400" w:type="dxa"/>
            <w:vAlign w:val="bottom"/>
          </w:tcPr>
          <w:p>
            <w:pPr>
              <w:ind w:left="2960"/>
              <w:spacing w:after="0"/>
              <w:rPr>
                <w:sz w:val="20"/>
                <w:szCs w:val="20"/>
                <w:color w:val="auto"/>
              </w:rPr>
            </w:pPr>
            <w:r>
              <w:rPr>
                <w:rFonts w:ascii="Arial" w:cs="Arial" w:eastAsia="Arial" w:hAnsi="Arial"/>
                <w:sz w:val="18"/>
                <w:szCs w:val="18"/>
                <w:color w:val="auto"/>
              </w:rPr>
              <w:t>United Kingdom</w:t>
            </w:r>
          </w:p>
        </w:tc>
      </w:tr>
      <w:tr>
        <w:trPr>
          <w:trHeight w:val="432"/>
        </w:trPr>
        <w:tc>
          <w:tcPr>
            <w:tcW w:w="5040" w:type="dxa"/>
            <w:vAlign w:val="bottom"/>
          </w:tcPr>
          <w:p>
            <w:pPr>
              <w:spacing w:after="0"/>
              <w:rPr>
                <w:sz w:val="24"/>
                <w:szCs w:val="24"/>
                <w:color w:val="auto"/>
              </w:rPr>
            </w:pPr>
          </w:p>
        </w:tc>
        <w:tc>
          <w:tcPr>
            <w:tcW w:w="6400" w:type="dxa"/>
            <w:vAlign w:val="bottom"/>
          </w:tcPr>
          <w:p>
            <w:pPr>
              <w:ind w:left="620"/>
              <w:spacing w:after="0"/>
              <w:rPr>
                <w:sz w:val="20"/>
                <w:szCs w:val="20"/>
                <w:color w:val="auto"/>
              </w:rPr>
            </w:pPr>
            <w:r>
              <w:rPr>
                <w:rFonts w:ascii="Arial" w:cs="Arial" w:eastAsia="Arial" w:hAnsi="Arial"/>
                <w:sz w:val="18"/>
                <w:szCs w:val="18"/>
                <w:color w:val="auto"/>
              </w:rPr>
              <w:t>6</w:t>
            </w:r>
          </w:p>
        </w:tc>
      </w:tr>
      <w:tr>
        <w:trPr>
          <w:trHeight w:val="115"/>
        </w:trPr>
        <w:tc>
          <w:tcPr>
            <w:tcW w:w="504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ManpowerGroup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Scotland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(Scot)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Nicholas Andrews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People Source Consulting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People Source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RMC EMEA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SJB Corporate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SJB Services UK Limited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Temp Finance &amp; Accounting Service Limited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Volaris Exec Recruitment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Recruitment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Aris Sociedad Anonima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Public Sector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de Venezuela 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Manpower Empresa de Trabajo Temporal, 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Servicios Alleray,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Vietnam Company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Experis 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Graphics of Milwaukee,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Global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00" w:lineRule="exact"/>
        <w:rPr>
          <w:sz w:val="20"/>
          <w:szCs w:val="20"/>
          <w:color w:val="auto"/>
        </w:rPr>
      </w:pPr>
    </w:p>
    <w:p>
      <w:pPr>
        <w:sectPr>
          <w:pgSz w:w="11900" w:h="16838" w:orient="portrait"/>
          <w:cols w:equalWidth="0" w:num="2">
            <w:col w:w="7280" w:space="720"/>
            <w:col w:w="2219"/>
          </w:cols>
          <w:pgMar w:left="240" w:top="368"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19"/>
          </w:cols>
          <w:pgMar w:left="240" w:top="368" w:right="1440"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33-40441, 333-1040, 333-105205, 333-126703, 333-135000, 333-161765, 333-174305, and 333-195833 on Form S-8 and Registration Nos. 333-650 and 33-95896 on Form S-4 of our reports dated February 21, 2020,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29" w:lineRule="exact"/>
        <w:rPr>
          <w:sz w:val="20"/>
          <w:szCs w:val="20"/>
          <w:color w:val="auto"/>
        </w:rPr>
      </w:pPr>
    </w:p>
    <w:p>
      <w:pPr>
        <w:ind w:right="140" w:firstLine="911"/>
        <w:spacing w:after="0" w:line="290" w:lineRule="auto"/>
        <w:rPr>
          <w:sz w:val="20"/>
          <w:szCs w:val="20"/>
          <w:color w:val="auto"/>
        </w:rPr>
      </w:pPr>
      <w:r>
        <w:rPr>
          <w:rFonts w:ascii="Arial" w:cs="Arial" w:eastAsia="Arial" w:hAnsi="Arial"/>
          <w:sz w:val="16"/>
          <w:szCs w:val="16"/>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2019,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66" w:lineRule="exact"/>
        <w:rPr>
          <w:sz w:val="20"/>
          <w:szCs w:val="20"/>
          <w:color w:val="auto"/>
        </w:rPr>
      </w:pPr>
    </w:p>
    <w:p>
      <w:pPr>
        <w:ind w:right="600" w:firstLine="911"/>
        <w:spacing w:after="0" w:line="277"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21st day of February, 2020.</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Gina R. Boswell</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25298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Cari M. Dominguez</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25298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5298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William Downe</w:t>
      </w:r>
    </w:p>
    <w:p>
      <w:pPr>
        <w:spacing w:after="0" w:line="200" w:lineRule="exact"/>
        <w:rPr>
          <w:sz w:val="20"/>
          <w:szCs w:val="20"/>
          <w:color w:val="auto"/>
        </w:rPr>
      </w:pPr>
    </w:p>
    <w:p>
      <w:pPr>
        <w:spacing w:after="0" w:line="26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John F. Ferraro</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25298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Patricia A. Hemingway</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Patricia A. Hemingway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25298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Julie M. Howard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25298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546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5469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Paul Read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5469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Elizabeth P. Sartain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5469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 Michael J. Van Handel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5469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2">
            <w:col w:w="5540" w:space="720"/>
            <w:col w:w="5160"/>
          </w:cols>
          <w:pgMar w:left="240" w:top="121"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Chairman and Chief Executive Officer of ManpowerGroup Inc., certify that:</w:t>
      </w:r>
    </w:p>
    <w:p>
      <w:pPr>
        <w:spacing w:after="0" w:line="185" w:lineRule="exact"/>
        <w:rPr>
          <w:sz w:val="20"/>
          <w:szCs w:val="20"/>
          <w:color w:val="auto"/>
        </w:rPr>
      </w:pPr>
    </w:p>
    <w:p>
      <w:pPr>
        <w:ind w:left="960" w:hanging="45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84" w:lineRule="exact"/>
        <w:rPr>
          <w:rFonts w:ascii="Arial" w:cs="Arial" w:eastAsia="Arial" w:hAnsi="Arial"/>
          <w:sz w:val="18"/>
          <w:szCs w:val="18"/>
          <w:color w:val="auto"/>
        </w:rPr>
      </w:pPr>
    </w:p>
    <w:p>
      <w:pPr>
        <w:ind w:left="960" w:right="60" w:hanging="452"/>
        <w:spacing w:after="0" w:line="264"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960" w:right="220" w:hanging="452"/>
        <w:spacing w:after="0" w:line="308"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960" w:right="180" w:hanging="452"/>
        <w:spacing w:after="0" w:line="291" w:lineRule="auto"/>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2480" w:right="120" w:hanging="500"/>
        <w:spacing w:after="0" w:line="312" w:lineRule="auto"/>
        <w:tabs>
          <w:tab w:leader="none" w:pos="24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480" w:right="420" w:hanging="500"/>
        <w:spacing w:after="0" w:line="312" w:lineRule="auto"/>
        <w:tabs>
          <w:tab w:leader="none" w:pos="24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2480" w:right="280" w:hanging="500"/>
        <w:spacing w:after="0" w:line="264" w:lineRule="auto"/>
        <w:tabs>
          <w:tab w:leader="none" w:pos="2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2480" w:right="100" w:hanging="500"/>
        <w:spacing w:after="0" w:line="312" w:lineRule="auto"/>
        <w:tabs>
          <w:tab w:leader="none" w:pos="24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960" w:right="140" w:hanging="452"/>
        <w:spacing w:after="0" w:line="342" w:lineRule="auto"/>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2480" w:right="200" w:hanging="500"/>
        <w:spacing w:after="0" w:line="264" w:lineRule="auto"/>
        <w:tabs>
          <w:tab w:leader="none" w:pos="2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2480" w:right="580" w:hanging="500"/>
        <w:spacing w:after="0" w:line="277" w:lineRule="auto"/>
        <w:tabs>
          <w:tab w:leader="none" w:pos="2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85" w:lineRule="exact"/>
        <w:rPr>
          <w:sz w:val="20"/>
          <w:szCs w:val="20"/>
          <w:color w:val="auto"/>
        </w:rPr>
      </w:pPr>
    </w:p>
    <w:p>
      <w:pPr>
        <w:ind w:left="960" w:hanging="45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84" w:lineRule="exact"/>
        <w:rPr>
          <w:rFonts w:ascii="Arial" w:cs="Arial" w:eastAsia="Arial" w:hAnsi="Arial"/>
          <w:sz w:val="18"/>
          <w:szCs w:val="18"/>
          <w:color w:val="auto"/>
        </w:rPr>
      </w:pPr>
    </w:p>
    <w:p>
      <w:pPr>
        <w:ind w:left="960" w:right="60" w:hanging="452"/>
        <w:spacing w:after="0" w:line="264"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960" w:right="220" w:hanging="452"/>
        <w:spacing w:after="0" w:line="308"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960" w:right="180" w:hanging="452"/>
        <w:spacing w:after="0" w:line="291"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2480" w:right="120" w:hanging="500"/>
        <w:spacing w:after="0" w:line="312" w:lineRule="auto"/>
        <w:tabs>
          <w:tab w:leader="none" w:pos="2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480" w:right="420" w:hanging="500"/>
        <w:spacing w:after="0" w:line="312" w:lineRule="auto"/>
        <w:tabs>
          <w:tab w:leader="none" w:pos="2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2480" w:right="280" w:hanging="500"/>
        <w:spacing w:after="0" w:line="264" w:lineRule="auto"/>
        <w:tabs>
          <w:tab w:leader="none" w:pos="2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2480" w:right="100" w:hanging="500"/>
        <w:spacing w:after="0" w:line="312" w:lineRule="auto"/>
        <w:tabs>
          <w:tab w:leader="none" w:pos="2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960" w:right="140" w:hanging="452"/>
        <w:spacing w:after="0" w:line="342"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2480" w:right="200" w:hanging="500"/>
        <w:spacing w:after="0" w:line="264" w:lineRule="auto"/>
        <w:tabs>
          <w:tab w:leader="none" w:pos="2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2480" w:right="580" w:hanging="500"/>
        <w:spacing w:after="0" w:line="277" w:lineRule="auto"/>
        <w:tabs>
          <w:tab w:leader="none" w:pos="2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0" w:lineRule="exact"/>
        <w:rPr>
          <w:sz w:val="20"/>
          <w:szCs w:val="20"/>
          <w:color w:val="auto"/>
        </w:rPr>
      </w:pPr>
    </w:p>
    <w:p>
      <w:pPr>
        <w:ind w:left="720" w:right="40" w:hanging="428"/>
        <w:spacing w:after="0" w:line="277"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20" w:hanging="428"/>
        <w:spacing w:after="0"/>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rFonts w:ascii="Arial" w:cs="Arial" w:eastAsia="Arial" w:hAnsi="Arial"/>
          <w:sz w:val="17"/>
          <w:szCs w:val="17"/>
          <w:color w:val="auto"/>
        </w:rPr>
      </w:pPr>
    </w:p>
    <w:p>
      <w:pPr>
        <w:ind w:right="9360"/>
        <w:spacing w:after="0" w:line="530" w:lineRule="auto"/>
        <w:rPr>
          <w:rFonts w:ascii="Arial" w:cs="Arial" w:eastAsia="Arial" w:hAnsi="Arial"/>
          <w:sz w:val="17"/>
          <w:szCs w:val="17"/>
          <w:color w:val="auto"/>
        </w:rPr>
      </w:pPr>
      <w:r>
        <w:rPr>
          <w:rFonts w:ascii="Arial" w:cs="Arial" w:eastAsia="Arial" w:hAnsi="Arial"/>
          <w:sz w:val="17"/>
          <w:szCs w:val="17"/>
          <w:color w:val="auto"/>
        </w:rPr>
        <w:t>MANPOWERGROUP INC. Dated: February 21,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0" w:lineRule="exact"/>
        <w:rPr>
          <w:sz w:val="20"/>
          <w:szCs w:val="20"/>
          <w:color w:val="auto"/>
        </w:rPr>
      </w:pPr>
    </w:p>
    <w:p>
      <w:pPr>
        <w:ind w:left="720" w:right="40" w:hanging="428"/>
        <w:spacing w:after="0" w:line="27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20" w:hanging="428"/>
        <w:spacing w:after="0"/>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rFonts w:ascii="Arial" w:cs="Arial" w:eastAsia="Arial" w:hAnsi="Arial"/>
          <w:sz w:val="17"/>
          <w:szCs w:val="17"/>
          <w:color w:val="auto"/>
        </w:rPr>
      </w:pPr>
    </w:p>
    <w:p>
      <w:pPr>
        <w:ind w:right="9360"/>
        <w:spacing w:after="0" w:line="547" w:lineRule="auto"/>
        <w:rPr>
          <w:rFonts w:ascii="Arial" w:cs="Arial" w:eastAsia="Arial" w:hAnsi="Arial"/>
          <w:sz w:val="17"/>
          <w:szCs w:val="17"/>
          <w:color w:val="auto"/>
        </w:rPr>
      </w:pPr>
      <w:r>
        <w:rPr>
          <w:rFonts w:ascii="Arial" w:cs="Arial" w:eastAsia="Arial" w:hAnsi="Arial"/>
          <w:sz w:val="17"/>
          <w:szCs w:val="17"/>
          <w:color w:val="auto"/>
        </w:rPr>
        <w:t>MANPOWERGROUP INC. Dated: February 21, 2020</w:t>
      </w:r>
    </w:p>
    <w:p>
      <w:pPr>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o"/>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
      <w:numFmt w:val="bullet"/>
      <w:start w:val="1"/>
    </w:lvl>
    <w:lvl w:ilvl="1">
      <w:lvlJc w:val="left"/>
      <w:lvlText w:val="•"/>
      <w:numFmt w:val="bullet"/>
      <w:start w:val="1"/>
    </w:lvl>
  </w:abstractNum>
  <w:abstractNum w:abstractNumId="28">
    <w:nsid w:val="38437FDB"/>
    <w:multiLevelType w:val="hybridMultilevel"/>
    <w:lvl w:ilvl="0">
      <w:lvlJc w:val="left"/>
      <w:lvlText w:val="(%1)"/>
      <w:numFmt w:val="decimal"/>
      <w:start w:val="3"/>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decimal"/>
      <w:start w:val="4"/>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6"/>
    </w:lvl>
  </w:abstractNum>
  <w:abstractNum w:abstractNumId="33">
    <w:nsid w:val="749ABB43"/>
    <w:multiLevelType w:val="hybridMultilevel"/>
    <w:lvl w:ilvl="0">
      <w:lvlJc w:val="left"/>
      <w:lvlText w:val="(%1)"/>
      <w:numFmt w:val="decimal"/>
      <w:start w:val="7"/>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9"/>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2"/>
    </w:lvl>
  </w:abstractNum>
  <w:abstractNum w:abstractNumId="38">
    <w:nsid w:val="12E685FB"/>
    <w:multiLevelType w:val="hybridMultilevel"/>
    <w:lvl w:ilvl="0">
      <w:lvlJc w:val="left"/>
      <w:lvlText w:val="(%1)"/>
      <w:numFmt w:val="decimal"/>
      <w:start w:val="14"/>
    </w:lvl>
  </w:abstractNum>
  <w:abstractNum w:abstractNumId="39">
    <w:nsid w:val="70C6A529"/>
    <w:multiLevelType w:val="hybridMultilevel"/>
    <w:lvl w:ilvl="0">
      <w:lvlJc w:val="left"/>
      <w:lvlText w:val="(%1)"/>
      <w:numFmt w:val="lowerLetter"/>
      <w:start w:val="2"/>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decimal"/>
      <w:start w:val="16"/>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decimal"/>
      <w:start w:val="21"/>
    </w:lvl>
  </w:abstractNum>
  <w:abstractNum w:abstractNumId="46">
    <w:nsid w:val="39386575"/>
    <w:multiLevelType w:val="hybridMultilevel"/>
    <w:lvl w:ilvl="0">
      <w:lvlJc w:val="left"/>
      <w:lvlText w:val="%1"/>
      <w:numFmt w:val="decimal"/>
      <w:start w:val="24"/>
    </w:lvl>
  </w:abstractNum>
  <w:abstractNum w:abstractNumId="47">
    <w:nsid w:val="1CF10FD8"/>
    <w:multiLevelType w:val="hybridMultilevel"/>
    <w:lvl w:ilvl="0">
      <w:lvlJc w:val="left"/>
      <w:lvlText w:val="%1"/>
      <w:numFmt w:val="decimal"/>
      <w:start w:val="104"/>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decimal"/>
      <w:start w:val="2"/>
    </w:lvl>
  </w:abstractNum>
  <w:abstractNum w:abstractNumId="52">
    <w:nsid w:val="15B5AF5C"/>
    <w:multiLevelType w:val="hybridMultilevel"/>
    <w:lvl w:ilvl="0">
      <w:lvlJc w:val="left"/>
      <w:lvlText w:val="%1."/>
      <w:numFmt w:val="decimal"/>
      <w:start w:val="3"/>
    </w:lvl>
    <w:lvl w:ilvl="1">
      <w:lvlJc w:val="left"/>
      <w:lvlText w:val="(%2)"/>
      <w:numFmt w:val="lowerLetter"/>
      <w:start w:val="1"/>
    </w:lvl>
  </w:abstractNum>
  <w:abstractNum w:abstractNumId="53">
    <w:nsid w:val="741226BB"/>
    <w:multiLevelType w:val="hybridMultilevel"/>
    <w:lvl w:ilvl="0">
      <w:lvlJc w:val="left"/>
      <w:lvlText w:val="%1."/>
      <w:numFmt w:val="decimal"/>
      <w:start w:val="4"/>
    </w:lvl>
    <w:lvl w:ilvl="1">
      <w:lvlJc w:val="left"/>
      <w:lvlText w:val="(%2)"/>
      <w:numFmt w:val="lowerLetter"/>
      <w:start w:val="1"/>
    </w:lvl>
  </w:abstractNum>
  <w:abstractNum w:abstractNumId="54">
    <w:nsid w:val="D34B6A8"/>
    <w:multiLevelType w:val="hybridMultilevel"/>
    <w:lvl w:ilvl="0">
      <w:lvlJc w:val="left"/>
      <w:lvlText w:val="%1."/>
      <w:numFmt w:val="decimal"/>
      <w:start w:val="5"/>
    </w:lvl>
  </w:abstractNum>
  <w:abstractNum w:abstractNumId="55">
    <w:nsid w:val="10233C99"/>
    <w:multiLevelType w:val="hybridMultilevel"/>
    <w:lvl w:ilvl="0">
      <w:lvlJc w:val="left"/>
      <w:lvlText w:val="%1."/>
      <w:numFmt w:val="decimal"/>
      <w:start w:val="6"/>
    </w:lvl>
  </w:abstractNum>
  <w:abstractNum w:abstractNumId="56">
    <w:nsid w:val="3F6AB60F"/>
    <w:multiLevelType w:val="hybridMultilevel"/>
    <w:lvl w:ilvl="0">
      <w:lvlJc w:val="left"/>
      <w:lvlText w:val="•"/>
      <w:numFmt w:val="bullet"/>
      <w:start w:val="1"/>
    </w:lvl>
    <w:lvl w:ilvl="1">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42" Type="http://schemas.openxmlformats.org/officeDocument/2006/relationships/hyperlink" Target="http://www.sec.gov/Archives/edgar/data/871763/000087176319000050/man-123118x10k.htm" TargetMode="External"/><Relationship Id="rId120" Type="http://schemas.openxmlformats.org/officeDocument/2006/relationships/hyperlink" Target="http://www.sec.gov/Archives/edgar/data/871763/000087176313000024/exhibit_3-1.htm" TargetMode="External"/><Relationship Id="rId121" Type="http://schemas.openxmlformats.org/officeDocument/2006/relationships/hyperlink" Target="http://www.sec.gov/Archives/edgar/data/871763/000087176314000019/exhibit_3-1.htm" TargetMode="External"/><Relationship Id="rId122" Type="http://schemas.openxmlformats.org/officeDocument/2006/relationships/hyperlink" Target="http://www.sec.gov/Archives/edgar/data/871763/000089271218000301/exhibit41.htm" TargetMode="External"/><Relationship Id="rId125" Type="http://schemas.openxmlformats.org/officeDocument/2006/relationships/hyperlink" Target="http://www.sec.gov/Archives/edgar/data/871763/000087176315000042/exhibit_41september112015.htm" TargetMode="External"/><Relationship Id="rId126" Type="http://schemas.openxmlformats.org/officeDocument/2006/relationships/hyperlink" Target="http://www.sec.gov/Archives/edgar/data/871763/000089271218000301/exhibit10-1.htm" TargetMode="External"/><Relationship Id="rId127" Type="http://schemas.openxmlformats.org/officeDocument/2006/relationships/hyperlink" Target="http://www.sec.gov/Archives/edgar/data/871763/000087176311000011/exhibit_10-4.htm" TargetMode="External"/><Relationship Id="rId128" Type="http://schemas.openxmlformats.org/officeDocument/2006/relationships/hyperlink" Target="http://www.sec.gov/Archives/edgar/data/871763/000119312505051218/ddef14a.htm" TargetMode="External"/><Relationship Id="rId129" Type="http://schemas.openxmlformats.org/officeDocument/2006/relationships/hyperlink" Target="http://www.sec.gov/Archives/edgar/data/871763/000087176317000086/q12017exhibit101.htm" TargetMode="External"/><Relationship Id="rId130" Type="http://schemas.openxmlformats.org/officeDocument/2006/relationships/hyperlink" Target="http://www.sec.gov/Archives/edgar/data/871763/000087176317000124/a12112017ex101severanceagr.htm" TargetMode="External"/><Relationship Id="rId131" Type="http://schemas.openxmlformats.org/officeDocument/2006/relationships/hyperlink" Target="http://www.sec.gov/Archives/edgar/data/871763/000087176318000086/q12018exhibit101.htm" TargetMode="External"/><Relationship Id="rId132" Type="http://schemas.openxmlformats.org/officeDocument/2006/relationships/hyperlink" Target="http://www.sec.gov/Archives/edgar/data/871763/000087176319000050/a10k2018exhibit106h.htm" TargetMode="External"/><Relationship Id="rId133" Type="http://schemas.openxmlformats.org/officeDocument/2006/relationships/hyperlink" Target="http://www.sec.gov/Archives/edgar/data/871763/000089271209000841/exhibit4-1.htm" TargetMode="External"/><Relationship Id="rId134" Type="http://schemas.openxmlformats.org/officeDocument/2006/relationships/hyperlink" Target="http://www.sec.gov/Archives/edgar/data/871763/000087176310000023/ex10_3.htm" TargetMode="External"/><Relationship Id="rId135" Type="http://schemas.openxmlformats.org/officeDocument/2006/relationships/hyperlink" Target="http://www.sec.gov/Archives/edgar/data/871763/000087176314000030/exhibit_10-5.htm" TargetMode="External"/><Relationship Id="rId136" Type="http://schemas.openxmlformats.org/officeDocument/2006/relationships/hyperlink" Target="http://www.sec.gov/Archives/edgar/data/871763/000119312506224722/dex991.htm" TargetMode="External"/><Relationship Id="rId137" Type="http://schemas.openxmlformats.org/officeDocument/2006/relationships/hyperlink" Target="http://www.sec.gov/Archives/edgar/data/871763/000087176319000059/q12019exhibit101.htm" TargetMode="External"/><Relationship Id="rId138" Type="http://schemas.openxmlformats.org/officeDocument/2006/relationships/hyperlink" Target="http://www.sec.gov/Archives/edgar/data/871763/000087176312000023/exhibit_10-4.htm" TargetMode="External"/><Relationship Id="rId139" Type="http://schemas.openxmlformats.org/officeDocument/2006/relationships/hyperlink" Target="http://www.sec.gov/Archives/edgar/data/871763/000087176314000019/exhibit_10-1.htm" TargetMode="External"/><Relationship Id="rId140" Type="http://schemas.openxmlformats.org/officeDocument/2006/relationships/hyperlink" Target="http://www.sec.gov/Archives/edgar/data/871763/000087176316000175/q12016exhibit104.htm" TargetMode="External"/><Relationship Id="rId143" Type="http://schemas.openxmlformats.org/officeDocument/2006/relationships/hyperlink" Target="http://www.sec.gov/Archives/edgar/data/871763/000087176319000059/q12019exhibit102.htm" TargetMode="External"/><Relationship Id="rId144" Type="http://schemas.openxmlformats.org/officeDocument/2006/relationships/hyperlink" Target="http://www.sec.gov/Archives/edgar/data/871763/000087176318000093/q22018exhibit101.htm" TargetMode="External"/><Relationship Id="rId145" Type="http://schemas.openxmlformats.org/officeDocument/2006/relationships/hyperlink" Target="http://www.sec.gov/Archives/edgar/data/871763/000087176315000008/exhibit_10-12b.htm" TargetMode="External"/><Relationship Id="rId146" Type="http://schemas.openxmlformats.org/officeDocument/2006/relationships/hyperlink" Target="http://www.sec.gov/Archives/edgar/data/871763/000087176318000117/a12122018ex101severanceagr.htm" TargetMode="External"/><Relationship Id="rId147" Type="http://schemas.openxmlformats.org/officeDocument/2006/relationships/hyperlink" Target="http://www.sec.gov/Archives/edgar/data/871763/000087176316000113/projectryeofferletterfinal.htm" TargetMode="External"/><Relationship Id="rId148" Type="http://schemas.openxmlformats.org/officeDocument/2006/relationships/hyperlink" Target="http://www.sec.gov/Archives/edgar/data/871763/000087176318000054/a02152018ex101manpowergr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2020-02-21T15:52:44Z</dcterms:created>
  <dcterms:modified xsi:type="dcterms:W3CDTF">2020-02-21T15:52:44Z</dcterms:modified>
</cp:coreProperties>
</file>