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 Incorporated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#56418H100</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Corp.</w:t>
      </w:r>
    </w:p>
    <w:p>
      <w:pPr>
        <w:spacing w:after="0" w:line="238" w:lineRule="auto"/>
        <w:rPr>
          <w:sz w:val="20"/>
          <w:szCs w:val="20"/>
          <w:color w:val="auto"/>
        </w:rPr>
      </w:pPr>
      <w:r>
        <w:rPr>
          <w:rFonts w:ascii="Courier New" w:cs="Courier New" w:eastAsia="Courier New" w:hAnsi="Courier New"/>
          <w:sz w:val="18"/>
          <w:szCs w:val="18"/>
          <w:color w:val="auto"/>
        </w:rPr>
        <w:t>Item 4: Delaware</w:t>
      </w:r>
    </w:p>
    <w:p>
      <w:pPr>
        <w:spacing w:after="0"/>
        <w:rPr>
          <w:sz w:val="20"/>
          <w:szCs w:val="20"/>
          <w:color w:val="auto"/>
        </w:rPr>
      </w:pPr>
      <w:r>
        <w:rPr>
          <w:rFonts w:ascii="Courier New" w:cs="Courier New" w:eastAsia="Courier New" w:hAnsi="Courier New"/>
          <w:sz w:val="18"/>
          <w:szCs w:val="18"/>
          <w:color w:val="auto"/>
        </w:rPr>
        <w:t>Item 5: 1,507,400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8,724,530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8,724,530</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11.371%</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HC</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Edward C. Johnson 3d</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8,724,530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8,724,530</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170" w:lineRule="exact"/>
              <w:rPr>
                <w:sz w:val="20"/>
                <w:szCs w:val="20"/>
                <w:color w:val="auto"/>
              </w:rPr>
            </w:pPr>
            <w:r>
              <w:rPr>
                <w:rFonts w:ascii="Courier New" w:cs="Courier New" w:eastAsia="Courier New" w:hAnsi="Courier New"/>
                <w:sz w:val="18"/>
                <w:szCs w:val="18"/>
                <w:color w:val="auto"/>
                <w:w w:val="95"/>
              </w:rPr>
              <w:t>11.371%</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rPr>
              <w:t>IN</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8,724,530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8,724,530</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11.371%</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31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Manpower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5301 North Ironwood Road,</w:t>
      </w:r>
    </w:p>
    <w:p>
      <w:pPr>
        <w:spacing w:after="0" w:line="31" w:lineRule="exact"/>
        <w:rPr>
          <w:sz w:val="24"/>
          <w:szCs w:val="24"/>
          <w:color w:val="auto"/>
        </w:rPr>
      </w:pP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3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38" w:orient="portrait"/>
          <w:cols w:equalWidth="0" w:num="1">
            <w:col w:w="10219"/>
          </w:cols>
          <w:pgMar w:left="240" w:top="218"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53"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8,724,530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11.371%</w:t>
            </w:r>
          </w:p>
        </w:tc>
        <w:tc>
          <w:tcPr>
            <w:tcW w:w="1000" w:type="dxa"/>
            <w:vAlign w:val="bottom"/>
          </w:tcPr>
          <w:p>
            <w:pPr>
              <w:spacing w:after="0"/>
              <w:rPr>
                <w:sz w:val="24"/>
                <w:szCs w:val="24"/>
                <w:color w:val="auto"/>
              </w:rPr>
            </w:pPr>
          </w:p>
        </w:tc>
      </w:tr>
    </w:tbl>
    <w:p>
      <w:pPr>
        <w:spacing w:after="0" w:line="109"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10" w:right="1440" w:bottom="0" w:gutter="0" w:footer="0" w:header="0"/>
        </w:sectPr>
      </w:pP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1,507,400</w:t>
      </w:r>
    </w:p>
    <w:p>
      <w:pPr>
        <w:spacing w:after="0" w:line="169" w:lineRule="exact"/>
        <w:rPr>
          <w:sz w:val="20"/>
          <w:szCs w:val="20"/>
          <w:color w:val="auto"/>
        </w:rPr>
      </w:pPr>
    </w:p>
    <w:p>
      <w:pPr>
        <w:sectPr>
          <w:pgSz w:w="11900" w:h="16838" w:orient="portrait"/>
          <w:cols w:equalWidth="0" w:num="2">
            <w:col w:w="1160" w:space="540"/>
            <w:col w:w="8519"/>
          </w:cols>
          <w:pgMar w:left="240" w:top="110" w:right="1440" w:bottom="0" w:gutter="0" w:footer="0" w:header="0"/>
          <w:type w:val="continuous"/>
        </w:sect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8,724,530</w:t>
            </w:r>
          </w:p>
        </w:tc>
      </w:tr>
    </w:tbl>
    <w:p>
      <w:pPr>
        <w:spacing w:after="0" w:line="7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3359" w:firstLine="843"/>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Manpower Incorporated. No</w:t>
      </w:r>
    </w:p>
    <w:p>
      <w:pPr>
        <w:spacing w:after="0" w:line="3"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8"/>
          <w:szCs w:val="18"/>
          <w:color w:val="auto"/>
        </w:rPr>
        <w:t>one person's interest in the Common Stock of Manpower Incorporated is more than five percent of the total outstanding Common Stock.</w:t>
      </w:r>
    </w:p>
    <w:p>
      <w:pPr>
        <w:spacing w:after="0" w:line="82"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ind w:right="441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62"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309" w:lineRule="auto"/>
        <w:rPr>
          <w:sz w:val="20"/>
          <w:szCs w:val="20"/>
          <w:color w:val="auto"/>
        </w:rPr>
      </w:pPr>
      <w:r>
        <w:rPr>
          <w:rFonts w:ascii="Courier New" w:cs="Courier New" w:eastAsia="Courier New" w:hAnsi="Courier New"/>
          <w:sz w:val="18"/>
          <w:szCs w:val="18"/>
          <w:color w:val="auto"/>
        </w:rPr>
        <w:t>the Common Stock of Manpower Incorporated at December 31, 2002 is true, complete and correct.</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ectPr>
          <w:pgSz w:w="11900" w:h="16838" w:orient="portrait"/>
          <w:cols w:equalWidth="0" w:num="1">
            <w:col w:w="10219"/>
          </w:cols>
          <w:pgMar w:left="24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spacing w:after="0"/>
        <w:rPr>
          <w:sz w:val="20"/>
          <w:szCs w:val="20"/>
          <w:color w:val="auto"/>
        </w:rPr>
      </w:pPr>
      <w:r>
        <w:rPr>
          <w:rFonts w:ascii="Courier New" w:cs="Courier New" w:eastAsia="Courier New" w:hAnsi="Courier New"/>
          <w:sz w:val="18"/>
          <w:szCs w:val="18"/>
          <w:color w:val="auto"/>
        </w:rPr>
        <w:t>of FMR Corp. and its direct 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Fidelity Management &amp; Research Company</w:t>
      </w:r>
    </w:p>
    <w:p>
      <w:pPr>
        <w:spacing w:after="0" w:line="238" w:lineRule="auto"/>
        <w:rPr>
          <w:sz w:val="20"/>
          <w:szCs w:val="20"/>
          <w:color w:val="auto"/>
        </w:rPr>
      </w:pPr>
      <w:r>
        <w:rPr>
          <w:rFonts w:ascii="Courier New" w:cs="Courier New" w:eastAsia="Courier New" w:hAnsi="Courier New"/>
          <w:sz w:val="18"/>
          <w:szCs w:val="18"/>
          <w:color w:val="auto"/>
        </w:rPr>
        <w:t>("Fidelity"), 82 Devonshire Street, Boston, Massachusetts</w:t>
      </w:r>
    </w:p>
    <w:p>
      <w:pPr>
        <w:spacing w:after="0"/>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8" w:lineRule="auto"/>
        <w:rPr>
          <w:sz w:val="20"/>
          <w:szCs w:val="20"/>
          <w:color w:val="auto"/>
        </w:rPr>
      </w:pPr>
      <w:r>
        <w:rPr>
          <w:rFonts w:ascii="Courier New" w:cs="Courier New" w:eastAsia="Courier New" w:hAnsi="Courier New"/>
          <w:sz w:val="18"/>
          <w:szCs w:val="18"/>
          <w:color w:val="auto"/>
        </w:rPr>
        <w:t>7,229,740 shares or 9.423% of the Common Stock</w:t>
      </w:r>
    </w:p>
    <w:p>
      <w:pPr>
        <w:spacing w:after="0"/>
        <w:tabs>
          <w:tab w:leader="none" w:pos="4000" w:val="left"/>
        </w:tabs>
        <w:rPr>
          <w:sz w:val="20"/>
          <w:szCs w:val="20"/>
          <w:color w:val="auto"/>
        </w:rPr>
      </w:pPr>
      <w:r>
        <w:rPr>
          <w:rFonts w:ascii="Courier New" w:cs="Courier New" w:eastAsia="Courier New" w:hAnsi="Courier New"/>
          <w:sz w:val="18"/>
          <w:szCs w:val="18"/>
          <w:color w:val="auto"/>
        </w:rPr>
        <w:t>outstanding of Manpower Incorporated</w:t>
      </w:r>
      <w:r>
        <w:rPr>
          <w:sz w:val="20"/>
          <w:szCs w:val="20"/>
          <w:color w:val="auto"/>
        </w:rPr>
        <w:tab/>
      </w:r>
      <w:r>
        <w:rPr>
          <w:rFonts w:ascii="Courier New" w:cs="Courier New" w:eastAsia="Courier New" w:hAnsi="Courier New"/>
          <w:sz w:val="16"/>
          <w:szCs w:val="16"/>
          <w:color w:val="auto"/>
        </w:rPr>
        <w:t>("the Company") as</w:t>
      </w:r>
    </w:p>
    <w:p>
      <w:pPr>
        <w:ind w:right="3679"/>
        <w:spacing w:after="0" w:line="273" w:lineRule="auto"/>
        <w:rPr>
          <w:sz w:val="20"/>
          <w:szCs w:val="20"/>
          <w:color w:val="auto"/>
        </w:rPr>
      </w:pPr>
      <w:r>
        <w:rPr>
          <w:rFonts w:ascii="Courier New" w:cs="Courier New" w:eastAsia="Courier New" w:hAnsi="Courier New"/>
          <w:sz w:val="18"/>
          <w:szCs w:val="18"/>
          <w:color w:val="auto"/>
        </w:rPr>
        <w:t>a result of acting as investment adviser to various investment companies registered under Section 8 of the Investment Company Act of 1940.</w:t>
      </w:r>
    </w:p>
    <w:p>
      <w:pPr>
        <w:spacing w:after="0" w:line="82" w:lineRule="exact"/>
        <w:rPr>
          <w:sz w:val="20"/>
          <w:szCs w:val="20"/>
          <w:color w:val="auto"/>
        </w:rPr>
      </w:pPr>
    </w:p>
    <w:p>
      <w:pPr>
        <w:ind w:right="4199" w:firstLine="843"/>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7,229,740 shares owned by the Funds.</w:t>
      </w:r>
    </w:p>
    <w:p>
      <w:pPr>
        <w:spacing w:after="0" w:line="66" w:lineRule="exact"/>
        <w:rPr>
          <w:sz w:val="20"/>
          <w:szCs w:val="20"/>
          <w:color w:val="auto"/>
        </w:rPr>
      </w:pPr>
    </w:p>
    <w:p>
      <w:pPr>
        <w:ind w:right="3679" w:firstLine="843"/>
        <w:spacing w:after="0" w:line="260"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93" w:lineRule="exact"/>
        <w:rPr>
          <w:sz w:val="20"/>
          <w:szCs w:val="20"/>
          <w:color w:val="auto"/>
        </w:rPr>
      </w:pPr>
    </w:p>
    <w:p>
      <w:pPr>
        <w:ind w:right="3679" w:firstLine="843"/>
        <w:spacing w:after="0" w:line="256"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571,410 shares or 0.745% of the Common Stock outstanding of the Company as a result of its serving as investment manager of the institutional account(s).</w:t>
      </w:r>
    </w:p>
    <w:p>
      <w:pPr>
        <w:spacing w:after="0" w:line="9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 of Fidelity Management Trust Company, each has</w:t>
      </w:r>
    </w:p>
    <w:p>
      <w:pPr>
        <w:spacing w:after="0" w:line="238" w:lineRule="auto"/>
        <w:rPr>
          <w:sz w:val="20"/>
          <w:szCs w:val="20"/>
          <w:color w:val="auto"/>
        </w:rPr>
      </w:pPr>
      <w:r>
        <w:rPr>
          <w:rFonts w:ascii="Courier New" w:cs="Courier New" w:eastAsia="Courier New" w:hAnsi="Courier New"/>
          <w:sz w:val="18"/>
          <w:szCs w:val="18"/>
          <w:color w:val="auto"/>
        </w:rPr>
        <w:t>sole dispositive power over 571,410 shares and sole power to</w:t>
      </w:r>
    </w:p>
    <w:p>
      <w:pPr>
        <w:spacing w:after="0"/>
        <w:rPr>
          <w:sz w:val="20"/>
          <w:szCs w:val="20"/>
          <w:color w:val="auto"/>
        </w:rPr>
      </w:pPr>
      <w:r>
        <w:rPr>
          <w:rFonts w:ascii="Courier New" w:cs="Courier New" w:eastAsia="Courier New" w:hAnsi="Courier New"/>
          <w:sz w:val="18"/>
          <w:szCs w:val="18"/>
          <w:color w:val="auto"/>
        </w:rPr>
        <w:t>vote or to direct the voting of 569,610 shares, and no power</w:t>
      </w:r>
    </w:p>
    <w:p>
      <w:pPr>
        <w:spacing w:after="0" w:line="238" w:lineRule="auto"/>
        <w:rPr>
          <w:sz w:val="20"/>
          <w:szCs w:val="20"/>
          <w:color w:val="auto"/>
        </w:rPr>
      </w:pPr>
      <w:r>
        <w:rPr>
          <w:rFonts w:ascii="Courier New" w:cs="Courier New" w:eastAsia="Courier New" w:hAnsi="Courier New"/>
          <w:sz w:val="18"/>
          <w:szCs w:val="18"/>
          <w:color w:val="auto"/>
        </w:rPr>
        <w:t>to vote or to direct the voting of 1,800 shares of Common</w:t>
      </w:r>
    </w:p>
    <w:p>
      <w:pPr>
        <w:spacing w:after="0"/>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Geode Capital Management, LLC, 53 State Street,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 02109, a Delaware limited liability</w:t>
      </w:r>
    </w:p>
    <w:p>
      <w:pPr>
        <w:spacing w:after="0" w:line="238" w:lineRule="auto"/>
        <w:rPr>
          <w:sz w:val="20"/>
          <w:szCs w:val="20"/>
          <w:color w:val="auto"/>
        </w:rPr>
      </w:pPr>
      <w:r>
        <w:rPr>
          <w:rFonts w:ascii="Courier New" w:cs="Courier New" w:eastAsia="Courier New" w:hAnsi="Courier New"/>
          <w:sz w:val="18"/>
          <w:szCs w:val="18"/>
          <w:color w:val="auto"/>
        </w:rPr>
        <w:t>company ("Geode LLC"), is the beneficial owner of 266</w:t>
      </w:r>
    </w:p>
    <w:p>
      <w:pPr>
        <w:spacing w:after="0"/>
        <w:rPr>
          <w:sz w:val="20"/>
          <w:szCs w:val="20"/>
          <w:color w:val="auto"/>
        </w:rPr>
      </w:pPr>
      <w:r>
        <w:rPr>
          <w:rFonts w:ascii="Courier New" w:cs="Courier New" w:eastAsia="Courier New" w:hAnsi="Courier New"/>
          <w:sz w:val="18"/>
          <w:szCs w:val="18"/>
          <w:color w:val="auto"/>
        </w:rPr>
        <w:t>shares or 0.000% of the outstanding common stock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Geode LLC is wholly-owned by Fidelity</w:t>
      </w:r>
    </w:p>
    <w:p>
      <w:pPr>
        <w:spacing w:after="0"/>
        <w:rPr>
          <w:sz w:val="20"/>
          <w:szCs w:val="20"/>
          <w:color w:val="auto"/>
        </w:rPr>
      </w:pPr>
      <w:r>
        <w:rPr>
          <w:rFonts w:ascii="Courier New" w:cs="Courier New" w:eastAsia="Courier New" w:hAnsi="Courier New"/>
          <w:sz w:val="18"/>
          <w:szCs w:val="18"/>
          <w:color w:val="auto"/>
        </w:rPr>
        <w:t>Investors III Limited Partnership ("FILP III"), a Delaware</w:t>
      </w:r>
    </w:p>
    <w:p>
      <w:pPr>
        <w:spacing w:after="0"/>
        <w:tabs>
          <w:tab w:leader="none" w:pos="2300" w:val="left"/>
        </w:tabs>
        <w:rPr>
          <w:sz w:val="20"/>
          <w:szCs w:val="20"/>
          <w:color w:val="auto"/>
        </w:rPr>
      </w:pPr>
      <w:r>
        <w:rPr>
          <w:rFonts w:ascii="Courier New" w:cs="Courier New" w:eastAsia="Courier New" w:hAnsi="Courier New"/>
          <w:sz w:val="18"/>
          <w:szCs w:val="18"/>
          <w:color w:val="auto"/>
        </w:rPr>
        <w:t>limited partnership.</w:t>
      </w:r>
      <w:r>
        <w:rPr>
          <w:sz w:val="20"/>
          <w:szCs w:val="20"/>
          <w:color w:val="auto"/>
        </w:rPr>
        <w:tab/>
      </w:r>
      <w:r>
        <w:rPr>
          <w:rFonts w:ascii="Courier New" w:cs="Courier New" w:eastAsia="Courier New" w:hAnsi="Courier New"/>
          <w:sz w:val="16"/>
          <w:szCs w:val="16"/>
          <w:color w:val="auto"/>
        </w:rPr>
        <w:t>Geode LLC is an investment adviser</w:t>
      </w:r>
    </w:p>
    <w:p>
      <w:pPr>
        <w:spacing w:after="0"/>
        <w:rPr>
          <w:sz w:val="20"/>
          <w:szCs w:val="20"/>
          <w:color w:val="auto"/>
        </w:rPr>
      </w:pPr>
      <w:r>
        <w:rPr>
          <w:rFonts w:ascii="Courier New" w:cs="Courier New" w:eastAsia="Courier New" w:hAnsi="Courier New"/>
          <w:sz w:val="18"/>
          <w:szCs w:val="18"/>
          <w:color w:val="auto"/>
        </w:rPr>
        <w:t>registered under Section 203 of the Investment Advisers Act</w:t>
      </w:r>
    </w:p>
    <w:p>
      <w:pPr>
        <w:spacing w:after="0" w:line="238" w:lineRule="auto"/>
        <w:rPr>
          <w:sz w:val="20"/>
          <w:szCs w:val="20"/>
          <w:color w:val="auto"/>
        </w:rPr>
      </w:pPr>
      <w:r>
        <w:rPr>
          <w:rFonts w:ascii="Courier New" w:cs="Courier New" w:eastAsia="Courier New" w:hAnsi="Courier New"/>
          <w:sz w:val="18"/>
          <w:szCs w:val="18"/>
          <w:color w:val="auto"/>
        </w:rPr>
        <w:t>of 1940. Fidelity Investors Management, LLC ("FIML"), a</w:t>
      </w:r>
    </w:p>
    <w:p>
      <w:pPr>
        <w:spacing w:after="0"/>
        <w:rPr>
          <w:sz w:val="20"/>
          <w:szCs w:val="20"/>
          <w:color w:val="auto"/>
        </w:rPr>
      </w:pPr>
      <w:r>
        <w:rPr>
          <w:rFonts w:ascii="Courier New" w:cs="Courier New" w:eastAsia="Courier New" w:hAnsi="Courier New"/>
          <w:sz w:val="18"/>
          <w:szCs w:val="18"/>
          <w:color w:val="auto"/>
        </w:rPr>
        <w:t>Delaware limited liability company, is the general partner</w:t>
      </w:r>
    </w:p>
    <w:p>
      <w:pPr>
        <w:spacing w:after="0" w:line="238" w:lineRule="auto"/>
        <w:rPr>
          <w:sz w:val="20"/>
          <w:szCs w:val="20"/>
          <w:color w:val="auto"/>
        </w:rPr>
      </w:pPr>
      <w:r>
        <w:rPr>
          <w:rFonts w:ascii="Courier New" w:cs="Courier New" w:eastAsia="Courier New" w:hAnsi="Courier New"/>
          <w:sz w:val="18"/>
          <w:szCs w:val="18"/>
          <w:color w:val="auto"/>
        </w:rPr>
        <w:t>and investment manager of FILP III, and is an investment</w:t>
      </w:r>
    </w:p>
    <w:p>
      <w:pPr>
        <w:spacing w:after="0"/>
        <w:rPr>
          <w:sz w:val="20"/>
          <w:szCs w:val="20"/>
          <w:color w:val="auto"/>
        </w:rPr>
      </w:pPr>
      <w:r>
        <w:rPr>
          <w:rFonts w:ascii="Courier New" w:cs="Courier New" w:eastAsia="Courier New" w:hAnsi="Courier New"/>
          <w:sz w:val="18"/>
          <w:szCs w:val="18"/>
          <w:color w:val="auto"/>
        </w:rPr>
        <w:t>manager registered under Section 203 of the Investment</w:t>
      </w:r>
    </w:p>
    <w:p>
      <w:pPr>
        <w:spacing w:after="0" w:line="238" w:lineRule="auto"/>
        <w:rPr>
          <w:sz w:val="20"/>
          <w:szCs w:val="20"/>
          <w:color w:val="auto"/>
        </w:rPr>
      </w:pPr>
      <w:r>
        <w:rPr>
          <w:rFonts w:ascii="Courier New" w:cs="Courier New" w:eastAsia="Courier New" w:hAnsi="Courier New"/>
          <w:sz w:val="18"/>
          <w:szCs w:val="18"/>
          <w:color w:val="auto"/>
        </w:rPr>
        <w:t>Advisers Act of 1940. The managers of Geode LLC, the</w:t>
      </w:r>
    </w:p>
    <w:p>
      <w:pPr>
        <w:spacing w:after="0"/>
        <w:rPr>
          <w:sz w:val="20"/>
          <w:szCs w:val="20"/>
          <w:color w:val="auto"/>
        </w:rPr>
      </w:pPr>
      <w:r>
        <w:rPr>
          <w:rFonts w:ascii="Courier New" w:cs="Courier New" w:eastAsia="Courier New" w:hAnsi="Courier New"/>
          <w:sz w:val="18"/>
          <w:szCs w:val="18"/>
          <w:color w:val="auto"/>
        </w:rPr>
        <w:t>members of FIML and the limited partners of FILP III are</w:t>
      </w:r>
    </w:p>
    <w:p>
      <w:pPr>
        <w:spacing w:after="0"/>
        <w:rPr>
          <w:sz w:val="20"/>
          <w:szCs w:val="20"/>
          <w:color w:val="auto"/>
        </w:rPr>
      </w:pPr>
      <w:r>
        <w:rPr>
          <w:rFonts w:ascii="Courier New" w:cs="Courier New" w:eastAsia="Courier New" w:hAnsi="Courier New"/>
          <w:sz w:val="18"/>
          <w:szCs w:val="18"/>
          <w:color w:val="auto"/>
        </w:rPr>
        <w:t>certain shareholders and employees of FMR Corp.</w:t>
      </w:r>
    </w:p>
    <w:p>
      <w:pPr>
        <w:spacing w:after="0" w:line="169" w:lineRule="exact"/>
        <w:rPr>
          <w:sz w:val="20"/>
          <w:szCs w:val="20"/>
          <w:color w:val="auto"/>
        </w:rPr>
      </w:pPr>
    </w:p>
    <w:p>
      <w:pPr>
        <w:ind w:right="4099" w:firstLine="843"/>
        <w:spacing w:after="0" w:line="249"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w:t>
      </w:r>
    </w:p>
    <w:p>
      <w:pPr>
        <w:sectPr>
          <w:pgSz w:w="11900" w:h="16838" w:orient="portrait"/>
          <w:cols w:equalWidth="0" w:num="1">
            <w:col w:w="10219"/>
          </w:cols>
          <w:pgMar w:left="240" w:top="110" w:right="1440" w:bottom="0" w:gutter="0" w:footer="0" w:header="0"/>
        </w:sectPr>
      </w:pPr>
    </w:p>
    <w:bookmarkStart w:id="3" w:name="page4"/>
    <w:bookmarkEnd w:id="3"/>
    <w:p>
      <w:pPr>
        <w:spacing w:after="0" w:line="23" w:lineRule="exact"/>
        <w:rPr>
          <w:sz w:val="20"/>
          <w:szCs w:val="20"/>
          <w:color w:val="auto"/>
        </w:rPr>
      </w:pPr>
    </w:p>
    <w:p>
      <w:pPr>
        <w:ind w:right="4419"/>
        <w:spacing w:after="0" w:line="265" w:lineRule="auto"/>
        <w:rPr>
          <w:sz w:val="20"/>
          <w:szCs w:val="20"/>
          <w:color w:val="auto"/>
        </w:rPr>
      </w:pPr>
      <w:r>
        <w:rPr>
          <w:rFonts w:ascii="Courier New" w:cs="Courier New" w:eastAsia="Courier New" w:hAnsi="Courier New"/>
          <w:sz w:val="18"/>
          <w:szCs w:val="18"/>
          <w:color w:val="auto"/>
        </w:rPr>
        <w:t>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90" w:lineRule="exact"/>
        <w:rPr>
          <w:sz w:val="20"/>
          <w:szCs w:val="20"/>
          <w:color w:val="auto"/>
        </w:rPr>
      </w:pPr>
    </w:p>
    <w:p>
      <w:pPr>
        <w:ind w:right="3999" w:firstLine="843"/>
        <w:spacing w:after="0" w:line="250"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923,114 shares or 1.203%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ind w:right="3459" w:firstLine="843"/>
        <w:spacing w:after="0" w:line="282"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50"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923,114 shares or 1.203% of the Common Stock outstanding of Manpower Incorporated.</w:t>
      </w:r>
    </w:p>
    <w:p>
      <w:pPr>
        <w:spacing w:after="0" w:line="314" w:lineRule="exact"/>
        <w:rPr>
          <w:sz w:val="20"/>
          <w:szCs w:val="20"/>
          <w:color w:val="auto"/>
        </w:rPr>
      </w:pPr>
    </w:p>
    <w:p>
      <w:pPr>
        <w:ind w:right="3479" w:firstLine="843"/>
        <w:spacing w:after="0" w:line="252"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99" w:lineRule="exact"/>
        <w:rPr>
          <w:sz w:val="20"/>
          <w:szCs w:val="20"/>
          <w:color w:val="auto"/>
        </w:rPr>
      </w:pPr>
    </w:p>
    <w:p>
      <w:pPr>
        <w:ind w:right="3899" w:firstLine="843"/>
        <w:spacing w:after="0" w:line="289"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spacing w:after="0" w:line="1"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95"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7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line="238" w:lineRule="auto"/>
        <w:rPr>
          <w:sz w:val="20"/>
          <w:szCs w:val="20"/>
          <w:color w:val="auto"/>
        </w:rPr>
      </w:pPr>
      <w:r>
        <w:rPr>
          <w:rFonts w:ascii="Courier New" w:cs="Courier New" w:eastAsia="Courier New" w:hAnsi="Courier New"/>
          <w:sz w:val="18"/>
          <w:szCs w:val="18"/>
          <w:color w:val="auto"/>
        </w:rPr>
        <w:t>Securities Exchange Act of 1934 (the "1934" Act) and that</w:t>
      </w:r>
    </w:p>
    <w:p>
      <w:pPr>
        <w:spacing w:after="0"/>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8" w:lineRule="auto"/>
        <w:rPr>
          <w:sz w:val="20"/>
          <w:szCs w:val="20"/>
          <w:color w:val="auto"/>
        </w:rPr>
      </w:pPr>
      <w:r>
        <w:rPr>
          <w:rFonts w:ascii="Courier New" w:cs="Courier New" w:eastAsia="Courier New" w:hAnsi="Courier New"/>
          <w:sz w:val="18"/>
          <w:szCs w:val="18"/>
          <w:color w:val="auto"/>
        </w:rPr>
        <w:t>aggregated for purposes of Section 13(d). However, FMR</w:t>
      </w:r>
    </w:p>
    <w:p>
      <w:pPr>
        <w:ind w:right="3359"/>
        <w:spacing w:after="0" w:line="273"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82" w:lineRule="exact"/>
        <w:rPr>
          <w:sz w:val="20"/>
          <w:szCs w:val="20"/>
          <w:color w:val="auto"/>
        </w:rPr>
      </w:pPr>
    </w:p>
    <w:p>
      <w:pPr>
        <w:ind w:right="3579" w:firstLine="843"/>
        <w:spacing w:after="0" w:line="260"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93" w:lineRule="exact"/>
        <w:rPr>
          <w:sz w:val="20"/>
          <w:szCs w:val="20"/>
          <w:color w:val="auto"/>
        </w:rPr>
      </w:pPr>
    </w:p>
    <w:p>
      <w:pPr>
        <w:ind w:right="3679" w:firstLine="843"/>
        <w:spacing w:after="0" w:line="306"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w:t>
      </w:r>
    </w:p>
    <w:p>
      <w:pPr>
        <w:sectPr>
          <w:pgSz w:w="11900" w:h="16862" w:orient="portrait"/>
          <w:cols w:equalWidth="0" w:num="1">
            <w:col w:w="10219"/>
          </w:cols>
          <w:pgMar w:left="240" w:top="110" w:right="1440" w:bottom="0" w:gutter="0" w:footer="0" w:header="0"/>
        </w:sectPr>
      </w:pPr>
    </w:p>
    <w:bookmarkStart w:id="4" w:name="page5"/>
    <w:bookmarkEnd w:id="4"/>
    <w:p>
      <w:pPr>
        <w:ind w:right="3679"/>
        <w:spacing w:after="0" w:line="265" w:lineRule="auto"/>
        <w:rPr>
          <w:sz w:val="20"/>
          <w:szCs w:val="20"/>
          <w:color w:val="auto"/>
        </w:rPr>
      </w:pPr>
      <w:r>
        <w:rPr>
          <w:rFonts w:ascii="Courier New" w:cs="Courier New" w:eastAsia="Courier New" w:hAnsi="Courier New"/>
          <w:sz w:val="18"/>
          <w:szCs w:val="18"/>
          <w:color w:val="auto"/>
        </w:rPr>
        <w:t>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90" w:lineRule="exact"/>
        <w:rPr>
          <w:sz w:val="20"/>
          <w:szCs w:val="20"/>
          <w:color w:val="auto"/>
        </w:rPr>
      </w:pPr>
    </w:p>
    <w:p>
      <w:pPr>
        <w:ind w:right="3679" w:firstLine="843"/>
        <w:spacing w:after="0" w:line="275"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72" w:lineRule="exact"/>
        <w:rPr>
          <w:sz w:val="20"/>
          <w:szCs w:val="20"/>
          <w:color w:val="auto"/>
        </w:rPr>
      </w:pPr>
    </w:p>
    <w:p>
      <w:pPr>
        <w:ind w:right="4199" w:firstLine="843"/>
        <w:spacing w:after="0" w:line="347" w:lineRule="auto"/>
        <w:rPr>
          <w:sz w:val="20"/>
          <w:szCs w:val="20"/>
          <w:color w:val="auto"/>
        </w:rPr>
      </w:pPr>
      <w:r>
        <w:rPr>
          <w:rFonts w:ascii="Courier New" w:cs="Courier New" w:eastAsia="Courier New" w:hAnsi="Courier New"/>
          <w:sz w:val="18"/>
          <w:szCs w:val="18"/>
          <w:color w:val="auto"/>
        </w:rPr>
        <w:t>FIL has sole power to vote and the sole power to dispose of 923,114 shares.</w:t>
      </w: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right="3479" w:firstLine="843"/>
        <w:spacing w:after="0" w:line="265" w:lineRule="auto"/>
        <w:rPr>
          <w:sz w:val="20"/>
          <w:szCs w:val="20"/>
          <w:color w:val="auto"/>
        </w:rPr>
      </w:pPr>
      <w:r>
        <w:rPr>
          <w:rFonts w:ascii="Courier New" w:cs="Courier New" w:eastAsia="Courier New" w:hAnsi="Courier New"/>
          <w:sz w:val="18"/>
          <w:szCs w:val="18"/>
          <w:color w:val="auto"/>
        </w:rPr>
        <w:t>The undersigned persons, on February 14, 2003, agree and consent to the joint filing on their behalf of this Schedule 13G in connection with their beneficial ownership of the Common Stock of Manpower Incorporated at December 31, 2002.</w:t>
      </w:r>
    </w:p>
    <w:p>
      <w:pPr>
        <w:spacing w:after="0" w:line="9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Edward C. Johnson 3d</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Abigail P. Johnson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2019-12-19T21:20:00Z</dcterms:created>
  <dcterms:modified xsi:type="dcterms:W3CDTF">2019-12-19T21:20:00Z</dcterms:modified>
</cp:coreProperties>
</file>