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29, 2014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920" w:type="dxa"/>
            <w:vAlign w:val="bottom"/>
            <w:gridSpan w:val="2"/>
          </w:tcPr>
          <w:p>
            <w:pPr>
              <w:ind w:left="3880"/>
              <w:spacing w:after="0"/>
              <w:rPr>
                <w:sz w:val="20"/>
                <w:szCs w:val="20"/>
                <w:color w:val="auto"/>
              </w:rPr>
            </w:pPr>
            <w:r>
              <w:rPr>
                <w:rFonts w:ascii="Arial" w:cs="Arial" w:eastAsia="Arial" w:hAnsi="Arial"/>
                <w:sz w:val="18"/>
                <w:szCs w:val="18"/>
                <w:color w:val="auto"/>
                <w:w w:val="98"/>
              </w:rPr>
              <w:t>(Exact name of registrant as specified in its charter)</w:t>
            </w:r>
          </w:p>
        </w:tc>
        <w:tc>
          <w:tcPr>
            <w:tcW w:w="3500" w:type="dxa"/>
            <w:vAlign w:val="bottom"/>
          </w:tcPr>
          <w:p>
            <w:pPr>
              <w:spacing w:after="0"/>
              <w:rPr>
                <w:sz w:val="20"/>
                <w:szCs w:val="20"/>
                <w:color w:val="auto"/>
              </w:rPr>
            </w:pPr>
          </w:p>
        </w:tc>
      </w:tr>
      <w:tr>
        <w:trPr>
          <w:trHeight w:val="666"/>
        </w:trPr>
        <w:tc>
          <w:tcPr>
            <w:tcW w:w="4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Wisconsin</w:t>
            </w:r>
          </w:p>
        </w:tc>
        <w:tc>
          <w:tcPr>
            <w:tcW w:w="30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1-10686</w:t>
            </w:r>
          </w:p>
        </w:tc>
        <w:tc>
          <w:tcPr>
            <w:tcW w:w="35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308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(Commission File Number)</w:t>
            </w:r>
          </w:p>
        </w:tc>
        <w:tc>
          <w:tcPr>
            <w:tcW w:w="3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3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41"/>
        </w:trPr>
        <w:tc>
          <w:tcPr>
            <w:tcW w:w="484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1"/>
              </w:rPr>
              <w:t>Milwaukee, Wisconsin</w:t>
            </w:r>
          </w:p>
        </w:tc>
        <w:tc>
          <w:tcPr>
            <w:tcW w:w="30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34"/>
        </w:trPr>
        <w:tc>
          <w:tcPr>
            <w:tcW w:w="484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80" w:type="dxa"/>
            <w:vAlign w:val="bottom"/>
          </w:tcPr>
          <w:p>
            <w:pPr>
              <w:spacing w:after="0"/>
              <w:rPr>
                <w:sz w:val="20"/>
                <w:szCs w:val="20"/>
                <w:color w:val="auto"/>
              </w:rPr>
            </w:pPr>
          </w:p>
        </w:tc>
        <w:tc>
          <w:tcPr>
            <w:tcW w:w="3500" w:type="dxa"/>
            <w:vAlign w:val="bottom"/>
          </w:tcPr>
          <w:p>
            <w:pPr>
              <w:jc w:val="center"/>
              <w:ind w:right="169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ind w:left="1020"/>
        <w:spacing w:after="0"/>
        <w:tabs>
          <w:tab w:leader="none" w:pos="19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Compensatory Arrangements of Certain Officers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our 2014 Annual Meeting, the shareholders of the Company approved an amendment to the 2011 Equity Incentive Plan of ManpowerGroup Inc. (the “Plan”), which increases the maximum number of shares authorized for issuance under the Plan by 3,500,000 shares and also increases the number of “full value share awards” available for grant by 2,500,000 shares.</w:t>
      </w:r>
    </w:p>
    <w:p>
      <w:pPr>
        <w:spacing w:after="0" w:line="208"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 foregoing description of the Plan is qualified in its entirety by reference to the Plan attached as Appendix B-1 to the Proxy Statement on Schedule 14A filed on March 5, 2014 in connection with the 2014 Annual Meeting, which is incorporated herein by reference.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2014 Annual Meeting, our shareholders voted on proposals to: (1) elect five individuals nominated by the Board of Directors of the Company to serve until 2015; (2) ratify the appointment of Deloitte &amp; Touche LLP as our independent auditors for 2014; (3) approve an amendment to the 2011 Equity Incentive Plan of ManpowerGroup Inc.; and (4) provide an advisory vote on the compensation of our named executive officers. The final voting results on these proposals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Broker</w:t>
            </w:r>
          </w:p>
        </w:tc>
      </w:tr>
      <w:tr>
        <w:trPr>
          <w:trHeight w:val="220"/>
        </w:trPr>
        <w:tc>
          <w:tcPr>
            <w:tcW w:w="3840" w:type="dxa"/>
            <w:vAlign w:val="bottom"/>
          </w:tcPr>
          <w:p>
            <w:pPr>
              <w:spacing w:after="0"/>
              <w:rPr>
                <w:sz w:val="19"/>
                <w:szCs w:val="19"/>
                <w:color w:val="auto"/>
              </w:rPr>
            </w:pPr>
          </w:p>
        </w:tc>
        <w:tc>
          <w:tcPr>
            <w:tcW w:w="2180" w:type="dxa"/>
            <w:vAlign w:val="bottom"/>
          </w:tcPr>
          <w:p>
            <w:pPr>
              <w:jc w:val="right"/>
              <w:ind w:right="590"/>
              <w:spacing w:after="0"/>
              <w:rPr>
                <w:sz w:val="20"/>
                <w:szCs w:val="20"/>
                <w:color w:val="auto"/>
              </w:rPr>
            </w:pPr>
            <w:r>
              <w:rPr>
                <w:rFonts w:ascii="Arial" w:cs="Arial" w:eastAsia="Arial" w:hAnsi="Arial"/>
                <w:sz w:val="18"/>
                <w:szCs w:val="18"/>
                <w:b w:val="1"/>
                <w:bCs w:val="1"/>
                <w:color w:val="auto"/>
              </w:rPr>
              <w:t>For</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Against</w:t>
            </w: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Abstain</w:t>
            </w:r>
          </w:p>
        </w:tc>
        <w:tc>
          <w:tcPr>
            <w:tcW w:w="8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Non-Votes</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1. a) Election of Cari M. Dominguez</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67,128,023</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1,349,300</w:t>
            </w:r>
          </w:p>
        </w:tc>
        <w:tc>
          <w:tcPr>
            <w:tcW w:w="9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103,031</w:t>
            </w:r>
          </w:p>
        </w:tc>
        <w:tc>
          <w:tcPr>
            <w:tcW w:w="1180" w:type="dxa"/>
            <w:vAlign w:val="bottom"/>
          </w:tcPr>
          <w:p>
            <w:pPr>
              <w:jc w:val="right"/>
              <w:spacing w:after="0"/>
              <w:rPr>
                <w:sz w:val="20"/>
                <w:szCs w:val="20"/>
                <w:color w:val="auto"/>
              </w:rPr>
            </w:pPr>
            <w:r>
              <w:rPr>
                <w:rFonts w:ascii="Arial" w:cs="Arial" w:eastAsia="Arial" w:hAnsi="Arial"/>
                <w:sz w:val="18"/>
                <w:szCs w:val="18"/>
                <w:color w:val="auto"/>
              </w:rPr>
              <w:t>4,135,841</w:t>
            </w:r>
          </w:p>
        </w:tc>
      </w:tr>
      <w:tr>
        <w:trPr>
          <w:trHeight w:val="432"/>
        </w:trPr>
        <w:tc>
          <w:tcPr>
            <w:tcW w:w="3840" w:type="dxa"/>
            <w:vAlign w:val="bottom"/>
          </w:tcPr>
          <w:p>
            <w:pPr>
              <w:ind w:left="240"/>
              <w:spacing w:after="0"/>
              <w:rPr>
                <w:sz w:val="20"/>
                <w:szCs w:val="20"/>
                <w:color w:val="auto"/>
              </w:rPr>
            </w:pPr>
            <w:r>
              <w:rPr>
                <w:rFonts w:ascii="Arial" w:cs="Arial" w:eastAsia="Arial" w:hAnsi="Arial"/>
                <w:sz w:val="18"/>
                <w:szCs w:val="18"/>
                <w:color w:val="auto"/>
              </w:rPr>
              <w:t>b) Election of Roberto Mendoza</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68,058,568</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418,416</w:t>
            </w:r>
          </w:p>
        </w:tc>
        <w:tc>
          <w:tcPr>
            <w:tcW w:w="92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103,370</w:t>
            </w:r>
          </w:p>
        </w:tc>
        <w:tc>
          <w:tcPr>
            <w:tcW w:w="1180" w:type="dxa"/>
            <w:vAlign w:val="bottom"/>
          </w:tcPr>
          <w:p>
            <w:pPr>
              <w:jc w:val="right"/>
              <w:spacing w:after="0"/>
              <w:rPr>
                <w:sz w:val="20"/>
                <w:szCs w:val="20"/>
                <w:color w:val="auto"/>
              </w:rPr>
            </w:pPr>
            <w:r>
              <w:rPr>
                <w:rFonts w:ascii="Arial" w:cs="Arial" w:eastAsia="Arial" w:hAnsi="Arial"/>
                <w:sz w:val="18"/>
                <w:szCs w:val="18"/>
                <w:color w:val="auto"/>
              </w:rPr>
              <w:t>4,135,841</w:t>
            </w:r>
          </w:p>
        </w:tc>
      </w:tr>
      <w:tr>
        <w:trPr>
          <w:trHeight w:val="432"/>
        </w:trPr>
        <w:tc>
          <w:tcPr>
            <w:tcW w:w="3840" w:type="dxa"/>
            <w:vAlign w:val="bottom"/>
          </w:tcPr>
          <w:p>
            <w:pPr>
              <w:ind w:left="240"/>
              <w:spacing w:after="0"/>
              <w:rPr>
                <w:sz w:val="20"/>
                <w:szCs w:val="20"/>
                <w:color w:val="auto"/>
              </w:rPr>
            </w:pPr>
            <w:r>
              <w:rPr>
                <w:rFonts w:ascii="Arial" w:cs="Arial" w:eastAsia="Arial" w:hAnsi="Arial"/>
                <w:sz w:val="18"/>
                <w:szCs w:val="18"/>
                <w:color w:val="auto"/>
              </w:rPr>
              <w:t>c) Election of Jonas Prising</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68,288,002</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188,733</w:t>
            </w:r>
          </w:p>
        </w:tc>
        <w:tc>
          <w:tcPr>
            <w:tcW w:w="92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103,619</w:t>
            </w:r>
          </w:p>
        </w:tc>
        <w:tc>
          <w:tcPr>
            <w:tcW w:w="1180" w:type="dxa"/>
            <w:vAlign w:val="bottom"/>
          </w:tcPr>
          <w:p>
            <w:pPr>
              <w:jc w:val="right"/>
              <w:spacing w:after="0"/>
              <w:rPr>
                <w:sz w:val="20"/>
                <w:szCs w:val="20"/>
                <w:color w:val="auto"/>
              </w:rPr>
            </w:pPr>
            <w:r>
              <w:rPr>
                <w:rFonts w:ascii="Arial" w:cs="Arial" w:eastAsia="Arial" w:hAnsi="Arial"/>
                <w:sz w:val="18"/>
                <w:szCs w:val="18"/>
                <w:color w:val="auto"/>
              </w:rPr>
              <w:t>4,135,841</w:t>
            </w:r>
          </w:p>
        </w:tc>
      </w:tr>
      <w:tr>
        <w:trPr>
          <w:trHeight w:val="432"/>
        </w:trPr>
        <w:tc>
          <w:tcPr>
            <w:tcW w:w="3840" w:type="dxa"/>
            <w:vAlign w:val="bottom"/>
          </w:tcPr>
          <w:p>
            <w:pPr>
              <w:ind w:left="240"/>
              <w:spacing w:after="0"/>
              <w:rPr>
                <w:sz w:val="20"/>
                <w:szCs w:val="20"/>
                <w:color w:val="auto"/>
              </w:rPr>
            </w:pPr>
            <w:r>
              <w:rPr>
                <w:rFonts w:ascii="Arial" w:cs="Arial" w:eastAsia="Arial" w:hAnsi="Arial"/>
                <w:sz w:val="18"/>
                <w:szCs w:val="18"/>
                <w:color w:val="auto"/>
              </w:rPr>
              <w:t>d) Election of Elizabeth P. Sartain</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67,132,333</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1,346,070</w:t>
            </w:r>
          </w:p>
        </w:tc>
        <w:tc>
          <w:tcPr>
            <w:tcW w:w="92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101,951</w:t>
            </w:r>
          </w:p>
        </w:tc>
        <w:tc>
          <w:tcPr>
            <w:tcW w:w="1180" w:type="dxa"/>
            <w:vAlign w:val="bottom"/>
          </w:tcPr>
          <w:p>
            <w:pPr>
              <w:jc w:val="right"/>
              <w:spacing w:after="0"/>
              <w:rPr>
                <w:sz w:val="20"/>
                <w:szCs w:val="20"/>
                <w:color w:val="auto"/>
              </w:rPr>
            </w:pPr>
            <w:r>
              <w:rPr>
                <w:rFonts w:ascii="Arial" w:cs="Arial" w:eastAsia="Arial" w:hAnsi="Arial"/>
                <w:sz w:val="18"/>
                <w:szCs w:val="18"/>
                <w:color w:val="auto"/>
              </w:rPr>
              <w:t>4,135,841</w:t>
            </w:r>
          </w:p>
        </w:tc>
      </w:tr>
      <w:tr>
        <w:trPr>
          <w:trHeight w:val="432"/>
        </w:trPr>
        <w:tc>
          <w:tcPr>
            <w:tcW w:w="3840" w:type="dxa"/>
            <w:vAlign w:val="bottom"/>
          </w:tcPr>
          <w:p>
            <w:pPr>
              <w:ind w:left="240"/>
              <w:spacing w:after="0"/>
              <w:rPr>
                <w:sz w:val="20"/>
                <w:szCs w:val="20"/>
                <w:color w:val="auto"/>
              </w:rPr>
            </w:pPr>
            <w:r>
              <w:rPr>
                <w:rFonts w:ascii="Arial" w:cs="Arial" w:eastAsia="Arial" w:hAnsi="Arial"/>
                <w:sz w:val="18"/>
                <w:szCs w:val="18"/>
                <w:color w:val="auto"/>
              </w:rPr>
              <w:t>e) Election of Edward J. Zore</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66,471,117</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2,005,287</w:t>
            </w:r>
          </w:p>
        </w:tc>
        <w:tc>
          <w:tcPr>
            <w:tcW w:w="92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103,950</w:t>
            </w:r>
          </w:p>
        </w:tc>
        <w:tc>
          <w:tcPr>
            <w:tcW w:w="1180" w:type="dxa"/>
            <w:vAlign w:val="bottom"/>
          </w:tcPr>
          <w:p>
            <w:pPr>
              <w:jc w:val="right"/>
              <w:spacing w:after="0"/>
              <w:rPr>
                <w:sz w:val="20"/>
                <w:szCs w:val="20"/>
                <w:color w:val="auto"/>
              </w:rPr>
            </w:pPr>
            <w:r>
              <w:rPr>
                <w:rFonts w:ascii="Arial" w:cs="Arial" w:eastAsia="Arial" w:hAnsi="Arial"/>
                <w:sz w:val="18"/>
                <w:szCs w:val="18"/>
                <w:color w:val="auto"/>
              </w:rPr>
              <w:t>4,135,841</w:t>
            </w:r>
          </w:p>
        </w:tc>
      </w:tr>
    </w:tbl>
    <w:p>
      <w:pPr>
        <w:spacing w:after="0" w:line="202" w:lineRule="exact"/>
        <w:rPr>
          <w:sz w:val="20"/>
          <w:szCs w:val="20"/>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LLP as our independent auditors for 2014</w:t>
            </w:r>
          </w:p>
        </w:tc>
        <w:tc>
          <w:tcPr>
            <w:tcW w:w="2160" w:type="dxa"/>
            <w:vAlign w:val="bottom"/>
          </w:tcPr>
          <w:p>
            <w:pPr>
              <w:jc w:val="right"/>
              <w:ind w:right="270"/>
              <w:spacing w:after="0"/>
              <w:rPr>
                <w:sz w:val="20"/>
                <w:szCs w:val="20"/>
                <w:color w:val="auto"/>
              </w:rPr>
            </w:pPr>
            <w:r>
              <w:rPr>
                <w:rFonts w:ascii="Arial" w:cs="Arial" w:eastAsia="Arial" w:hAnsi="Arial"/>
                <w:sz w:val="18"/>
                <w:szCs w:val="18"/>
                <w:color w:val="auto"/>
              </w:rPr>
              <w:t>72,246,323</w:t>
            </w: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368,018</w:t>
            </w:r>
          </w:p>
        </w:tc>
        <w:tc>
          <w:tcPr>
            <w:tcW w:w="1820" w:type="dxa"/>
            <w:vAlign w:val="bottom"/>
          </w:tcPr>
          <w:p>
            <w:pPr>
              <w:jc w:val="right"/>
              <w:ind w:right="530"/>
              <w:spacing w:after="0"/>
              <w:rPr>
                <w:sz w:val="20"/>
                <w:szCs w:val="20"/>
                <w:color w:val="auto"/>
              </w:rPr>
            </w:pPr>
            <w:r>
              <w:rPr>
                <w:rFonts w:ascii="Arial" w:cs="Arial" w:eastAsia="Arial" w:hAnsi="Arial"/>
                <w:sz w:val="18"/>
                <w:szCs w:val="18"/>
                <w:color w:val="auto"/>
              </w:rPr>
              <w:t>101,854</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amendment to the 2011 Equity Incentive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Plan of ManpowerGroup Inc.</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64,874,766</w:t>
            </w: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3,465,467</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240,121</w:t>
            </w:r>
          </w:p>
        </w:tc>
        <w:tc>
          <w:tcPr>
            <w:tcW w:w="1020" w:type="dxa"/>
            <w:vAlign w:val="bottom"/>
          </w:tcPr>
          <w:p>
            <w:pPr>
              <w:jc w:val="right"/>
              <w:spacing w:after="0"/>
              <w:rPr>
                <w:sz w:val="20"/>
                <w:szCs w:val="20"/>
                <w:color w:val="auto"/>
              </w:rPr>
            </w:pPr>
            <w:r>
              <w:rPr>
                <w:rFonts w:ascii="Arial" w:cs="Arial" w:eastAsia="Arial" w:hAnsi="Arial"/>
                <w:sz w:val="18"/>
                <w:szCs w:val="18"/>
                <w:color w:val="auto"/>
              </w:rPr>
              <w:t>4,135,841</w:t>
            </w:r>
          </w:p>
        </w:tc>
      </w:tr>
    </w:tbl>
    <w:p>
      <w:pPr>
        <w:spacing w:after="0" w:line="187"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 vote on the compensation of our named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executive officers</w:t>
            </w:r>
          </w:p>
        </w:tc>
        <w:tc>
          <w:tcPr>
            <w:tcW w:w="2940" w:type="dxa"/>
            <w:vAlign w:val="bottom"/>
          </w:tcPr>
          <w:p>
            <w:pPr>
              <w:jc w:val="right"/>
              <w:ind w:right="190"/>
              <w:spacing w:after="0"/>
              <w:rPr>
                <w:sz w:val="20"/>
                <w:szCs w:val="20"/>
                <w:color w:val="auto"/>
              </w:rPr>
            </w:pPr>
            <w:r>
              <w:rPr>
                <w:rFonts w:ascii="Arial" w:cs="Arial" w:eastAsia="Arial" w:hAnsi="Arial"/>
                <w:sz w:val="18"/>
                <w:szCs w:val="18"/>
                <w:color w:val="auto"/>
              </w:rPr>
              <w:t>65,771,746</w:t>
            </w: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2,624,494</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184,114</w:t>
            </w:r>
          </w:p>
        </w:tc>
        <w:tc>
          <w:tcPr>
            <w:tcW w:w="1020" w:type="dxa"/>
            <w:vAlign w:val="bottom"/>
          </w:tcPr>
          <w:p>
            <w:pPr>
              <w:jc w:val="right"/>
              <w:spacing w:after="0"/>
              <w:rPr>
                <w:sz w:val="20"/>
                <w:szCs w:val="20"/>
                <w:color w:val="auto"/>
              </w:rPr>
            </w:pPr>
            <w:r>
              <w:rPr>
                <w:rFonts w:ascii="Arial" w:cs="Arial" w:eastAsia="Arial" w:hAnsi="Arial"/>
                <w:sz w:val="18"/>
                <w:szCs w:val="18"/>
                <w:color w:val="auto"/>
              </w:rPr>
              <w:t>4,135,841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tabs>
          <w:tab w:leader="none" w:pos="3420" w:val="left"/>
          <w:tab w:leader="none" w:pos="3860" w:val="left"/>
        </w:tabs>
        <w:rPr>
          <w:sz w:val="20"/>
          <w:szCs w:val="20"/>
          <w:color w:val="auto"/>
        </w:rPr>
      </w:pPr>
      <w:r>
        <w:rPr>
          <w:rFonts w:ascii="Arial" w:cs="Arial" w:eastAsia="Arial" w:hAnsi="Arial"/>
          <w:sz w:val="18"/>
          <w:szCs w:val="18"/>
          <w:color w:val="auto"/>
        </w:rPr>
        <w:t>Dated: April 30,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040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40890"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Richard Buchband</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340"/>
      </w:cols>
      <w:pgMar w:left="240" w:top="60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2019-12-06T03:47:41Z</dcterms:created>
  <dcterms:modified xsi:type="dcterms:W3CDTF">2019-12-06T03:47:41Z</dcterms:modified>
</cp:coreProperties>
</file>