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2009</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2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20" w:space="720"/>
            <w:col w:w="4480"/>
          </w:cols>
          <w:pgMar w:left="240" w:top="422" w:right="239" w:bottom="1440" w:gutter="0" w:footer="0" w:header="0"/>
          <w:type w:val="continuous"/>
        </w:sectPr>
      </w:pPr>
    </w:p>
    <w:p>
      <w:pPr>
        <w:spacing w:after="0" w:line="18"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220" w:space="720"/>
            <w:col w:w="4480"/>
          </w:cols>
          <w:pgMar w:left="240" w:top="422"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22"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780" w:space="720"/>
            <w:col w:w="1980" w:space="80"/>
            <w:col w:w="3860"/>
          </w:cols>
          <w:pgMar w:left="240" w:top="4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22" w:right="239" w:bottom="1440" w:gutter="0" w:footer="0" w:header="0"/>
          <w:type w:val="continuous"/>
        </w:sectPr>
      </w:pPr>
    </w:p>
    <w:p>
      <w:pPr>
        <w:spacing w:after="0" w:line="208" w:lineRule="exact"/>
        <w:rPr>
          <w:sz w:val="24"/>
          <w:szCs w:val="24"/>
          <w:color w:val="auto"/>
        </w:rPr>
      </w:pPr>
    </w:p>
    <w:p>
      <w:pPr>
        <w:spacing w:after="0" w:line="207" w:lineRule="exact"/>
        <w:tabs>
          <w:tab w:leader="none" w:pos="8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44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at July 28, 2009</w:t>
            </w:r>
          </w:p>
        </w:tc>
      </w:tr>
      <w:tr>
        <w:trPr>
          <w:trHeight w:val="230"/>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Common Stock, $.01</w:t>
            </w:r>
          </w:p>
        </w:tc>
        <w:tc>
          <w:tcPr>
            <w:tcW w:w="2380" w:type="dxa"/>
            <w:vAlign w:val="bottom"/>
          </w:tcPr>
          <w:p>
            <w:pPr>
              <w:spacing w:after="0"/>
              <w:rPr>
                <w:sz w:val="20"/>
                <w:szCs w:val="20"/>
                <w:color w:val="auto"/>
              </w:rPr>
            </w:pPr>
            <w:r>
              <w:rPr>
                <w:rFonts w:ascii="Arial" w:cs="Arial" w:eastAsia="Arial" w:hAnsi="Arial"/>
                <w:sz w:val="18"/>
                <w:szCs w:val="18"/>
                <w:color w:val="auto"/>
              </w:rPr>
              <w:t>par value</w:t>
            </w:r>
          </w:p>
        </w:tc>
        <w:tc>
          <w:tcPr>
            <w:tcW w:w="444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78,383,505</w:t>
            </w:r>
          </w:p>
        </w:tc>
      </w:tr>
      <w:tr>
        <w:trPr>
          <w:trHeight w:val="836"/>
        </w:trPr>
        <w:tc>
          <w:tcPr>
            <w:tcW w:w="1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40" w:type="dxa"/>
            <w:vAlign w:val="bottom"/>
          </w:tcPr>
          <w:p>
            <w:pPr>
              <w:jc w:val="right"/>
              <w:ind w:right="2550"/>
              <w:spacing w:after="0"/>
              <w:rPr>
                <w:sz w:val="20"/>
                <w:szCs w:val="20"/>
                <w:color w:val="auto"/>
              </w:rPr>
            </w:pPr>
            <w:r>
              <w:rPr>
                <w:rFonts w:ascii="Arial" w:cs="Arial" w:eastAsia="Arial" w:hAnsi="Arial"/>
                <w:sz w:val="18"/>
                <w:szCs w:val="18"/>
                <w:color w:val="auto"/>
              </w:rPr>
              <w:t>1</w:t>
            </w:r>
          </w:p>
        </w:tc>
        <w:tc>
          <w:tcPr>
            <w:tcW w:w="3020" w:type="dxa"/>
            <w:vAlign w:val="bottom"/>
          </w:tcPr>
          <w:p>
            <w:pPr>
              <w:spacing w:after="0"/>
              <w:rPr>
                <w:sz w:val="24"/>
                <w:szCs w:val="24"/>
                <w:color w:val="auto"/>
              </w:rPr>
            </w:pPr>
          </w:p>
        </w:tc>
      </w:tr>
      <w:tr>
        <w:trPr>
          <w:trHeight w:val="118"/>
        </w:trPr>
        <w:tc>
          <w:tcPr>
            <w:tcW w:w="15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80" w:type="dxa"/>
            <w:vAlign w:val="bottom"/>
            <w:gridSpan w:val="2"/>
          </w:tcPr>
          <w:p>
            <w:pPr>
              <w:jc w:val="center"/>
              <w:ind w:right="2520"/>
              <w:spacing w:after="0"/>
              <w:rPr>
                <w:sz w:val="20"/>
                <w:szCs w:val="20"/>
                <w:color w:val="auto"/>
              </w:rPr>
            </w:pPr>
            <w:r>
              <w:rPr>
                <w:rFonts w:ascii="Arial" w:cs="Arial" w:eastAsia="Arial" w:hAnsi="Arial"/>
                <w:sz w:val="18"/>
                <w:szCs w:val="18"/>
                <w:b w:val="1"/>
                <w:bCs w:val="1"/>
                <w:color w:val="auto"/>
              </w:rPr>
              <w:t>INDEX</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FINANCIAL INFORMATION</w:t>
            </w: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center"/>
              <w:ind w:right="530"/>
              <w:spacing w:after="0"/>
              <w:rPr>
                <w:sz w:val="20"/>
                <w:szCs w:val="20"/>
                <w:color w:val="auto"/>
              </w:rPr>
            </w:pPr>
            <w:r>
              <w:rPr>
                <w:rFonts w:ascii="Arial" w:cs="Arial" w:eastAsia="Arial" w:hAnsi="Arial"/>
                <w:sz w:val="18"/>
                <w:szCs w:val="18"/>
                <w:color w:val="auto"/>
                <w:w w:val="91"/>
              </w:rPr>
              <w:t>Item 1</w:t>
            </w:r>
          </w:p>
        </w:tc>
        <w:tc>
          <w:tcPr>
            <w:tcW w:w="8120" w:type="dxa"/>
            <w:vAlign w:val="bottom"/>
            <w:gridSpan w:val="3"/>
          </w:tcPr>
          <w:p>
            <w:pPr>
              <w:ind w:left="340"/>
              <w:spacing w:after="0"/>
              <w:rPr>
                <w:sz w:val="20"/>
                <w:szCs w:val="20"/>
                <w:color w:val="auto"/>
              </w:rPr>
            </w:pPr>
            <w:r>
              <w:rPr>
                <w:rFonts w:ascii="Arial" w:cs="Arial" w:eastAsia="Arial" w:hAnsi="Arial"/>
                <w:sz w:val="18"/>
                <w:szCs w:val="18"/>
                <w:color w:val="auto"/>
              </w:rPr>
              <w:t>Financial Statements (unaudited)</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Consolidated Balance Sheets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gridSpan w:val="3"/>
          </w:tcPr>
          <w:p>
            <w:pPr>
              <w:ind w:left="980"/>
              <w:spacing w:after="0"/>
              <w:rPr>
                <w:sz w:val="20"/>
                <w:szCs w:val="20"/>
                <w:color w:val="auto"/>
              </w:rPr>
            </w:pPr>
            <w:r>
              <w:rPr>
                <w:rFonts w:ascii="Arial" w:cs="Arial" w:eastAsia="Arial" w:hAnsi="Arial"/>
                <w:sz w:val="18"/>
                <w:szCs w:val="18"/>
                <w:color w:val="auto"/>
              </w:rPr>
              <w:t>Consolidated Statements of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Consolidated Statements of Cash Flows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20" w:type="dxa"/>
            <w:vAlign w:val="bottom"/>
            <w:gridSpan w:val="3"/>
          </w:tcPr>
          <w:p>
            <w:pPr>
              <w:ind w:left="980"/>
              <w:spacing w:after="0"/>
              <w:rPr>
                <w:sz w:val="20"/>
                <w:szCs w:val="20"/>
                <w:color w:val="auto"/>
              </w:rPr>
            </w:pPr>
            <w:r>
              <w:rPr>
                <w:rFonts w:ascii="Arial" w:cs="Arial" w:eastAsia="Arial" w:hAnsi="Arial"/>
                <w:sz w:val="18"/>
                <w:szCs w:val="18"/>
                <w:color w:val="auto"/>
              </w:rPr>
              <w:t>Notes to Consolidated Financial Statements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1"/>
              </w:rPr>
              <w:t>Item 2</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center"/>
              <w:ind w:right="530"/>
              <w:spacing w:after="0"/>
              <w:rPr>
                <w:sz w:val="20"/>
                <w:szCs w:val="20"/>
                <w:color w:val="auto"/>
              </w:rPr>
            </w:pPr>
            <w:r>
              <w:rPr>
                <w:rFonts w:ascii="Arial" w:cs="Arial" w:eastAsia="Arial" w:hAnsi="Arial"/>
                <w:sz w:val="18"/>
                <w:szCs w:val="18"/>
                <w:color w:val="auto"/>
                <w:w w:val="91"/>
              </w:rPr>
              <w:t>Item 3</w:t>
            </w:r>
          </w:p>
        </w:tc>
        <w:tc>
          <w:tcPr>
            <w:tcW w:w="8120" w:type="dxa"/>
            <w:vAlign w:val="bottom"/>
            <w:gridSpan w:val="3"/>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1"/>
              </w:rPr>
              <w:t>Item 4</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Controls and Procedures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OTHER INFORMATION</w:t>
            </w: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center"/>
              <w:ind w:right="530"/>
              <w:spacing w:after="0"/>
              <w:rPr>
                <w:sz w:val="20"/>
                <w:szCs w:val="20"/>
                <w:color w:val="auto"/>
              </w:rPr>
            </w:pPr>
            <w:r>
              <w:rPr>
                <w:rFonts w:ascii="Arial" w:cs="Arial" w:eastAsia="Arial" w:hAnsi="Arial"/>
                <w:sz w:val="18"/>
                <w:szCs w:val="18"/>
                <w:color w:val="auto"/>
                <w:w w:val="91"/>
              </w:rPr>
              <w:t>Item 2</w:t>
            </w:r>
          </w:p>
        </w:tc>
        <w:tc>
          <w:tcPr>
            <w:tcW w:w="8120" w:type="dxa"/>
            <w:vAlign w:val="bottom"/>
            <w:gridSpan w:val="3"/>
          </w:tcPr>
          <w:p>
            <w:pPr>
              <w:ind w:left="340"/>
              <w:spacing w:after="0"/>
              <w:rPr>
                <w:sz w:val="20"/>
                <w:szCs w:val="20"/>
                <w:color w:val="auto"/>
              </w:rPr>
            </w:pPr>
            <w:r>
              <w:rPr>
                <w:rFonts w:ascii="Arial" w:cs="Arial" w:eastAsia="Arial" w:hAnsi="Arial"/>
                <w:sz w:val="18"/>
                <w:szCs w:val="18"/>
                <w:color w:val="auto"/>
              </w:rPr>
              <w:t>Unregistered Sales of Equity Securities and Use of Proceeds</w:t>
            </w: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1"/>
              </w:rPr>
              <w:t>Item 4</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Submission of Matters to a Vote of Security Holders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jc w:val="center"/>
              <w:ind w:right="530"/>
              <w:spacing w:after="0"/>
              <w:rPr>
                <w:sz w:val="20"/>
                <w:szCs w:val="20"/>
                <w:color w:val="auto"/>
              </w:rPr>
            </w:pPr>
            <w:r>
              <w:rPr>
                <w:rFonts w:ascii="Arial" w:cs="Arial" w:eastAsia="Arial" w:hAnsi="Arial"/>
                <w:sz w:val="18"/>
                <w:szCs w:val="18"/>
                <w:color w:val="auto"/>
                <w:w w:val="91"/>
              </w:rPr>
              <w:t>Item 5</w:t>
            </w:r>
          </w:p>
        </w:tc>
        <w:tc>
          <w:tcPr>
            <w:tcW w:w="8120" w:type="dxa"/>
            <w:vAlign w:val="bottom"/>
            <w:gridSpan w:val="3"/>
          </w:tcPr>
          <w:p>
            <w:pPr>
              <w:ind w:left="340"/>
              <w:spacing w:after="0"/>
              <w:rPr>
                <w:sz w:val="20"/>
                <w:szCs w:val="20"/>
                <w:color w:val="auto"/>
              </w:rPr>
            </w:pPr>
            <w:r>
              <w:rPr>
                <w:rFonts w:ascii="Arial" w:cs="Arial" w:eastAsia="Arial" w:hAnsi="Arial"/>
                <w:sz w:val="18"/>
                <w:szCs w:val="18"/>
                <w:color w:val="auto"/>
              </w:rPr>
              <w:t>Other Information</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1"/>
              </w:rPr>
              <w:t>Item 6</w:t>
            </w:r>
          </w:p>
        </w:tc>
        <w:tc>
          <w:tcPr>
            <w:tcW w:w="8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Exhibits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jc w:val="center"/>
              <w:ind w:right="490"/>
              <w:spacing w:after="0"/>
              <w:rPr>
                <w:sz w:val="20"/>
                <w:szCs w:val="20"/>
                <w:color w:val="auto"/>
              </w:rPr>
            </w:pPr>
            <w:r>
              <w:rPr>
                <w:rFonts w:ascii="Arial" w:cs="Arial" w:eastAsia="Arial" w:hAnsi="Arial"/>
                <w:sz w:val="18"/>
                <w:szCs w:val="18"/>
                <w:b w:val="1"/>
                <w:bCs w:val="1"/>
                <w:color w:val="auto"/>
                <w:w w:val="96"/>
              </w:rPr>
              <w:t>SIGNATURES</w:t>
            </w:r>
          </w:p>
        </w:tc>
        <w:tc>
          <w:tcPr>
            <w:tcW w:w="23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23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46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MANPOWER INC. AND SUBSIDIARIES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$125.9 and $118.5, respectively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$89.2 and $78.4, respectively</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340"/>
              <w:spacing w:after="0"/>
              <w:rPr>
                <w:sz w:val="20"/>
                <w:szCs w:val="20"/>
                <w:color w:val="auto"/>
              </w:rPr>
            </w:pPr>
            <w:r>
              <w:rPr>
                <w:rFonts w:ascii="Arial" w:cs="Arial" w:eastAsia="Arial" w:hAnsi="Arial"/>
                <w:sz w:val="18"/>
                <w:szCs w:val="18"/>
                <w:color w:val="auto"/>
              </w:rPr>
              <w:t>Total other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6,241.9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b w:val="1"/>
                <w:bCs w:val="1"/>
                <w:color w:val="auto"/>
              </w:rPr>
              <w:t>MANPOWER INC. AND SUBSIDIARIES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999.2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$.01 par value, authorized 125,000,000 shares, issued 104,208,757 and 103,756,138 shares,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25,856,234 and 25,791,941 shares, respectively</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(1,226.4)</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2,543.5</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6,241.9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3,796.6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7,443.7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946.3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Earnings before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6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19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Excess tax benefit on exercise of stock options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(395.4)</w:t>
            </w:r>
          </w:p>
        </w:tc>
        <w:tc>
          <w:tcPr>
            <w:tcW w:w="8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of businesses, net of cash acquired</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Proceeds from the sale of property and equipment</w:t>
            </w:r>
          </w:p>
        </w:tc>
        <w:tc>
          <w:tcPr>
            <w:tcW w:w="10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72"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40" w:right="3020"/>
        <w:spacing w:after="0" w:line="250" w:lineRule="auto"/>
        <w:rPr>
          <w:sz w:val="20"/>
          <w:szCs w:val="20"/>
          <w:color w:val="auto"/>
        </w:rPr>
      </w:pPr>
      <w:r>
        <w:rPr>
          <w:rFonts w:ascii="Arial" w:cs="Arial" w:eastAsia="Arial" w:hAnsi="Arial"/>
          <w:sz w:val="18"/>
          <w:szCs w:val="18"/>
          <w:color w:val="auto"/>
        </w:rPr>
        <w:t>Net (repayments) borrowings of short-term facilities and long-term debt Proceeds from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Excess tax benefit on exercise of stock options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16"/>
        </w:trPr>
        <w:tc>
          <w:tcPr>
            <w:tcW w:w="1040" w:type="dxa"/>
            <w:vAlign w:val="bottom"/>
          </w:tcPr>
          <w:p>
            <w:pPr>
              <w:jc w:val="right"/>
              <w:ind w:right="510"/>
              <w:spacing w:after="0"/>
              <w:rPr>
                <w:sz w:val="20"/>
                <w:szCs w:val="20"/>
                <w:color w:val="auto"/>
              </w:rPr>
            </w:pPr>
            <w:r>
              <w:rPr>
                <w:rFonts w:ascii="Arial" w:cs="Arial" w:eastAsia="Arial" w:hAnsi="Arial"/>
                <w:sz w:val="18"/>
                <w:szCs w:val="18"/>
                <w:color w:val="auto"/>
                <w:w w:val="89"/>
              </w:rPr>
              <w:t>(85.0)</w:t>
            </w: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5.5</w:t>
            </w: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0.1</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bl>
    <w:p>
      <w:pPr>
        <w:ind w:left="1680" w:hanging="1268"/>
        <w:spacing w:after="0"/>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(52.7)</w:t>
      </w:r>
    </w:p>
    <w:p>
      <w:pPr>
        <w:spacing w:after="0" w:line="32"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(29.0)</w:t>
      </w:r>
      <w:r>
        <w:rPr>
          <w:rFonts w:ascii="Arial" w:cs="Arial" w:eastAsia="Arial" w:hAnsi="Arial"/>
          <w:sz w:val="16"/>
          <w:szCs w:val="16"/>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5715</wp:posOffset>
            </wp:positionV>
            <wp:extent cx="1878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2"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6"/>
          <w:szCs w:val="16"/>
          <w:color w:val="auto"/>
        </w:rPr>
        <w:t>(44.7)</w:t>
      </w:r>
    </w:p>
    <w:p>
      <w:pPr>
        <w:spacing w:after="0" w:line="227" w:lineRule="exact"/>
        <w:rPr>
          <w:sz w:val="20"/>
          <w:szCs w:val="20"/>
          <w:color w:val="auto"/>
        </w:rPr>
      </w:pPr>
    </w:p>
    <w:p>
      <w:pPr>
        <w:sectPr>
          <w:pgSz w:w="11900" w:h="16838" w:orient="portrait"/>
          <w:cols w:equalWidth="0" w:num="2">
            <w:col w:w="8540" w:space="720"/>
            <w:col w:w="2160"/>
          </w:cols>
          <w:pgMar w:left="240" w:top="972"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1,107.3</w:t>
            </w:r>
          </w:p>
        </w:tc>
        <w:tc>
          <w:tcPr>
            <w:tcW w:w="220" w:type="dxa"/>
            <w:vAlign w:val="bottom"/>
          </w:tcPr>
          <w:p>
            <w:pPr>
              <w:spacing w:after="0"/>
              <w:rPr>
                <w:sz w:val="18"/>
                <w:szCs w:val="18"/>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Interest paid</w:t>
            </w: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Six Months Ended June 30, 2009 and 2008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2008 Annual Report to Shareholders.</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Employment-Related Items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We recorded the benefit of the 2006 modification in 2007. In April 2008, we received additional information from our trade association, which was based on communications with the Central Agency indicating that this modification is also applicable to 2005. We recorded $53.7 ($35.2 after tax, or $0.44 per diluted share) of a net benefit in the second quarter of 2008 related to the 2005 modification, which resulted in an increase to Gross Profit.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accordance with Statement of Financial Accounting Standards No. 142, “Goodwill and Other Intangible Assets,” we perform an annual impairment test of goodwill and indefinite-lived intangible assets at our reporting unit level during the third quarter or more frequently if events or circumstances change that would more likely than not reduce the fair value of our reporting units below their carrying value.</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on-going unfavorable impact of the credit crisis and the current economic environment, we completed an assessment of impairment indicators during the second quarter of 2009 to determine if the fair value of any of our reporting units was more likely than not below carrying value. We also considered a number of factors, including, among other things, recent operational trends and reorganization plans. We considered the effect of the recent decline in the demand for our services and volatility in our stock price on the fair value of our reporting units. However, based on our previous experiences during economic downturns, we do not currently believe these are necessarily indicative of a significant decline in the long-term value of our businesses and therefore in the fair value of our reporting units.</w:t>
      </w:r>
    </w:p>
    <w:p>
      <w:pPr>
        <w:spacing w:after="0" w:line="22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Our consolidated revenues declined 35.7% (26.6% in constant currency) during the second quarter of 2009 as compared to the second quarter of 2008, with similar declines in most of our reporting units. This decline was in line with our expectations and reflects some stabilization in certain markets, as compared to the 32.3% decline (21.8% in constant currency) we experienced during the first quarter of 2009, with stabilization just beginning in a couple of markets.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2" w:right="27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t>Our stock price and our resulting market capitalization increased during the second quarter of 2009. Our stock price was $42.34 as of June 30, 2009 as compared to $31.53 as of March 31, 2009. Our book value per share was $32.46 as of June 30, 2009. We expect that there may continue to be volatility in our stock price due to changes in market conditions and expectations; however, our market capitalization continues to be greater than our book value at our quarter-end.</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Jefferson Wells reporting unit recorded restructuring costs of $5.9 in the second quarter of 2009 as we anticipated, due to a reorganization of their operating structure to address the current economic conditions. To evaluate the effect of this reorganization, we reviewed Jefferson Wells’ revised forecast and adjusted our discounted projected cash flows accordingly. The fair value of these cash flows continued to exceed the carrying value at June 30, 2009, albeit by a narrower margin.</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our assessment, we concluded it was more likely than not that the fair value of our reporting units continued to exceed their carrying value at June 30, 2009 and therefore no interim impairment test was required.</w:t>
      </w:r>
    </w:p>
    <w:p>
      <w:pPr>
        <w:spacing w:after="0" w:line="1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annual impairment test will occur in the third quarter of 2009. If we continue to experience volatility in our stock prices and/or a further erosion of actual and projected revenues, we may have a material impairment charge related to one or more of our reporting units, such as Jefferson Wells.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July 31, 2009, which is the date that the financial statements are issued, and noted no events that are subject to recognition or disclosure.</w:t>
      </w:r>
    </w:p>
    <w:p>
      <w:pPr>
        <w:spacing w:after="0" w:line="19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December 2007, the FASB issued FASB Staff Position No. FAS 132(R)-1, “Employers’ Disclosures about Postretirement Benefit Plan Assets” (“FSP FAS 132(R)-1”). FSP FAS 132(R)-1 requires additional disclosures about plan assets of a defined benefit pension or other postretirement plan. FAS 132(R)-1 will be effective for our 2009 annual disclosures.</w:t>
      </w:r>
    </w:p>
    <w:p>
      <w:pPr>
        <w:spacing w:after="0" w:line="20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May 2009, the FASB issued Statement No. 165, “Subsequent Events” (“SFAS 165”). SFAS 165 requires disclosure of the date through which an entity has evaluated subsequent events and the basis for that date. We adopted SFAS 165 effective second quarter 2009. See Note 1 for the disclosure.</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2009, the FASB issued Statement No. 166, “Accounting for Transfers of Financial Assets, an amendment of FASB Statement No. 140” (“SFAS 166”). SFAS 166 eliminates the concept of a qualifying special-purpose entity and removes the exception from applying FASB Interpretation No. 46(R), “Consolidation of Variable Interest Entities” (“FIN 46(R)”), to qualifying special purpose entities. SFAS 166 also defines the term participating interest to establish specific conditions for reporting a transfer of apportion of a financial asset as a sale. The Statement also requires that a transferor recognize and initially measure at fair value all assets obtained and liabilities incurred as a result of a transfer of financial assets accounted for as a sale. SFAS 166 will be effective for us in 2010. We do not expect the adoption of this statement to have a material impact on our consolidated financial statements.</w:t>
      </w:r>
    </w:p>
    <w:p>
      <w:pPr>
        <w:spacing w:after="0" w:line="200" w:lineRule="exact"/>
        <w:rPr>
          <w:sz w:val="20"/>
          <w:szCs w:val="20"/>
          <w:color w:val="auto"/>
        </w:rPr>
      </w:pPr>
    </w:p>
    <w:p>
      <w:pPr>
        <w:spacing w:after="0" w:line="24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June 2009, the FASB issued Statement No. 167, “Amendments to FASB Interpretation No. 46(R)” (“SFAS 167”). SFAS 167 amends the guidance for identifying the primary beneficiary in variable interest entities and requires ongoing assessments for purposes of identifying the primary beneficiary. SFAS 167 will be effective for us in 2010. We do not expect the adoption of this statement to have a material impact on our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recognized share-based compensation expense of approximately $3.4 and $5.4 for the three months ended June 30, 2009 and 2008, respectively, and $7.5 and $14.3 for the six months ended June 30, 2009 and 2008, respectively. The expense relates to grants of stock options, deferred stock, restricted stock, and performance share units. Cash received from stock option exercises was $7.5 and $11.1 for the six months ended June 30, 2009 and 2008, respectively. We recognize share-based compensation expense related to grants of share-based awards in Selling and Administrative Expenses on a straight-line basis over the service period of each award.</w:t>
      </w:r>
    </w:p>
    <w:p>
      <w:pPr>
        <w:spacing w:after="0" w:line="21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Reorganization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in the six months ended June 30 was $21.7 and $195.5 for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the first two quarters of 2009 and fourth quarter of 2008, we recorded reorganization charges of $57.1 ($19.9 in 2009 and $37.2 in 2008) in Selling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primarily related to severances as well as office closures and consolidations in several countries. As of June 30, 2009, $5.7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$23.8 have been paid out of the reserves recorded in 2009 and 2008, respectively, of which $21.1 was paid during the three months ended June 30, 2009.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a majority of the remaining $27.6 will be paid in 2009. For reorganization charges recorded prior to 2008, there is $1.1 remaining to be paid as of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2009, which we expect will be paid in 2009.</w:t>
      </w:r>
    </w:p>
    <w:p>
      <w:pPr>
        <w:spacing w:after="0" w:line="23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an income tax benefit, at an effective rate of -70.4% for the second quarter of 2009, as compared to an income tax expense, at an effective rate of 44.5% for the second quarter of 2008. The change in the 2009 rate is due to the impact of a discrete tax benefit that reduced the amount of deferred taxes related to the French earnings that will likely be repatriated because of the payment of the fine for the French competition case. Excluding the impact of this discrete item, our effective tax rate for the second quarter of 2009 was 63.8%.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22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recorded an income tax benefit, at an effective rate of -338.8% for the first half of 2009, as compared to an income tax expense, at an effective rate of 41.8% for the first half of 2008. The change in the 2009 rate is due to the impact of a discrete tax benefit that reduced the amount of deferred taxes related to the French earnings that will likely be repatriated because of the payment of the fine for the French competition case and a valuation allowance reversal related to a European entity for prior net operating losses that will now be utilized. Excluding the impact of these discrete items, our effective tax rate for the first half of 2009 was 53.4 %.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ind w:right="40"/>
        <w:spacing w:after="0" w:line="297" w:lineRule="auto"/>
        <w:rPr>
          <w:sz w:val="20"/>
          <w:szCs w:val="20"/>
          <w:color w:val="auto"/>
        </w:rPr>
      </w:pPr>
      <w:r>
        <w:rPr>
          <w:rFonts w:ascii="Arial" w:cs="Arial" w:eastAsia="Arial" w:hAnsi="Arial"/>
          <w:sz w:val="16"/>
          <w:szCs w:val="16"/>
          <w:color w:val="auto"/>
        </w:rPr>
        <w:t>As of June 30, 2009, we had gross unrecognized tax benefits of $52.6 recorded in accordance with FASB Interpretation No. 48, “Accounting for Uncertainty in Income Taxes, and Related Implementation Issues” (“FIN 48”). Our FIN 48 accrual is related to various tax jurisdictions, including $2.0 of interest and penalties, and related tax benefits of $12.8. As of December 31, 2008, we had gross unrecognized tax benefits of $50.9 and related tax benefits of $12.8. The net amount of $39.8 as of June 30, 2009 would favorably affect the effective tax rate if recognized. While we do not anticipate any significant changes in our unrecognized tax benefits, there are certain statutes of limitation that will be expiring over the next 12 months which may result in a benefit being recognized.</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2004 through 2008 for our major operations in the U.S., France, the U.K., and Italy. As of June 30, 2009, we are subject to tax audits in France, the U.K. the U.S. and Australia, and we believe that the resolution of these audits will not have a material impact on earnings. There was no significant change in the total unrecognized tax benefits due to the settlement of audits, the expiration of statute of limitations, or for other items during the quarter ended June 30, 2009.</w:t>
      </w:r>
    </w:p>
    <w:p>
      <w:pPr>
        <w:spacing w:after="0" w:line="21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Effect of restricted stock grants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calculation of Net Earnings Per Share – Diluted does not include certain option grants because the exercise price for these options is greater than the average market price of the common shares during the period. There were 3.7 million and 0.8 million options excluded from the calculation for the three and six months ended June 30, 2009 and 2008, respectively.</w:t>
      </w:r>
    </w:p>
    <w:p>
      <w:pPr>
        <w:spacing w:after="0" w:line="20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June 2009, we terminated our $100.0 Receivables Facility program, which would have expired in July 2009. We terminated the program as we did not anticipate a need for this liquidity and anticipated a significant increase in associated fees and borrowing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presentation reflects the realignment of our segments that occurred during the first quarter of 2009. See Note 14 for further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Jefferson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Americas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France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line="234" w:lineRule="exact"/>
              <w:rPr>
                <w:sz w:val="20"/>
                <w:szCs w:val="20"/>
                <w:color w:val="auto"/>
              </w:rPr>
            </w:pPr>
            <w:r>
              <w:rPr>
                <w:rFonts w:ascii="Arial" w:cs="Arial" w:eastAsia="Arial" w:hAnsi="Arial"/>
                <w:sz w:val="18"/>
                <w:szCs w:val="18"/>
                <w:b w:val="1"/>
                <w:bCs w:val="1"/>
                <w:color w:val="auto"/>
                <w:w w:val="93"/>
              </w:rPr>
              <w:t>EMEA</w:t>
            </w:r>
            <w:r>
              <w:rPr>
                <w:rFonts w:ascii="Arial" w:cs="Arial" w:eastAsia="Arial" w:hAnsi="Arial"/>
                <w:sz w:val="25"/>
                <w:szCs w:val="25"/>
                <w:color w:val="auto"/>
                <w:w w:val="93"/>
                <w:vertAlign w:val="superscript"/>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Asia Pacific</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Management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Wells</w:t>
            </w:r>
          </w:p>
        </w:tc>
        <w:tc>
          <w:tcPr>
            <w:tcW w:w="1160" w:type="dxa"/>
            <w:vAlign w:val="bottom"/>
            <w:gridSpan w:val="4"/>
          </w:tcPr>
          <w:p>
            <w:pPr>
              <w:ind w:left="100"/>
              <w:spacing w:after="0" w:line="234" w:lineRule="exact"/>
              <w:rPr>
                <w:sz w:val="20"/>
                <w:szCs w:val="20"/>
                <w:color w:val="auto"/>
              </w:rPr>
            </w:pPr>
            <w:r>
              <w:rPr>
                <w:rFonts w:ascii="Arial" w:cs="Arial" w:eastAsia="Arial" w:hAnsi="Arial"/>
                <w:sz w:val="18"/>
                <w:szCs w:val="18"/>
                <w:b w:val="1"/>
                <w:bCs w:val="1"/>
                <w:color w:val="auto"/>
                <w:w w:val="97"/>
              </w:rPr>
              <w:t>Corporate</w:t>
            </w:r>
            <w:r>
              <w:rPr>
                <w:rFonts w:ascii="Arial" w:cs="Arial" w:eastAsia="Arial" w:hAnsi="Arial"/>
                <w:sz w:val="25"/>
                <w:szCs w:val="25"/>
                <w:color w:val="auto"/>
                <w:w w:val="97"/>
                <w:vertAlign w:val="superscript"/>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Goodwill acquired</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Balance, June 30, 2009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Italy are $4.8 as of June 30, 2009 and December 31, 2008.</w:t>
      </w:r>
    </w:p>
    <w:p>
      <w:pPr>
        <w:spacing w:after="0" w:line="252" w:lineRule="exact"/>
        <w:rPr>
          <w:rFonts w:ascii="Arial" w:cs="Arial" w:eastAsia="Arial" w:hAnsi="Arial"/>
          <w:sz w:val="18"/>
          <w:szCs w:val="18"/>
          <w:color w:val="auto"/>
        </w:rPr>
      </w:pPr>
    </w:p>
    <w:p>
      <w:pPr>
        <w:ind w:right="20" w:firstLine="8"/>
        <w:spacing w:after="0" w:line="259"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at June 30, 2009 relates to goodwill attributable from our acquisitions of Right Management ($184.5) and Jefferson Wells ($149.2).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composition of goodwill balances by reporting unit.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Goodwill balances by reporting unit are as follows:</w:t>
            </w: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4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Management</w:t>
            </w:r>
          </w:p>
        </w:tc>
        <w:tc>
          <w:tcPr>
            <w:tcW w:w="3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Jefferson Wells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Elan</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Netherlands (Vitae)</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Other reporting units</w:t>
            </w:r>
          </w:p>
        </w:tc>
        <w:tc>
          <w:tcPr>
            <w:tcW w:w="3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r>
      <w:tr>
        <w:trPr>
          <w:trHeight w:val="257"/>
        </w:trPr>
        <w:tc>
          <w:tcPr>
            <w:tcW w:w="466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goodwill</w:t>
            </w:r>
          </w:p>
        </w:tc>
        <w:tc>
          <w:tcPr>
            <w:tcW w:w="39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1,011.4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972.9</w:t>
            </w:r>
          </w:p>
        </w:tc>
      </w:tr>
      <w:tr>
        <w:trPr>
          <w:trHeight w:val="696"/>
        </w:trPr>
        <w:tc>
          <w:tcPr>
            <w:tcW w:w="466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jc w:val="right"/>
              <w:ind w:right="247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466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10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100" w:type="dxa"/>
            <w:vAlign w:val="bottom"/>
            <w:gridSpan w:val="4"/>
          </w:tcPr>
          <w:p>
            <w:pPr>
              <w:spacing w:after="0"/>
              <w:rPr>
                <w:sz w:val="20"/>
                <w:szCs w:val="20"/>
                <w:color w:val="auto"/>
              </w:rPr>
            </w:pPr>
            <w:r>
              <w:rPr>
                <w:rFonts w:ascii="Arial" w:cs="Arial" w:eastAsia="Arial" w:hAnsi="Arial"/>
                <w:sz w:val="18"/>
                <w:szCs w:val="18"/>
                <w:color w:val="auto"/>
              </w:rPr>
              <w:t>The components of the net periodic benefit cost for our plans are as follows: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89"/>
              </w:rPr>
              <w:t>Defined Benefit Pension Plans</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180" w:type="dxa"/>
            <w:vAlign w:val="bottom"/>
            <w:gridSpan w:val="5"/>
          </w:tcPr>
          <w:p>
            <w:pPr>
              <w:jc w:val="center"/>
              <w:ind w:left="23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6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Curtailment and settlement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Total benefit cost</w:t>
            </w:r>
          </w:p>
        </w:tc>
        <w:tc>
          <w:tcPr>
            <w:tcW w:w="80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Retiree Health Care Plan</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180" w:type="dxa"/>
            <w:vAlign w:val="bottom"/>
            <w:gridSpan w:val="5"/>
          </w:tcPr>
          <w:p>
            <w:pPr>
              <w:jc w:val="center"/>
              <w:ind w:left="23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6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Total benefit cost</w:t>
            </w:r>
          </w:p>
        </w:tc>
        <w:tc>
          <w:tcPr>
            <w:tcW w:w="80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Effective January 1, 2009, we have terminated our defined benefit plan in Japan and replaced it with a defined contribution plan, resulting in a curtailment and settlement gain of $4.3.</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2009, contributions made to our pension plans were $2.0 and $4.1, respectively, and contributions made to our retiree health care plan were $0.6 and $1.2, respectively. We expect to make total contributions of $12.5 to our pension plans and $1.6 to our retiree health care plan during 2009.</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Arial" w:cs="Arial" w:eastAsia="Arial" w:hAnsi="Arial"/>
                <w:sz w:val="18"/>
                <w:szCs w:val="18"/>
                <w:color w:val="auto"/>
              </w:rPr>
              <w:t>(10) Shareholders’ Equity</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080" w:type="dxa"/>
            <w:vAlign w:val="bottom"/>
            <w:gridSpan w:val="3"/>
          </w:tcPr>
          <w:p>
            <w:pPr>
              <w:spacing w:after="0"/>
              <w:rPr>
                <w:sz w:val="20"/>
                <w:szCs w:val="20"/>
                <w:color w:val="auto"/>
              </w:rPr>
            </w:pPr>
            <w:r>
              <w:rPr>
                <w:rFonts w:ascii="Arial" w:cs="Arial" w:eastAsia="Arial" w:hAnsi="Arial"/>
                <w:sz w:val="18"/>
                <w:szCs w:val="18"/>
                <w:color w:val="auto"/>
              </w:rPr>
              <w:t>The components of Comprehensive Income, net of tax,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6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w:t>
            </w:r>
          </w:p>
        </w:tc>
      </w:tr>
      <w:tr>
        <w:trPr>
          <w:trHeight w:val="216"/>
        </w:trPr>
        <w:tc>
          <w:tcPr>
            <w:tcW w:w="6080" w:type="dxa"/>
            <w:vAlign w:val="bottom"/>
            <w:gridSpan w:val="3"/>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6080" w:type="dxa"/>
            <w:vAlign w:val="bottom"/>
            <w:gridSpan w:val="3"/>
          </w:tcPr>
          <w:p>
            <w:pPr>
              <w:ind w:left="340"/>
              <w:spacing w:after="0"/>
              <w:rPr>
                <w:sz w:val="20"/>
                <w:szCs w:val="20"/>
                <w:color w:val="auto"/>
              </w:rPr>
            </w:pPr>
            <w:r>
              <w:rPr>
                <w:rFonts w:ascii="Arial" w:cs="Arial" w:eastAsia="Arial" w:hAnsi="Arial"/>
                <w:sz w:val="18"/>
                <w:szCs w:val="18"/>
                <w:color w:val="auto"/>
              </w:rPr>
              <w:t>Unrealized gain (loss) on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Unrealized gains on derivatives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08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Retiree health care plan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7"/>
        </w:trPr>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165.3</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r>
      <w:tr>
        <w:trPr>
          <w:trHeight w:val="21"/>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Accumulated Other Comprehensive Income (Loss), net of tax, are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gain on investments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Retiree health care plan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351" w:right="239" w:bottom="1440" w:gutter="0" w:footer="0" w:header="0"/>
          <w:type w:val="continuous"/>
        </w:sectPr>
      </w:pPr>
    </w:p>
    <w:p>
      <w:pPr>
        <w:spacing w:after="0" w:line="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During the first half of 2009, we made no share repurchases. There were 1.1 million shares, at a cost of up to $182.1, remaining authorized for repurchase under our 2007 authorization as of June 30, 2009. During the first half of 2008, we repurchased 0.8 million shares at a total cost of $41.2 under the same authorization. These shares were all repurchased during the first quarter, with no additional repurchases during the second quarter.</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28, 2009, the Board of Directors declared a cash dividend of $0.37 per share, which was paid on June 15, 2009 to shareholders of record on June 3,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760" w:type="dxa"/>
            <w:vAlign w:val="bottom"/>
            <w:gridSpan w:val="4"/>
          </w:tcPr>
          <w:p>
            <w:pPr>
              <w:spacing w:after="0"/>
              <w:rPr>
                <w:sz w:val="20"/>
                <w:szCs w:val="20"/>
                <w:color w:val="auto"/>
              </w:rPr>
            </w:pPr>
            <w:r>
              <w:rPr>
                <w:rFonts w:ascii="Arial" w:cs="Arial" w:eastAsia="Arial" w:hAnsi="Arial"/>
                <w:sz w:val="18"/>
                <w:szCs w:val="18"/>
                <w:color w:val="auto"/>
              </w:rPr>
              <w:t>Interest and Other Expenses consists of the following:</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13.9</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Miscellaneous (income) expense, net</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Interest and other expenses</w:t>
            </w:r>
          </w:p>
        </w:tc>
        <w:tc>
          <w:tcPr>
            <w:tcW w:w="21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10.8</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696"/>
        </w:trPr>
        <w:tc>
          <w:tcPr>
            <w:tcW w:w="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13</w:t>
            </w: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3" w:name="page14"/>
    <w:bookmarkEnd w:id="13"/>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Related Fair Value</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FASB Statement No. 133, as amended, “Accounting for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interest rate swap agreements are designated as cash flow hedges of interest costs on our Euro-denominated variable rate borrowings. The Euro interest rate swap agreements have a notional value of €100.0 ($140.3) and fix the variable portion of the interest rate on these borrowings, on a weighted-average basis, at 5.71% until July 2010. The total interest rate on these borrowings is currently 6.11%, including the 40 basis point credit spread as defined in our revolving credit agreement. For cash flow hedges, the effective portions of the changes in the fair value of the derivative are recorded as a component of Accumulated Other Comprehensive (Loss) Income (“Accumulated OCI”) and recognized in the consolidated statements of operations when the hedged item affects earnings. The ineffective portions of the changes in the fair value of hedges are recognized in earnings. For the quarter ended June 30, 2009, the ineffective portion of the €100.0 interest rate swaps was immaterial. We have a $7.0 liability related to the fair value of these agreements included in Other Long-Term Liabilities as of June 30, 2009 and a $4.3 loss included in Accumulated OCI, net of taxes.</w:t>
      </w:r>
    </w:p>
    <w:p>
      <w:pPr>
        <w:spacing w:after="0" w:line="2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revolving credit agreement borrowings of €100.0 ($140.3), the €200.0 ($280.6) Notes and the €300.0 ($420.9) Notes are designated as economic hedges of our net investment in our foreign subsidiaries with a Euro functional currency. For derivatives designated as an economic hedge of the foreign currency exposure of a net investment in a foreign operation, the gain or loss associated with foreign currency translation is recorded as a component of Accumulated OCI, net of taxes. As of June 30, 2009, we have a $72.1 loss included in Accumulated OCI, net of taxes, as the net investment hedge was deemed effective.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$2.8 associated with our forward contracts in Interest and Other Expenses for the quarter ended June 30, 2009 related to the forward contracts. We had a $2.8 liability related to the forward contracts’ fair value included in Other Long-Term Liabilities as of June 30, 2009.</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fair value measurements of those items recorded in our consolidated balance sheets as of June 30, 2009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Measurements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Active Markets</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89"/>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for Identical</w:t>
            </w: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2009</w:t>
            </w: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Forward contracts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Cash and Cash Equivalents, Accounts Receivable, Accounts Payable, and other current assets and liabilities approximates their fair value because of the short-term nature of these instruments. The carrying value of Long-Term Debt approximates fair value, except for the Euro-denominated notes. The fair value of the Euro-denominated notes was $634.1 and $654.7 as of June 30, 2009 and December 31, 2008, respectively, compared to a carrying value of $700.0 and $696.6, respectively.</w:t>
      </w:r>
    </w:p>
    <w:p>
      <w:pPr>
        <w:spacing w:after="0" w:line="21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led the DGCCRF to transmit the results of its inquiry to the French Competition Council. After considering all of the input that was provided, the Competition Council rendered its decision in the matter in February 2009 and levied a fine of €42.0 ($55.6) based on the Competition Council’s determination of the damage to the economy attributable to the alleged misconduct, with adjustment for aggravating or mitigating factors. We paid this fine in April 2009 and have appealed the Competition Council’s decision.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EMEA. All previously reported results have been restated to conform to the current year presentation.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Americas: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(a)</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Other Americas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EMEA:</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Italy</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Other EMEA</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2,521.9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Asia Pacific</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Jefferson Wells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(b)</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3,796.6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5,904.9</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7,443.7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Americas: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Other Americas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EMEA:</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Italy</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Other EMEA</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Asia Pacific</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Jefferson Wells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Corporate expenses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Profit</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ind w:left="292" w:hanging="292"/>
        <w:spacing w:after="0" w:line="279" w:lineRule="auto"/>
        <w:tabs>
          <w:tab w:leader="none" w:pos="2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$2.4 and $4.7 for the three months ended June 30, 2009 and 2008, and $4.4 and $9.3 for the six months ended June 30, 2009 and 2008, respectively. These fees are primarily based on revenues generated by the franchise offices, which were $107.2 and $214.6 for the three months ended June 30, 2009 and 2008, respectively, and $202.1 and $427.3 for the six months ended June 30, 2009 and 2008, respectively.</w:t>
      </w:r>
    </w:p>
    <w:p>
      <w:pPr>
        <w:spacing w:after="0" w:line="171" w:lineRule="exact"/>
        <w:rPr>
          <w:rFonts w:ascii="Arial" w:cs="Arial" w:eastAsia="Arial" w:hAnsi="Arial"/>
          <w:sz w:val="17"/>
          <w:szCs w:val="17"/>
          <w:color w:val="auto"/>
        </w:rPr>
      </w:pPr>
    </w:p>
    <w:p>
      <w:pPr>
        <w:ind w:left="292" w:right="80" w:hanging="292"/>
        <w:spacing w:after="0" w:line="259" w:lineRule="auto"/>
        <w:tabs>
          <w:tab w:leader="none" w:pos="2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$5.8 and $8.3 for the three months ended June 30, 2009 and 2008, respectively, and $10.9 and $15.6 for the six months ended June 30, 2009 and 2008, respectively. These fees are primarily based on revenues generated by the franchise offices, which were $174.1 and $325.4 for the three months ended June 30, 2009 and 2008, respectively, and $333.0 and $629.4 for the six months ended June 30, 2009 and 2008, respectively.</w:t>
      </w:r>
    </w:p>
    <w:p>
      <w:pPr>
        <w:spacing w:after="0" w:line="213" w:lineRule="exact"/>
        <w:rPr>
          <w:rFonts w:ascii="Arial" w:cs="Arial" w:eastAsia="Arial" w:hAnsi="Arial"/>
          <w:sz w:val="18"/>
          <w:szCs w:val="18"/>
          <w:color w:val="auto"/>
        </w:rPr>
      </w:pPr>
    </w:p>
    <w:p>
      <w:pPr>
        <w:ind w:left="292" w:hanging="292"/>
        <w:spacing w:after="0" w:line="264" w:lineRule="auto"/>
        <w:tabs>
          <w:tab w:leader="none" w:pos="2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which is equal to segment revenues less direct costs and branch and national headquarters operating costs. This profit measure does not include goodwill and intangible asset impairment charges or amortization of intangibles related to Corporate acquisitions, interest and other income and expense amounts or income taxes.</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28 through 30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 Inc. is a world leader in the employment services industry. Our global network of approximately 4,100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2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competitors in the employment services industry itself.</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that clients need and high-value workforce management, outsourcing and consulting solutions.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in-line with the revenue growth, which may result in a decline in operating cash flows.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as we are now experiencing, we will have more significant expense deleveraging, as we can only reduce selling and administrative expenses to a certain level without negatively impacting the long-term potential of our branch network and brands.</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with an average days sales outstanding in excess of 60 days based on the markets where we do business. Our most significant current liabilities are payroll related costs, which are paid either weekly or monthly. As the demand for our services increases, we generally see a large increase in our working capital needs, as we continue to pay our associates on a weekly or monthly basis, while the related accounts receivable are outstanding for much longer. Conversely, as the demand for our services declines, we generally see a decrease in our working capital needs, as the existing accounts receivable are collected and not replaced at the same level, resulting in a decline of our accounts receivable balance. We see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career transition services are counter-cyclical to our staffing services, so they tend to soften the impact of any economic cycles on our overall financial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ind w:right="40"/>
        <w:spacing w:after="0" w:line="279" w:lineRule="auto"/>
        <w:rPr>
          <w:sz w:val="20"/>
          <w:szCs w:val="20"/>
          <w:color w:val="auto"/>
        </w:rPr>
      </w:pPr>
      <w:r>
        <w:rPr>
          <w:rFonts w:ascii="Arial" w:cs="Arial" w:eastAsia="Arial" w:hAnsi="Arial"/>
          <w:sz w:val="17"/>
          <w:szCs w:val="17"/>
          <w:color w:val="auto"/>
        </w:rPr>
        <w:t>Due to our industry’s sensitivity to economic factors, the inherent difficulty in forecasting the direction and strength of the economy and the short-term nature of staffing assignments, it is difficult to forecast future demand for our services with any reasonable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2009 and 2008</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Given the current economic environment and the level of revenue declines which we have experienced in our staffing markets, we have initiated a number of cost reduction measures to try to minimize the impact on our overall profitability. Subsequent to September 2008, we have reviewed our direct costs and selling and administrative expenses and reduced our full-time equivalent employees by 6,400 (1,900 in the second quarter of 2009) or 19% of our employee base and closed 421 branches (66 offices in the second quarter of 2009) or 9% of our branches. This includes the transition of a majority of Jefferson Wells professionals to project-based roles, where they are only compensated if utilized on client engagements as we try to improve our staff utilization in light of the revenue declines within this business.</w:t>
      </w:r>
    </w:p>
    <w:p>
      <w:pPr>
        <w:spacing w:after="0" w:line="22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reviewing our various cost control measures, we continue to balance the value of preserving our branch network and investing in our strategic initiatives against the desire to reduce costs and maintain profitability. We are focused on making the appropriate cost reductions, while trying to position ourselves to take advantage of any future economic recovery. We believe that maintaining our brand presence in key markets is critical to our ability to rebound quickly when the economic conditions improve. However, if the economic downturn continues for an extended period of time, or becomes more severe, we may decide to undertake further cost reductions. These further cost reductions would primarily consist of additional employee reductions and branch closures.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effects of the economic downturn have impacted the demand for our services over the past several quarters. Based upon historical experience, we would expect our businesses to return to growth when the underlying economies improve and eventually to exceed previous revenue levels. The strength of this growth will be dependent on the level of economic growth. Given the uncertainties of predicting economic trends, however, it is not possible to predict when we will return to prior revenue and earnings levels.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following table presents selected consolidated financial data for the three months ended June 30, 2009 as compared to 2008.</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Gross profit margin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and administrative expenses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profit margin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before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Variance</w:t>
            </w:r>
          </w:p>
        </w:tc>
        <w:tc>
          <w:tcPr>
            <w:tcW w:w="34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2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3,796.6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5,904.9</w:t>
            </w:r>
          </w:p>
        </w:tc>
        <w:tc>
          <w:tcPr>
            <w:tcW w:w="280" w:type="dxa"/>
            <w:vAlign w:val="bottom"/>
          </w:tcPr>
          <w:p>
            <w:pPr>
              <w:spacing w:after="0"/>
              <w:rPr>
                <w:sz w:val="20"/>
                <w:szCs w:val="20"/>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(35.7)%</w:t>
            </w:r>
          </w:p>
        </w:tc>
        <w:tc>
          <w:tcPr>
            <w:tcW w:w="1220" w:type="dxa"/>
            <w:vAlign w:val="bottom"/>
          </w:tcPr>
          <w:p>
            <w:pPr>
              <w:ind w:left="620"/>
              <w:spacing w:after="0"/>
              <w:rPr>
                <w:sz w:val="20"/>
                <w:szCs w:val="20"/>
                <w:color w:val="auto"/>
              </w:rPr>
            </w:pPr>
            <w:r>
              <w:rPr>
                <w:rFonts w:ascii="Arial" w:cs="Arial" w:eastAsia="Arial" w:hAnsi="Arial"/>
                <w:sz w:val="18"/>
                <w:szCs w:val="18"/>
                <w:color w:val="auto"/>
                <w:w w:val="91"/>
              </w:rPr>
              <w:t>(26.6)%</w:t>
            </w:r>
          </w:p>
        </w:tc>
      </w:tr>
      <w:tr>
        <w:trPr>
          <w:trHeight w:val="42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3,101.2</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4,751.3</w:t>
            </w:r>
          </w:p>
        </w:tc>
        <w:tc>
          <w:tcPr>
            <w:tcW w:w="280" w:type="dxa"/>
            <w:vAlign w:val="bottom"/>
          </w:tcPr>
          <w:p>
            <w:pPr>
              <w:spacing w:after="0"/>
              <w:rPr>
                <w:sz w:val="24"/>
                <w:szCs w:val="24"/>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(34.7)</w:t>
            </w:r>
          </w:p>
        </w:tc>
        <w:tc>
          <w:tcPr>
            <w:tcW w:w="1220" w:type="dxa"/>
            <w:vAlign w:val="bottom"/>
          </w:tcPr>
          <w:p>
            <w:pPr>
              <w:ind w:left="620"/>
              <w:spacing w:after="0"/>
              <w:rPr>
                <w:sz w:val="20"/>
                <w:szCs w:val="20"/>
                <w:color w:val="auto"/>
              </w:rPr>
            </w:pPr>
            <w:r>
              <w:rPr>
                <w:rFonts w:ascii="Arial" w:cs="Arial" w:eastAsia="Arial" w:hAnsi="Arial"/>
                <w:sz w:val="18"/>
                <w:szCs w:val="18"/>
                <w:color w:val="auto"/>
              </w:rPr>
              <w:t>(25.3)</w:t>
            </w: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695.4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1,153.6</w:t>
            </w:r>
          </w:p>
        </w:tc>
        <w:tc>
          <w:tcPr>
            <w:tcW w:w="280" w:type="dxa"/>
            <w:vAlign w:val="bottom"/>
          </w:tcPr>
          <w:p>
            <w:pPr>
              <w:spacing w:after="0"/>
              <w:rPr>
                <w:sz w:val="17"/>
                <w:szCs w:val="17"/>
                <w:color w:val="auto"/>
              </w:rPr>
            </w:pPr>
          </w:p>
        </w:tc>
        <w:tc>
          <w:tcPr>
            <w:tcW w:w="134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(39.7)</w:t>
            </w:r>
          </w:p>
        </w:tc>
        <w:tc>
          <w:tcPr>
            <w:tcW w:w="1220" w:type="dxa"/>
            <w:vAlign w:val="bottom"/>
          </w:tcPr>
          <w:p>
            <w:pPr>
              <w:ind w:left="620"/>
              <w:spacing w:after="0" w:line="201" w:lineRule="exact"/>
              <w:rPr>
                <w:sz w:val="20"/>
                <w:szCs w:val="20"/>
                <w:color w:val="auto"/>
              </w:rPr>
            </w:pPr>
            <w:r>
              <w:rPr>
                <w:rFonts w:ascii="Arial" w:cs="Arial" w:eastAsia="Arial" w:hAnsi="Arial"/>
                <w:sz w:val="18"/>
                <w:szCs w:val="18"/>
                <w:color w:val="auto"/>
              </w:rPr>
              <w:t>(31.9)</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18.3%</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19.5%</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673.3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946.3</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(28.8)</w:t>
            </w:r>
          </w:p>
        </w:tc>
        <w:tc>
          <w:tcPr>
            <w:tcW w:w="1220" w:type="dxa"/>
            <w:vAlign w:val="bottom"/>
          </w:tcPr>
          <w:p>
            <w:pPr>
              <w:ind w:left="620"/>
              <w:spacing w:after="0"/>
              <w:rPr>
                <w:sz w:val="20"/>
                <w:szCs w:val="20"/>
                <w:color w:val="auto"/>
              </w:rPr>
            </w:pPr>
            <w:r>
              <w:rPr>
                <w:rFonts w:ascii="Arial" w:cs="Arial" w:eastAsia="Arial" w:hAnsi="Arial"/>
                <w:sz w:val="18"/>
                <w:szCs w:val="18"/>
                <w:color w:val="auto"/>
              </w:rPr>
              <w:t>(19.7)</w:t>
            </w:r>
          </w:p>
        </w:tc>
      </w:tr>
      <w:tr>
        <w:trPr>
          <w:trHeight w:val="202"/>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22.1</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207.3</w:t>
            </w:r>
          </w:p>
        </w:tc>
        <w:tc>
          <w:tcPr>
            <w:tcW w:w="280" w:type="dxa"/>
            <w:vAlign w:val="bottom"/>
          </w:tcPr>
          <w:p>
            <w:pPr>
              <w:spacing w:after="0"/>
              <w:rPr>
                <w:sz w:val="17"/>
                <w:szCs w:val="17"/>
                <w:color w:val="auto"/>
              </w:rPr>
            </w:pPr>
          </w:p>
        </w:tc>
        <w:tc>
          <w:tcPr>
            <w:tcW w:w="134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(89.3)</w:t>
            </w:r>
          </w:p>
        </w:tc>
        <w:tc>
          <w:tcPr>
            <w:tcW w:w="1220" w:type="dxa"/>
            <w:vAlign w:val="bottom"/>
          </w:tcPr>
          <w:p>
            <w:pPr>
              <w:ind w:left="620"/>
              <w:spacing w:after="0" w:line="201" w:lineRule="exact"/>
              <w:rPr>
                <w:sz w:val="20"/>
                <w:szCs w:val="20"/>
                <w:color w:val="auto"/>
              </w:rPr>
            </w:pPr>
            <w:r>
              <w:rPr>
                <w:rFonts w:ascii="Arial" w:cs="Arial" w:eastAsia="Arial" w:hAnsi="Arial"/>
                <w:sz w:val="18"/>
                <w:szCs w:val="18"/>
                <w:color w:val="auto"/>
              </w:rPr>
              <w:t>(87.5)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0.6%</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3.5%</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(21.7)</w:t>
            </w:r>
          </w:p>
        </w:tc>
        <w:tc>
          <w:tcPr>
            <w:tcW w:w="12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80" w:type="dxa"/>
            <w:vAlign w:val="bottom"/>
          </w:tcPr>
          <w:p>
            <w:pPr>
              <w:spacing w:after="0"/>
              <w:rPr>
                <w:sz w:val="20"/>
                <w:szCs w:val="20"/>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(94.1)</w:t>
            </w:r>
          </w:p>
        </w:tc>
        <w:tc>
          <w:tcPr>
            <w:tcW w:w="1220" w:type="dxa"/>
            <w:vAlign w:val="bottom"/>
          </w:tcPr>
          <w:p>
            <w:pPr>
              <w:spacing w:after="0"/>
              <w:rPr>
                <w:sz w:val="20"/>
                <w:szCs w:val="20"/>
                <w:color w:val="auto"/>
              </w:rPr>
            </w:pPr>
          </w:p>
        </w:tc>
      </w:tr>
      <w:tr>
        <w:trPr>
          <w:trHeight w:val="41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86.0</w:t>
            </w: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-1970405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-1696085</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-1404620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-1130300</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-838835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-563880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-272415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320" w:space="720"/>
            <w:col w:w="538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-70.4%</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44.5%</w:t>
            </w: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
        </w:trPr>
        <w:tc>
          <w:tcPr>
            <w:tcW w:w="4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r>
        <w:trPr>
          <w:trHeight w:val="216"/>
        </w:trPr>
        <w:tc>
          <w:tcPr>
            <w:tcW w:w="4260" w:type="dxa"/>
            <w:vAlign w:val="bottom"/>
          </w:tcPr>
          <w:p>
            <w:pPr>
              <w:ind w:left="340"/>
              <w:spacing w:after="0" w:line="196" w:lineRule="exact"/>
              <w:rPr>
                <w:sz w:val="20"/>
                <w:szCs w:val="20"/>
                <w:color w:val="auto"/>
              </w:rPr>
            </w:pPr>
            <w:r>
              <w:rPr>
                <w:rFonts w:ascii="Arial" w:cs="Arial" w:eastAsia="Arial" w:hAnsi="Arial"/>
                <w:sz w:val="18"/>
                <w:szCs w:val="18"/>
                <w:color w:val="auto"/>
              </w:rPr>
              <w:t>Net earnings</w:t>
            </w:r>
          </w:p>
        </w:tc>
        <w:tc>
          <w:tcPr>
            <w:tcW w:w="1780" w:type="dxa"/>
            <w:vAlign w:val="bottom"/>
          </w:tcPr>
          <w:p>
            <w:pPr>
              <w:spacing w:after="0"/>
              <w:rPr>
                <w:sz w:val="18"/>
                <w:szCs w:val="18"/>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107.4</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(82.0)%</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(80.0)%</w:t>
            </w:r>
          </w:p>
        </w:tc>
      </w:tr>
      <w:tr>
        <w:trPr>
          <w:trHeight w:val="21"/>
        </w:trPr>
        <w:tc>
          <w:tcPr>
            <w:tcW w:w="4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 – diluted</w:t>
            </w:r>
          </w:p>
        </w:tc>
        <w:tc>
          <w:tcPr>
            <w:tcW w:w="17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26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1.34</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(81.3)%</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260" w:type="dxa"/>
            <w:vAlign w:val="bottom"/>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78.8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80.3</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(1.9)%</w:t>
            </w:r>
          </w:p>
        </w:tc>
        <w:tc>
          <w:tcPr>
            <w:tcW w:w="960" w:type="dxa"/>
            <w:vAlign w:val="bottom"/>
          </w:tcPr>
          <w:p>
            <w:pPr>
              <w:spacing w:after="0"/>
              <w:rPr>
                <w:sz w:val="18"/>
                <w:szCs w:val="18"/>
                <w:color w:val="auto"/>
              </w:rPr>
            </w:pPr>
          </w:p>
        </w:tc>
      </w:tr>
      <w:tr>
        <w:trPr>
          <w:trHeight w:val="21"/>
        </w:trPr>
        <w:tc>
          <w:tcPr>
            <w:tcW w:w="4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Revenues was primarily attributable to:</w:t>
      </w:r>
    </w:p>
    <w:p>
      <w:pPr>
        <w:spacing w:after="0" w:line="252" w:lineRule="exact"/>
        <w:rPr>
          <w:sz w:val="20"/>
          <w:szCs w:val="20"/>
          <w:color w:val="auto"/>
        </w:rPr>
      </w:pPr>
    </w:p>
    <w:p>
      <w:pPr>
        <w:jc w:val="both"/>
        <w:ind w:left="660" w:hanging="183"/>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including the Americas, France, EMEA, Asia Pacific and Jefferson Wells, where revenues decreased 18.6%, 35.6%, 27.7%, 12.7% and 36.5%, respectively, on a constant currency basis, offset by increased demand for Right Management’s services where revenues increased 46.5% on a constant currency basis; and</w:t>
      </w:r>
    </w:p>
    <w:p>
      <w:pPr>
        <w:spacing w:after="0" w:line="208"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9.1% decrease due to the impact of currency exchange rates due to the strengthening of the U.S. Dollar relative to the currencies in most of our non-U.S. markets.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our three largest markets, the U.S., France and Italy, we saw stabilization in demand through the quarter, and marginal improvements in year-over-year trends in the first part of the third quarter. This trend, however, was not evident in our other staffing markets. If the current unfavorable economic environment continues, we may continue to experience a significant decline in business volumes in all of our staffing segments, and an increase in business volumes in Right Management. Since the demand for our services depends heavily on the economy and the labor markets in the various countries where we operate, it is difficult for us to predict the duration of these current trends, and therefore it is also difficult for us to predict our near-term revenue levels and profitability.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year-over-year decrease in Gross Profit Margin was primarily attributable to:</w:t>
      </w:r>
    </w:p>
    <w:p>
      <w:pPr>
        <w:spacing w:after="0" w:line="225" w:lineRule="exact"/>
        <w:rPr>
          <w:sz w:val="20"/>
          <w:szCs w:val="20"/>
          <w:color w:val="auto"/>
        </w:rPr>
      </w:pPr>
    </w:p>
    <w:p>
      <w:pPr>
        <w:ind w:left="660" w:hanging="184"/>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91 basis point (-0.91%) decline in the gross profit margin due to the modification to the calculation of payroll taxes in France recorded in 2008;</w:t>
      </w:r>
    </w:p>
    <w:p>
      <w:pPr>
        <w:spacing w:after="0" w:line="275" w:lineRule="exact"/>
        <w:rPr>
          <w:rFonts w:ascii="Arial" w:cs="Arial" w:eastAsia="Arial" w:hAnsi="Arial"/>
          <w:sz w:val="16"/>
          <w:szCs w:val="16"/>
          <w:color w:val="auto"/>
        </w:rPr>
      </w:pPr>
    </w:p>
    <w:p>
      <w:pPr>
        <w:ind w:left="660" w:hanging="183"/>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76 basis point (-0.76%) decline in the gross profit margin due to the 57.5% constant currency decline in our permanent recruitment business;</w:t>
      </w:r>
    </w:p>
    <w:p>
      <w:pPr>
        <w:spacing w:after="0" w:line="236" w:lineRule="exact"/>
        <w:rPr>
          <w:rFonts w:ascii="Arial" w:cs="Arial" w:eastAsia="Arial" w:hAnsi="Arial"/>
          <w:sz w:val="17"/>
          <w:szCs w:val="17"/>
          <w:color w:val="auto"/>
        </w:rPr>
      </w:pPr>
    </w:p>
    <w:p>
      <w:pPr>
        <w:jc w:val="both"/>
        <w:ind w:left="660" w:hanging="183"/>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74 basis point (-0.74%) decline from our temporary recruitment business mainly due to a change in the geographic mix of our staffing business as countries with higher gross profit margins such as Sweden, Germany, the Netherlands and Italy reported larger declines in business than countries with relatively lower gross profit margins. We are also continuing to see pricing pressures in some of our markets because of the current economic environment, particularly in the small/medium sized business;</w:t>
      </w:r>
    </w:p>
    <w:p>
      <w:pPr>
        <w:spacing w:after="0" w:line="186"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99 basis point (+0.99%) increase from our specialty business, primarily due to the growth of Right Management, where the gross profit margin is generally higher than the Company average; and</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basis point (+0.20%) increase due to the impact of currency exchange rates on the mix of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28.8% decrease in Selling and Administrative Expenses for the current quarter, or 19.7% decrease in constant currency, was attributable to:</w:t>
      </w:r>
    </w:p>
    <w:p>
      <w:pPr>
        <w:spacing w:after="0" w:line="237" w:lineRule="exact"/>
        <w:rPr>
          <w:sz w:val="20"/>
          <w:szCs w:val="20"/>
          <w:color w:val="auto"/>
        </w:rPr>
      </w:pPr>
    </w:p>
    <w:p>
      <w:pPr>
        <w:ind w:left="660" w:hanging="18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focus on reducing expenses and rebalancing our cost structure in response to the lower business volumes;</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of $54.1 million of costs for a legal reserve related to the French competition investigation recorded in the second quarter of 2008 (see Note 13 to the consolidated financial statements for further information); and</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offset by $13.1 million of reorganization charges for severances and other office closure costs recorded in the second quarter of 2009.</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Selling and Administrative Expenses as a percent of revenue increased 1.7% (+170 basis points) in the second quarter of 2009 compared to 2008. This change consists of:</w:t>
      </w:r>
    </w:p>
    <w:p>
      <w:pPr>
        <w:spacing w:after="0" w:line="197" w:lineRule="exact"/>
        <w:rPr>
          <w:sz w:val="20"/>
          <w:szCs w:val="20"/>
          <w:color w:val="auto"/>
        </w:rPr>
      </w:pPr>
    </w:p>
    <w:p>
      <w:pPr>
        <w:ind w:left="660" w:hanging="18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226 basis point (+2.26%) increase due primarily to the deleveraging of expenses, as we can only decrease expenses to a certain level without negatively impacting the long-term potential of our branch network and brands;</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35 basis point (+0.35%) increase due to the global reorganization charges recorded in the second quarter of 2009; and</w:t>
      </w:r>
    </w:p>
    <w:p>
      <w:pPr>
        <w:spacing w:after="0" w:line="252" w:lineRule="exact"/>
        <w:rPr>
          <w:rFonts w:ascii="Arial" w:cs="Arial" w:eastAsia="Arial" w:hAnsi="Arial"/>
          <w:sz w:val="18"/>
          <w:szCs w:val="18"/>
          <w:color w:val="auto"/>
        </w:rPr>
      </w:pPr>
    </w:p>
    <w:p>
      <w:pPr>
        <w:ind w:left="660" w:hanging="183"/>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offset by a 91 basis point (-0.91%) decrease due to the legal reserve recorded related to the French competition investigation recorded in 2008.</w:t>
      </w:r>
    </w:p>
    <w:p>
      <w:pPr>
        <w:spacing w:after="0" w:line="275"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Interest and Other Expense was $10.8 million for the second quarter of 2009 compared to $13.9 million for the same period in 2008. Net Interest Expense decreased $0.4 million in the second quarter to $10.7 million due primarily to our Euro-denominated interest expense being translated into U.S. Dollars at a lower rate in 2009 compared to 2008. Translation losses in the second quarter of 2009 were $1.0 million compared to $0.4 million in the second quarter of 2008. Miscellaneous Expenses, net, which consists of other non-operating income and expenses, were income of $0.9 million in the second quarter of 2009 compared to expenses of $2.4 million in the second quarter of 2008.</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ind w:right="20"/>
        <w:spacing w:after="0" w:line="255" w:lineRule="auto"/>
        <w:rPr>
          <w:sz w:val="20"/>
          <w:szCs w:val="20"/>
          <w:color w:val="auto"/>
        </w:rPr>
      </w:pPr>
      <w:r>
        <w:rPr>
          <w:rFonts w:ascii="Arial" w:cs="Arial" w:eastAsia="Arial" w:hAnsi="Arial"/>
          <w:sz w:val="18"/>
          <w:szCs w:val="18"/>
          <w:color w:val="auto"/>
        </w:rPr>
        <w:t>We recorded an income tax benefit, at an effective rate of -70.4% for the second quarter of 2009, as compared to an income tax expense, at an effective rate of 44.5% for the second quarter of 2008. The change in the 2009 rate is due to the impact of a discrete tax benefit that reduced the amount of deferred taxes related to the French earnings that will likely be repatriated because of the payment of the fine for the French competition case. Excluding the impact of this discrete item, our effective tax rate for the second quarter of 2009 was 63.8%.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Earnings Per Share – Diluted decreased 81.0% to $0.25 in the second quarter of 2009 compared to $1.34 in the second quarter of 2008. This decrease includes reorganization charges of $9.0 million, net of tax, or $0.11 per diluted share recorded in the second quarter of 2009. Included in Net Earnings in the second quarter of 2008 is the impact of the modification to the payroll tax calculation in France (+$35.2 million, net of tax) and the legal reserve related to the French competition investigation (-$50.0 million, net of tax). These amounts represent a $0.44 increase and $0.62 decrease in Net Earnings Per Share – Diluted, respectively in the second quarter of 2008. Exchange rates had a $0.01 negative impact on Net Earnings Per Share – Diluted in 2009 compared to 2008. Weighted Average Shares – Diluted were 78.8 million in the second quarter of 2009, a decline of 1.9% from the second quarter of 2008. This decline is primarily a result of share repurchases in the first half of 2008 and an increase in the total anti-dilutive shares excluded from the calculation in 2009 compared to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Six Months Ended June 30,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2009 as compared to 2008.</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Gross profit margin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and administrative expenses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profit margin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before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Variance</w:t>
            </w:r>
          </w:p>
        </w:tc>
        <w:tc>
          <w:tcPr>
            <w:tcW w:w="34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2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7,443.7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11,291.5</w:t>
            </w: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220" w:type="dxa"/>
            <w:vAlign w:val="bottom"/>
          </w:tcPr>
          <w:p>
            <w:pPr>
              <w:ind w:left="620"/>
              <w:spacing w:after="0"/>
              <w:rPr>
                <w:sz w:val="20"/>
                <w:szCs w:val="20"/>
                <w:color w:val="auto"/>
              </w:rPr>
            </w:pPr>
            <w:r>
              <w:rPr>
                <w:rFonts w:ascii="Arial" w:cs="Arial" w:eastAsia="Arial" w:hAnsi="Arial"/>
                <w:sz w:val="18"/>
                <w:szCs w:val="18"/>
                <w:color w:val="auto"/>
                <w:w w:val="91"/>
              </w:rPr>
              <w:t>(24.3)%</w:t>
            </w:r>
          </w:p>
        </w:tc>
      </w:tr>
      <w:tr>
        <w:trPr>
          <w:trHeight w:val="42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6,078.5</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9,170.2</w:t>
            </w:r>
          </w:p>
        </w:tc>
        <w:tc>
          <w:tcPr>
            <w:tcW w:w="2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1220" w:type="dxa"/>
            <w:vAlign w:val="bottom"/>
          </w:tcPr>
          <w:p>
            <w:pPr>
              <w:ind w:left="620"/>
              <w:spacing w:after="0"/>
              <w:rPr>
                <w:sz w:val="20"/>
                <w:szCs w:val="20"/>
                <w:color w:val="auto"/>
              </w:rPr>
            </w:pPr>
            <w:r>
              <w:rPr>
                <w:rFonts w:ascii="Arial" w:cs="Arial" w:eastAsia="Arial" w:hAnsi="Arial"/>
                <w:sz w:val="18"/>
                <w:szCs w:val="18"/>
                <w:color w:val="auto"/>
              </w:rPr>
              <w:t>(23.7)</w:t>
            </w: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1,365.2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2,121.3</w:t>
            </w:r>
          </w:p>
        </w:tc>
        <w:tc>
          <w:tcPr>
            <w:tcW w:w="280" w:type="dxa"/>
            <w:vAlign w:val="bottom"/>
          </w:tcPr>
          <w:p>
            <w:pPr>
              <w:spacing w:after="0"/>
              <w:rPr>
                <w:sz w:val="17"/>
                <w:szCs w:val="17"/>
                <w:color w:val="auto"/>
              </w:rPr>
            </w:pPr>
          </w:p>
        </w:tc>
        <w:tc>
          <w:tcPr>
            <w:tcW w:w="13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(35.6)</w:t>
            </w:r>
          </w:p>
        </w:tc>
        <w:tc>
          <w:tcPr>
            <w:tcW w:w="1220" w:type="dxa"/>
            <w:vAlign w:val="bottom"/>
          </w:tcPr>
          <w:p>
            <w:pPr>
              <w:ind w:left="620"/>
              <w:spacing w:after="0" w:line="201" w:lineRule="exact"/>
              <w:rPr>
                <w:sz w:val="20"/>
                <w:szCs w:val="20"/>
                <w:color w:val="auto"/>
              </w:rPr>
            </w:pPr>
            <w:r>
              <w:rPr>
                <w:rFonts w:ascii="Arial" w:cs="Arial" w:eastAsia="Arial" w:hAnsi="Arial"/>
                <w:sz w:val="18"/>
                <w:szCs w:val="18"/>
                <w:color w:val="auto"/>
              </w:rPr>
              <w:t>(26.8)</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18.3%</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18.8%</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1,337.6</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1,782.0</w:t>
            </w:r>
          </w:p>
        </w:tc>
        <w:tc>
          <w:tcPr>
            <w:tcW w:w="2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1220" w:type="dxa"/>
            <w:vAlign w:val="bottom"/>
          </w:tcPr>
          <w:p>
            <w:pPr>
              <w:ind w:left="620"/>
              <w:spacing w:after="0"/>
              <w:rPr>
                <w:sz w:val="20"/>
                <w:szCs w:val="20"/>
                <w:color w:val="auto"/>
              </w:rPr>
            </w:pPr>
            <w:r>
              <w:rPr>
                <w:rFonts w:ascii="Arial" w:cs="Arial" w:eastAsia="Arial" w:hAnsi="Arial"/>
                <w:sz w:val="18"/>
                <w:szCs w:val="18"/>
                <w:color w:val="auto"/>
              </w:rPr>
              <w:t>(14.8)</w:t>
            </w: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27.6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339.3</w:t>
            </w:r>
          </w:p>
        </w:tc>
        <w:tc>
          <w:tcPr>
            <w:tcW w:w="280" w:type="dxa"/>
            <w:vAlign w:val="bottom"/>
          </w:tcPr>
          <w:p>
            <w:pPr>
              <w:spacing w:after="0"/>
              <w:rPr>
                <w:sz w:val="17"/>
                <w:szCs w:val="17"/>
                <w:color w:val="auto"/>
              </w:rPr>
            </w:pPr>
          </w:p>
        </w:tc>
        <w:tc>
          <w:tcPr>
            <w:tcW w:w="13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(91.9)</w:t>
            </w:r>
          </w:p>
        </w:tc>
        <w:tc>
          <w:tcPr>
            <w:tcW w:w="1220" w:type="dxa"/>
            <w:vAlign w:val="bottom"/>
          </w:tcPr>
          <w:p>
            <w:pPr>
              <w:ind w:left="620"/>
              <w:spacing w:after="0" w:line="201" w:lineRule="exact"/>
              <w:rPr>
                <w:sz w:val="20"/>
                <w:szCs w:val="20"/>
                <w:color w:val="auto"/>
              </w:rPr>
            </w:pPr>
            <w:r>
              <w:rPr>
                <w:rFonts w:ascii="Arial" w:cs="Arial" w:eastAsia="Arial" w:hAnsi="Arial"/>
                <w:sz w:val="18"/>
                <w:szCs w:val="18"/>
                <w:color w:val="auto"/>
              </w:rPr>
              <w:t>(89.5)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0.4%</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3.0%</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2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(98.4)</w:t>
            </w:r>
          </w:p>
        </w:tc>
        <w:tc>
          <w:tcPr>
            <w:tcW w:w="1220" w:type="dxa"/>
            <w:vAlign w:val="bottom"/>
          </w:tcPr>
          <w:p>
            <w:pPr>
              <w:spacing w:after="0"/>
              <w:rPr>
                <w:sz w:val="20"/>
                <w:szCs w:val="20"/>
                <w:color w:val="auto"/>
              </w:rPr>
            </w:pPr>
          </w:p>
        </w:tc>
      </w:tr>
      <w:tr>
        <w:trPr>
          <w:trHeight w:val="41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131.2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-1970405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-1696085</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-1404620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-1130300</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-838835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-563880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-272415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320" w:space="720"/>
            <w:col w:w="538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2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w:t>
            </w: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41.8%</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ind w:left="340"/>
              <w:spacing w:after="0" w:line="196" w:lineRule="exact"/>
              <w:rPr>
                <w:sz w:val="20"/>
                <w:szCs w:val="20"/>
                <w:color w:val="auto"/>
              </w:rPr>
            </w:pPr>
            <w:r>
              <w:rPr>
                <w:rFonts w:ascii="Arial" w:cs="Arial" w:eastAsia="Arial" w:hAnsi="Arial"/>
                <w:sz w:val="18"/>
                <w:szCs w:val="18"/>
                <w:color w:val="auto"/>
              </w:rPr>
              <w:t>Net earnings</w:t>
            </w:r>
          </w:p>
        </w:tc>
        <w:tc>
          <w:tcPr>
            <w:tcW w:w="2000" w:type="dxa"/>
            <w:vAlign w:val="bottom"/>
          </w:tcPr>
          <w:p>
            <w:pPr>
              <w:spacing w:after="0"/>
              <w:rPr>
                <w:sz w:val="18"/>
                <w:szCs w:val="18"/>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182.9</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(88.2)%</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 – diluted</w:t>
            </w:r>
          </w:p>
        </w:tc>
        <w:tc>
          <w:tcPr>
            <w:tcW w:w="20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6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2.27</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(88.1)%</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2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78.6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80.4</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000" w:type="dxa"/>
            <w:vAlign w:val="bottom"/>
            <w:vMerge w:val="restart"/>
          </w:tcPr>
          <w:p>
            <w:pPr>
              <w:jc w:val="right"/>
              <w:ind w:right="150"/>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0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The year-over-year decrease in Revenues was primarily attributable to:</w:t>
      </w:r>
    </w:p>
    <w:p>
      <w:pPr>
        <w:spacing w:after="0" w:line="252" w:lineRule="exact"/>
        <w:rPr>
          <w:sz w:val="20"/>
          <w:szCs w:val="20"/>
          <w:color w:val="auto"/>
        </w:rPr>
      </w:pPr>
    </w:p>
    <w:p>
      <w:pPr>
        <w:jc w:val="both"/>
        <w:ind w:left="660" w:hanging="183"/>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including the Americas, France, EMEA, Asia Pacific and Jefferson Wells, where revenues decreased 16.8%, 36.1%, 23.3%, 9.9% and 34.2%, respectively, on a constant currency basis, offset by increased demand for Right Management’s services where revenues increased 45.0% on a constant currency basis; and</w:t>
      </w:r>
    </w:p>
    <w:p>
      <w:pPr>
        <w:spacing w:after="0" w:line="208"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9.8% decrease due to the impact of currency exchange rates due to the strengthening of the U.S. Dollar relative to the currencies in most of our non-U.S.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attributable to:</w:t>
      </w:r>
    </w:p>
    <w:p>
      <w:pPr>
        <w:spacing w:after="0" w:line="225" w:lineRule="exact"/>
        <w:rPr>
          <w:sz w:val="20"/>
          <w:szCs w:val="20"/>
          <w:color w:val="auto"/>
        </w:rPr>
      </w:pPr>
    </w:p>
    <w:p>
      <w:pPr>
        <w:ind w:left="660" w:hanging="18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48 basis point (-0.48%) decline due to the modification to the calculation of payroll taxes in France recorded in 2008;</w:t>
      </w:r>
    </w:p>
    <w:p>
      <w:pPr>
        <w:spacing w:after="0" w:line="252"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60 basis point (-0.60%) decline due to the 49.4% constant currency decline in our permanent recruitment business, which is a higher margin business;</w:t>
      </w:r>
    </w:p>
    <w:p>
      <w:pPr>
        <w:spacing w:after="0" w:line="170" w:lineRule="exact"/>
        <w:rPr>
          <w:rFonts w:ascii="Arial" w:cs="Arial" w:eastAsia="Arial" w:hAnsi="Arial"/>
          <w:sz w:val="18"/>
          <w:szCs w:val="18"/>
          <w:color w:val="auto"/>
        </w:rPr>
      </w:pPr>
    </w:p>
    <w:p>
      <w:pPr>
        <w:jc w:val="both"/>
        <w:ind w:left="660" w:hanging="183"/>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42 basis point (-0.42%) decline from our temporary recruitment business mainly due to a change in the geographic mix of our staffing business as countries with higher gross profit margins such as Sweden, Germany, the Netherlands and Italy reported larger declines in business than countries with relatively lower gross profit margins. We are also continuing to see pricing pressures in some of our markets because of the current economic environment;</w:t>
      </w:r>
    </w:p>
    <w:p>
      <w:pPr>
        <w:spacing w:after="0" w:line="186" w:lineRule="exact"/>
        <w:rPr>
          <w:rFonts w:ascii="Arial" w:cs="Arial" w:eastAsia="Arial" w:hAnsi="Arial"/>
          <w:sz w:val="18"/>
          <w:szCs w:val="18"/>
          <w:color w:val="auto"/>
        </w:rPr>
      </w:pPr>
    </w:p>
    <w:p>
      <w:pPr>
        <w:ind w:left="660" w:hanging="183"/>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88 basis point (+0.88%) increase from our specialty business, primarily due to the growth of Right Management, where the gross profit margin is generally higher than the Company average; and</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17 basis point (+0.17%) increase due to the impact of currency exchange rates on the mix of our business.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24.9% decrease in Selling and Administrative Expenses for the six months ended June 30, 2009, or 14.8% decrease in constant currency, was attributable to:</w:t>
      </w:r>
    </w:p>
    <w:p>
      <w:pPr>
        <w:spacing w:after="0" w:line="170" w:lineRule="exact"/>
        <w:rPr>
          <w:sz w:val="20"/>
          <w:szCs w:val="20"/>
          <w:color w:val="auto"/>
        </w:rPr>
      </w:pPr>
    </w:p>
    <w:p>
      <w:pPr>
        <w:ind w:left="660" w:hanging="18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focus on reducing expenses and rebalancing our cost structure in response to the lower business volumes;</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of $54.1 million of costs for a legal reserve related to the French competition investigation recorded in the second quarter of 2008 (see Note 13 to the consolidated financial statements for further information);</w:t>
      </w:r>
    </w:p>
    <w:p>
      <w:pPr>
        <w:spacing w:after="0" w:line="197" w:lineRule="exact"/>
        <w:rPr>
          <w:rFonts w:ascii="Arial" w:cs="Arial" w:eastAsia="Arial" w:hAnsi="Arial"/>
          <w:sz w:val="18"/>
          <w:szCs w:val="18"/>
          <w:color w:val="auto"/>
        </w:rPr>
      </w:pPr>
    </w:p>
    <w:p>
      <w:pPr>
        <w:jc w:val="both"/>
        <w:ind w:left="660" w:hanging="184"/>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$4.3 million gain in Japan related to the termination of a defined benefit plan, reversal of $3.9 million related to the French competition investigation and a $4.9 million reversal of an acquisition earn-out provision that we determined was no longer necessary, all of which were recorded in the first quarter of 2009; and</w:t>
      </w:r>
    </w:p>
    <w:p>
      <w:pPr>
        <w:spacing w:after="0" w:line="208" w:lineRule="exact"/>
        <w:rPr>
          <w:rFonts w:ascii="Arial" w:cs="Arial" w:eastAsia="Arial" w:hAnsi="Arial"/>
          <w:sz w:val="18"/>
          <w:szCs w:val="18"/>
          <w:color w:val="auto"/>
        </w:rPr>
      </w:pPr>
    </w:p>
    <w:p>
      <w:pPr>
        <w:ind w:left="660" w:hanging="18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offset by $19.9 million of reorganization charges for severances and other office closure costs recorded in the first half of 2009.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right="720"/>
        <w:spacing w:after="0" w:line="277" w:lineRule="auto"/>
        <w:rPr>
          <w:sz w:val="20"/>
          <w:szCs w:val="20"/>
          <w:color w:val="auto"/>
        </w:rPr>
      </w:pPr>
      <w:r>
        <w:rPr>
          <w:rFonts w:ascii="Arial" w:cs="Arial" w:eastAsia="Arial" w:hAnsi="Arial"/>
          <w:sz w:val="18"/>
          <w:szCs w:val="18"/>
          <w:color w:val="auto"/>
        </w:rPr>
        <w:t>Selling and Administrative Expenses as a percent of revenue increased 2.2% (+220 basis points) in the six months ended June 30, 2009 compared to 2008. This change consists of:</w:t>
      </w:r>
    </w:p>
    <w:p>
      <w:pPr>
        <w:spacing w:after="0" w:line="197" w:lineRule="exact"/>
        <w:rPr>
          <w:sz w:val="20"/>
          <w:szCs w:val="20"/>
          <w:color w:val="auto"/>
        </w:rPr>
      </w:pPr>
    </w:p>
    <w:p>
      <w:pPr>
        <w:ind w:left="660" w:hanging="183"/>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241 basis point (+2.41%) increase due primarily to the deleveraging of expenses, as we can only decrease expenses to a certain level without negatively impacting the long-term potential of our branch network and brands;</w:t>
      </w:r>
    </w:p>
    <w:p>
      <w:pPr>
        <w:spacing w:after="0" w:line="197" w:lineRule="exact"/>
        <w:rPr>
          <w:rFonts w:ascii="Arial" w:cs="Arial" w:eastAsia="Arial" w:hAnsi="Arial"/>
          <w:sz w:val="18"/>
          <w:szCs w:val="18"/>
          <w:color w:val="auto"/>
        </w:rPr>
      </w:pPr>
    </w:p>
    <w:p>
      <w:pPr>
        <w:ind w:left="660" w:hanging="18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27 basis point (+0.27%) increase due to the global reorganization charges recorded in the first six months of 2009; and</w:t>
      </w:r>
    </w:p>
    <w:p>
      <w:pPr>
        <w:spacing w:after="0" w:line="252" w:lineRule="exact"/>
        <w:rPr>
          <w:rFonts w:ascii="Arial" w:cs="Arial" w:eastAsia="Arial" w:hAnsi="Arial"/>
          <w:sz w:val="18"/>
          <w:szCs w:val="18"/>
          <w:color w:val="auto"/>
        </w:rPr>
      </w:pPr>
    </w:p>
    <w:p>
      <w:pPr>
        <w:ind w:left="660" w:hanging="183"/>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offset by a 48 basis point (-0.48%) decrease due to the legal reserve recorded related to the French competition investigation recorded in 2008.</w:t>
      </w:r>
    </w:p>
    <w:p>
      <w:pPr>
        <w:spacing w:after="0" w:line="2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Interest and Other Expense was $22.7 million for the first six months of 2009 compared to $25.2 million for the same period in 2008. Net Interest Expense decreased $2.2 million in the first half of 2009 to $19.4 million due primarily to our Euro-denominated interest expense being translated into U.S. Dollars at a lower rate in 2009 compared to 2008. Translation losses in the first half of 2009 were $1.5 million compared to gains of $1.5 million in the first half of</w:t>
      </w:r>
    </w:p>
    <w:p>
      <w:pPr>
        <w:ind w:right="440"/>
        <w:spacing w:after="0" w:line="261" w:lineRule="auto"/>
        <w:rPr>
          <w:sz w:val="20"/>
          <w:szCs w:val="20"/>
          <w:color w:val="auto"/>
        </w:rPr>
      </w:pPr>
      <w:r>
        <w:rPr>
          <w:rFonts w:ascii="Arial" w:cs="Arial" w:eastAsia="Arial" w:hAnsi="Arial"/>
          <w:sz w:val="18"/>
          <w:szCs w:val="18"/>
          <w:color w:val="auto"/>
        </w:rPr>
        <w:t>2008. Miscellaneous Expenses, net, which consists of other non-operating income and expenses, were $1.8 million in the first half of 2009 compared to expenses of $5.1 million in the first half of 2008.</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recorded an income tax benefit, at an effective rate of -338.8% for the first half of 2009, as compared to an income tax expense, at an effective rate of 41.8% for the first half of 2008. The change in the 2009 rate is due to the impact of a discrete tax benefit that reduced the amount of deferred taxes related to the French earnings that will likely be repatriated because of the payment of the fine for the French competition case and a valuation allowance reversal related to a European entity for prior net operating losses that will now be utilized. Excluding the impact of these discrete items, our effective tax rate for the first half of 2009 was 53.4 %. This rate is different than the U.S. Federal statutory rate of 35% and our 2008 annual effective tax rate of 36.6% due primarily to the impact of the mix of U.S. and non-U.S. earnings, valuation allowances recorded on non-U.S. net operating losses and other permanent items.</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Earnings Per Share – Diluted decreased 86.9% to $0.27 in the first half of 2009 compared to $2.27 in the first half of 2008. This decrease includes reorganization charges of $13.6 million, net of tax, or $0.17 per diluted share recorded in the first half of 2009. Included in Net Earnings in the first half of 2008 is the impact of the modification to the payroll tax calculation in France (+$35.2 million, net of tax) and the legal reserve related to the French competition investigation (-$50.0 million, net of tax). These amounts represent a $0.44 increase and $0.62 decrease in Net Earnings Per Share – Diluted, respectively, in the first half of 2008. Exchange rates had a $0.02 negative impact on Net Earnings Per Share – Diluted. Weighted Average Shares – Diluted were 78.6 million in the first half of 2009, a decline of 2.3% from the first half of 2008. This decline is primarily a result of share repurchases in the first half of 2008 and an increase in the total anti-dilutive shares excluded from the calculation in 2009 compared to 2008.</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quarter of 2009, our segment reporting was realigned due to a change in our management structure. Other Americas and Asia Pacific, previously reported in Other Operations, are now separate reportable segments. The United States and Other Americas reportable segments are reported as Americas. The Italy and Other EMEA reportable segments are reported as the EMEA segment. All previously reported results have been restated to conform to the current year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the Americas, Revenues decreased 24.5% (-18.6% in constant currency) in the second quarter of 2009 compared to 2008. In the United States (which represents 63.0% of the America’s revenues), Revenues declined 23.9%, or 30.8% excluding acquisitions. Revenues in Other Americas declined 25.5%, or 9.9% in constant currency. These revenue declines are primarily due to a decrease in our staffing volumes, both in our core temporary recruitment business, particularly in the light industrial and the professional sectors, and in our permanent recruitment business, which declined 63.8% in the Americas and 67.6% in the United States. These overall revenue declines show a continuing softening of the market from the declines experienced in the first quarter of 2009 where Revenues for the Americas decreased 14.9% in constant currency. However, the United States market did see the same consistent year-over-year declines in business volumes during the second quarter of 2009 in all sectors, including professional, where some of our large clients reduced their staff of engineers and IT professionals in large numbers. During the first part of the third quarter, the United States is experiencing marginal improvements in year-over-year trends compared to the first half of 2009.</w:t>
      </w:r>
    </w:p>
    <w:p>
      <w:pPr>
        <w:spacing w:after="0" w:line="20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Gross Profit Margin decreased during the second quarter and first half of 2009 compared to the second quarter and first half of 2008 due to a decrease in temporary staffing margins, which was caused primarily by the pricing pressures on our staffing business, and the decline in our permanent recruitment business. Acquisitions caused a slight increase in Gross Profit Margin during the first half of 2009.</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and Administrative Expenses decreased during the second quarter and first half of 2009 compared to 2008, due primarily to continued cost control efforts in response to the slowing revenue levels, despite the impact of acquisitions. Included in Selling and Administrative Expenses in the first half of 2009 was $0.9 million of reorganization costs, primarily related to severances. Selling and Administrative Expenses as a percent of revenues increased in the second quarter and first half of 2009 compared to 2008, as we avoided expense reductions that would have a negative impact on the long-term potential of our branch network and brands.</w:t>
      </w:r>
    </w:p>
    <w:p>
      <w:pPr>
        <w:spacing w:after="0" w:line="2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Unit Profit (“OUP”) Margin in the Americas was -0.3% and 2.8% for the second quarter of 2009 and 2008, respectively. This decline is primarily due to the decline in the United States, where OUP Margin was -1.5% in the second quarter of 2009 compared to 3.0% in 2008. Other Americas OUP Margin was 1.8% in the second quarter of 2009 compared to 2.5% in the second quarter of 2008. The decreases are due to the deleveraging effect of the revenue decline as revenues have declined more than expenses. Acquisitions had a minimal impact on OUP Margin for the second quarter of 2009.</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OUP Margin in the Americas was -1.0% and 2.4% for the first half of 2009 and 2008, respectively. This decline is primarily due to the decline in the United States, where OUP Margin was -2.7% in the first half of 2009 compared to 2.3% in 2008. Other Americas OUP Margin was 2.0% in the first half of 2009 compared to 2.7% in the first half of 2008. Acquisitions had a minimal impact on OUP Margin for the first half of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France, revenues decreased 43.8%, or 35.6% in constant currency during the second quarter of 2009 compared to 2008, a slight improvement from the</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36.6% constant currency decline experienced in the first quarter of 2009 as we saw improving trends throughout the quarter. This constant currency decline is due to a decline in the demand for our services as a result of softening in the manufacturing and construction industries, which is a large portion of our staffing business in France. Permanent recruitment revenues declined 46.9% in constant currency in the second quarter of 2009 compared to 2008.</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right="80"/>
        <w:spacing w:after="0" w:line="302" w:lineRule="auto"/>
        <w:rPr>
          <w:sz w:val="20"/>
          <w:szCs w:val="20"/>
          <w:color w:val="auto"/>
        </w:rPr>
      </w:pPr>
      <w:r>
        <w:rPr>
          <w:rFonts w:ascii="Arial" w:cs="Arial" w:eastAsia="Arial" w:hAnsi="Arial"/>
          <w:sz w:val="16"/>
          <w:szCs w:val="16"/>
          <w:color w:val="auto"/>
        </w:rPr>
        <w:t>Gross Profit Margin decreased in the second quarter and first half of 2009 compared to the second quarter and first half of 2008 due primarily to the $53.7 million impact of the modification to the calculation of payroll taxes recorded in 2008. Excluding this amount, Gross Profit Margin decreased slightly during the second quarter due to a decline in temporary staffing margins as well as a decline in permanent recruitment fees. For the first half of 2009, Gross Profit Margin increased slightly over prior year excluding the impact of the modification to the calculation of payroll taxes recorded in 2008.</w:t>
      </w:r>
    </w:p>
    <w:p>
      <w:pPr>
        <w:spacing w:after="0" w:line="18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Selling and Administrative Expenses decreased during the second quarter and first half of 2009 compared to 2008 primarily due to the $54.1 million of costs recorded in 2008 for a legal reserve related to the French competition investigation. Excluding these costs, Selling and Administrative Expenses decreased during the second quarter and first half of 2009 due to cost reduction efforts in response to the slowing demand for services. Included in Selling and Administrative Expenses for the first half of 2009 is the reversal of a $3.9 million (€3.0 million) legal reserve recorded in the first quarter of 2009 related to the French competition investigation and $0.8 million of reorganization charges related to office closures, most of which were recorded in the first</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quarter. Excluding the 2008 legal reserve costs, Selling and Administrative Expenses as a percentage of revenue increased in the second quarter and first half of 2009 as compared to 2008 as we avoided expense reductions that would have a negative impact on the long-term potential of our branch network.</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second quarter of 2009 and 2008, OUP Margin in France was 0.4% and 3.6%, respectively. Included in the second quarter 2008 OUP is the impact of the modification to the payroll tax calculation and the legal reserve related to the French competition investigation. The net impact of these items was a decrease to OUP of $0.4 million, which had no significant impact on second quarter 2008 OUP Margin. Excluding these 2008 items and the legal reserve reversal and reorganization charges recorded in 2009, OUP Margin decreased in the second quarter of 2009 due to the expense deleveraging resulting from the significant decline in revenues. OUP Margin for the first half of 2009 was 0.3% compared to 3.4% in the first half of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EMEA, which includes operations throughout Europe (excluding France), the Middle East and Africa, revenues decreased 40.2% (27.7% in constant currency) in the second quarter of 2009 compared to the second quarter of 2008. Revenues in Other EMEA decreased 38.6%, or 25.0% in constant currency, while Italy had revenue declines of 47.9%, or 40.3% in constant currency. Constant currency revenue declines of over 20% were experienced in all major markets, with the exception of Elan, which reported a revenue decline of 17.3% in constant currency in the quarter. Also, Italy had consistent year-over-year declines in business volumes during the second quarter. Permanent recruitment revenues decreased 54.1% in constant currency during the quarter, a further decline from the 38.0% constant currency decline experienced in the first quarter of 2009, due to continuing declining trends in most of our markets.</w:t>
      </w:r>
    </w:p>
    <w:p>
      <w:pPr>
        <w:spacing w:after="0" w:line="1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Gross Profit Margin decreased in the second quarter and first half of 2009 compared to the first quarter of 2008 primarily due to the decline in the permanent recruitment business, the increase in pricing pressures in many of our markets and the shift in the mix of business to countries with lower profit margins.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and Administrative Expenses decreased during the second quarter of 2009 compared to the second quarter of 2008 due to cost reduction efforts in response to the slowing revenue levels. Included in Selling and Administrative Expenses in the first half of 2009 is $3.8 million in Other EMEA and $4.8 million in Italy of reorganization costs primarily related to severances and office closures. Of these costs, $3.4 million in Other EMEA and $2.1 million in Italy were recorded in the second quarter of 2009. Offsetting these amounts were $4.9 million (€3.8 million) reversal of an acquisition earn-out provision that was originally charged through earnings that we determined was no longer necessary. Expenses as a percent of revenues increased in the second quarter and first half of 2009 compared to 2008 due to the expense deleveraging across the region, as revenues declined more than expenses. Despite the decreases in expenses, we are continuing to maintain a structure and office network that we believe is appropriate given the future opportunity in the European geographies.</w:t>
      </w:r>
    </w:p>
    <w:p>
      <w:pPr>
        <w:spacing w:after="0" w:line="2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OUP Margin for EMEA was 0.2% and 4.9% for the second quarter of 2009 and 2008, respectively. The decline was seen across the region, as OUP Margin for Other EMEA was -0.3% in 2009 compared to 4.2% in 2008, and was 2.9% compared to 8.5% for Italy. The declines in OUP Margin were due to expense deleveraging as revenues declined more than expenses. For the first half of 2009, OUP Margin for EMEA was 0.2% compared to 4.2% in 2008. OUP Margin for Other EMEA was -0.1% in 2009 compared to 3.4% in 2008, and was 1.8% in the first half of 2009 in Italy compared to 7.9% in 2008.</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for Asia Pacific decreased 14.5%, or 12.7% in constant currency, during the second quarter of 2009 compared to 2008, a further decline from the 8.3% or 7.0% in constant currency experienced in the first quarter of 2009. Revenue decreases for the second quarter were experienced in most major markets including Japan and Australia. In Japan, where revenue declined 12.1% in constant currency, we have been able to gain market share by helping our key clients manage their flexibility. In Australia, revenues declined 20.0%, while revenues remained flat in India. China has seen revenues decrease 38.3% as the Chinese market is primarily a permanent recruitment market which has seen a significant decline in demand. Permanent recruitment revenues have decreased 69.3% in Asia Pacific.</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Profit Margin decreased in the second quarter and first half of 2009 compared to the second quarter and first half of 2008 primarily due to the decrease in the permanent recruitment business.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and Administrative Expenses decreased in the second quarter and first half of 2009 compared to 2008 primarily due to the continued cost reduction efforts in response to the slowing revenue levels. Included in Selling and Administrative Expenses in the first half of 2009 is $1.8 million of reorganization charges, primarily related to severances and office closures. Of this amount, $1.4 million was recorded in the second quarter of 2009. Also included in the first half of 2009 is a $4.3 million (¥392.4 million) gain in Japan related to the termination of a defined benefit pension plan. Expenses as a percent of revenues decreased in the second quarter and first half of 2009 compared to 2008, as we were able to reduce operating expenses to compensate for the decline in revenues.</w:t>
      </w:r>
    </w:p>
    <w:p>
      <w:pPr>
        <w:spacing w:after="0" w:line="22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OUP Margin for Asia Pacific was 0.9% in the second quarter of 2009 compared to 2.0% in the second quarter of 2008, as the decrease in gross profit margin exceeded the decrease in expenses. OUP Margin for Asia Pacific was 1.9% for the first half of 2009 compared to 2.4% in the first half of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Revenues for Right Management in the second quarter of 2009 increased 35.9%, or 46.5% on a constant currency basis, compared to the second quarter of 2008, a further increase from the 43.4% constant currency increase in the first quarter of 2009. This increase in constant currency is the result of an increase in demand in the outplacement business which is a counter-cyclical business, where revenues increase in an economic slowdown as we are currently experiencing. This increase is offset somewhat by a decrease in the organizational consulting business, however we did see some improvement in demand for this business in the second quarter. While we have begun to see some leveling off in the number of mass layoffs, demand for our outplacement services still remains at a high level. However, historically the third quarter tends to be a seasonally weaker quarter for our outplacement business.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Margin increased in the second quarter and first half of 2009 compared to the second quarter and first half of 2008 as we effectively managed our variable direct costs given the significant increase in revenues.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and Administrative Expenses increased in the second quarter and first half of 2009 compared to the second quarter and first half of 2008 to support the increased levels of business activity. However, as a percentage of revenue, expenses decreased in the second quarter and first half of 2009 compared to 2008, as we focused on leveraging our expense base to service the increased demand without a proportionate increase in expenses.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OUP Margin for Right Management was 26.6% in the second quarter of 2009 compared to 11.5% in the second quarter of 2008 due to the increase in Gross Profit Margin and the better leveraging of Selling and Administrative Expenses. OUP Margin for Right Management was 24.1% in the first half of 2009 compared to 9.1% in the first half of 2008.</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Jefferson Wells</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Revenues for Jefferson Wells in the second quarter of 2009 declined 36.5%, a further decline from the 31.9% experienced in the first quarter of 2009, as we saw continued declines in discretionary spending by our clients because of the current economic environment. We have participated in some states on the stimulus program and will continue to pursue these opportunities.</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Gross Profit Margin in the second quarter of 2009 declined compared to the second quarter of 2008 due to lower utilization of our professional staff and lower bill rates in the quarter. In the fourth quarter of 2008, we transitioned a number of employees into project-based roles to reduce our fixed direct costs and improve our utilization of professional staff. Due to the continued decline in revenue levels in the second quarter, we made further changes to our business model and have transitioned the majority of professionals into project-based roles. With these changes, we anticipate to return to profitability within the next 12 months at current revenue levels.</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and Administrative Expenses decreased during the second quarter of 2009 due to a reorganization that occurred in the fourth quarter of 2008 to realign the business in response to the lower revenue levels. We recorded additional reorganization charges of $6.8 million in the first half of 2009, of which $5.9 million was recorded in the second quarter, as a result of the additional changes to our business model. These charges primarily relate to severances and office closures. As a percent of revenues, expenses have increased in the second quarter and first half of 2009 compared to 2008, as we could not decrease expenses to the extent of the revenue decline.</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OUP Margin for Jefferson Wells decreased in the second quarter of 2009 to -21.0% in the second quarter of 2009 compared to -2.2% in the second quarter of 2008 due to the decline in the gross profit margin and the deleveraging of expenses. OUP Margin for Jefferson Wells decreased in the first half of 2009 to -17.4% compared to -2.7% in the first half of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quarterly report to remove the impact of these items. We express year-over-year variances that are calculated in constant currency and organic constant currency as a percentage.</w:t>
      </w:r>
    </w:p>
    <w:p>
      <w:pPr>
        <w:spacing w:after="0" w:line="20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b w:val="1"/>
                <w:bCs w:val="1"/>
                <w:color w:val="auto"/>
              </w:rPr>
              <w:t>Three Months Ended June 30, 2009 Compared to 2008</w:t>
            </w:r>
          </w:p>
        </w:tc>
        <w:tc>
          <w:tcPr>
            <w:tcW w:w="1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Impact of</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Acquisitions/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Variance in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Dispositions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Reported</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Impact of</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Constant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(In Constant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w w:val="98"/>
              </w:rPr>
              <w:t xml:space="preserve">Amount </w:t>
            </w:r>
            <w:r>
              <w:rPr>
                <w:rFonts w:ascii="Arial" w:cs="Arial" w:eastAsia="Arial" w:hAnsi="Arial"/>
                <w:sz w:val="25"/>
                <w:szCs w:val="25"/>
                <w:color w:val="auto"/>
                <w:w w:val="98"/>
                <w:vertAlign w:val="superscript"/>
              </w:rPr>
              <w:t>(a)</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Variance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Currency</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Currency</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 %</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Other Americas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220.7</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Italy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Other EMEA</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(38.6)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Right Management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35.9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46.5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Manpower Inc.</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3,796.6</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(35.7)</w:t>
            </w:r>
          </w:p>
        </w:tc>
        <w:tc>
          <w:tcPr>
            <w:tcW w:w="14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(9.1)</w:t>
            </w:r>
          </w:p>
        </w:tc>
        <w:tc>
          <w:tcPr>
            <w:tcW w:w="14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(26.6)</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695.4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6"/>
              </w:rPr>
              <w:t>Selling and Administrative Expenses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673.3</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June 30, 2009.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gridSpan w:val="8"/>
          </w:tcPr>
          <w:p>
            <w:pPr>
              <w:jc w:val="right"/>
              <w:ind w:right="960"/>
              <w:spacing w:after="0"/>
              <w:rPr>
                <w:sz w:val="20"/>
                <w:szCs w:val="20"/>
                <w:color w:val="auto"/>
              </w:rPr>
            </w:pPr>
            <w:r>
              <w:rPr>
                <w:rFonts w:ascii="Arial" w:cs="Arial" w:eastAsia="Arial" w:hAnsi="Arial"/>
                <w:sz w:val="18"/>
                <w:szCs w:val="18"/>
                <w:b w:val="1"/>
                <w:bCs w:val="1"/>
                <w:color w:val="auto"/>
              </w:rPr>
              <w:t>Six Months Ended June 30, 2009 Compared to 2008</w:t>
            </w: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Impact of</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Acquisitions/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Variance in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Dispositions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Reported</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Reported</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Impact of</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Constant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(In Constant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w w:val="98"/>
              </w:rPr>
              <w:t xml:space="preserve">Amount </w:t>
            </w:r>
            <w:r>
              <w:rPr>
                <w:rFonts w:ascii="Arial" w:cs="Arial" w:eastAsia="Arial" w:hAnsi="Arial"/>
                <w:sz w:val="25"/>
                <w:szCs w:val="25"/>
                <w:color w:val="auto"/>
                <w:w w:val="98"/>
                <w:vertAlign w:val="superscript"/>
              </w:rPr>
              <w:t>(a)</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Variance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Currency</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 %</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Other Americas</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439.9</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Italy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Other EMEA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2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2,972.4</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831.4</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1080" w:type="dxa"/>
            <w:vAlign w:val="bottom"/>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Manpower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7,443.7</w:t>
            </w: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1,365.2</w:t>
            </w: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(89.5)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In millions for the six months ended June 30, 2009.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provided by operating activities was $379.3 million in the first half of 2009 compared to $265.8 million for the first half of 2008. This increase results from the impact that the current economic environment has had on our working capital needs, which have declined significantly, as we have seen a larger decrease in our accounts receivable than in our current liabilities. Working capital needs decreased $317.2 million in the first half of 2009 compared to an increase of $1.8 million the first half of 2008. The cash flows from operations resulted in a significant increase in our cash and cash equivalents, to $1,107.3 million as of June 30, 2009 from $874.0 million at December 31, 2008.</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decreased to $2,944.9 million as of June 30, 2009 from $3,629.7 million as of December 31, 2008. This decrease is due primarily to decreased business volumes and a lower DSO (Days Sales Outstanding) offset by changes in foreign currency exchange rates. As business volumes decline, we receive payment on accounts receivable at a faster rate than we add new accounts receivable. In addition, our DSO for the second quarter of 2009 improved by six days compared to the fourth quarter of 2008 (seven days compared to the prior year). This improvement results from a law change in France as well as DSO reductions in a number of countries, as we have increased focus on accounts receivable in the current economic environment. The French law change was effective January 1, 2009 and requires all invoices in France to be paid within 60 days. At June 30, 2009, this had a five day favorable impact on our overall DSO compared to the prior year. At constant exchange rates, the June 30, 2009 accounts receivable balance would have been approximately $81.5 million lower than reported.</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cyclical factors impacting our cash flow, and the other improvements in accounts receivable, we are also transitioning our temporary staff in France from a weekly payroll to a monthly payroll. This change had an $85.0 million favorable impact on our working capital needs as the transitioning of the temporary staff payroll was implemented during the first half of 2009.</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Offsetting these working capital reductions is the unfavorable impact of the €42.0 million ($55.6 million) competition case fine in France, which was paid in April of 2009.</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Capital expenditures were $16.9 million in the first half of 2009 compared to $51.4 million in the first half of 2008. These expenditures are primarily comprised of purchases of computer equipment, office furniture and other costs related to office openings and refurbishments. The significant decrease in this amount reflects the decrease in office openings and refurbishments given the current economic environment.</w:t>
      </w:r>
    </w:p>
    <w:p>
      <w:pPr>
        <w:spacing w:after="0" w:line="2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for acquisitions, net of cash acquired, in the six months ended June 30 was $21.7 million compared to $195.5 million for 2009 and 2008,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Repayments of debt were $85.0 million in the first half of 2009 compared to borrowings of $26.0 million in the first half of 2008.</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future cash needs for at least the next couple of years. We assess and monitor our liquidity and capital resources globally. We use a global cash pooling arrangement, intercompany lending, and some local credit lines to meet funding needs and allocate our capital resources among our various entities.</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€300.0 million notes are due June 2012, our $625.0 million revolving credit agreement expires in November 2012, and our €200.0 million notes are due June 2013. When these facilities mature, we plan to repay these amounts with available cash or refinance them with new long-term facilities. In the event that the economy continues to decline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right="600"/>
        <w:spacing w:after="0" w:line="308" w:lineRule="auto"/>
        <w:rPr>
          <w:sz w:val="20"/>
          <w:szCs w:val="20"/>
          <w:color w:val="auto"/>
        </w:rPr>
      </w:pPr>
      <w:r>
        <w:rPr>
          <w:rFonts w:ascii="Arial" w:cs="Arial" w:eastAsia="Arial" w:hAnsi="Arial"/>
          <w:sz w:val="17"/>
          <w:szCs w:val="17"/>
          <w:color w:val="auto"/>
        </w:rPr>
        <w:t>As of June 30, 2009, we had borrowings of $140.3 million and letters of credit of $10.6 million outstanding under our $625.0 million revolving credit agreement. Additional borrowings of $474.1 million were available to us under the credit agreement as of June 30, 2009.</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$625.0 million revolving credit agreement requires, among other things, that we comply with a Debt-to-EBITDA ratio of less than 3.25 to 1 and a fixed charge ratio of greater than 2.00 to 1. As defined in the agreement, we had a Debt-to-EBITDA ratio of 1.88 to 1 and a fixed charge ratio of 2.49 to 1 as of June 30, 2009. Based upon current forecasts, we may not be able to maintain compliance with one or both of these financial covenants in the second half of 2009. If this were to occur, we would work with our lenders to secure a waiver or amend our revolving credit agreement. Any amendment or waiver would result in additional bank fees, as well as an increase in the cost of any future borrowings and more restrictive terms. We are currently able to repay our outstanding borrowings with available cash.</w:t>
      </w:r>
    </w:p>
    <w:p>
      <w:pPr>
        <w:spacing w:after="0" w:line="22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an interest rate swap agreement to fix the variable interest cost on our Euro borrowings under our revolving credit agreement. The Euro interest rate swap agreements have a notional value of €100.0 million ($140.3 million) and fix the variable portion of the interest rate on these borrowings, on a weighted-average basis, at 5.71% until July 2010. The total interest rate on these borrowings is currently 6.11%, including the 40 basis point credit spread as defined in our revolving credit agreement. This credit spread is tied to our public debt rating and can fluctuate as defined in the agreement.</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June 2009, we terminated our $100.0 million Receivables Facility program, which would have expired in July 2009. We terminated the program as we did not anticipate a need for this liquidity and anticipated a significant increase in associated fees and borrowing costs.</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2009, such credit lines totaled $399.6 million, of which $368.0 million was unused. Under the revolving credit agreement, total subsidiary borrowings cannot exceed $300.0 million in the first, second and fourth quarters, and $600.0 million in the third quarter of each year.</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credit rating from Moody’s Investors Services is Baa2 with a negative outlook, which reflects a change in outlook from stable to negative in the first quarter of 2009. Following our second quarter earnings release, on July 27, 2009, Moody’s Investor Services placed our rating under review for possible downgrade. The rating agencies use a proprietary methodology in determining their ratings and outlook which includes, among other things, financial ratios based upon debt levels and earnings performance. Even if we are downgraded by Moody’s Investors Services, we would not expect any impact on our ability to obtain additional financing. Our credit rating from Standard and Poor’s is BBB- with a negative outlook. Both of the current credit ratings are investment grade.</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Revolving Credit Agreement, we have a ratings-based pricing grid which determines the facility fee and the credit spread that we add to the applicable interbank borrowing rate on all borrowings. At our current credit ratings, the facility fee is 10 bps, and the credit spread is 40 bps. At our current level of borrowing under the Agreement, any further downgrades from the credit agencies would unfavorably impact our pricing and result in additional costs ranging from approximately $0.3 million to $1.65 million annually.</w:t>
      </w:r>
    </w:p>
    <w:p>
      <w:pPr>
        <w:spacing w:after="0" w:line="19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August 2007, the Board of Directors authorized the repurchase of 5.0 million shares of our common stock, not to exceed a total purchase price of $400.0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repurchased 3.9 million shares of common stock at a total cost of $217.9 million, none of which were repurchased in the first half of 2009. There were 1.1 million shares, at a cost of up to $182.1 million, remaining authorized for repurchase under this authorization as of June 30, 2009.</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28, 2009, the Board of Directors declared a cash dividend of $0.37 per share, which was paid on June 15, 2009 to shareholders of record on June 3, 2009.</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aggregate commitments related to debt repayments, operating leases, severances and office closure costs, and certain other commitments of $1,761.3 million as of June 30, 2009 compared to $1,998.4 million as of December 31, 2008.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ind w:right="140"/>
        <w:spacing w:after="0" w:line="276" w:lineRule="auto"/>
        <w:rPr>
          <w:sz w:val="20"/>
          <w:szCs w:val="20"/>
          <w:color w:val="auto"/>
        </w:rPr>
      </w:pPr>
      <w:r>
        <w:rPr>
          <w:rFonts w:ascii="Arial" w:cs="Arial" w:eastAsia="Arial" w:hAnsi="Arial"/>
          <w:sz w:val="17"/>
          <w:szCs w:val="17"/>
          <w:color w:val="auto"/>
        </w:rPr>
        <w:t>In the first two quarters of 2009 and fourth quarter of 2008, we recorded reorganization charges of $57.1 million ($19.9 million in 2009 and $37.2 million in 2008) in Selling and Administrative Expenses, primarily related to severances and office closures and consolidations in several countries. As of June 30, 2009, $5.7 million and $23.8 million have been paid out of the reserves recorded in 2009 and 2008, respectively, of which $21.1 million was paid during the six months ended June 30, 2009. We expect a majority of the remaining $27.6 million will be paid in 2009. For reorganization charges recorded prior to 2008, there is $1.1 million remaining to be paid which we expect will be paid in 2009.</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$154.5 million and $158.0 million as of June 30, 2009 and December 31, 2008, respectively, consisting of $109.5 million and $107.6 million for guarantees, respectively, and $45.0 million and $50.4 million for stand-by letters of credit as of June 30, 2009 and December 31, 2008,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letters of credit and guarantees was $0.5 million in the first half of 2009. Given the current economic environment, the cost of these letters of credit and guarantees could increase for the remainder of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accordance with Statement of Financial Accounting Standards No. 142, “Goodwill and Other Intangible Assets,” we perform an annual impairment test of goodwill and indefinite-lived intangible assets at our reporting unit level during the third quarter or more frequently if events or circumstances change that would more likely than not reduce the fair value of our reporting units below their carrying value.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to the on-going unfavorable impact of the credit crisis and the current economic environment, we completed an assessment of impairment indicators during the second quarter of 2009 to determine if the fair value of any of our reporting units was more likely than not below carrying value. We considered a number of factors, including, among other things, recent operational trends and reorganization plans. We also considered the effect of the recent decline in the demand for our services and volatility in our stock price on the fair value of our reporting units. However, based on our previous experiences during economic downturns, we do not currently believe these are necessarily indicative of a significant decline in the long-term value of our businesses and therefore in the fair value of our reporting units.</w:t>
      </w:r>
    </w:p>
    <w:p>
      <w:pPr>
        <w:spacing w:after="0" w:line="2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consolidated revenues declined 35.7% (26.6% in constant currency) during the second quarter of 2009 as compared to the second quarter of 2008, with similar declines in most of our reporting units. This decline was in line with our expectations and reflects some stabilization in certain markets, as compared to the 32.3% decline (21.8% in constant currency) we experienced during the first quarter of 2009, with stabilization just beginning in a couple of markets.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stock price and our resulting market capitalization increased during the second quarter of 2009. Our stock price was $42.34 as of June 30, 2009 as compared to $31.53 as of March 31, 2009. Our book value per share was $32.46 as of June 30, 2009. We expect that there may continue to be volatility in our stock price due to changes in market conditions and expectations; however, our market capitalization continues to be greater than our book value at our quarter-end.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Jefferson Wells reporting unit recorded restructuring costs of $5.9 million in the second quarter of 2009 as we anticipated, due to a reorganization of their operating structure to address the current economic conditions. To evaluate the effect of this reorganization, we reviewed Jefferson Wells’ revised forecast and adjusted our discounted projected cash flows accordingly. The fair value of these cash flows continued to exceed the carrying value at June 30, 2009, albeit by a narrower margin.</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our assessment, we concluded it was more likely than not that the fair value of our reporting units continued to exceed their carrying value at June 30, 2009 and therefore no interim impairment test was required.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ind w:right="60"/>
        <w:spacing w:after="0" w:line="293" w:lineRule="auto"/>
        <w:rPr>
          <w:sz w:val="20"/>
          <w:szCs w:val="20"/>
          <w:color w:val="auto"/>
        </w:rPr>
      </w:pPr>
      <w:r>
        <w:rPr>
          <w:rFonts w:ascii="Arial" w:cs="Arial" w:eastAsia="Arial" w:hAnsi="Arial"/>
          <w:sz w:val="16"/>
          <w:szCs w:val="16"/>
          <w:color w:val="auto"/>
        </w:rPr>
        <w:t>During the fourth quarter of 2008, we performed an interim impairment test on the goodwill balances allocated to our Right Management and Jefferson Wells reporting units due to an impairment recorded in the third quarter of 2008 related to Right Management and the significant revenue declines and operating unit losses incurred by Jefferson Wells in the latter part of 2008. We performed the step one analysis to determine the fair value of Right Management and Jefferson Wells as of December 31, 2008 by utilizing a combination of the income approach (weighted 75%) and the market approach (weighted 25%) methodologies. These combined methodologies were consistent with the methodologies we used in our annual goodwill impairment test for these reporting units in the third quarter of 2008. The results of our interim goodwill impairment test yielded no impairment at December 31, 2008.</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While we believe that each approach has its merits, we have weighted the income approach more heavily than the market approach because we believe management’s assumptions generally provide greater insight into the reporting unit’s fair value and historically have been a more conservative fair value determination. (For both reporting units, the market approach provided a higher estimated fair value during our annual impairment testing in our third quarter of 2008.)</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assumptions used in our interim goodwill impairment test in the fourth quarter of 2008 included: expected future revenue growth rates, operating unit profit margins, and working capital levels; a discount rate of 10.4% for Right Management and 12.7% for Jefferson Wells; and a terminal value multiple. The expected future revenue growth rates were determined with consideration of our historical revenue growth rates, our assessment of future market potential, our expectations of future business performance and an assumed modest economic recovery beginning in 2010. A summary of the historical operating unit profits as well as the historical and projected earnings growth rates for the Right Management and Jefferson Wells reporting units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Historical</w:t>
            </w: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Projected</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Reporting Unit</w:t>
            </w:r>
          </w:p>
        </w:tc>
        <w:tc>
          <w:tcPr>
            <w:tcW w:w="120" w:type="dxa"/>
            <w:vAlign w:val="bottom"/>
          </w:tcPr>
          <w:p>
            <w:pPr>
              <w:spacing w:after="0"/>
              <w:rPr>
                <w:sz w:val="18"/>
                <w:szCs w:val="18"/>
                <w:color w:val="auto"/>
              </w:rPr>
            </w:pPr>
          </w:p>
        </w:tc>
        <w:tc>
          <w:tcPr>
            <w:tcW w:w="2200" w:type="dxa"/>
            <w:vAlign w:val="bottom"/>
            <w:gridSpan w:val="2"/>
          </w:tcPr>
          <w:p>
            <w:pPr>
              <w:ind w:left="60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2006</w:t>
            </w:r>
          </w:p>
        </w:tc>
        <w:tc>
          <w:tcPr>
            <w:tcW w:w="280" w:type="dxa"/>
            <w:vAlign w:val="bottom"/>
          </w:tcPr>
          <w:p>
            <w:pPr>
              <w:spacing w:after="0"/>
              <w:rPr>
                <w:sz w:val="18"/>
                <w:szCs w:val="18"/>
                <w:color w:val="auto"/>
              </w:rPr>
            </w:pPr>
          </w:p>
        </w:tc>
        <w:tc>
          <w:tcPr>
            <w:tcW w:w="1140" w:type="dxa"/>
            <w:vAlign w:val="bottom"/>
          </w:tcPr>
          <w:p>
            <w:pPr>
              <w:ind w:left="220"/>
              <w:spacing w:after="0" w:line="216" w:lineRule="exact"/>
              <w:rPr>
                <w:sz w:val="20"/>
                <w:szCs w:val="20"/>
                <w:color w:val="auto"/>
              </w:rPr>
            </w:pPr>
            <w:r>
              <w:rPr>
                <w:rFonts w:ascii="Arial" w:cs="Arial" w:eastAsia="Arial" w:hAnsi="Arial"/>
                <w:sz w:val="18"/>
                <w:szCs w:val="18"/>
                <w:b w:val="1"/>
                <w:bCs w:val="1"/>
                <w:color w:val="auto"/>
              </w:rPr>
              <w:t>CAGR</w:t>
            </w:r>
            <w:r>
              <w:rPr>
                <w:rFonts w:ascii="Arial" w:cs="Arial" w:eastAsia="Arial" w:hAnsi="Arial"/>
                <w:sz w:val="25"/>
                <w:szCs w:val="25"/>
                <w:b w:val="1"/>
                <w:bCs w:val="1"/>
                <w:color w:val="auto"/>
                <w:vertAlign w:val="superscript"/>
              </w:rPr>
              <w:t>(1)</w:t>
            </w:r>
          </w:p>
        </w:tc>
        <w:tc>
          <w:tcPr>
            <w:tcW w:w="260" w:type="dxa"/>
            <w:vAlign w:val="bottom"/>
          </w:tcPr>
          <w:p>
            <w:pPr>
              <w:spacing w:after="0"/>
              <w:rPr>
                <w:sz w:val="18"/>
                <w:szCs w:val="18"/>
                <w:color w:val="auto"/>
              </w:rPr>
            </w:pPr>
          </w:p>
        </w:tc>
        <w:tc>
          <w:tcPr>
            <w:tcW w:w="1300" w:type="dxa"/>
            <w:vAlign w:val="bottom"/>
            <w:gridSpan w:val="2"/>
          </w:tcPr>
          <w:p>
            <w:pPr>
              <w:jc w:val="right"/>
              <w:ind w:right="400"/>
              <w:spacing w:after="0" w:line="216" w:lineRule="exact"/>
              <w:rPr>
                <w:sz w:val="20"/>
                <w:szCs w:val="20"/>
                <w:color w:val="auto"/>
              </w:rPr>
            </w:pPr>
            <w:r>
              <w:rPr>
                <w:rFonts w:ascii="Arial" w:cs="Arial" w:eastAsia="Arial" w:hAnsi="Arial"/>
                <w:sz w:val="18"/>
                <w:szCs w:val="18"/>
                <w:b w:val="1"/>
                <w:bCs w:val="1"/>
                <w:color w:val="auto"/>
              </w:rPr>
              <w:t>CAGR</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Growth rate</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Jefferson Wells</w:t>
            </w:r>
          </w:p>
        </w:tc>
        <w:tc>
          <w:tcPr>
            <w:tcW w:w="1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Operating unit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rate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compounded annual growth rate for earnings is calculated for each reporting unit utilizing their operating unit profit from 2008 and the first full fiscal year subsequent to acquisition.</w:t>
      </w:r>
    </w:p>
    <w:p>
      <w:pPr>
        <w:spacing w:after="0" w:line="197" w:lineRule="exact"/>
        <w:rPr>
          <w:rFonts w:ascii="Arial" w:cs="Arial" w:eastAsia="Arial" w:hAnsi="Arial"/>
          <w:sz w:val="18"/>
          <w:szCs w:val="18"/>
          <w:color w:val="auto"/>
        </w:rPr>
      </w:pPr>
    </w:p>
    <w:p>
      <w:pPr>
        <w:ind w:right="6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projected compounded annual growth rate for earnings is calculated utilizing the projected terminal value operating unit profit and the projected 2009 operating unit profit.</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Jefferson Wells’ historical operating unit profit in 2008 and 2007 included reorganization costs of $7.8 million and $4.0 million, respectively, and moving costs of $3.0 million in 2007 related to relocating to Manpower’s new world headquarters. In addition, Jefferson Wells’ historical operating unit profits were further impacted by revenue declines in 2008, 2007 and 2006, which unfavorably impacted operating unit profit margins as Jefferson Wells was unable to deleverage its fixed cost base as quickly as the revenues declined.</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projected compounded annual growth rate for Jefferson Wells takes into account the operating leverage expected as a result of the reorganization noted above as well as the changes already made to the fixed cost base in the 2008 reorganization and the expected revenue growth over the ten-year period.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right="580"/>
        <w:spacing w:after="0" w:line="277" w:lineRule="auto"/>
        <w:rPr>
          <w:sz w:val="20"/>
          <w:szCs w:val="20"/>
          <w:color w:val="auto"/>
        </w:rPr>
      </w:pPr>
      <w:r>
        <w:rPr>
          <w:rFonts w:ascii="Arial" w:cs="Arial" w:eastAsia="Arial" w:hAnsi="Arial"/>
          <w:sz w:val="18"/>
          <w:szCs w:val="18"/>
          <w:color w:val="auto"/>
        </w:rPr>
        <w:t>The estimated fair value and carrying value as determined in our interim goodwill impairment test as of December 31, 2008, along with the sensitivity analysis of the estimated fair value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Right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Jefferson</w:t>
            </w:r>
          </w:p>
        </w:tc>
        <w:tc>
          <w:tcPr>
            <w:tcW w:w="0" w:type="dxa"/>
            <w:vAlign w:val="bottom"/>
          </w:tcPr>
          <w:p>
            <w:pPr>
              <w:spacing w:after="0"/>
              <w:rPr>
                <w:sz w:val="1"/>
                <w:szCs w:val="1"/>
                <w:color w:val="auto"/>
              </w:rPr>
            </w:pPr>
          </w:p>
        </w:tc>
      </w:tr>
      <w:tr>
        <w:trPr>
          <w:trHeight w:val="24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5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Management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Wells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as of December 31, 2008</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as of December 31, 2008</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Sensitivity of estimated fair value:</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in the event of a 1% reduction</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in earnings and revenue growth rates</w:t>
            </w:r>
          </w:p>
        </w:tc>
        <w:tc>
          <w:tcPr>
            <w:tcW w:w="2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Estimated fair value in the event of a 1% increase</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 the market participant discount rate</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annual impairment test will occur in the third quarter of 2009. If we continue to experience volatility in our stock prices and/or a further erosion of actual and projected revenues, we may have a material impairment charge related to one or more of our reporting units, such as Jefferson Wells.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52"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In November 2004, French authorities commenced an investigation at our French headquarters. According to the search warrant, the investigation stemmed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w:t>
      </w:r>
    </w:p>
    <w:p>
      <w:pPr>
        <w:ind w:right="40"/>
        <w:spacing w:after="0" w:line="254" w:lineRule="auto"/>
        <w:rPr>
          <w:sz w:val="20"/>
          <w:szCs w:val="20"/>
          <w:color w:val="auto"/>
        </w:rPr>
      </w:pPr>
      <w:r>
        <w:rPr>
          <w:rFonts w:ascii="Arial" w:cs="Arial" w:eastAsia="Arial" w:hAnsi="Arial"/>
          <w:sz w:val="18"/>
          <w:szCs w:val="18"/>
          <w:color w:val="auto"/>
        </w:rPr>
        <w:t>violations. This investigation led the DGCCRF to transmit the results of its inquiry to the French Competition Council. After considering all of the input that was provided, the Competition Council rendered its decision in the matter in February 2009 and levied a fine of €42.0 million ($55.9 million) based on the Competition Council’s determination of the damage to the economy attributable to the alleged misconduct, with adjustment for aggravating or mitigating factors. We paid this fine in April 2009 and have appealed the Competition Council’s decision.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2008,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2008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6" w:name="page37"/>
    <w:bookmarkEnd w:id="36"/>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as well as shares acquired in satisfaction of tax withholding obligations relating to equity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ISSUER PURCHASES OF EQUITY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Total number</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of shares</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number</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 as</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shares that</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of shares</w:t>
            </w:r>
          </w:p>
        </w:tc>
        <w:tc>
          <w:tcPr>
            <w:tcW w:w="1160" w:type="dxa"/>
            <w:vAlign w:val="bottom"/>
          </w:tcPr>
          <w:p>
            <w:pPr>
              <w:ind w:left="120"/>
              <w:spacing w:after="0"/>
              <w:rPr>
                <w:sz w:val="20"/>
                <w:szCs w:val="20"/>
                <w:color w:val="auto"/>
              </w:rPr>
            </w:pPr>
            <w:r>
              <w:rPr>
                <w:rFonts w:ascii="Arial" w:cs="Arial" w:eastAsia="Arial" w:hAnsi="Arial"/>
                <w:sz w:val="18"/>
                <w:szCs w:val="18"/>
                <w:color w:val="auto"/>
                <w:w w:val="91"/>
              </w:rPr>
              <w:t>Average price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 publicly</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may yet be</w:t>
            </w: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purchased</w:t>
            </w:r>
          </w:p>
        </w:tc>
        <w:tc>
          <w:tcPr>
            <w:tcW w:w="140" w:type="dxa"/>
            <w:vAlign w:val="bottom"/>
          </w:tcPr>
          <w:p>
            <w:pPr>
              <w:spacing w:after="0"/>
              <w:rPr>
                <w:sz w:val="20"/>
                <w:szCs w:val="20"/>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w w:val="88"/>
              </w:rPr>
              <w:t>paid 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announced plan</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purchased</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1- 30, 2009</w:t>
            </w:r>
          </w:p>
        </w:tc>
        <w:tc>
          <w:tcPr>
            <w:tcW w:w="35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7"/>
              </w:rPr>
              <w:t>1,026,490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1 - 31, 2009</w:t>
            </w:r>
          </w:p>
        </w:tc>
        <w:tc>
          <w:tcPr>
            <w:tcW w:w="4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1,026,490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1 - 30, 2009</w:t>
            </w:r>
          </w:p>
        </w:tc>
        <w:tc>
          <w:tcPr>
            <w:tcW w:w="4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w:t>
            </w:r>
            <w:r>
              <w:rPr>
                <w:rFonts w:ascii="Arial" w:cs="Arial" w:eastAsia="Arial" w:hAnsi="Arial"/>
                <w:sz w:val="12"/>
                <w:szCs w:val="12"/>
                <w:color w:val="auto"/>
              </w:rPr>
              <w:t>(1)</w:t>
            </w: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1,026,490</w:t>
            </w:r>
            <w:r>
              <w:rPr>
                <w:rFonts w:ascii="Arial" w:cs="Arial" w:eastAsia="Arial" w:hAnsi="Arial"/>
                <w:sz w:val="12"/>
                <w:szCs w:val="12"/>
                <w:color w:val="auto"/>
                <w:w w:val="88"/>
              </w:rPr>
              <w:t>(2)</w:t>
            </w: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 upon vesting, to satisfy tax withholding requirements.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to exceed a total purchase price of $182.1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Submission of Matters to a Vote of Security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requested by this item was previously provided in our quarterly report on Form 10-Q for the period ended March 31,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2009:</w:t>
      </w:r>
    </w:p>
    <w:p>
      <w:pPr>
        <w:spacing w:after="0" w:line="197"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ind w:left="300" w:right="60" w:hanging="29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300" w:right="980" w:hanging="292"/>
        <w:spacing w:after="0" w:line="308"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 and</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reviews of our quarterly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Manpower Inc., incorporated by reference to the Company’s Current Report on Form 8-K dated April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29, 2009.</w:t>
      </w:r>
    </w:p>
    <w:p>
      <w:pPr>
        <w:spacing w:after="0" w:line="238" w:lineRule="exact"/>
        <w:rPr>
          <w:sz w:val="20"/>
          <w:szCs w:val="20"/>
          <w:color w:val="auto"/>
        </w:rPr>
      </w:pPr>
    </w:p>
    <w:p>
      <w:pPr>
        <w:ind w:left="1300" w:right="60" w:hanging="809"/>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Indemnification Agreement between Manpower Inc. and Roberto Mendoza, incorporated by reference to the Company’s Current Report on Form 8-K dated October 31, 2006.</w:t>
      </w:r>
    </w:p>
    <w:p>
      <w:pPr>
        <w:spacing w:after="0" w:line="197"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300" w:right="580" w:hanging="809"/>
        <w:spacing w:after="0" w:line="27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39" w:name="page40"/>
    <w:bookmarkEnd w:id="39"/>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1912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1262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1912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1262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(Signing on behalf of the Registrant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as the Principal Financial Officer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Description</w:t>
            </w:r>
          </w:p>
        </w:tc>
      </w:tr>
      <w:tr>
        <w:trPr>
          <w:trHeight w:val="202"/>
        </w:trPr>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w w:val="91"/>
              </w:rPr>
              <w:t>Amended and Restated By-laws of Manpower Inc., incorporated by reference to the Company’s Current Report on Form 8-K dated April</w:t>
            </w:r>
          </w:p>
        </w:tc>
      </w:tr>
      <w:tr>
        <w:trPr>
          <w:trHeight w:val="230"/>
        </w:trPr>
        <w:tc>
          <w:tcPr>
            <w:tcW w:w="1300" w:type="dxa"/>
            <w:vAlign w:val="bottom"/>
          </w:tcPr>
          <w:p>
            <w:pPr>
              <w:spacing w:after="0"/>
              <w:rPr>
                <w:sz w:val="20"/>
                <w:szCs w:val="20"/>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29, 2009.</w:t>
            </w:r>
          </w:p>
        </w:tc>
      </w:tr>
      <w:tr>
        <w:trPr>
          <w:trHeight w:val="4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6"/>
              </w:rPr>
              <w:t>Form of Indemnification Agreement between Manpower Inc. and Roberto Mendoza, incorporated by reference to the Company’s</w:t>
            </w: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Report on Form 8-K dated October 31, 2006.</w:t>
            </w:r>
          </w:p>
        </w:tc>
      </w:tr>
      <w:tr>
        <w:trPr>
          <w:trHeight w:val="432"/>
        </w:trPr>
        <w:tc>
          <w:tcPr>
            <w:tcW w:w="130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w:t>
            </w: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of 1934.</w:t>
            </w:r>
          </w:p>
        </w:tc>
      </w:tr>
      <w:tr>
        <w:trPr>
          <w:trHeight w:val="4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6"/>
              </w:rPr>
              <w:t>Certification of Michael J. Van Handel, Executive Vice President and Chief Financial Officer, pursuant to Section 13a-14(a) of the</w:t>
            </w: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432"/>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 pursuant to 18 U.S.C. ss. 1350.</w:t>
            </w:r>
          </w:p>
        </w:tc>
      </w:tr>
      <w:tr>
        <w:trPr>
          <w:trHeight w:val="432"/>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4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5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6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8"/>
              </w:rPr>
              <w:t>June 30, 2009</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4.9</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87.7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92.6</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27.8</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60.0</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87.8</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1.1</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466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380" w:hanging="480"/>
        <w:spacing w:after="0" w:line="262"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2009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31,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326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56" w:lineRule="exact"/>
        <w:rPr>
          <w:sz w:val="20"/>
          <w:szCs w:val="20"/>
          <w:color w:val="auto"/>
        </w:rPr>
      </w:pPr>
    </w:p>
    <w:p>
      <w:pPr>
        <w:ind w:left="920" w:right="380" w:hanging="480"/>
        <w:spacing w:after="0" w:line="262"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2009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decimal"/>
      <w:start w:val="8"/>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o"/>
      <w:numFmt w:val="bullet"/>
      <w:start w:val="1"/>
    </w:lvl>
  </w:abstractNum>
  <w:abstractNum w:abstractNumId="17">
    <w:nsid w:val="8EDBDAB"/>
    <w:multiLevelType w:val="hybridMultilevel"/>
    <w:lvl w:ilvl="0">
      <w:lvlJc w:val="left"/>
      <w:lvlText w:val="o"/>
      <w:numFmt w:val="bullet"/>
      <w:start w:val="1"/>
    </w:lvl>
  </w:abstractNum>
  <w:abstractNum w:abstractNumId="18">
    <w:nsid w:val="79838CB2"/>
    <w:multiLevelType w:val="hybridMultilevel"/>
    <w:lvl w:ilvl="0">
      <w:lvlJc w:val="left"/>
      <w:lvlText w:val="o"/>
      <w:numFmt w:val="bullet"/>
      <w:start w:val="1"/>
    </w:lvl>
  </w:abstractNum>
  <w:abstractNum w:abstractNumId="19">
    <w:nsid w:val="4353D0CD"/>
    <w:multiLevelType w:val="hybridMultilevel"/>
    <w:lvl w:ilvl="0">
      <w:lvlJc w:val="left"/>
      <w:lvlText w:val="o"/>
      <w:numFmt w:val="bullet"/>
      <w:start w:val="1"/>
    </w:lvl>
  </w:abstractNum>
  <w:abstractNum w:abstractNumId="20">
    <w:nsid w:val="B03E0C6"/>
    <w:multiLevelType w:val="hybridMultilevel"/>
    <w:lvl w:ilvl="0">
      <w:lvlJc w:val="left"/>
      <w:lvlText w:val="o"/>
      <w:numFmt w:val="bullet"/>
      <w:start w:val="1"/>
    </w:lvl>
  </w:abstractNum>
  <w:abstractNum w:abstractNumId="21">
    <w:nsid w:val="189A769B"/>
    <w:multiLevelType w:val="hybridMultilevel"/>
    <w:lvl w:ilvl="0">
      <w:lvlJc w:val="left"/>
      <w:lvlText w:val="o"/>
      <w:numFmt w:val="bullet"/>
      <w:start w:val="1"/>
    </w:lvl>
  </w:abstractNum>
  <w:abstractNum w:abstractNumId="22">
    <w:nsid w:val="54E49EB4"/>
    <w:multiLevelType w:val="hybridMultilevel"/>
    <w:lvl w:ilvl="0">
      <w:lvlJc w:val="left"/>
      <w:lvlText w:val="o"/>
      <w:numFmt w:val="bullet"/>
      <w:start w:val="1"/>
    </w:lvl>
  </w:abstractNum>
  <w:abstractNum w:abstractNumId="23">
    <w:nsid w:val="71F32454"/>
    <w:multiLevelType w:val="hybridMultilevel"/>
    <w:lvl w:ilvl="0">
      <w:lvlJc w:val="left"/>
      <w:lvlText w:val="o"/>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2019-12-10T10:00:53Z</dcterms:created>
  <dcterms:modified xsi:type="dcterms:W3CDTF">2019-12-10T10:00:53Z</dcterms:modified>
</cp:coreProperties>
</file>