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Arial" w:cs="Arial" w:eastAsia="Arial" w:hAnsi="Arial"/>
          <w:sz w:val="22"/>
          <w:szCs w:val="22"/>
          <w:color w:val="auto"/>
        </w:rPr>
        <w:t>UNITED STATES</w:t>
      </w:r>
    </w:p>
    <w:p>
      <w:pPr>
        <w:spacing w:after="0" w:line="8" w:lineRule="exact"/>
        <w:rPr>
          <w:sz w:val="24"/>
          <w:szCs w:val="24"/>
          <w:color w:val="auto"/>
        </w:rPr>
      </w:pPr>
    </w:p>
    <w:p>
      <w:pPr>
        <w:jc w:val="center"/>
        <w:ind w:right="1779"/>
        <w:spacing w:after="0"/>
        <w:rPr>
          <w:sz w:val="20"/>
          <w:szCs w:val="20"/>
          <w:color w:val="auto"/>
        </w:rPr>
      </w:pPr>
      <w:r>
        <w:rPr>
          <w:rFonts w:ascii="Arial" w:cs="Arial" w:eastAsia="Arial" w:hAnsi="Arial"/>
          <w:sz w:val="22"/>
          <w:szCs w:val="22"/>
          <w:color w:val="auto"/>
        </w:rPr>
        <w:t>SECURITIES AND EXCHANGE COMMISSION</w:t>
      </w:r>
    </w:p>
    <w:p>
      <w:pPr>
        <w:spacing w:after="0" w:line="215" w:lineRule="exact"/>
        <w:rPr>
          <w:sz w:val="24"/>
          <w:szCs w:val="24"/>
          <w:color w:val="auto"/>
        </w:rPr>
      </w:pPr>
    </w:p>
    <w:p>
      <w:pPr>
        <w:jc w:val="center"/>
        <w:ind w:right="177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1779"/>
        <w:spacing w:after="0"/>
        <w:rPr>
          <w:sz w:val="20"/>
          <w:szCs w:val="20"/>
          <w:color w:val="auto"/>
        </w:rPr>
      </w:pPr>
      <w:r>
        <w:rPr>
          <w:rFonts w:ascii="Arial" w:cs="Arial" w:eastAsia="Arial" w:hAnsi="Arial"/>
          <w:sz w:val="22"/>
          <w:szCs w:val="22"/>
          <w:b w:val="1"/>
          <w:bCs w:val="1"/>
          <w:color w:val="auto"/>
        </w:rPr>
        <w:t>FORM 8-K</w:t>
      </w:r>
    </w:p>
    <w:p>
      <w:pPr>
        <w:spacing w:after="0" w:line="239"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CURRENT REPORT</w:t>
      </w:r>
    </w:p>
    <w:p>
      <w:pPr>
        <w:spacing w:after="0" w:line="200" w:lineRule="exact"/>
        <w:rPr>
          <w:sz w:val="24"/>
          <w:szCs w:val="24"/>
          <w:color w:val="auto"/>
        </w:rPr>
      </w:pPr>
    </w:p>
    <w:p>
      <w:pPr>
        <w:spacing w:after="0" w:line="276" w:lineRule="exact"/>
        <w:rPr>
          <w:sz w:val="24"/>
          <w:szCs w:val="24"/>
          <w:color w:val="auto"/>
        </w:rPr>
      </w:pPr>
    </w:p>
    <w:p>
      <w:pPr>
        <w:jc w:val="center"/>
        <w:ind w:right="1779"/>
        <w:spacing w:after="0"/>
        <w:rPr>
          <w:sz w:val="20"/>
          <w:szCs w:val="20"/>
          <w:color w:val="auto"/>
        </w:rPr>
      </w:pPr>
      <w:r>
        <w:rPr>
          <w:rFonts w:ascii="Arial" w:cs="Arial" w:eastAsia="Arial" w:hAnsi="Arial"/>
          <w:sz w:val="22"/>
          <w:szCs w:val="22"/>
          <w:color w:val="auto"/>
        </w:rPr>
        <w:t>Pursuant to Section 13 or 15(d) of the Securities Exchange Act of 1934</w:t>
      </w:r>
    </w:p>
    <w:p>
      <w:pPr>
        <w:spacing w:after="0" w:line="227" w:lineRule="exact"/>
        <w:rPr>
          <w:sz w:val="24"/>
          <w:szCs w:val="24"/>
          <w:color w:val="auto"/>
        </w:rPr>
      </w:pPr>
    </w:p>
    <w:p>
      <w:pPr>
        <w:ind w:left="1520"/>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May 2, 2007</w:t>
      </w:r>
    </w:p>
    <w:p>
      <w:pPr>
        <w:spacing w:after="0" w:line="200" w:lineRule="exact"/>
        <w:rPr>
          <w:sz w:val="24"/>
          <w:szCs w:val="24"/>
          <w:color w:val="auto"/>
        </w:rPr>
      </w:pPr>
    </w:p>
    <w:p>
      <w:pPr>
        <w:spacing w:after="0" w:line="276" w:lineRule="exact"/>
        <w:rPr>
          <w:sz w:val="24"/>
          <w:szCs w:val="24"/>
          <w:color w:val="auto"/>
        </w:rPr>
      </w:pPr>
    </w:p>
    <w:p>
      <w:pPr>
        <w:jc w:val="center"/>
        <w:ind w:right="1779"/>
        <w:spacing w:after="0"/>
        <w:rPr>
          <w:sz w:val="20"/>
          <w:szCs w:val="20"/>
          <w:color w:val="auto"/>
        </w:rPr>
      </w:pPr>
      <w:r>
        <w:rPr>
          <w:rFonts w:ascii="Arial" w:cs="Arial" w:eastAsia="Arial" w:hAnsi="Arial"/>
          <w:sz w:val="22"/>
          <w:szCs w:val="22"/>
          <w:b w:val="1"/>
          <w:bCs w:val="1"/>
          <w:color w:val="auto"/>
        </w:rPr>
        <w:t>MANPOWER INC.</w:t>
      </w:r>
    </w:p>
    <w:p>
      <w:pPr>
        <w:spacing w:after="0" w:line="14" w:lineRule="exact"/>
        <w:rPr>
          <w:sz w:val="24"/>
          <w:szCs w:val="24"/>
          <w:color w:val="auto"/>
        </w:rPr>
      </w:pPr>
    </w:p>
    <w:p>
      <w:pPr>
        <w:jc w:val="center"/>
        <w:ind w:right="1779"/>
        <w:spacing w:after="0"/>
        <w:rPr>
          <w:sz w:val="20"/>
          <w:szCs w:val="20"/>
          <w:color w:val="auto"/>
        </w:rPr>
      </w:pPr>
      <w:r>
        <w:rPr>
          <w:rFonts w:ascii="Arial" w:cs="Arial" w:eastAsia="Arial" w:hAnsi="Arial"/>
          <w:sz w:val="22"/>
          <w:szCs w:val="22"/>
          <w:color w:val="auto"/>
        </w:rPr>
        <w:t>(Exact name of registrant as specified in its charter)</w:t>
      </w:r>
    </w:p>
    <w:p>
      <w:pPr>
        <w:spacing w:after="0" w:line="200" w:lineRule="exact"/>
        <w:rPr>
          <w:sz w:val="24"/>
          <w:szCs w:val="24"/>
          <w:color w:val="auto"/>
        </w:rPr>
      </w:pPr>
    </w:p>
    <w:p>
      <w:pPr>
        <w:spacing w:after="0" w:line="270" w:lineRule="exact"/>
        <w:rPr>
          <w:sz w:val="24"/>
          <w:szCs w:val="24"/>
          <w:color w:val="auto"/>
        </w:rPr>
      </w:pPr>
    </w:p>
    <w:tbl>
      <w:tblPr>
        <w:tblLayout w:type="fixed"/>
        <w:tblInd w:w="36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60" w:type="dxa"/>
            <w:vAlign w:val="bottom"/>
            <w:tcBorders>
              <w:bottom w:val="single" w:sz="8" w:color="auto"/>
            </w:tcBorders>
          </w:tcPr>
          <w:p>
            <w:pPr>
              <w:ind w:left="600"/>
              <w:spacing w:after="0"/>
              <w:rPr>
                <w:sz w:val="20"/>
                <w:szCs w:val="20"/>
                <w:color w:val="auto"/>
              </w:rPr>
            </w:pPr>
            <w:r>
              <w:rPr>
                <w:rFonts w:ascii="Arial" w:cs="Arial" w:eastAsia="Arial" w:hAnsi="Arial"/>
                <w:sz w:val="22"/>
                <w:szCs w:val="22"/>
                <w:color w:val="auto"/>
              </w:rPr>
              <w:t>Wisconsin</w:t>
            </w: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22"/>
                <w:szCs w:val="22"/>
                <w:color w:val="auto"/>
                <w:w w:val="89"/>
              </w:rPr>
              <w:t>1-10686</w:t>
            </w:r>
          </w:p>
        </w:tc>
        <w:tc>
          <w:tcPr>
            <w:tcW w:w="1180" w:type="dxa"/>
            <w:vAlign w:val="bottom"/>
          </w:tcPr>
          <w:p>
            <w:pPr>
              <w:spacing w:after="0"/>
              <w:rPr>
                <w:sz w:val="21"/>
                <w:szCs w:val="21"/>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w w:val="88"/>
              </w:rPr>
              <w:t>39-1672779</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120" w:type="dxa"/>
            <w:vAlign w:val="bottom"/>
            <w:gridSpan w:val="3"/>
          </w:tcPr>
          <w:p>
            <w:pPr>
              <w:jc w:val="center"/>
              <w:ind w:right="660"/>
              <w:spacing w:after="0"/>
              <w:rPr>
                <w:sz w:val="20"/>
                <w:szCs w:val="20"/>
                <w:color w:val="auto"/>
              </w:rPr>
            </w:pPr>
            <w:r>
              <w:rPr>
                <w:rFonts w:ascii="Arial" w:cs="Arial" w:eastAsia="Arial" w:hAnsi="Arial"/>
                <w:sz w:val="22"/>
                <w:szCs w:val="22"/>
                <w:color w:val="auto"/>
                <w:w w:val="90"/>
              </w:rPr>
              <w:t>(State or other jurisdiction</w:t>
            </w:r>
          </w:p>
        </w:tc>
        <w:tc>
          <w:tcPr>
            <w:tcW w:w="2580" w:type="dxa"/>
            <w:vAlign w:val="bottom"/>
            <w:gridSpan w:val="4"/>
          </w:tcPr>
          <w:p>
            <w:pPr>
              <w:jc w:val="center"/>
              <w:ind w:right="940"/>
              <w:spacing w:after="0"/>
              <w:rPr>
                <w:sz w:val="20"/>
                <w:szCs w:val="20"/>
                <w:color w:val="auto"/>
              </w:rPr>
            </w:pPr>
            <w:r>
              <w:rPr>
                <w:rFonts w:ascii="Arial" w:cs="Arial" w:eastAsia="Arial" w:hAnsi="Arial"/>
                <w:sz w:val="22"/>
                <w:szCs w:val="22"/>
                <w:color w:val="auto"/>
                <w:w w:val="90"/>
              </w:rPr>
              <w:t>(Commission</w:t>
            </w:r>
          </w:p>
        </w:tc>
        <w:tc>
          <w:tcPr>
            <w:tcW w:w="140" w:type="dxa"/>
            <w:vAlign w:val="bottom"/>
          </w:tcPr>
          <w:p>
            <w:pPr>
              <w:spacing w:after="0"/>
              <w:rPr>
                <w:sz w:val="23"/>
                <w:szCs w:val="23"/>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22"/>
                <w:szCs w:val="22"/>
                <w:color w:val="auto"/>
                <w:w w:val="92"/>
              </w:rPr>
              <w:t>(IRS Employer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20" w:type="dxa"/>
            <w:vAlign w:val="bottom"/>
            <w:gridSpan w:val="2"/>
          </w:tcPr>
          <w:p>
            <w:pPr>
              <w:jc w:val="center"/>
              <w:ind w:right="760"/>
              <w:spacing w:after="0"/>
              <w:rPr>
                <w:sz w:val="20"/>
                <w:szCs w:val="20"/>
                <w:color w:val="auto"/>
              </w:rPr>
            </w:pPr>
            <w:r>
              <w:rPr>
                <w:rFonts w:ascii="Arial" w:cs="Arial" w:eastAsia="Arial" w:hAnsi="Arial"/>
                <w:sz w:val="22"/>
                <w:szCs w:val="22"/>
                <w:color w:val="auto"/>
                <w:w w:val="91"/>
              </w:rPr>
              <w:t>of incorporation)</w:t>
            </w:r>
          </w:p>
        </w:tc>
        <w:tc>
          <w:tcPr>
            <w:tcW w:w="2580" w:type="dxa"/>
            <w:vAlign w:val="bottom"/>
            <w:gridSpan w:val="4"/>
          </w:tcPr>
          <w:p>
            <w:pPr>
              <w:jc w:val="center"/>
              <w:ind w:right="940"/>
              <w:spacing w:after="0"/>
              <w:rPr>
                <w:sz w:val="20"/>
                <w:szCs w:val="20"/>
                <w:color w:val="auto"/>
              </w:rPr>
            </w:pPr>
            <w:r>
              <w:rPr>
                <w:rFonts w:ascii="Arial" w:cs="Arial" w:eastAsia="Arial" w:hAnsi="Arial"/>
                <w:sz w:val="22"/>
                <w:szCs w:val="22"/>
                <w:color w:val="auto"/>
                <w:w w:val="91"/>
              </w:rPr>
              <w:t>File Number)</w:t>
            </w:r>
          </w:p>
        </w:tc>
        <w:tc>
          <w:tcPr>
            <w:tcW w:w="1700" w:type="dxa"/>
            <w:vAlign w:val="bottom"/>
            <w:gridSpan w:val="3"/>
          </w:tcPr>
          <w:p>
            <w:pPr>
              <w:jc w:val="center"/>
              <w:spacing w:after="0"/>
              <w:rPr>
                <w:sz w:val="20"/>
                <w:szCs w:val="20"/>
                <w:color w:val="auto"/>
              </w:rPr>
            </w:pPr>
            <w:r>
              <w:rPr>
                <w:rFonts w:ascii="Arial" w:cs="Arial" w:eastAsia="Arial" w:hAnsi="Arial"/>
                <w:sz w:val="22"/>
                <w:szCs w:val="22"/>
                <w:color w:val="auto"/>
                <w:w w:val="93"/>
              </w:rPr>
              <w:t>Identification No.)</w:t>
            </w:r>
          </w:p>
        </w:tc>
        <w:tc>
          <w:tcPr>
            <w:tcW w:w="0" w:type="dxa"/>
            <w:vAlign w:val="bottom"/>
          </w:tcPr>
          <w:p>
            <w:pPr>
              <w:spacing w:after="0"/>
              <w:rPr>
                <w:sz w:val="1"/>
                <w:szCs w:val="1"/>
                <w:color w:val="auto"/>
              </w:rPr>
            </w:pPr>
          </w:p>
        </w:tc>
      </w:tr>
      <w:tr>
        <w:trPr>
          <w:trHeight w:val="5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gridSpan w:val="2"/>
          </w:tcPr>
          <w:p>
            <w:pPr>
              <w:jc w:val="center"/>
              <w:ind w:left="72"/>
              <w:spacing w:after="0"/>
              <w:rPr>
                <w:sz w:val="20"/>
                <w:szCs w:val="20"/>
                <w:color w:val="auto"/>
              </w:rPr>
            </w:pPr>
            <w:r>
              <w:rPr>
                <w:rFonts w:ascii="Arial" w:cs="Arial" w:eastAsia="Arial" w:hAnsi="Arial"/>
                <w:sz w:val="22"/>
                <w:szCs w:val="22"/>
                <w:color w:val="auto"/>
                <w:w w:val="90"/>
              </w:rPr>
              <w:t>5301 North Ironwood Road</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vMerge w:val="restart"/>
          </w:tcPr>
          <w:p>
            <w:pPr>
              <w:jc w:val="right"/>
              <w:ind w:right="52"/>
              <w:spacing w:after="0"/>
              <w:rPr>
                <w:sz w:val="20"/>
                <w:szCs w:val="20"/>
                <w:color w:val="auto"/>
              </w:rPr>
            </w:pPr>
            <w:r>
              <w:rPr>
                <w:rFonts w:ascii="Arial" w:cs="Arial" w:eastAsia="Arial" w:hAnsi="Arial"/>
                <w:sz w:val="22"/>
                <w:szCs w:val="22"/>
                <w:color w:val="auto"/>
              </w:rPr>
              <w:t>53217</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20" w:type="dxa"/>
            <w:vAlign w:val="bottom"/>
            <w:gridSpan w:val="2"/>
          </w:tcPr>
          <w:p>
            <w:pPr>
              <w:jc w:val="center"/>
              <w:ind w:left="52"/>
              <w:spacing w:after="0" w:line="190" w:lineRule="exact"/>
              <w:rPr>
                <w:sz w:val="20"/>
                <w:szCs w:val="20"/>
                <w:color w:val="auto"/>
              </w:rPr>
            </w:pPr>
            <w:r>
              <w:rPr>
                <w:rFonts w:ascii="Arial" w:cs="Arial" w:eastAsia="Arial" w:hAnsi="Arial"/>
                <w:sz w:val="22"/>
                <w:szCs w:val="22"/>
                <w:color w:val="auto"/>
                <w:w w:val="91"/>
              </w:rPr>
              <w:t>Milwaukee, Wisconsin</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Borders>
              <w:bottom w:val="single" w:sz="8" w:color="auto"/>
            </w:tcBorders>
            <w:gridSpan w:val="5"/>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5720" w:type="dxa"/>
            <w:vAlign w:val="bottom"/>
            <w:gridSpan w:val="8"/>
          </w:tcPr>
          <w:p>
            <w:pPr>
              <w:jc w:val="center"/>
              <w:ind w:right="2300"/>
              <w:spacing w:after="0"/>
              <w:rPr>
                <w:sz w:val="20"/>
                <w:szCs w:val="20"/>
                <w:color w:val="auto"/>
              </w:rPr>
            </w:pPr>
            <w:r>
              <w:rPr>
                <w:rFonts w:ascii="Arial" w:cs="Arial" w:eastAsia="Arial" w:hAnsi="Arial"/>
                <w:sz w:val="22"/>
                <w:szCs w:val="22"/>
                <w:color w:val="auto"/>
                <w:w w:val="90"/>
              </w:rPr>
              <w:t>(Address of principal executive offices)</w:t>
            </w:r>
          </w:p>
        </w:tc>
        <w:tc>
          <w:tcPr>
            <w:tcW w:w="1700" w:type="dxa"/>
            <w:vAlign w:val="bottom"/>
            <w:gridSpan w:val="3"/>
          </w:tcPr>
          <w:p>
            <w:pPr>
              <w:jc w:val="center"/>
              <w:ind w:right="580"/>
              <w:spacing w:after="0"/>
              <w:rPr>
                <w:sz w:val="20"/>
                <w:szCs w:val="20"/>
                <w:color w:val="auto"/>
              </w:rPr>
            </w:pPr>
            <w:r>
              <w:rPr>
                <w:rFonts w:ascii="Arial" w:cs="Arial" w:eastAsia="Arial" w:hAnsi="Arial"/>
                <w:sz w:val="22"/>
                <w:szCs w:val="22"/>
                <w:color w:val="auto"/>
                <w:w w:val="92"/>
              </w:rPr>
              <w:t>(Zip Code)</w:t>
            </w:r>
          </w:p>
        </w:tc>
        <w:tc>
          <w:tcPr>
            <w:tcW w:w="0" w:type="dxa"/>
            <w:vAlign w:val="bottom"/>
          </w:tcPr>
          <w:p>
            <w:pPr>
              <w:spacing w:after="0"/>
              <w:rPr>
                <w:sz w:val="1"/>
                <w:szCs w:val="1"/>
                <w:color w:val="auto"/>
              </w:rPr>
            </w:pPr>
          </w:p>
        </w:tc>
      </w:tr>
    </w:tbl>
    <w:p>
      <w:pPr>
        <w:spacing w:after="0" w:line="293" w:lineRule="exact"/>
        <w:rPr>
          <w:sz w:val="24"/>
          <w:szCs w:val="24"/>
          <w:color w:val="auto"/>
        </w:rPr>
      </w:pPr>
    </w:p>
    <w:p>
      <w:pPr>
        <w:spacing w:after="0"/>
        <w:rPr>
          <w:sz w:val="20"/>
          <w:szCs w:val="20"/>
          <w:color w:val="auto"/>
        </w:rPr>
      </w:pPr>
      <w:r>
        <w:rPr>
          <w:rFonts w:ascii="Arial" w:cs="Arial" w:eastAsia="Arial" w:hAnsi="Arial"/>
          <w:sz w:val="22"/>
          <w:szCs w:val="22"/>
          <w:color w:val="auto"/>
        </w:rPr>
        <w:t>Registrant’s telephone number, including area code: (414) 961-1000</w:t>
      </w:r>
    </w:p>
    <w:p>
      <w:pPr>
        <w:spacing w:after="0" w:line="233" w:lineRule="exact"/>
        <w:rPr>
          <w:sz w:val="24"/>
          <w:szCs w:val="24"/>
          <w:color w:val="auto"/>
        </w:rPr>
      </w:pPr>
    </w:p>
    <w:p>
      <w:pPr>
        <w:ind w:right="1879"/>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14" w:lineRule="exact"/>
        <w:rPr>
          <w:sz w:val="24"/>
          <w:szCs w:val="24"/>
          <w:color w:val="auto"/>
        </w:rPr>
      </w:pPr>
    </w:p>
    <w:p>
      <w:pPr>
        <w:ind w:left="360" w:hanging="338"/>
        <w:spacing w:after="0"/>
        <w:tabs>
          <w:tab w:leader="none" w:pos="360" w:val="left"/>
        </w:tabs>
        <w:numPr>
          <w:ilvl w:val="0"/>
          <w:numId w:val="1"/>
        </w:numPr>
        <w:rPr>
          <w:rFonts w:ascii="Arial" w:cs="Arial" w:eastAsia="Arial" w:hAnsi="Arial"/>
          <w:sz w:val="19"/>
          <w:szCs w:val="19"/>
          <w:color w:val="auto"/>
        </w:rPr>
      </w:pPr>
      <w:r>
        <w:rPr>
          <w:rFonts w:ascii="Arial" w:cs="Arial" w:eastAsia="Arial" w:hAnsi="Arial"/>
          <w:sz w:val="19"/>
          <w:szCs w:val="19"/>
          <w:color w:val="auto"/>
        </w:rPr>
        <w:t>Written communications pursuant to Rule 425 under the Securities Act (17 CFR 230.425)</w:t>
      </w:r>
    </w:p>
    <w:p>
      <w:pPr>
        <w:spacing w:after="0" w:line="321" w:lineRule="exact"/>
        <w:rPr>
          <w:rFonts w:ascii="Arial" w:cs="Arial" w:eastAsia="Arial" w:hAnsi="Arial"/>
          <w:sz w:val="19"/>
          <w:szCs w:val="19"/>
          <w:color w:val="auto"/>
        </w:rPr>
      </w:pPr>
    </w:p>
    <w:p>
      <w:pPr>
        <w:ind w:left="360" w:hanging="338"/>
        <w:spacing w:after="0"/>
        <w:tabs>
          <w:tab w:leader="none" w:pos="360" w:val="left"/>
        </w:tabs>
        <w:numPr>
          <w:ilvl w:val="0"/>
          <w:numId w:val="1"/>
        </w:numPr>
        <w:rPr>
          <w:rFonts w:ascii="Arial" w:cs="Arial" w:eastAsia="Arial" w:hAnsi="Arial"/>
          <w:sz w:val="19"/>
          <w:szCs w:val="19"/>
          <w:color w:val="auto"/>
        </w:rPr>
      </w:pPr>
      <w:r>
        <w:rPr>
          <w:rFonts w:ascii="Arial" w:cs="Arial" w:eastAsia="Arial" w:hAnsi="Arial"/>
          <w:sz w:val="19"/>
          <w:szCs w:val="19"/>
          <w:color w:val="auto"/>
        </w:rPr>
        <w:t>Soliciting material pursuant to Rule 14a-12 under the Exchange Act (17 CFR 240.14a-12)</w:t>
      </w:r>
    </w:p>
    <w:p>
      <w:pPr>
        <w:spacing w:after="0" w:line="321" w:lineRule="exact"/>
        <w:rPr>
          <w:rFonts w:ascii="Arial" w:cs="Arial" w:eastAsia="Arial" w:hAnsi="Arial"/>
          <w:sz w:val="19"/>
          <w:szCs w:val="19"/>
          <w:color w:val="auto"/>
        </w:rPr>
      </w:pPr>
    </w:p>
    <w:p>
      <w:pPr>
        <w:ind w:left="360" w:right="1879" w:hanging="338"/>
        <w:spacing w:after="0" w:line="251" w:lineRule="auto"/>
        <w:tabs>
          <w:tab w:leader="none" w:pos="36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254" w:lineRule="exact"/>
        <w:rPr>
          <w:rFonts w:ascii="Arial" w:cs="Arial" w:eastAsia="Arial" w:hAnsi="Arial"/>
          <w:sz w:val="22"/>
          <w:szCs w:val="22"/>
          <w:color w:val="auto"/>
        </w:rPr>
      </w:pPr>
    </w:p>
    <w:p>
      <w:pPr>
        <w:ind w:left="360" w:right="1899" w:hanging="338"/>
        <w:spacing w:after="0" w:line="251" w:lineRule="auto"/>
        <w:tabs>
          <w:tab w:leader="none" w:pos="36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13e-4(c) under the Exchange Act (17 CFR 240.13e-4(c))</w:t>
      </w:r>
    </w:p>
    <w:p>
      <w:pPr>
        <w:sectPr>
          <w:pgSz w:w="11900" w:h="16838" w:orient="portrait"/>
          <w:cols w:equalWidth="0" w:num="1">
            <w:col w:w="10219"/>
          </w:cols>
          <w:pgMar w:left="240" w:top="226" w:right="1440" w:bottom="1440" w:gutter="0" w:footer="0" w:header="0"/>
        </w:sectPr>
      </w:pPr>
    </w:p>
    <w:bookmarkStart w:id="1" w:name="page2"/>
    <w:bookmarkEnd w:id="1"/>
    <w:p>
      <w:pPr>
        <w:ind w:left="1300" w:right="2739" w:hanging="1296"/>
        <w:spacing w:after="0" w:line="256" w:lineRule="auto"/>
        <w:tabs>
          <w:tab w:leader="none" w:pos="1280" w:val="left"/>
        </w:tabs>
        <w:rPr>
          <w:sz w:val="20"/>
          <w:szCs w:val="20"/>
          <w:color w:val="auto"/>
        </w:rPr>
      </w:pPr>
      <w:r>
        <w:rPr>
          <w:rFonts w:ascii="Arial" w:cs="Arial" w:eastAsia="Arial" w:hAnsi="Arial"/>
          <w:sz w:val="22"/>
          <w:szCs w:val="22"/>
          <w:b w:val="1"/>
          <w:bCs w:val="1"/>
          <w:color w:val="auto"/>
        </w:rPr>
        <w:t>Item 5.02.</w:t>
      </w:r>
      <w:r>
        <w:rPr>
          <w:sz w:val="20"/>
          <w:szCs w:val="20"/>
          <w:color w:val="auto"/>
        </w:rPr>
        <w:tab/>
      </w:r>
      <w:r>
        <w:rPr>
          <w:rFonts w:ascii="Arial" w:cs="Arial" w:eastAsia="Arial" w:hAnsi="Arial"/>
          <w:sz w:val="22"/>
          <w:szCs w:val="22"/>
          <w:b w:val="1"/>
          <w:bCs w:val="1"/>
          <w:u w:val="single" w:color="auto"/>
          <w:color w:val="auto"/>
        </w:rPr>
        <w:t>Departure of Directors or Principal Officers; Election of Directors; Appointment of Principal Officers.</w:t>
      </w:r>
    </w:p>
    <w:p>
      <w:pPr>
        <w:spacing w:after="0" w:line="196" w:lineRule="exact"/>
        <w:rPr>
          <w:sz w:val="20"/>
          <w:szCs w:val="20"/>
          <w:color w:val="auto"/>
        </w:rPr>
      </w:pPr>
    </w:p>
    <w:p>
      <w:pPr>
        <w:ind w:right="1999" w:firstLine="648"/>
        <w:spacing w:after="0"/>
        <w:rPr>
          <w:sz w:val="20"/>
          <w:szCs w:val="20"/>
          <w:color w:val="auto"/>
        </w:rPr>
      </w:pPr>
      <w:r>
        <w:rPr>
          <w:rFonts w:ascii="Arial" w:cs="Arial" w:eastAsia="Arial" w:hAnsi="Arial"/>
          <w:sz w:val="22"/>
          <w:szCs w:val="22"/>
          <w:color w:val="auto"/>
        </w:rPr>
        <w:t>On May 2, 2007, Manpower Inc. (the “Company”) appointed Cari M. Dominguez to its Board of Directors. Ms. Dominguez was also appointed to the Executive Compensation Committee of the Company’s Board of Directors.</w:t>
      </w:r>
    </w:p>
    <w:p>
      <w:pPr>
        <w:spacing w:after="0" w:line="213" w:lineRule="exact"/>
        <w:rPr>
          <w:sz w:val="20"/>
          <w:szCs w:val="20"/>
          <w:color w:val="auto"/>
        </w:rPr>
      </w:pPr>
    </w:p>
    <w:p>
      <w:pPr>
        <w:ind w:right="1819" w:firstLine="648"/>
        <w:spacing w:after="0" w:line="246" w:lineRule="auto"/>
        <w:rPr>
          <w:sz w:val="20"/>
          <w:szCs w:val="20"/>
          <w:color w:val="auto"/>
        </w:rPr>
      </w:pPr>
      <w:r>
        <w:rPr>
          <w:rFonts w:ascii="Arial" w:cs="Arial" w:eastAsia="Arial" w:hAnsi="Arial"/>
          <w:sz w:val="21"/>
          <w:szCs w:val="21"/>
          <w:color w:val="auto"/>
        </w:rPr>
        <w:t>As a non-employee director of the Company, Ms. Dominguez will participate in the same compensation arrangement as the other non-employee directors of the Company, which consists of a cash retainer equal to $60,000 per year, a fee of $2,000 per Board of Directors or Committee meeting attended in person, a fee of $1,000 per Board of Directors or Committee meeting attended telephonically and reimbursement for travel expenses incurred in connection with attending Board of Directors and Committee meetings. In addition, Ms. Dominguez received a prorated annual grant of 826 shares of deferred stock upon her appointment to the Board of Directors.</w:t>
      </w:r>
    </w:p>
    <w:p>
      <w:pPr>
        <w:spacing w:after="0" w:line="208" w:lineRule="exact"/>
        <w:rPr>
          <w:sz w:val="20"/>
          <w:szCs w:val="20"/>
          <w:color w:val="auto"/>
        </w:rPr>
      </w:pPr>
    </w:p>
    <w:p>
      <w:pPr>
        <w:ind w:right="1859" w:firstLine="648"/>
        <w:spacing w:after="0" w:line="297" w:lineRule="auto"/>
        <w:rPr>
          <w:sz w:val="20"/>
          <w:szCs w:val="20"/>
          <w:color w:val="auto"/>
        </w:rPr>
      </w:pPr>
      <w:r>
        <w:rPr>
          <w:rFonts w:ascii="Arial" w:cs="Arial" w:eastAsia="Arial" w:hAnsi="Arial"/>
          <w:sz w:val="19"/>
          <w:szCs w:val="19"/>
          <w:color w:val="auto"/>
        </w:rPr>
        <w:t>The Company will also enter into an indemnification agreement with Ms. Dominguez. The description of the indemnification agreement is contained in the Company’s Current Report on Form 8-K dated October 31, 2006 and is incorporated by reference herein.</w:t>
      </w:r>
    </w:p>
    <w:p>
      <w:pPr>
        <w:spacing w:after="0" w:line="161" w:lineRule="exact"/>
        <w:rPr>
          <w:sz w:val="20"/>
          <w:szCs w:val="20"/>
          <w:color w:val="auto"/>
        </w:rPr>
      </w:pPr>
    </w:p>
    <w:p>
      <w:pPr>
        <w:ind w:right="1799" w:firstLine="648"/>
        <w:spacing w:after="0" w:line="251" w:lineRule="auto"/>
        <w:rPr>
          <w:sz w:val="20"/>
          <w:szCs w:val="20"/>
          <w:color w:val="auto"/>
        </w:rPr>
      </w:pPr>
      <w:r>
        <w:rPr>
          <w:rFonts w:ascii="Arial" w:cs="Arial" w:eastAsia="Arial" w:hAnsi="Arial"/>
          <w:sz w:val="22"/>
          <w:szCs w:val="22"/>
          <w:color w:val="auto"/>
        </w:rPr>
        <w:t>The press release issued by the Company announcing the appointment of Ms. Dominguez is attached hereto as Exhibit 99.1 and is incorporated by reference herein.</w:t>
      </w:r>
    </w:p>
    <w:p>
      <w:pPr>
        <w:spacing w:after="0" w:line="200" w:lineRule="exact"/>
        <w:rPr>
          <w:sz w:val="20"/>
          <w:szCs w:val="20"/>
          <w:color w:val="auto"/>
        </w:rPr>
      </w:pPr>
    </w:p>
    <w:p>
      <w:pPr>
        <w:ind w:right="1839" w:firstLine="648"/>
        <w:spacing w:after="0" w:line="277" w:lineRule="auto"/>
        <w:rPr>
          <w:sz w:val="20"/>
          <w:szCs w:val="20"/>
          <w:color w:val="auto"/>
        </w:rPr>
      </w:pPr>
      <w:r>
        <w:rPr>
          <w:rFonts w:ascii="Arial" w:cs="Arial" w:eastAsia="Arial" w:hAnsi="Arial"/>
          <w:sz w:val="19"/>
          <w:szCs w:val="19"/>
          <w:color w:val="auto"/>
        </w:rPr>
        <w:t>Also on May 2, 2007, the shareholders of the Company approved the Corporate Senior Management Annual Incentive Plan (the “Plan”). The Plan includes an annual incentive arrangement which provides for the payment of annual awards to senior executives of the Company participating in the Plan based on the attainment of goals relating to the Company’s financial performance. The Plan will replace the 2002 Corporate Senior Management Incentive Plan beginning in 2008. Senior executives designated by the executive compensation committee will be eligible to participate in the Plan beginning in 2008.</w:t>
      </w:r>
    </w:p>
    <w:p>
      <w:pPr>
        <w:spacing w:after="0" w:line="180" w:lineRule="exact"/>
        <w:rPr>
          <w:sz w:val="20"/>
          <w:szCs w:val="20"/>
          <w:color w:val="auto"/>
        </w:rPr>
      </w:pPr>
    </w:p>
    <w:p>
      <w:pPr>
        <w:ind w:right="2019" w:firstLine="648"/>
        <w:spacing w:after="0" w:line="297" w:lineRule="auto"/>
        <w:rPr>
          <w:sz w:val="20"/>
          <w:szCs w:val="20"/>
          <w:color w:val="auto"/>
        </w:rPr>
      </w:pPr>
      <w:r>
        <w:rPr>
          <w:rFonts w:ascii="Arial" w:cs="Arial" w:eastAsia="Arial" w:hAnsi="Arial"/>
          <w:sz w:val="19"/>
          <w:szCs w:val="19"/>
          <w:color w:val="auto"/>
        </w:rPr>
        <w:t>The annual incentive arrangement provides for the payment of annual awards to a participant based on the Company’s attainment of any one or more of the following financial goals established for that participant for the relevant year, each of which is defined in the Plan:</w:t>
      </w:r>
    </w:p>
    <w:p>
      <w:pPr>
        <w:spacing w:after="0" w:line="148" w:lineRule="exact"/>
        <w:rPr>
          <w:sz w:val="20"/>
          <w:szCs w:val="20"/>
          <w:color w:val="auto"/>
        </w:rPr>
      </w:pPr>
    </w:p>
    <w:p>
      <w:pPr>
        <w:ind w:left="1300" w:right="1879" w:hanging="644"/>
        <w:spacing w:after="0" w:line="251" w:lineRule="auto"/>
        <w:tabs>
          <w:tab w:leader="none" w:pos="1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earnings per share, which are the fully diluted earnings per share of the Company and its subsidiaries on a consolidated basis,</w:t>
      </w:r>
    </w:p>
    <w:p>
      <w:pPr>
        <w:spacing w:after="0" w:line="173" w:lineRule="exact"/>
        <w:rPr>
          <w:rFonts w:ascii="Arial" w:cs="Arial" w:eastAsia="Arial" w:hAnsi="Arial"/>
          <w:sz w:val="22"/>
          <w:szCs w:val="22"/>
          <w:color w:val="auto"/>
        </w:rPr>
      </w:pPr>
    </w:p>
    <w:p>
      <w:pPr>
        <w:ind w:left="1300" w:right="1959" w:hanging="644"/>
        <w:spacing w:after="0" w:line="274" w:lineRule="auto"/>
        <w:tabs>
          <w:tab w:leader="none" w:pos="1300" w:val="left"/>
        </w:tabs>
        <w:numPr>
          <w:ilvl w:val="0"/>
          <w:numId w:val="2"/>
        </w:numPr>
        <w:rPr>
          <w:rFonts w:ascii="Arial" w:cs="Arial" w:eastAsia="Arial" w:hAnsi="Arial"/>
          <w:sz w:val="21"/>
          <w:szCs w:val="21"/>
          <w:color w:val="auto"/>
        </w:rPr>
      </w:pPr>
      <w:r>
        <w:rPr>
          <w:rFonts w:ascii="Arial" w:cs="Arial" w:eastAsia="Arial" w:hAnsi="Arial"/>
          <w:sz w:val="21"/>
          <w:szCs w:val="21"/>
          <w:color w:val="auto"/>
        </w:rPr>
        <w:t>economic profit, which is net operating profit after taxes of the Company and its subsidiaries on a consolidated basis less a capital charge,</w:t>
      </w:r>
    </w:p>
    <w:p>
      <w:pPr>
        <w:spacing w:after="0" w:line="137" w:lineRule="exact"/>
        <w:rPr>
          <w:rFonts w:ascii="Arial" w:cs="Arial" w:eastAsia="Arial" w:hAnsi="Arial"/>
          <w:sz w:val="21"/>
          <w:szCs w:val="21"/>
          <w:color w:val="auto"/>
        </w:rPr>
      </w:pPr>
    </w:p>
    <w:p>
      <w:pPr>
        <w:ind w:left="1300" w:right="1839" w:hanging="644"/>
        <w:spacing w:after="0" w:line="251" w:lineRule="auto"/>
        <w:tabs>
          <w:tab w:leader="none" w:pos="1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adjusted operating unit profit, which is operating unit profit less a cost of carrying accounts receivable,</w:t>
      </w:r>
    </w:p>
    <w:p>
      <w:pPr>
        <w:spacing w:after="0" w:line="159" w:lineRule="exact"/>
        <w:rPr>
          <w:rFonts w:ascii="Arial" w:cs="Arial" w:eastAsia="Arial" w:hAnsi="Arial"/>
          <w:sz w:val="22"/>
          <w:szCs w:val="22"/>
          <w:color w:val="auto"/>
        </w:rPr>
      </w:pPr>
    </w:p>
    <w:p>
      <w:pPr>
        <w:ind w:left="1300" w:hanging="644"/>
        <w:spacing w:after="0"/>
        <w:tabs>
          <w:tab w:leader="none" w:pos="1300" w:val="left"/>
        </w:tabs>
        <w:numPr>
          <w:ilvl w:val="0"/>
          <w:numId w:val="2"/>
        </w:numPr>
        <w:rPr>
          <w:rFonts w:ascii="Arial" w:cs="Arial" w:eastAsia="Arial" w:hAnsi="Arial"/>
          <w:sz w:val="21"/>
          <w:szCs w:val="21"/>
          <w:color w:val="auto"/>
        </w:rPr>
      </w:pPr>
      <w:r>
        <w:rPr>
          <w:rFonts w:ascii="Arial" w:cs="Arial" w:eastAsia="Arial" w:hAnsi="Arial"/>
          <w:sz w:val="21"/>
          <w:szCs w:val="21"/>
          <w:color w:val="auto"/>
        </w:rPr>
        <w:t>gross profit growth, which is the change in gross profit during the period, and</w:t>
      </w:r>
    </w:p>
    <w:p>
      <w:pPr>
        <w:spacing w:after="0" w:line="217" w:lineRule="exact"/>
        <w:rPr>
          <w:rFonts w:ascii="Arial" w:cs="Arial" w:eastAsia="Arial" w:hAnsi="Arial"/>
          <w:sz w:val="21"/>
          <w:szCs w:val="21"/>
          <w:color w:val="auto"/>
        </w:rPr>
      </w:pPr>
    </w:p>
    <w:p>
      <w:pPr>
        <w:ind w:left="1300" w:right="2039" w:hanging="644"/>
        <w:spacing w:after="0" w:line="251" w:lineRule="auto"/>
        <w:tabs>
          <w:tab w:leader="none" w:pos="1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selling and administrative expenses as a percent of gross profit, which is selling and administrative expenses divided by gross profit.</w:t>
      </w:r>
    </w:p>
    <w:p>
      <w:pPr>
        <w:sectPr>
          <w:pgSz w:w="11900" w:h="16838" w:orient="portrait"/>
          <w:cols w:equalWidth="0" w:num="1">
            <w:col w:w="10219"/>
          </w:cols>
          <w:pgMar w:left="240" w:top="193" w:right="1440" w:bottom="1440" w:gutter="0" w:footer="0" w:header="0"/>
        </w:sectPr>
      </w:pPr>
    </w:p>
    <w:bookmarkStart w:id="2" w:name="page3"/>
    <w:bookmarkEnd w:id="2"/>
    <w:p>
      <w:pPr>
        <w:ind w:right="1879" w:firstLine="648"/>
        <w:spacing w:after="0" w:line="241" w:lineRule="auto"/>
        <w:rPr>
          <w:sz w:val="20"/>
          <w:szCs w:val="20"/>
          <w:color w:val="auto"/>
        </w:rPr>
      </w:pPr>
      <w:r>
        <w:rPr>
          <w:rFonts w:ascii="Arial" w:cs="Arial" w:eastAsia="Arial" w:hAnsi="Arial"/>
          <w:sz w:val="22"/>
          <w:szCs w:val="22"/>
          <w:color w:val="auto"/>
        </w:rPr>
        <w:t>Under the Plan, the participating executive is assigned award opportunities for threshold, target, and outstanding performance for attainment of the goal or goals established for the participant.</w:t>
      </w:r>
    </w:p>
    <w:p>
      <w:pPr>
        <w:spacing w:after="0" w:line="211" w:lineRule="exact"/>
        <w:rPr>
          <w:sz w:val="20"/>
          <w:szCs w:val="20"/>
          <w:color w:val="auto"/>
        </w:rPr>
      </w:pPr>
    </w:p>
    <w:p>
      <w:pPr>
        <w:ind w:right="1879" w:firstLine="648"/>
        <w:spacing w:after="0" w:line="282" w:lineRule="auto"/>
        <w:rPr>
          <w:sz w:val="20"/>
          <w:szCs w:val="20"/>
          <w:color w:val="auto"/>
        </w:rPr>
      </w:pPr>
      <w:r>
        <w:rPr>
          <w:rFonts w:ascii="Arial" w:cs="Arial" w:eastAsia="Arial" w:hAnsi="Arial"/>
          <w:sz w:val="19"/>
          <w:szCs w:val="19"/>
          <w:color w:val="auto"/>
        </w:rPr>
        <w:t>The goals and award opportunities for attainment of the goals are established at the beginning of each year by the executive compensation committee. Depending upon the actual performance of the Company for the year as measured against these goals, the participating executive would be paid a cash award following the close of the year. The maximum award that a participating executive may receive for any year under the arrangement is $5 million.</w:t>
      </w:r>
    </w:p>
    <w:p>
      <w:pPr>
        <w:spacing w:after="0" w:line="175" w:lineRule="exact"/>
        <w:rPr>
          <w:sz w:val="20"/>
          <w:szCs w:val="20"/>
          <w:color w:val="auto"/>
        </w:rPr>
      </w:pPr>
    </w:p>
    <w:p>
      <w:pPr>
        <w:ind w:right="1979" w:firstLine="648"/>
        <w:spacing w:after="0" w:line="273" w:lineRule="auto"/>
        <w:rPr>
          <w:sz w:val="20"/>
          <w:szCs w:val="20"/>
          <w:color w:val="auto"/>
        </w:rPr>
      </w:pPr>
      <w:r>
        <w:rPr>
          <w:rFonts w:ascii="Arial" w:cs="Arial" w:eastAsia="Arial" w:hAnsi="Arial"/>
          <w:sz w:val="19"/>
          <w:szCs w:val="19"/>
          <w:color w:val="auto"/>
        </w:rPr>
        <w:t>The Plan also provides for the payment of an annual bonus to a participant based on the attainment of operating objectives established for that participant for the relevant year. Under the Plan, the participating executive is assigned bonus opportunities for achievement of such objectives. The operating objectives and bonus opportunities for attainment of the operating objectives are established at the beginning of each year. Depending on the assessment of the participant’s performance in achieving the operating objectives, the participating executive would be paid a cash award following the close of the year. The compensation paid under the annual bonus arrangement to the participating executives does not qualify for the performance-based compensation exception under Section 162(m) of the Internal Revenue Code and may, therefore, be nondeductible.</w:t>
      </w:r>
    </w:p>
    <w:p>
      <w:pPr>
        <w:spacing w:after="0" w:line="189" w:lineRule="exact"/>
        <w:rPr>
          <w:sz w:val="20"/>
          <w:szCs w:val="20"/>
          <w:color w:val="auto"/>
        </w:rPr>
      </w:pPr>
    </w:p>
    <w:p>
      <w:pPr>
        <w:ind w:right="1819" w:firstLine="648"/>
        <w:spacing w:after="0" w:line="238" w:lineRule="auto"/>
        <w:rPr>
          <w:sz w:val="20"/>
          <w:szCs w:val="20"/>
          <w:color w:val="auto"/>
        </w:rPr>
      </w:pPr>
      <w:r>
        <w:rPr>
          <w:rFonts w:ascii="Arial" w:cs="Arial" w:eastAsia="Arial" w:hAnsi="Arial"/>
          <w:sz w:val="22"/>
          <w:szCs w:val="22"/>
          <w:color w:val="auto"/>
        </w:rPr>
        <w:t>The Plan is subject to variation with regard to the goals and operating objectives assigned to each participating executive and the relative weight assigned to the goals and operating objectives in establishing award opportunities and bonus opportunities from year to year and among participating executives.</w:t>
      </w:r>
    </w:p>
    <w:p>
      <w:pPr>
        <w:spacing w:after="0" w:line="212" w:lineRule="exact"/>
        <w:rPr>
          <w:sz w:val="20"/>
          <w:szCs w:val="20"/>
          <w:color w:val="auto"/>
        </w:rPr>
      </w:pPr>
    </w:p>
    <w:p>
      <w:pPr>
        <w:ind w:right="2019" w:firstLine="648"/>
        <w:spacing w:after="0" w:line="251" w:lineRule="auto"/>
        <w:rPr>
          <w:sz w:val="20"/>
          <w:szCs w:val="20"/>
          <w:color w:val="auto"/>
        </w:rPr>
      </w:pPr>
      <w:r>
        <w:rPr>
          <w:rFonts w:ascii="Arial" w:cs="Arial" w:eastAsia="Arial" w:hAnsi="Arial"/>
          <w:sz w:val="22"/>
          <w:szCs w:val="22"/>
          <w:color w:val="auto"/>
        </w:rPr>
        <w:t>The amounts, if any, which may be received by the Company’s senior executives under the Plan are not yet determinable.</w:t>
      </w:r>
    </w:p>
    <w:p>
      <w:pPr>
        <w:spacing w:after="0" w:line="200" w:lineRule="exact"/>
        <w:rPr>
          <w:sz w:val="20"/>
          <w:szCs w:val="20"/>
          <w:color w:val="auto"/>
        </w:rPr>
      </w:pPr>
    </w:p>
    <w:p>
      <w:pPr>
        <w:ind w:right="1819" w:firstLine="648"/>
        <w:spacing w:after="0"/>
        <w:rPr>
          <w:sz w:val="20"/>
          <w:szCs w:val="20"/>
          <w:color w:val="auto"/>
        </w:rPr>
      </w:pPr>
      <w:r>
        <w:rPr>
          <w:rFonts w:ascii="Arial" w:cs="Arial" w:eastAsia="Arial" w:hAnsi="Arial"/>
          <w:sz w:val="22"/>
          <w:szCs w:val="22"/>
          <w:color w:val="auto"/>
        </w:rPr>
        <w:t>The Plan may be amended in any manner without shareholder approval. Certain amendments may, under Section 162(m) of the Internal Revenue Code, affect the deductibility of payments under the Plan to participating executives.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Plan is attached hereto as Exhibit 10.1 and is incorporated by reference herein.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100" w:type="dxa"/>
            <w:vAlign w:val="bottom"/>
          </w:tcPr>
          <w:p>
            <w:pPr>
              <w:spacing w:after="0"/>
              <w:rPr>
                <w:sz w:val="20"/>
                <w:szCs w:val="20"/>
                <w:color w:val="auto"/>
              </w:rPr>
            </w:pPr>
            <w:r>
              <w:rPr>
                <w:rFonts w:ascii="Arial" w:cs="Arial" w:eastAsia="Arial" w:hAnsi="Arial"/>
                <w:sz w:val="22"/>
                <w:szCs w:val="22"/>
                <w:b w:val="1"/>
                <w:bCs w:val="1"/>
                <w:color w:val="auto"/>
              </w:rPr>
              <w:t>Item 9.01</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940" w:type="dxa"/>
            <w:vAlign w:val="bottom"/>
            <w:gridSpan w:val="6"/>
          </w:tcPr>
          <w:p>
            <w:pPr>
              <w:spacing w:after="0"/>
              <w:rPr>
                <w:sz w:val="20"/>
                <w:szCs w:val="20"/>
                <w:color w:val="auto"/>
              </w:rPr>
            </w:pPr>
            <w:r>
              <w:rPr>
                <w:rFonts w:ascii="Arial" w:cs="Arial" w:eastAsia="Arial" w:hAnsi="Arial"/>
                <w:sz w:val="22"/>
                <w:szCs w:val="22"/>
                <w:b w:val="1"/>
                <w:bCs w:val="1"/>
                <w:color w:val="auto"/>
              </w:rPr>
              <w:t>Financial Statements and Exhibits.</w:t>
            </w:r>
          </w:p>
        </w:tc>
      </w:tr>
      <w:tr>
        <w:trPr>
          <w:trHeight w:val="490"/>
        </w:trPr>
        <w:tc>
          <w:tcPr>
            <w:tcW w:w="1100" w:type="dxa"/>
            <w:vAlign w:val="bottom"/>
          </w:tcPr>
          <w:p>
            <w:pPr>
              <w:ind w:left="660"/>
              <w:spacing w:after="0"/>
              <w:rPr>
                <w:sz w:val="20"/>
                <w:szCs w:val="20"/>
                <w:color w:val="auto"/>
              </w:rPr>
            </w:pPr>
            <w:r>
              <w:rPr>
                <w:rFonts w:ascii="Arial" w:cs="Arial" w:eastAsia="Arial" w:hAnsi="Arial"/>
                <w:sz w:val="22"/>
                <w:szCs w:val="22"/>
                <w:b w:val="1"/>
                <w:bCs w:val="1"/>
                <w:color w:val="auto"/>
              </w:rPr>
              <w:t>(d)</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Borders>
              <w:top w:val="single" w:sz="8" w:color="auto"/>
            </w:tcBorders>
            <w:gridSpan w:val="2"/>
          </w:tcPr>
          <w:p>
            <w:pPr>
              <w:spacing w:after="0"/>
              <w:rPr>
                <w:sz w:val="20"/>
                <w:szCs w:val="20"/>
                <w:color w:val="auto"/>
              </w:rPr>
            </w:pPr>
            <w:r>
              <w:rPr>
                <w:rFonts w:ascii="Arial" w:cs="Arial" w:eastAsia="Arial" w:hAnsi="Arial"/>
                <w:sz w:val="22"/>
                <w:szCs w:val="22"/>
                <w:b w:val="1"/>
                <w:bCs w:val="1"/>
                <w:color w:val="auto"/>
              </w:rPr>
              <w:t>Exhibits</w:t>
            </w:r>
          </w:p>
        </w:tc>
        <w:tc>
          <w:tcPr>
            <w:tcW w:w="15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449"/>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3"/>
              </w:rPr>
              <w:t>Exhibit No.</w:t>
            </w: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0"/>
              </w:rPr>
              <w:t>Description</w:t>
            </w:r>
          </w:p>
        </w:tc>
        <w:tc>
          <w:tcPr>
            <w:tcW w:w="3100" w:type="dxa"/>
            <w:vAlign w:val="bottom"/>
          </w:tcPr>
          <w:p>
            <w:pPr>
              <w:spacing w:after="0"/>
              <w:rPr>
                <w:sz w:val="24"/>
                <w:szCs w:val="24"/>
                <w:color w:val="auto"/>
              </w:rPr>
            </w:pPr>
          </w:p>
        </w:tc>
      </w:tr>
      <w:tr>
        <w:trPr>
          <w:trHeight w:val="512"/>
        </w:trPr>
        <w:tc>
          <w:tcPr>
            <w:tcW w:w="1100" w:type="dxa"/>
            <w:vAlign w:val="bottom"/>
          </w:tcPr>
          <w:p>
            <w:pPr>
              <w:spacing w:after="0"/>
              <w:rPr>
                <w:sz w:val="24"/>
                <w:szCs w:val="24"/>
                <w:color w:val="auto"/>
              </w:rPr>
            </w:pPr>
          </w:p>
        </w:tc>
        <w:tc>
          <w:tcPr>
            <w:tcW w:w="1200" w:type="dxa"/>
            <w:vAlign w:val="bottom"/>
            <w:gridSpan w:val="3"/>
          </w:tcPr>
          <w:p>
            <w:pPr>
              <w:jc w:val="right"/>
              <w:ind w:right="372"/>
              <w:spacing w:after="0"/>
              <w:rPr>
                <w:sz w:val="20"/>
                <w:szCs w:val="20"/>
                <w:color w:val="auto"/>
              </w:rPr>
            </w:pPr>
            <w:r>
              <w:rPr>
                <w:rFonts w:ascii="Arial" w:cs="Arial" w:eastAsia="Arial" w:hAnsi="Arial"/>
                <w:sz w:val="22"/>
                <w:szCs w:val="22"/>
                <w:color w:val="auto"/>
              </w:rPr>
              <w:t>10.1</w:t>
            </w:r>
          </w:p>
        </w:tc>
        <w:tc>
          <w:tcPr>
            <w:tcW w:w="260" w:type="dxa"/>
            <w:vAlign w:val="bottom"/>
          </w:tcPr>
          <w:p>
            <w:pPr>
              <w:spacing w:after="0"/>
              <w:rPr>
                <w:sz w:val="24"/>
                <w:szCs w:val="24"/>
                <w:color w:val="auto"/>
              </w:rPr>
            </w:pPr>
          </w:p>
        </w:tc>
        <w:tc>
          <w:tcPr>
            <w:tcW w:w="5680" w:type="dxa"/>
            <w:vAlign w:val="bottom"/>
            <w:gridSpan w:val="4"/>
          </w:tcPr>
          <w:p>
            <w:pPr>
              <w:ind w:left="280"/>
              <w:spacing w:after="0"/>
              <w:rPr>
                <w:sz w:val="20"/>
                <w:szCs w:val="20"/>
                <w:color w:val="auto"/>
              </w:rPr>
            </w:pPr>
            <w:r>
              <w:rPr>
                <w:rFonts w:ascii="Arial" w:cs="Arial" w:eastAsia="Arial" w:hAnsi="Arial"/>
                <w:sz w:val="22"/>
                <w:szCs w:val="22"/>
                <w:color w:val="auto"/>
              </w:rPr>
              <w:t>Manpower Inc. Corporate Senior Management Annual</w:t>
            </w:r>
          </w:p>
        </w:tc>
      </w:tr>
      <w:tr>
        <w:trPr>
          <w:trHeight w:val="243"/>
        </w:trPr>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80" w:type="dxa"/>
            <w:vAlign w:val="bottom"/>
            <w:gridSpan w:val="4"/>
          </w:tcPr>
          <w:p>
            <w:pPr>
              <w:ind w:left="280"/>
              <w:spacing w:after="0" w:line="243" w:lineRule="exact"/>
              <w:rPr>
                <w:sz w:val="20"/>
                <w:szCs w:val="20"/>
                <w:color w:val="auto"/>
              </w:rPr>
            </w:pPr>
            <w:r>
              <w:rPr>
                <w:rFonts w:ascii="Arial" w:cs="Arial" w:eastAsia="Arial" w:hAnsi="Arial"/>
                <w:sz w:val="22"/>
                <w:szCs w:val="22"/>
                <w:color w:val="auto"/>
              </w:rPr>
              <w:t>Incentive Plan (incorporated by reference to the Proxy</w:t>
            </w:r>
          </w:p>
        </w:tc>
      </w:tr>
      <w:tr>
        <w:trPr>
          <w:trHeight w:val="243"/>
        </w:trPr>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80" w:type="dxa"/>
            <w:vAlign w:val="bottom"/>
            <w:gridSpan w:val="4"/>
          </w:tcPr>
          <w:p>
            <w:pPr>
              <w:ind w:left="280"/>
              <w:spacing w:after="0" w:line="243" w:lineRule="exact"/>
              <w:rPr>
                <w:sz w:val="20"/>
                <w:szCs w:val="20"/>
                <w:color w:val="auto"/>
              </w:rPr>
            </w:pPr>
            <w:r>
              <w:rPr>
                <w:rFonts w:ascii="Arial" w:cs="Arial" w:eastAsia="Arial" w:hAnsi="Arial"/>
                <w:sz w:val="22"/>
                <w:szCs w:val="22"/>
                <w:color w:val="auto"/>
                <w:w w:val="88"/>
              </w:rPr>
              <w:t>Statement for the 2007 Annual Meeting of the Shareholders of</w:t>
            </w:r>
          </w:p>
        </w:tc>
      </w:tr>
      <w:tr>
        <w:trPr>
          <w:trHeight w:val="275"/>
        </w:trPr>
        <w:tc>
          <w:tcPr>
            <w:tcW w:w="1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80" w:type="dxa"/>
            <w:vAlign w:val="bottom"/>
            <w:gridSpan w:val="4"/>
          </w:tcPr>
          <w:p>
            <w:pPr>
              <w:ind w:left="280"/>
              <w:spacing w:after="0"/>
              <w:rPr>
                <w:sz w:val="20"/>
                <w:szCs w:val="20"/>
                <w:color w:val="auto"/>
              </w:rPr>
            </w:pPr>
            <w:r>
              <w:rPr>
                <w:rFonts w:ascii="Arial" w:cs="Arial" w:eastAsia="Arial" w:hAnsi="Arial"/>
                <w:sz w:val="22"/>
                <w:szCs w:val="22"/>
                <w:color w:val="auto"/>
              </w:rPr>
              <w:t>Manpower Inc.)</w:t>
            </w:r>
          </w:p>
        </w:tc>
      </w:tr>
      <w:tr>
        <w:trPr>
          <w:trHeight w:val="513"/>
        </w:trPr>
        <w:tc>
          <w:tcPr>
            <w:tcW w:w="1100" w:type="dxa"/>
            <w:vAlign w:val="bottom"/>
          </w:tcPr>
          <w:p>
            <w:pPr>
              <w:spacing w:after="0"/>
              <w:rPr>
                <w:sz w:val="24"/>
                <w:szCs w:val="24"/>
                <w:color w:val="auto"/>
              </w:rPr>
            </w:pPr>
          </w:p>
        </w:tc>
        <w:tc>
          <w:tcPr>
            <w:tcW w:w="1200" w:type="dxa"/>
            <w:vAlign w:val="bottom"/>
            <w:gridSpan w:val="3"/>
          </w:tcPr>
          <w:p>
            <w:pPr>
              <w:jc w:val="right"/>
              <w:ind w:right="372"/>
              <w:spacing w:after="0"/>
              <w:rPr>
                <w:sz w:val="20"/>
                <w:szCs w:val="20"/>
                <w:color w:val="auto"/>
              </w:rPr>
            </w:pPr>
            <w:r>
              <w:rPr>
                <w:rFonts w:ascii="Arial" w:cs="Arial" w:eastAsia="Arial" w:hAnsi="Arial"/>
                <w:sz w:val="22"/>
                <w:szCs w:val="22"/>
                <w:color w:val="auto"/>
              </w:rPr>
              <w:t>99.1</w:t>
            </w:r>
          </w:p>
        </w:tc>
        <w:tc>
          <w:tcPr>
            <w:tcW w:w="260" w:type="dxa"/>
            <w:vAlign w:val="bottom"/>
          </w:tcPr>
          <w:p>
            <w:pPr>
              <w:spacing w:after="0"/>
              <w:rPr>
                <w:sz w:val="24"/>
                <w:szCs w:val="24"/>
                <w:color w:val="auto"/>
              </w:rPr>
            </w:pPr>
          </w:p>
        </w:tc>
        <w:tc>
          <w:tcPr>
            <w:tcW w:w="5680" w:type="dxa"/>
            <w:vAlign w:val="bottom"/>
            <w:gridSpan w:val="4"/>
          </w:tcPr>
          <w:p>
            <w:pPr>
              <w:ind w:left="280"/>
              <w:spacing w:after="0"/>
              <w:rPr>
                <w:sz w:val="20"/>
                <w:szCs w:val="20"/>
                <w:color w:val="auto"/>
              </w:rPr>
            </w:pPr>
            <w:r>
              <w:rPr>
                <w:rFonts w:ascii="Arial" w:cs="Arial" w:eastAsia="Arial" w:hAnsi="Arial"/>
                <w:sz w:val="22"/>
                <w:szCs w:val="22"/>
                <w:color w:val="auto"/>
              </w:rPr>
              <w:t>Press Release dated May 2, 2007.</w:t>
            </w:r>
          </w:p>
        </w:tc>
      </w:tr>
    </w:tbl>
    <w:p>
      <w:pPr>
        <w:sectPr>
          <w:pgSz w:w="11900" w:h="16838" w:orient="portrait"/>
          <w:cols w:equalWidth="0" w:num="1">
            <w:col w:w="10219"/>
          </w:cols>
          <w:pgMar w:left="240" w:top="118" w:right="1440" w:bottom="1440" w:gutter="0" w:footer="0" w:header="0"/>
        </w:sectPr>
      </w:pPr>
    </w:p>
    <w:bookmarkStart w:id="3" w:name="page4"/>
    <w:bookmarkEnd w:id="3"/>
    <w:p>
      <w:pPr>
        <w:jc w:val="center"/>
        <w:ind w:right="1759"/>
        <w:spacing w:after="0"/>
        <w:rPr>
          <w:sz w:val="20"/>
          <w:szCs w:val="20"/>
          <w:color w:val="auto"/>
        </w:rPr>
      </w:pPr>
      <w:r>
        <w:rPr>
          <w:rFonts w:ascii="Arial" w:cs="Arial" w:eastAsia="Arial" w:hAnsi="Arial"/>
          <w:sz w:val="22"/>
          <w:szCs w:val="22"/>
          <w:u w:val="single" w:color="auto"/>
          <w:color w:val="auto"/>
        </w:rPr>
        <w:t>SIGNATURES</w:t>
      </w:r>
    </w:p>
    <w:p>
      <w:pPr>
        <w:spacing w:after="0" w:line="233" w:lineRule="exact"/>
        <w:rPr>
          <w:sz w:val="20"/>
          <w:szCs w:val="20"/>
          <w:color w:val="auto"/>
        </w:rPr>
      </w:pPr>
    </w:p>
    <w:p>
      <w:pPr>
        <w:ind w:right="1979" w:firstLine="432"/>
        <w:spacing w:after="0" w:line="328"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hereunto duly authorized.</w:t>
      </w:r>
    </w:p>
    <w:p>
      <w:pPr>
        <w:spacing w:after="0" w:line="173" w:lineRule="exact"/>
        <w:rPr>
          <w:sz w:val="20"/>
          <w:szCs w:val="20"/>
          <w:color w:val="auto"/>
        </w:rPr>
      </w:pPr>
    </w:p>
    <w:p>
      <w:pPr>
        <w:ind w:left="20"/>
        <w:spacing w:after="0"/>
        <w:tabs>
          <w:tab w:leader="none" w:pos="4180" w:val="left"/>
        </w:tabs>
        <w:rPr>
          <w:sz w:val="20"/>
          <w:szCs w:val="20"/>
          <w:color w:val="auto"/>
        </w:rPr>
      </w:pPr>
      <w:r>
        <w:rPr>
          <w:rFonts w:ascii="Arial" w:cs="Arial" w:eastAsia="Arial" w:hAnsi="Arial"/>
          <w:sz w:val="22"/>
          <w:szCs w:val="22"/>
          <w:color w:val="auto"/>
        </w:rPr>
        <w:t>Dated: May 3, 2007</w:t>
      </w:r>
      <w:r>
        <w:rPr>
          <w:sz w:val="20"/>
          <w:szCs w:val="20"/>
          <w:color w:val="auto"/>
        </w:rPr>
        <w:tab/>
      </w:r>
      <w:r>
        <w:rPr>
          <w:rFonts w:ascii="Arial" w:cs="Arial" w:eastAsia="Arial" w:hAnsi="Arial"/>
          <w:sz w:val="21"/>
          <w:szCs w:val="21"/>
          <w:color w:val="auto"/>
        </w:rPr>
        <w:t>MANPOWER INC.</w:t>
      </w:r>
    </w:p>
    <w:p>
      <w:pPr>
        <w:spacing w:after="0" w:line="152" w:lineRule="exact"/>
        <w:rPr>
          <w:sz w:val="20"/>
          <w:szCs w:val="20"/>
          <w:color w:val="auto"/>
        </w:rPr>
      </w:pPr>
    </w:p>
    <w:p>
      <w:pPr>
        <w:ind w:left="4200"/>
        <w:spacing w:after="0"/>
        <w:tabs>
          <w:tab w:leader="none" w:pos="47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2938780</wp:posOffset>
            </wp:positionH>
            <wp:positionV relativeFrom="paragraph">
              <wp:posOffset>-17780</wp:posOffset>
            </wp:positionV>
            <wp:extent cx="22713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line="2"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Michael J. Van Handel</w:t>
      </w:r>
    </w:p>
    <w:p>
      <w:pPr>
        <w:spacing w:after="0" w:line="17" w:lineRule="exact"/>
        <w:rPr>
          <w:sz w:val="20"/>
          <w:szCs w:val="20"/>
          <w:color w:val="auto"/>
        </w:rPr>
      </w:pPr>
    </w:p>
    <w:p>
      <w:pPr>
        <w:ind w:left="4600"/>
        <w:spacing w:after="0"/>
        <w:rPr>
          <w:sz w:val="20"/>
          <w:szCs w:val="20"/>
          <w:color w:val="auto"/>
        </w:rPr>
      </w:pPr>
      <w:r>
        <w:rPr>
          <w:rFonts w:ascii="Arial" w:cs="Arial" w:eastAsia="Arial" w:hAnsi="Arial"/>
          <w:sz w:val="19"/>
          <w:szCs w:val="19"/>
          <w:color w:val="auto"/>
        </w:rPr>
        <w:t>Executive Vice President, Chief Financial</w:t>
      </w:r>
    </w:p>
    <w:p>
      <w:pPr>
        <w:spacing w:after="0" w:line="38"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Officer and Secretary</w:t>
      </w:r>
    </w:p>
    <w:p>
      <w:pPr>
        <w:sectPr>
          <w:pgSz w:w="11900" w:h="16838" w:orient="portrait"/>
          <w:cols w:equalWidth="0" w:num="1">
            <w:col w:w="10219"/>
          </w:cols>
          <w:pgMar w:left="240" w:top="604"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81"/>
        </w:trPr>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60" w:type="dxa"/>
            <w:vAlign w:val="bottom"/>
            <w:gridSpan w:val="3"/>
          </w:tcPr>
          <w:p>
            <w:pPr>
              <w:ind w:left="1240"/>
              <w:spacing w:after="0"/>
              <w:rPr>
                <w:sz w:val="20"/>
                <w:szCs w:val="20"/>
                <w:color w:val="auto"/>
              </w:rPr>
            </w:pPr>
            <w:r>
              <w:rPr>
                <w:rFonts w:ascii="Arial" w:cs="Arial" w:eastAsia="Arial" w:hAnsi="Arial"/>
                <w:sz w:val="22"/>
                <w:szCs w:val="22"/>
                <w:b w:val="1"/>
                <w:bCs w:val="1"/>
                <w:color w:val="auto"/>
              </w:rPr>
              <w:t>EXHIBIT INDEX</w:t>
            </w:r>
          </w:p>
        </w:tc>
      </w:tr>
      <w:tr>
        <w:trPr>
          <w:trHeight w:val="476"/>
        </w:trPr>
        <w:tc>
          <w:tcPr>
            <w:tcW w:w="1280" w:type="dxa"/>
            <w:vAlign w:val="bottom"/>
            <w:gridSpan w:val="2"/>
          </w:tcPr>
          <w:p>
            <w:pPr>
              <w:spacing w:after="0"/>
              <w:rPr>
                <w:sz w:val="20"/>
                <w:szCs w:val="20"/>
                <w:color w:val="auto"/>
              </w:rPr>
            </w:pPr>
            <w:r>
              <w:rPr>
                <w:rFonts w:ascii="Arial" w:cs="Arial" w:eastAsia="Arial" w:hAnsi="Arial"/>
                <w:sz w:val="22"/>
                <w:szCs w:val="22"/>
                <w:color w:val="auto"/>
              </w:rPr>
              <w:t>Exhibit No.</w:t>
            </w:r>
          </w:p>
        </w:tc>
        <w:tc>
          <w:tcPr>
            <w:tcW w:w="2340" w:type="dxa"/>
            <w:vAlign w:val="bottom"/>
          </w:tcPr>
          <w:p>
            <w:pPr>
              <w:spacing w:after="0"/>
              <w:rPr>
                <w:sz w:val="24"/>
                <w:szCs w:val="24"/>
                <w:color w:val="auto"/>
              </w:rPr>
            </w:pPr>
          </w:p>
        </w:tc>
        <w:tc>
          <w:tcPr>
            <w:tcW w:w="3320" w:type="dxa"/>
            <w:vAlign w:val="bottom"/>
            <w:gridSpan w:val="2"/>
          </w:tcPr>
          <w:p>
            <w:pPr>
              <w:spacing w:after="0"/>
              <w:rPr>
                <w:sz w:val="20"/>
                <w:szCs w:val="20"/>
                <w:color w:val="auto"/>
              </w:rPr>
            </w:pPr>
            <w:r>
              <w:rPr>
                <w:rFonts w:ascii="Arial" w:cs="Arial" w:eastAsia="Arial" w:hAnsi="Arial"/>
                <w:sz w:val="22"/>
                <w:szCs w:val="22"/>
                <w:color w:val="auto"/>
              </w:rPr>
              <w:t>Description</w:t>
            </w:r>
          </w:p>
        </w:tc>
      </w:tr>
      <w:tr>
        <w:trPr>
          <w:trHeight w:val="20"/>
        </w:trPr>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512"/>
        </w:trPr>
        <w:tc>
          <w:tcPr>
            <w:tcW w:w="1000" w:type="dxa"/>
            <w:vAlign w:val="bottom"/>
          </w:tcPr>
          <w:p>
            <w:pPr>
              <w:jc w:val="right"/>
              <w:ind w:right="352"/>
              <w:spacing w:after="0"/>
              <w:rPr>
                <w:sz w:val="20"/>
                <w:szCs w:val="20"/>
                <w:color w:val="auto"/>
              </w:rPr>
            </w:pPr>
            <w:r>
              <w:rPr>
                <w:rFonts w:ascii="Arial" w:cs="Arial" w:eastAsia="Arial" w:hAnsi="Arial"/>
                <w:sz w:val="22"/>
                <w:szCs w:val="22"/>
                <w:color w:val="auto"/>
              </w:rPr>
              <w:t>10.1</w:t>
            </w:r>
          </w:p>
        </w:tc>
        <w:tc>
          <w:tcPr>
            <w:tcW w:w="280" w:type="dxa"/>
            <w:vAlign w:val="bottom"/>
          </w:tcPr>
          <w:p>
            <w:pPr>
              <w:spacing w:after="0"/>
              <w:rPr>
                <w:sz w:val="24"/>
                <w:szCs w:val="24"/>
                <w:color w:val="auto"/>
              </w:rPr>
            </w:pPr>
          </w:p>
        </w:tc>
        <w:tc>
          <w:tcPr>
            <w:tcW w:w="5660" w:type="dxa"/>
            <w:vAlign w:val="bottom"/>
            <w:gridSpan w:val="3"/>
          </w:tcPr>
          <w:p>
            <w:pPr>
              <w:ind w:left="260"/>
              <w:spacing w:after="0"/>
              <w:rPr>
                <w:sz w:val="20"/>
                <w:szCs w:val="20"/>
                <w:color w:val="auto"/>
              </w:rPr>
            </w:pPr>
            <w:r>
              <w:rPr>
                <w:rFonts w:ascii="Arial" w:cs="Arial" w:eastAsia="Arial" w:hAnsi="Arial"/>
                <w:sz w:val="22"/>
                <w:szCs w:val="22"/>
                <w:color w:val="auto"/>
              </w:rPr>
              <w:t>Manpower Inc. Corporate Senior Management Annual</w:t>
            </w:r>
          </w:p>
        </w:tc>
      </w:tr>
      <w:tr>
        <w:trPr>
          <w:trHeight w:val="243"/>
        </w:trPr>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60" w:type="dxa"/>
            <w:vAlign w:val="bottom"/>
            <w:gridSpan w:val="3"/>
          </w:tcPr>
          <w:p>
            <w:pPr>
              <w:ind w:left="260"/>
              <w:spacing w:after="0" w:line="243" w:lineRule="exact"/>
              <w:rPr>
                <w:sz w:val="20"/>
                <w:szCs w:val="20"/>
                <w:color w:val="auto"/>
              </w:rPr>
            </w:pPr>
            <w:r>
              <w:rPr>
                <w:rFonts w:ascii="Arial" w:cs="Arial" w:eastAsia="Arial" w:hAnsi="Arial"/>
                <w:sz w:val="22"/>
                <w:szCs w:val="22"/>
                <w:color w:val="auto"/>
              </w:rPr>
              <w:t>Incentive Plan (incorporated by reference to the Proxy</w:t>
            </w:r>
          </w:p>
        </w:tc>
      </w:tr>
      <w:tr>
        <w:trPr>
          <w:trHeight w:val="243"/>
        </w:trPr>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60" w:type="dxa"/>
            <w:vAlign w:val="bottom"/>
            <w:gridSpan w:val="3"/>
          </w:tcPr>
          <w:p>
            <w:pPr>
              <w:ind w:left="260"/>
              <w:spacing w:after="0" w:line="243" w:lineRule="exact"/>
              <w:rPr>
                <w:sz w:val="20"/>
                <w:szCs w:val="20"/>
                <w:color w:val="auto"/>
              </w:rPr>
            </w:pPr>
            <w:r>
              <w:rPr>
                <w:rFonts w:ascii="Arial" w:cs="Arial" w:eastAsia="Arial" w:hAnsi="Arial"/>
                <w:sz w:val="22"/>
                <w:szCs w:val="22"/>
                <w:color w:val="auto"/>
                <w:w w:val="88"/>
              </w:rPr>
              <w:t>Statement for the 2007 Annual Meeting of the Shareholders of</w:t>
            </w:r>
          </w:p>
        </w:tc>
      </w:tr>
      <w:tr>
        <w:trPr>
          <w:trHeight w:val="275"/>
        </w:trPr>
        <w:tc>
          <w:tcPr>
            <w:tcW w:w="10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60" w:type="dxa"/>
            <w:vAlign w:val="bottom"/>
            <w:gridSpan w:val="3"/>
          </w:tcPr>
          <w:p>
            <w:pPr>
              <w:ind w:left="260"/>
              <w:spacing w:after="0"/>
              <w:rPr>
                <w:sz w:val="20"/>
                <w:szCs w:val="20"/>
                <w:color w:val="auto"/>
              </w:rPr>
            </w:pPr>
            <w:r>
              <w:rPr>
                <w:rFonts w:ascii="Arial" w:cs="Arial" w:eastAsia="Arial" w:hAnsi="Arial"/>
                <w:sz w:val="22"/>
                <w:szCs w:val="22"/>
                <w:color w:val="auto"/>
              </w:rPr>
              <w:t>Manpower Inc.)</w:t>
            </w:r>
          </w:p>
        </w:tc>
      </w:tr>
      <w:tr>
        <w:trPr>
          <w:trHeight w:val="513"/>
        </w:trPr>
        <w:tc>
          <w:tcPr>
            <w:tcW w:w="1000" w:type="dxa"/>
            <w:vAlign w:val="bottom"/>
          </w:tcPr>
          <w:p>
            <w:pPr>
              <w:jc w:val="right"/>
              <w:ind w:right="352"/>
              <w:spacing w:after="0"/>
              <w:rPr>
                <w:sz w:val="20"/>
                <w:szCs w:val="20"/>
                <w:color w:val="auto"/>
              </w:rPr>
            </w:pPr>
            <w:r>
              <w:rPr>
                <w:rFonts w:ascii="Arial" w:cs="Arial" w:eastAsia="Arial" w:hAnsi="Arial"/>
                <w:sz w:val="22"/>
                <w:szCs w:val="22"/>
                <w:color w:val="auto"/>
              </w:rPr>
              <w:t>99.1</w:t>
            </w:r>
          </w:p>
        </w:tc>
        <w:tc>
          <w:tcPr>
            <w:tcW w:w="280" w:type="dxa"/>
            <w:vAlign w:val="bottom"/>
          </w:tcPr>
          <w:p>
            <w:pPr>
              <w:spacing w:after="0"/>
              <w:rPr>
                <w:sz w:val="24"/>
                <w:szCs w:val="24"/>
                <w:color w:val="auto"/>
              </w:rPr>
            </w:pPr>
          </w:p>
        </w:tc>
        <w:tc>
          <w:tcPr>
            <w:tcW w:w="5660" w:type="dxa"/>
            <w:vAlign w:val="bottom"/>
            <w:gridSpan w:val="3"/>
          </w:tcPr>
          <w:p>
            <w:pPr>
              <w:ind w:left="260"/>
              <w:spacing w:after="0"/>
              <w:rPr>
                <w:sz w:val="20"/>
                <w:szCs w:val="20"/>
                <w:color w:val="auto"/>
              </w:rPr>
            </w:pPr>
            <w:r>
              <w:rPr>
                <w:rFonts w:ascii="Arial" w:cs="Arial" w:eastAsia="Arial" w:hAnsi="Arial"/>
                <w:sz w:val="22"/>
                <w:szCs w:val="22"/>
                <w:color w:val="auto"/>
              </w:rPr>
              <w:t>Press release dated May 2, 2007.</w:t>
            </w:r>
          </w:p>
        </w:tc>
      </w:tr>
    </w:tbl>
    <w:p>
      <w:pPr>
        <w:sectPr>
          <w:pgSz w:w="11900" w:h="16838" w:orient="portrait"/>
          <w:cols w:equalWidth="0" w:num="1">
            <w:col w:w="9359"/>
          </w:cols>
          <w:pgMar w:left="1100" w:top="841" w:right="1440" w:bottom="1440" w:gutter="0" w:footer="0" w:header="0"/>
        </w:sectPr>
      </w:pPr>
    </w:p>
    <w:bookmarkStart w:id="5" w:name="page6"/>
    <w:bookmarkEnd w:id="5"/>
    <w:p>
      <w:pPr>
        <w:jc w:val="right"/>
        <w:ind w:right="1799"/>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-127635</wp:posOffset>
            </wp:positionV>
            <wp:extent cx="977900" cy="909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7790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tabs>
          <w:tab w:leader="none" w:pos="4140" w:val="left"/>
          <w:tab w:leader="none" w:pos="5580" w:val="left"/>
        </w:tabs>
        <w:rPr>
          <w:sz w:val="20"/>
          <w:szCs w:val="20"/>
          <w:color w:val="auto"/>
        </w:rPr>
      </w:pPr>
      <w:r>
        <w:rPr>
          <w:rFonts w:ascii="Arial" w:cs="Arial" w:eastAsia="Arial" w:hAnsi="Arial"/>
          <w:sz w:val="20"/>
          <w:szCs w:val="20"/>
          <w:b w:val="1"/>
          <w:bCs w:val="1"/>
          <w:color w:val="auto"/>
        </w:rPr>
        <w:t>FOR IMMEDIATE RELEASE</w:t>
      </w:r>
      <w:r>
        <w:rPr>
          <w:sz w:val="20"/>
          <w:szCs w:val="20"/>
          <w:color w:val="auto"/>
        </w:rPr>
        <w:tab/>
      </w:r>
      <w:r>
        <w:rPr>
          <w:rFonts w:ascii="Arial" w:cs="Arial" w:eastAsia="Arial" w:hAnsi="Arial"/>
          <w:sz w:val="18"/>
          <w:szCs w:val="18"/>
          <w:b w:val="1"/>
          <w:bCs w:val="1"/>
          <w:color w:val="auto"/>
        </w:rPr>
        <w:t>Contact:</w:t>
      </w:r>
      <w:r>
        <w:rPr>
          <w:sz w:val="20"/>
          <w:szCs w:val="20"/>
          <w:color w:val="auto"/>
        </w:rPr>
        <w:tab/>
      </w:r>
      <w:r>
        <w:rPr>
          <w:rFonts w:ascii="Arial" w:cs="Arial" w:eastAsia="Arial" w:hAnsi="Arial"/>
          <w:sz w:val="17"/>
          <w:szCs w:val="17"/>
          <w:color w:val="auto"/>
        </w:rPr>
        <w:t>Tracy Shilobrit</w:t>
      </w:r>
    </w:p>
    <w:p>
      <w:pPr>
        <w:spacing w:after="0" w:line="5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Manpower Inc.</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+1.414.906.6088</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tracy.shilobrit@manpower.com</w:t>
      </w:r>
    </w:p>
    <w:p>
      <w:pPr>
        <w:spacing w:after="0" w:line="275"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Manpower Inc. Names Cari M. Dominguez to Board of Directors</w:t>
      </w:r>
    </w:p>
    <w:p>
      <w:pPr>
        <w:spacing w:after="0" w:line="97" w:lineRule="exact"/>
        <w:rPr>
          <w:sz w:val="20"/>
          <w:szCs w:val="20"/>
          <w:color w:val="auto"/>
        </w:rPr>
      </w:pPr>
    </w:p>
    <w:p>
      <w:pPr>
        <w:ind w:right="2119"/>
        <w:spacing w:after="0" w:line="281" w:lineRule="auto"/>
        <w:rPr>
          <w:sz w:val="20"/>
          <w:szCs w:val="20"/>
          <w:color w:val="auto"/>
        </w:rPr>
      </w:pPr>
      <w:r>
        <w:rPr>
          <w:rFonts w:ascii="Arial" w:cs="Arial" w:eastAsia="Arial" w:hAnsi="Arial"/>
          <w:sz w:val="22"/>
          <w:szCs w:val="22"/>
          <w:color w:val="auto"/>
        </w:rPr>
        <w:t>MILWAUKEE, WI, USA (May 2, 2007) – Manpower Inc. (NYSE:MAN) today announced the appointment of Cari M. Dominguez, age 58, Former Chair of the U.S. Equal Employment Opportunity Commission (EEOC), to its board of directors, effective today.</w:t>
      </w:r>
    </w:p>
    <w:p>
      <w:pPr>
        <w:spacing w:after="0" w:line="4" w:lineRule="exact"/>
        <w:rPr>
          <w:sz w:val="20"/>
          <w:szCs w:val="20"/>
          <w:color w:val="auto"/>
        </w:rPr>
      </w:pPr>
    </w:p>
    <w:p>
      <w:pPr>
        <w:ind w:right="1919" w:firstLine="648"/>
        <w:spacing w:after="0" w:line="283" w:lineRule="auto"/>
        <w:rPr>
          <w:sz w:val="20"/>
          <w:szCs w:val="20"/>
          <w:color w:val="auto"/>
        </w:rPr>
      </w:pPr>
      <w:r>
        <w:rPr>
          <w:rFonts w:ascii="Arial" w:cs="Arial" w:eastAsia="Arial" w:hAnsi="Arial"/>
          <w:sz w:val="22"/>
          <w:szCs w:val="22"/>
          <w:color w:val="auto"/>
        </w:rPr>
        <w:t>“Cari’s experience in both business and government environments, shaping and implementing employment policies and programs, will be a tremendous asset to Manpower as the world labor markets continue to evolve, requiring ever-more sophisticated employment services for our clients worldwide,” said Jeffrey A. Joerres, chairman and CEO of Manpower Inc.</w:t>
      </w:r>
    </w:p>
    <w:p>
      <w:pPr>
        <w:spacing w:after="0" w:line="13" w:lineRule="exact"/>
        <w:rPr>
          <w:sz w:val="20"/>
          <w:szCs w:val="20"/>
          <w:color w:val="auto"/>
        </w:rPr>
      </w:pPr>
    </w:p>
    <w:p>
      <w:pPr>
        <w:ind w:right="1899" w:firstLine="648"/>
        <w:spacing w:after="0" w:line="267" w:lineRule="auto"/>
        <w:rPr>
          <w:sz w:val="20"/>
          <w:szCs w:val="20"/>
          <w:color w:val="auto"/>
        </w:rPr>
      </w:pPr>
      <w:r>
        <w:rPr>
          <w:rFonts w:ascii="Arial" w:cs="Arial" w:eastAsia="Arial" w:hAnsi="Arial"/>
          <w:sz w:val="22"/>
          <w:szCs w:val="22"/>
          <w:color w:val="auto"/>
        </w:rPr>
        <w:t>Dominguez was the United States’ 12</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Chair of the EEOC from 2001 to 2006, and the first to have a workforce management background. From 1993-2000, Dominguez held senior positions at two international executive search firms. From 1989-1993 she served in the U.S. Department of Labor in roles including, Assistant Secretary for Employment Standards, Director of the Office of Federal Contract Compliance Programs, and Architect of the Labor Department’s Glass Ceiling Initiative. Her corporate experience includes various human resource positions with Bank America Corporation, including Director of Executive Programs, and she also owned a management consulting firm for several years.</w:t>
      </w:r>
    </w:p>
    <w:p>
      <w:pPr>
        <w:spacing w:after="0" w:line="11" w:lineRule="exact"/>
        <w:rPr>
          <w:sz w:val="20"/>
          <w:szCs w:val="20"/>
          <w:color w:val="auto"/>
        </w:rPr>
      </w:pPr>
    </w:p>
    <w:p>
      <w:pPr>
        <w:ind w:right="1879" w:firstLine="781"/>
        <w:spacing w:after="0" w:line="282" w:lineRule="auto"/>
        <w:rPr>
          <w:sz w:val="20"/>
          <w:szCs w:val="20"/>
          <w:color w:val="auto"/>
        </w:rPr>
      </w:pPr>
      <w:r>
        <w:rPr>
          <w:rFonts w:ascii="Arial" w:cs="Arial" w:eastAsia="Arial" w:hAnsi="Arial"/>
          <w:sz w:val="22"/>
          <w:szCs w:val="22"/>
          <w:color w:val="auto"/>
        </w:rPr>
        <w:t xml:space="preserve">Dominguez holds bachelor’s and master’s degrees from the School of International Service at American University in Washington, D.C. In 2003, Loma Linda University conferred upon her the honorary degree of Doctor of Humanitarian Service. She is a fellow of the Advanced Study Program in Public Management of the Massachusetts Institute of Technology (MIT) and has served on the boards of the Leadership Foundation of the International Women’s Forum and the Human Resources Planning Society. In addition, she has been recognized as one of the "100 Most Influential Hispanics in the Country" by </w:t>
      </w:r>
      <w:r>
        <w:rPr>
          <w:rFonts w:ascii="Arial" w:cs="Arial" w:eastAsia="Arial" w:hAnsi="Arial"/>
          <w:sz w:val="22"/>
          <w:szCs w:val="22"/>
          <w:i w:val="1"/>
          <w:iCs w:val="1"/>
          <w:color w:val="auto"/>
        </w:rPr>
        <w:t>Hispanic Business</w:t>
      </w:r>
      <w:r>
        <w:rPr>
          <w:rFonts w:ascii="Arial" w:cs="Arial" w:eastAsia="Arial" w:hAnsi="Arial"/>
          <w:sz w:val="22"/>
          <w:szCs w:val="22"/>
          <w:color w:val="auto"/>
        </w:rPr>
        <w:t xml:space="preserve"> magazine.</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Manpower Inc.</w:t>
      </w:r>
    </w:p>
    <w:p>
      <w:pPr>
        <w:spacing w:after="0" w:line="43" w:lineRule="exact"/>
        <w:rPr>
          <w:sz w:val="20"/>
          <w:szCs w:val="20"/>
          <w:color w:val="auto"/>
        </w:rPr>
      </w:pPr>
    </w:p>
    <w:p>
      <w:pPr>
        <w:ind w:right="2039"/>
        <w:spacing w:after="0" w:line="230" w:lineRule="auto"/>
        <w:rPr>
          <w:sz w:val="20"/>
          <w:szCs w:val="20"/>
          <w:color w:val="auto"/>
        </w:rPr>
      </w:pPr>
      <w:r>
        <w:rPr>
          <w:rFonts w:ascii="Arial" w:cs="Arial" w:eastAsia="Arial" w:hAnsi="Arial"/>
          <w:sz w:val="22"/>
          <w:szCs w:val="22"/>
          <w:color w:val="auto"/>
        </w:rPr>
        <w:t xml:space="preserve">Manpower Inc. (NYSE: MAN) is a world leader in the employment services industry; creating and delivering services that enable its clients to win in the changing world of work. The $18 billion company offers employers a range of services for the entire employment and business cycle including permanent, temporary and contract recruitment; employee assessment and selection; training; outplacement; outsourcing and consulting. Manpower's worldwide network of 4,400 offices in 73 countries and territories enables the company to meet the needs of its 400,000 clients per year, including small and medium size enterprises in all industry sectors, as well as the world's largest multinational corporations. The focus of Manpower's work is on raising productivity through improved quality, efficiency and cost-reduction across their total workforce, enabling clients to concentrate on their core business activities. Manpower Inc. operates under five brands: Manpower, Manpow er Professional, Elan, Jefferson Wells and Right Management. More information on Manpower Inc. is available at </w:t>
      </w:r>
      <w:r>
        <w:rPr>
          <w:rFonts w:ascii="Arial" w:cs="Arial" w:eastAsia="Arial" w:hAnsi="Arial"/>
          <w:sz w:val="22"/>
          <w:szCs w:val="22"/>
          <w:u w:val="single" w:color="auto"/>
          <w:color w:val="0000FF"/>
        </w:rPr>
        <w:t>www.manpower.com</w:t>
      </w:r>
      <w:r>
        <w:rPr>
          <w:rFonts w:ascii="Arial" w:cs="Arial" w:eastAsia="Arial" w:hAnsi="Arial"/>
          <w:sz w:val="22"/>
          <w:szCs w:val="22"/>
          <w:color w:val="000000"/>
        </w:rPr>
        <w:t>.</w:t>
      </w:r>
    </w:p>
    <w:p>
      <w:pPr>
        <w:spacing w:after="0" w:line="12" w:lineRule="exact"/>
        <w:rPr>
          <w:sz w:val="20"/>
          <w:szCs w:val="20"/>
          <w:color w:val="auto"/>
        </w:rPr>
      </w:pPr>
    </w:p>
    <w:p>
      <w:pPr>
        <w:ind w:left="4000"/>
        <w:spacing w:after="0"/>
        <w:rPr>
          <w:sz w:val="20"/>
          <w:szCs w:val="20"/>
          <w:color w:val="auto"/>
        </w:rPr>
      </w:pPr>
      <w:r>
        <w:rPr>
          <w:rFonts w:ascii="Arial" w:cs="Arial" w:eastAsia="Arial" w:hAnsi="Arial"/>
          <w:sz w:val="20"/>
          <w:szCs w:val="20"/>
          <w:b w:val="1"/>
          <w:bCs w:val="1"/>
          <w:color w:val="auto"/>
        </w:rPr>
        <w:t># # #</w:t>
      </w:r>
    </w:p>
    <w:p>
      <w:pPr>
        <w:sectPr>
          <w:pgSz w:w="11900" w:h="16838" w:orient="portrait"/>
          <w:cols w:equalWidth="0" w:num="1">
            <w:col w:w="10219"/>
          </w:cols>
          <w:pgMar w:left="240" w:top="639" w:right="1440" w:bottom="268" w:gutter="0" w:footer="0" w:header="0"/>
        </w:sectPr>
      </w:pPr>
    </w:p>
    <w:p>
      <w:pPr>
        <w:spacing w:after="0" w:line="25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MANPOWER INC. • P.O. BOX 2053 • 5301 N. IRONWOOD RD., MILWAUKEE, WI 53201 • USA • PHONE 414-961-1000 • www.manpower.com</w:t>
      </w:r>
    </w:p>
    <w:sectPr>
      <w:pgSz w:w="11900" w:h="16838" w:orient="portrait"/>
      <w:cols w:equalWidth="0" w:num="1">
        <w:col w:w="10219"/>
      </w:cols>
      <w:pgMar w:left="240" w:top="639" w:right="1440" w:bottom="26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2019-12-11T21:26:29Z</dcterms:created>
  <dcterms:modified xsi:type="dcterms:W3CDTF">2019-12-11T21:26:29Z</dcterms:modified>
</cp:coreProperties>
</file>