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22, 2008</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56" w:lineRule="exact"/>
        <w:rPr>
          <w:sz w:val="24"/>
          <w:szCs w:val="24"/>
          <w:color w:val="auto"/>
        </w:rPr>
      </w:pPr>
    </w:p>
    <w:tbl>
      <w:tblPr>
        <w:tblLayout w:type="fixed"/>
        <w:tblInd w:w="15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Borders>
              <w:bottom w:val="single" w:sz="8" w:color="auto"/>
            </w:tcBorders>
          </w:tcPr>
          <w:p>
            <w:pPr>
              <w:ind w:left="580"/>
              <w:spacing w:after="0"/>
              <w:rPr>
                <w:sz w:val="20"/>
                <w:szCs w:val="20"/>
                <w:color w:val="auto"/>
              </w:rPr>
            </w:pPr>
            <w:r>
              <w:rPr>
                <w:rFonts w:ascii="Arial" w:cs="Arial" w:eastAsia="Arial" w:hAnsi="Arial"/>
                <w:sz w:val="22"/>
                <w:szCs w:val="22"/>
                <w:color w:val="auto"/>
              </w:rPr>
              <w:t>Wisconsin</w:t>
            </w:r>
          </w:p>
        </w:tc>
        <w:tc>
          <w:tcPr>
            <w:tcW w:w="12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54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20" w:type="dxa"/>
            <w:vAlign w:val="bottom"/>
            <w:gridSpan w:val="4"/>
          </w:tcPr>
          <w:p>
            <w:pPr>
              <w:jc w:val="center"/>
              <w:ind w:right="1120"/>
              <w:spacing w:after="0" w:line="242" w:lineRule="exact"/>
              <w:rPr>
                <w:sz w:val="20"/>
                <w:szCs w:val="20"/>
                <w:color w:val="auto"/>
              </w:rPr>
            </w:pPr>
            <w:r>
              <w:rPr>
                <w:rFonts w:ascii="Arial" w:cs="Arial" w:eastAsia="Arial" w:hAnsi="Arial"/>
                <w:sz w:val="22"/>
                <w:szCs w:val="22"/>
                <w:color w:val="auto"/>
                <w:w w:val="90"/>
              </w:rPr>
              <w:t>(State or other jurisdiction</w:t>
            </w:r>
          </w:p>
        </w:tc>
        <w:tc>
          <w:tcPr>
            <w:tcW w:w="2820" w:type="dxa"/>
            <w:vAlign w:val="bottom"/>
            <w:gridSpan w:val="3"/>
          </w:tcPr>
          <w:p>
            <w:pPr>
              <w:jc w:val="center"/>
              <w:ind w:right="1400"/>
              <w:spacing w:after="0" w:line="242" w:lineRule="exact"/>
              <w:rPr>
                <w:sz w:val="20"/>
                <w:szCs w:val="20"/>
                <w:color w:val="auto"/>
              </w:rPr>
            </w:pPr>
            <w:r>
              <w:rPr>
                <w:rFonts w:ascii="Arial" w:cs="Arial" w:eastAsia="Arial" w:hAnsi="Arial"/>
                <w:sz w:val="22"/>
                <w:szCs w:val="22"/>
                <w:color w:val="auto"/>
                <w:w w:val="91"/>
              </w:rPr>
              <w:t>(Commission</w:t>
            </w:r>
          </w:p>
        </w:tc>
        <w:tc>
          <w:tcPr>
            <w:tcW w:w="120" w:type="dxa"/>
            <w:vAlign w:val="bottom"/>
          </w:tcPr>
          <w:p>
            <w:pPr>
              <w:spacing w:after="0"/>
              <w:rPr>
                <w:sz w:val="21"/>
                <w:szCs w:val="21"/>
                <w:color w:val="auto"/>
              </w:rPr>
            </w:pPr>
          </w:p>
        </w:tc>
        <w:tc>
          <w:tcPr>
            <w:tcW w:w="1560" w:type="dxa"/>
            <w:vAlign w:val="bottom"/>
            <w:gridSpan w:val="2"/>
          </w:tcPr>
          <w:p>
            <w:pPr>
              <w:jc w:val="center"/>
              <w:ind w:right="120"/>
              <w:spacing w:after="0" w:line="242" w:lineRule="exact"/>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40" w:type="dxa"/>
            <w:vAlign w:val="bottom"/>
            <w:gridSpan w:val="3"/>
          </w:tcPr>
          <w:p>
            <w:pPr>
              <w:jc w:val="center"/>
              <w:ind w:right="1200"/>
              <w:spacing w:after="0"/>
              <w:rPr>
                <w:sz w:val="20"/>
                <w:szCs w:val="20"/>
                <w:color w:val="auto"/>
              </w:rPr>
            </w:pPr>
            <w:r>
              <w:rPr>
                <w:rFonts w:ascii="Arial" w:cs="Arial" w:eastAsia="Arial" w:hAnsi="Arial"/>
                <w:sz w:val="22"/>
                <w:szCs w:val="22"/>
                <w:color w:val="auto"/>
                <w:w w:val="93"/>
              </w:rPr>
              <w:t>of incorporation)</w:t>
            </w:r>
          </w:p>
        </w:tc>
        <w:tc>
          <w:tcPr>
            <w:tcW w:w="2820" w:type="dxa"/>
            <w:vAlign w:val="bottom"/>
            <w:gridSpan w:val="3"/>
          </w:tcPr>
          <w:p>
            <w:pPr>
              <w:jc w:val="center"/>
              <w:ind w:right="1400"/>
              <w:spacing w:after="0"/>
              <w:rPr>
                <w:sz w:val="20"/>
                <w:szCs w:val="20"/>
                <w:color w:val="auto"/>
              </w:rPr>
            </w:pPr>
            <w:r>
              <w:rPr>
                <w:rFonts w:ascii="Arial" w:cs="Arial" w:eastAsia="Arial" w:hAnsi="Arial"/>
                <w:sz w:val="22"/>
                <w:szCs w:val="22"/>
                <w:color w:val="auto"/>
                <w:w w:val="92"/>
              </w:rPr>
              <w:t>File Number)</w:t>
            </w: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40" w:type="dxa"/>
            <w:vAlign w:val="bottom"/>
            <w:gridSpan w:val="3"/>
          </w:tcPr>
          <w:p>
            <w:pPr>
              <w:jc w:val="center"/>
              <w:ind w:right="220"/>
              <w:spacing w:after="0"/>
              <w:rPr>
                <w:sz w:val="20"/>
                <w:szCs w:val="20"/>
                <w:color w:val="auto"/>
              </w:rPr>
            </w:pPr>
            <w:r>
              <w:rPr>
                <w:rFonts w:ascii="Arial" w:cs="Arial" w:eastAsia="Arial" w:hAnsi="Arial"/>
                <w:sz w:val="22"/>
                <w:szCs w:val="22"/>
                <w:color w:val="auto"/>
                <w:w w:val="88"/>
              </w:rPr>
              <w:t>100 Manpower Place</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gridSpan w:val="3"/>
          </w:tcPr>
          <w:p>
            <w:pPr>
              <w:jc w:val="center"/>
              <w:ind w:right="220"/>
              <w:spacing w:after="0" w:line="190" w:lineRule="exact"/>
              <w:rPr>
                <w:sz w:val="20"/>
                <w:szCs w:val="20"/>
                <w:color w:val="auto"/>
              </w:rPr>
            </w:pPr>
            <w:r>
              <w:rPr>
                <w:rFonts w:ascii="Arial" w:cs="Arial" w:eastAsia="Arial" w:hAnsi="Arial"/>
                <w:sz w:val="22"/>
                <w:szCs w:val="22"/>
                <w:color w:val="auto"/>
                <w:w w:val="91"/>
              </w:rPr>
              <w:t>Milwaukee, Wisconsin</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gridSpan w:val="3"/>
            <w:vMerge w:val="restart"/>
          </w:tcPr>
          <w:p>
            <w:pPr>
              <w:jc w:val="center"/>
              <w:ind w:right="580"/>
              <w:spacing w:after="0"/>
              <w:rPr>
                <w:sz w:val="20"/>
                <w:szCs w:val="20"/>
                <w:color w:val="auto"/>
              </w:rPr>
            </w:pPr>
            <w:r>
              <w:rPr>
                <w:rFonts w:ascii="Arial" w:cs="Arial" w:eastAsia="Arial" w:hAnsi="Arial"/>
                <w:sz w:val="22"/>
                <w:szCs w:val="22"/>
                <w:color w:val="auto"/>
                <w:w w:val="90"/>
              </w:rPr>
              <w:t>(Zip Code)</w:t>
            </w:r>
          </w:p>
        </w:tc>
        <w:tc>
          <w:tcPr>
            <w:tcW w:w="0" w:type="dxa"/>
            <w:vAlign w:val="bottom"/>
          </w:tcPr>
          <w:p>
            <w:pPr>
              <w:spacing w:after="0" w:line="20" w:lineRule="exact"/>
              <w:rPr>
                <w:sz w:val="1"/>
                <w:szCs w:val="1"/>
                <w:color w:val="auto"/>
              </w:rPr>
            </w:pPr>
          </w:p>
        </w:tc>
      </w:tr>
      <w:tr>
        <w:trPr>
          <w:trHeight w:val="261"/>
        </w:trPr>
        <w:tc>
          <w:tcPr>
            <w:tcW w:w="3540" w:type="dxa"/>
            <w:vAlign w:val="bottom"/>
            <w:gridSpan w:val="5"/>
          </w:tcPr>
          <w:p>
            <w:pPr>
              <w:jc w:val="center"/>
              <w:ind w:right="120"/>
              <w:spacing w:after="0"/>
              <w:rPr>
                <w:sz w:val="20"/>
                <w:szCs w:val="20"/>
                <w:color w:val="auto"/>
              </w:rPr>
            </w:pPr>
            <w:r>
              <w:rPr>
                <w:rFonts w:ascii="Arial" w:cs="Arial" w:eastAsia="Arial" w:hAnsi="Arial"/>
                <w:sz w:val="22"/>
                <w:szCs w:val="22"/>
                <w:color w:val="auto"/>
                <w:w w:val="90"/>
              </w:rPr>
              <w:t>(Address of principal executive offices)</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740" w:hanging="602"/>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740" w:hanging="602"/>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60" w:lineRule="exact"/>
        <w:rPr>
          <w:rFonts w:ascii="Arial" w:cs="Arial" w:eastAsia="Arial" w:hAnsi="Arial"/>
          <w:sz w:val="22"/>
          <w:szCs w:val="22"/>
          <w:color w:val="auto"/>
        </w:rPr>
      </w:pPr>
    </w:p>
    <w:p>
      <w:pPr>
        <w:ind w:left="740" w:right="2480" w:hanging="602"/>
        <w:spacing w:after="0" w:line="251" w:lineRule="auto"/>
        <w:tabs>
          <w:tab w:leader="none" w:pos="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Arial" w:cs="Arial" w:eastAsia="Arial" w:hAnsi="Arial"/>
          <w:sz w:val="22"/>
          <w:szCs w:val="22"/>
          <w:color w:val="auto"/>
        </w:rPr>
      </w:pPr>
    </w:p>
    <w:p>
      <w:pPr>
        <w:ind w:left="740" w:right="2520" w:hanging="602"/>
        <w:spacing w:after="0" w:line="251" w:lineRule="auto"/>
        <w:tabs>
          <w:tab w:leader="none" w:pos="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20" w:right="4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40" w:lineRule="exact"/>
        <w:rPr>
          <w:sz w:val="20"/>
          <w:szCs w:val="20"/>
          <w:color w:val="auto"/>
        </w:rPr>
      </w:pPr>
    </w:p>
    <w:p>
      <w:pPr>
        <w:ind w:right="540" w:firstLine="648"/>
        <w:spacing w:after="0" w:line="251" w:lineRule="auto"/>
        <w:rPr>
          <w:sz w:val="20"/>
          <w:szCs w:val="20"/>
          <w:color w:val="auto"/>
        </w:rPr>
      </w:pPr>
      <w:r>
        <w:rPr>
          <w:rFonts w:ascii="Arial" w:cs="Arial" w:eastAsia="Arial" w:hAnsi="Arial"/>
          <w:sz w:val="22"/>
          <w:szCs w:val="22"/>
          <w:color w:val="auto"/>
        </w:rPr>
        <w:t>On December 22, 2008, Manpower Inc. (the “Company”) announced that it was withdrawing its revenue and earnings guidance for the fourth quarter of 2008.</w:t>
      </w:r>
    </w:p>
    <w:p>
      <w:pPr>
        <w:spacing w:after="0" w:line="200" w:lineRule="exact"/>
        <w:rPr>
          <w:sz w:val="20"/>
          <w:szCs w:val="20"/>
          <w:color w:val="auto"/>
        </w:rPr>
      </w:pPr>
    </w:p>
    <w:p>
      <w:pPr>
        <w:ind w:right="540" w:firstLine="648"/>
        <w:spacing w:after="0" w:line="251" w:lineRule="auto"/>
        <w:rPr>
          <w:sz w:val="20"/>
          <w:szCs w:val="20"/>
          <w:color w:val="auto"/>
        </w:rPr>
      </w:pPr>
      <w:r>
        <w:rPr>
          <w:rFonts w:ascii="Arial" w:cs="Arial" w:eastAsia="Arial" w:hAnsi="Arial"/>
          <w:sz w:val="22"/>
          <w:szCs w:val="22"/>
          <w:color w:val="auto"/>
        </w:rPr>
        <w:t>A copy of the press release containing the announcement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130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3300" w:type="dxa"/>
            <w:vAlign w:val="bottom"/>
            <w:gridSpan w:val="4"/>
          </w:tcPr>
          <w:p>
            <w:pPr>
              <w:spacing w:after="0"/>
              <w:rPr>
                <w:sz w:val="20"/>
                <w:szCs w:val="20"/>
                <w:color w:val="auto"/>
              </w:rPr>
            </w:pPr>
            <w:r>
              <w:rPr>
                <w:rFonts w:ascii="Arial" w:cs="Arial" w:eastAsia="Arial" w:hAnsi="Arial"/>
                <w:sz w:val="22"/>
                <w:szCs w:val="22"/>
                <w:b w:val="1"/>
                <w:bCs w:val="1"/>
                <w:color w:val="auto"/>
                <w:w w:val="90"/>
              </w:rPr>
              <w:t>Financial Statements and Exhibits.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95"/>
        </w:trPr>
        <w:tc>
          <w:tcPr>
            <w:tcW w:w="1300" w:type="dxa"/>
            <w:vAlign w:val="bottom"/>
          </w:tcPr>
          <w:p>
            <w:pPr>
              <w:ind w:left="660"/>
              <w:spacing w:after="0"/>
              <w:rPr>
                <w:sz w:val="20"/>
                <w:szCs w:val="20"/>
                <w:color w:val="auto"/>
              </w:rPr>
            </w:pPr>
            <w:r>
              <w:rPr>
                <w:rFonts w:ascii="Arial" w:cs="Arial" w:eastAsia="Arial" w:hAnsi="Arial"/>
                <w:sz w:val="22"/>
                <w:szCs w:val="22"/>
                <w:color w:val="auto"/>
              </w:rPr>
              <w:t>(d)</w:t>
            </w:r>
          </w:p>
        </w:tc>
        <w:tc>
          <w:tcPr>
            <w:tcW w:w="3300" w:type="dxa"/>
            <w:vAlign w:val="bottom"/>
            <w:gridSpan w:val="4"/>
          </w:tcPr>
          <w:p>
            <w:pPr>
              <w:spacing w:after="0"/>
              <w:rPr>
                <w:sz w:val="20"/>
                <w:szCs w:val="20"/>
                <w:color w:val="auto"/>
              </w:rPr>
            </w:pPr>
            <w:r>
              <w:rPr>
                <w:rFonts w:ascii="Arial" w:cs="Arial" w:eastAsia="Arial" w:hAnsi="Arial"/>
                <w:sz w:val="22"/>
                <w:szCs w:val="22"/>
                <w:color w:val="auto"/>
              </w:rPr>
              <w:t>Exhibits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66"/>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5"/>
              </w:rPr>
              <w:t>Exhibit No.</w:t>
            </w: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Description</w:t>
            </w:r>
          </w:p>
        </w:tc>
        <w:tc>
          <w:tcPr>
            <w:tcW w:w="4500" w:type="dxa"/>
            <w:vAlign w:val="bottom"/>
          </w:tcPr>
          <w:p>
            <w:pPr>
              <w:spacing w:after="0"/>
              <w:rPr>
                <w:sz w:val="24"/>
                <w:szCs w:val="24"/>
                <w:color w:val="auto"/>
              </w:rPr>
            </w:pPr>
          </w:p>
        </w:tc>
      </w:tr>
      <w:tr>
        <w:trPr>
          <w:trHeight w:val="490"/>
        </w:trPr>
        <w:tc>
          <w:tcPr>
            <w:tcW w:w="1300" w:type="dxa"/>
            <w:vAlign w:val="bottom"/>
          </w:tcPr>
          <w:p>
            <w:pPr>
              <w:spacing w:after="0"/>
              <w:rPr>
                <w:sz w:val="24"/>
                <w:szCs w:val="24"/>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22"/>
                <w:szCs w:val="22"/>
                <w:color w:val="auto"/>
              </w:rPr>
              <w:t>99.1</w:t>
            </w:r>
          </w:p>
        </w:tc>
        <w:tc>
          <w:tcPr>
            <w:tcW w:w="1880" w:type="dxa"/>
            <w:vAlign w:val="bottom"/>
          </w:tcPr>
          <w:p>
            <w:pPr>
              <w:spacing w:after="0"/>
              <w:rPr>
                <w:sz w:val="24"/>
                <w:szCs w:val="24"/>
                <w:color w:val="auto"/>
              </w:rPr>
            </w:pPr>
          </w:p>
        </w:tc>
        <w:tc>
          <w:tcPr>
            <w:tcW w:w="6820" w:type="dxa"/>
            <w:vAlign w:val="bottom"/>
            <w:gridSpan w:val="3"/>
          </w:tcPr>
          <w:p>
            <w:pPr>
              <w:jc w:val="center"/>
              <w:ind w:right="3200"/>
              <w:spacing w:after="0"/>
              <w:rPr>
                <w:sz w:val="20"/>
                <w:szCs w:val="20"/>
                <w:color w:val="auto"/>
              </w:rPr>
            </w:pPr>
            <w:r>
              <w:rPr>
                <w:rFonts w:ascii="Arial" w:cs="Arial" w:eastAsia="Arial" w:hAnsi="Arial"/>
                <w:sz w:val="22"/>
                <w:szCs w:val="22"/>
                <w:color w:val="auto"/>
                <w:w w:val="85"/>
              </w:rPr>
              <w:t>Press Release dated December 22, 2008</w:t>
            </w:r>
          </w:p>
        </w:tc>
      </w:tr>
      <w:tr>
        <w:trPr>
          <w:trHeight w:val="945"/>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jc w:val="right"/>
              <w:ind w:right="32"/>
              <w:spacing w:after="0"/>
              <w:rPr>
                <w:sz w:val="20"/>
                <w:szCs w:val="20"/>
                <w:color w:val="auto"/>
              </w:rPr>
            </w:pPr>
            <w:r>
              <w:rPr>
                <w:rFonts w:ascii="Arial" w:cs="Arial" w:eastAsia="Arial" w:hAnsi="Arial"/>
                <w:sz w:val="22"/>
                <w:szCs w:val="22"/>
                <w:color w:val="auto"/>
              </w:rPr>
              <w:t>2</w:t>
            </w:r>
          </w:p>
        </w:tc>
        <w:tc>
          <w:tcPr>
            <w:tcW w:w="10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355"/>
        </w:trPr>
        <w:tc>
          <w:tcPr>
            <w:tcW w:w="1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2"/>
          <w:szCs w:val="22"/>
          <w:u w:val="single" w:color="auto"/>
          <w:color w:val="auto"/>
        </w:rPr>
        <w:t>SIGNATURES</w:t>
      </w:r>
    </w:p>
    <w:p>
      <w:pPr>
        <w:spacing w:after="0" w:line="234"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ind w:left="140"/>
        <w:spacing w:after="0"/>
        <w:tabs>
          <w:tab w:leader="none" w:pos="4700" w:val="left"/>
        </w:tabs>
        <w:rPr>
          <w:sz w:val="20"/>
          <w:szCs w:val="20"/>
          <w:color w:val="auto"/>
        </w:rPr>
      </w:pPr>
      <w:r>
        <w:rPr>
          <w:rFonts w:ascii="Arial" w:cs="Arial" w:eastAsia="Arial" w:hAnsi="Arial"/>
          <w:sz w:val="22"/>
          <w:szCs w:val="22"/>
          <w:color w:val="auto"/>
        </w:rPr>
        <w:t>Dated: December 22, 2008</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276"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By: /s/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-17780</wp:posOffset>
            </wp:positionV>
            <wp:extent cx="2332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ind w:left="4720"/>
        <w:spacing w:after="0" w:line="238" w:lineRule="auto"/>
        <w:rPr>
          <w:sz w:val="20"/>
          <w:szCs w:val="20"/>
          <w:color w:val="auto"/>
        </w:rPr>
      </w:pPr>
      <w:r>
        <w:rPr>
          <w:rFonts w:ascii="Arial" w:cs="Arial" w:eastAsia="Arial" w:hAnsi="Arial"/>
          <w:sz w:val="22"/>
          <w:szCs w:val="22"/>
          <w:color w:val="auto"/>
        </w:rPr>
        <w:t>Kenneth C. Hunt</w:t>
      </w:r>
    </w:p>
    <w:p>
      <w:pPr>
        <w:ind w:left="4720"/>
        <w:spacing w:after="0" w:line="230" w:lineRule="auto"/>
        <w:rPr>
          <w:sz w:val="20"/>
          <w:szCs w:val="20"/>
          <w:color w:val="auto"/>
        </w:rPr>
      </w:pPr>
      <w:r>
        <w:rPr>
          <w:rFonts w:ascii="Arial" w:cs="Arial" w:eastAsia="Arial" w:hAnsi="Arial"/>
          <w:sz w:val="22"/>
          <w:szCs w:val="22"/>
          <w:color w:val="auto"/>
        </w:rPr>
        <w:t>Senior Vice President, General Counsel and</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733425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60" w:type="dxa"/>
            <w:vAlign w:val="bottom"/>
            <w:gridSpan w:val="3"/>
          </w:tcPr>
          <w:p>
            <w:pPr>
              <w:ind w:left="1260"/>
              <w:spacing w:after="0"/>
              <w:rPr>
                <w:sz w:val="20"/>
                <w:szCs w:val="20"/>
                <w:color w:val="auto"/>
              </w:rPr>
            </w:pPr>
            <w:r>
              <w:rPr>
                <w:rFonts w:ascii="Arial" w:cs="Arial" w:eastAsia="Arial" w:hAnsi="Arial"/>
                <w:sz w:val="22"/>
                <w:szCs w:val="22"/>
                <w:b w:val="1"/>
                <w:bCs w:val="1"/>
                <w:color w:val="auto"/>
              </w:rPr>
              <w:t>EXHIBIT INDEX</w:t>
            </w:r>
          </w:p>
        </w:tc>
      </w:tr>
      <w:tr>
        <w:trPr>
          <w:trHeight w:val="652"/>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5"/>
              </w:rPr>
              <w:t>Exhibit No.</w:t>
            </w:r>
          </w:p>
        </w:tc>
        <w:tc>
          <w:tcPr>
            <w:tcW w:w="1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Description</w:t>
            </w:r>
          </w:p>
        </w:tc>
        <w:tc>
          <w:tcPr>
            <w:tcW w:w="1220" w:type="dxa"/>
            <w:vAlign w:val="bottom"/>
          </w:tcPr>
          <w:p>
            <w:pPr>
              <w:spacing w:after="0"/>
              <w:rPr>
                <w:sz w:val="24"/>
                <w:szCs w:val="24"/>
                <w:color w:val="auto"/>
              </w:rPr>
            </w:pPr>
          </w:p>
        </w:tc>
      </w:tr>
      <w:tr>
        <w:trPr>
          <w:trHeight w:val="490"/>
        </w:trPr>
        <w:tc>
          <w:tcPr>
            <w:tcW w:w="1020" w:type="dxa"/>
            <w:vAlign w:val="bottom"/>
          </w:tcPr>
          <w:p>
            <w:pPr>
              <w:jc w:val="right"/>
              <w:ind w:right="212"/>
              <w:spacing w:after="0"/>
              <w:rPr>
                <w:sz w:val="20"/>
                <w:szCs w:val="20"/>
                <w:color w:val="auto"/>
              </w:rPr>
            </w:pPr>
            <w:r>
              <w:rPr>
                <w:rFonts w:ascii="Arial" w:cs="Arial" w:eastAsia="Arial" w:hAnsi="Arial"/>
                <w:sz w:val="22"/>
                <w:szCs w:val="22"/>
                <w:color w:val="auto"/>
              </w:rPr>
              <w:t>99.1</w:t>
            </w:r>
          </w:p>
        </w:tc>
        <w:tc>
          <w:tcPr>
            <w:tcW w:w="1100" w:type="dxa"/>
            <w:vAlign w:val="bottom"/>
          </w:tcPr>
          <w:p>
            <w:pPr>
              <w:spacing w:after="0"/>
              <w:rPr>
                <w:sz w:val="24"/>
                <w:szCs w:val="24"/>
                <w:color w:val="auto"/>
              </w:rPr>
            </w:pPr>
          </w:p>
        </w:tc>
        <w:tc>
          <w:tcPr>
            <w:tcW w:w="4560" w:type="dxa"/>
            <w:vAlign w:val="bottom"/>
            <w:gridSpan w:val="3"/>
          </w:tcPr>
          <w:p>
            <w:pPr>
              <w:jc w:val="center"/>
              <w:ind w:left="992"/>
              <w:spacing w:after="0"/>
              <w:rPr>
                <w:sz w:val="20"/>
                <w:szCs w:val="20"/>
                <w:color w:val="auto"/>
              </w:rPr>
            </w:pPr>
            <w:r>
              <w:rPr>
                <w:rFonts w:ascii="Arial" w:cs="Arial" w:eastAsia="Arial" w:hAnsi="Arial"/>
                <w:sz w:val="22"/>
                <w:szCs w:val="22"/>
                <w:color w:val="auto"/>
                <w:w w:val="85"/>
              </w:rPr>
              <w:t>Press Release dated December 22,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019"/>
          </w:cols>
          <w:pgMar w:left="144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313690</wp:posOffset>
            </wp:positionV>
            <wp:extent cx="977900"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77900" cy="909320"/>
                    </a:xfrm>
                    <a:prstGeom prst="rect">
                      <a:avLst/>
                    </a:prstGeom>
                    <a:noFill/>
                  </pic:spPr>
                </pic:pic>
              </a:graphicData>
            </a:graphic>
          </wp:anchor>
        </w:drawing>
      </w:r>
    </w:p>
    <w:p>
      <w:pPr>
        <w:sectPr>
          <w:pgSz w:w="11900" w:h="16838" w:orient="portrait"/>
          <w:cols w:equalWidth="0" w:num="1">
            <w:col w:w="10440"/>
          </w:cols>
          <w:pgMar w:left="1220" w:top="1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Mike Van Handel</w:t>
      </w:r>
    </w:p>
    <w:p>
      <w:pPr>
        <w:spacing w:after="0"/>
        <w:rPr>
          <w:sz w:val="20"/>
          <w:szCs w:val="20"/>
          <w:color w:val="auto"/>
        </w:rPr>
      </w:pPr>
      <w:r>
        <w:rPr>
          <w:rFonts w:ascii="Arial" w:cs="Arial" w:eastAsia="Arial" w:hAnsi="Arial"/>
          <w:sz w:val="20"/>
          <w:szCs w:val="20"/>
          <w:color w:val="auto"/>
        </w:rPr>
        <w:t>Manpower Inc.</w:t>
      </w:r>
    </w:p>
    <w:p>
      <w:pPr>
        <w:spacing w:after="0"/>
        <w:rPr>
          <w:sz w:val="20"/>
          <w:szCs w:val="20"/>
          <w:color w:val="auto"/>
        </w:rPr>
      </w:pPr>
      <w:r>
        <w:rPr>
          <w:rFonts w:ascii="Arial" w:cs="Arial" w:eastAsia="Arial" w:hAnsi="Arial"/>
          <w:sz w:val="20"/>
          <w:szCs w:val="20"/>
          <w:color w:val="auto"/>
        </w:rPr>
        <w:t>+1.414.906.6305</w:t>
      </w:r>
    </w:p>
    <w:p>
      <w:pPr>
        <w:spacing w:after="0"/>
        <w:rPr>
          <w:sz w:val="20"/>
          <w:szCs w:val="20"/>
          <w:color w:val="auto"/>
        </w:rPr>
      </w:pPr>
      <w:r>
        <w:rPr>
          <w:rFonts w:ascii="Arial" w:cs="Arial" w:eastAsia="Arial" w:hAnsi="Arial"/>
          <w:sz w:val="19"/>
          <w:szCs w:val="19"/>
          <w:color w:val="auto"/>
        </w:rPr>
        <w:t>michael.vanhandel@manpower.com</w:t>
      </w:r>
    </w:p>
    <w:p>
      <w:pPr>
        <w:spacing w:after="0" w:line="200" w:lineRule="exact"/>
        <w:rPr>
          <w:sz w:val="20"/>
          <w:szCs w:val="20"/>
          <w:color w:val="auto"/>
        </w:rPr>
      </w:pPr>
    </w:p>
    <w:p>
      <w:pPr>
        <w:sectPr>
          <w:pgSz w:w="11900" w:h="16838" w:orient="portrait"/>
          <w:cols w:equalWidth="0" w:num="2">
            <w:col w:w="4140" w:space="720"/>
            <w:col w:w="5580"/>
          </w:cols>
          <w:pgMar w:left="1220" w:top="134" w:right="239" w:bottom="1440" w:gutter="0" w:footer="0" w:header="0"/>
          <w:type w:val="continuous"/>
        </w:sectPr>
      </w:pPr>
    </w:p>
    <w:p>
      <w:pPr>
        <w:spacing w:after="0" w:line="25"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Manpower Inc. Withdraws Fourth Quarter 2008 Guidance</w:t>
      </w:r>
    </w:p>
    <w:p>
      <w:pPr>
        <w:spacing w:after="0" w:line="316" w:lineRule="exact"/>
        <w:rPr>
          <w:sz w:val="20"/>
          <w:szCs w:val="20"/>
          <w:color w:val="auto"/>
        </w:rPr>
      </w:pPr>
    </w:p>
    <w:p>
      <w:pPr>
        <w:ind w:right="1200"/>
        <w:spacing w:after="0" w:line="338" w:lineRule="auto"/>
        <w:rPr>
          <w:sz w:val="20"/>
          <w:szCs w:val="20"/>
          <w:color w:val="auto"/>
        </w:rPr>
      </w:pPr>
      <w:r>
        <w:rPr>
          <w:rFonts w:ascii="Arial" w:cs="Arial" w:eastAsia="Arial" w:hAnsi="Arial"/>
          <w:sz w:val="20"/>
          <w:szCs w:val="20"/>
          <w:color w:val="auto"/>
        </w:rPr>
        <w:t>MILWAUKEE, WI, USA, December 22, 2008 – Manpower Inc. (NYSE: MAN) announced today that due to continued declines in the global labor markets and changes in foreign currencies, it is withdrawing its revenue and earnings guidance for the fourth quarter of 2008.</w:t>
      </w:r>
    </w:p>
    <w:p>
      <w:pPr>
        <w:spacing w:after="0" w:line="1" w:lineRule="exact"/>
        <w:rPr>
          <w:sz w:val="20"/>
          <w:szCs w:val="20"/>
          <w:color w:val="auto"/>
        </w:rPr>
      </w:pPr>
    </w:p>
    <w:p>
      <w:pPr>
        <w:ind w:right="1060" w:firstLine="648"/>
        <w:spacing w:after="0" w:line="338" w:lineRule="auto"/>
        <w:rPr>
          <w:sz w:val="20"/>
          <w:szCs w:val="20"/>
          <w:color w:val="auto"/>
        </w:rPr>
      </w:pPr>
      <w:r>
        <w:rPr>
          <w:rFonts w:ascii="Arial" w:cs="Arial" w:eastAsia="Arial" w:hAnsi="Arial"/>
          <w:sz w:val="20"/>
          <w:szCs w:val="20"/>
          <w:color w:val="auto"/>
        </w:rPr>
        <w:t>Jeffrey A. Joerres, Manpower Inc. Chairman and Chief Executive Officer, commented, “We continue to see further weakening in demand for our services in most of our markets due to the deteriorating economic environment. We anticipate that demand for our services will be especially weak in December as we are hearing that many of our light industrial clients are taking prolonged plant shut downs around the holidays compared to last year."</w:t>
      </w:r>
    </w:p>
    <w:p>
      <w:pPr>
        <w:spacing w:after="0" w:line="1" w:lineRule="exact"/>
        <w:rPr>
          <w:sz w:val="20"/>
          <w:szCs w:val="20"/>
          <w:color w:val="auto"/>
        </w:rPr>
      </w:pPr>
    </w:p>
    <w:p>
      <w:pPr>
        <w:ind w:right="1080" w:firstLine="648"/>
        <w:spacing w:after="0" w:line="338" w:lineRule="auto"/>
        <w:rPr>
          <w:sz w:val="20"/>
          <w:szCs w:val="20"/>
          <w:color w:val="auto"/>
        </w:rPr>
      </w:pPr>
      <w:r>
        <w:rPr>
          <w:rFonts w:ascii="Arial" w:cs="Arial" w:eastAsia="Arial" w:hAnsi="Arial"/>
          <w:sz w:val="20"/>
          <w:szCs w:val="20"/>
          <w:color w:val="auto"/>
        </w:rPr>
        <w:t>In connection with its third quarter earnings release on October 21, 2008, the Company estimated a fourth quarter revenue decline of 9 to 11%, or 5 to 7% in constant currency. During the two months ended November 30, 2008, the Company experienced a revenue decline of 20%, or 11% in constant currency, compared to the prior year period. On an average daily basis revenues declined 17%, or 8% in constant currency.</w:t>
      </w:r>
    </w:p>
    <w:p>
      <w:pPr>
        <w:spacing w:after="0" w:line="1" w:lineRule="exact"/>
        <w:rPr>
          <w:sz w:val="20"/>
          <w:szCs w:val="20"/>
          <w:color w:val="auto"/>
        </w:rPr>
      </w:pPr>
    </w:p>
    <w:p>
      <w:pPr>
        <w:jc w:val="both"/>
        <w:ind w:right="1240" w:firstLine="648"/>
        <w:spacing w:after="0" w:line="338" w:lineRule="auto"/>
        <w:rPr>
          <w:sz w:val="20"/>
          <w:szCs w:val="20"/>
          <w:color w:val="auto"/>
        </w:rPr>
      </w:pPr>
      <w:r>
        <w:rPr>
          <w:rFonts w:ascii="Arial" w:cs="Arial" w:eastAsia="Arial" w:hAnsi="Arial"/>
          <w:sz w:val="20"/>
          <w:szCs w:val="20"/>
          <w:color w:val="auto"/>
        </w:rPr>
        <w:t>As a result of the weaker operating environment, the Company is taking measures to align its cost base with the lower revenue levels. Accordingly, the Company plans to take a restructuring charge in the fourth quarter related to employee severance and office closure costs.</w:t>
      </w:r>
    </w:p>
    <w:p>
      <w:pPr>
        <w:spacing w:after="0" w:line="1" w:lineRule="exact"/>
        <w:rPr>
          <w:sz w:val="20"/>
          <w:szCs w:val="20"/>
          <w:color w:val="auto"/>
        </w:rPr>
      </w:pPr>
    </w:p>
    <w:p>
      <w:pPr>
        <w:ind w:right="1140" w:firstLine="648"/>
        <w:spacing w:after="0" w:line="338" w:lineRule="auto"/>
        <w:rPr>
          <w:sz w:val="20"/>
          <w:szCs w:val="20"/>
          <w:color w:val="auto"/>
        </w:rPr>
      </w:pPr>
      <w:r>
        <w:rPr>
          <w:rFonts w:ascii="Arial" w:cs="Arial" w:eastAsia="Arial" w:hAnsi="Arial"/>
          <w:sz w:val="20"/>
          <w:szCs w:val="20"/>
          <w:color w:val="auto"/>
        </w:rPr>
        <w:t>Joerres further stated that "the Company's liquidity and financial strength is strong. As of the end of November the company had cash of $675 million and total debt of $857 million, bringing our net debt position to $182 million, an improvement of $158 million so far this quarter. This gives us greater flexibility and more resilience during these challenging economic times."</w:t>
      </w:r>
    </w:p>
    <w:p>
      <w:pPr>
        <w:spacing w:after="0" w:line="1" w:lineRule="exact"/>
        <w:rPr>
          <w:sz w:val="20"/>
          <w:szCs w:val="20"/>
          <w:color w:val="auto"/>
        </w:rPr>
      </w:pPr>
    </w:p>
    <w:p>
      <w:pPr>
        <w:ind w:right="1060" w:firstLine="648"/>
        <w:spacing w:after="0" w:line="311" w:lineRule="auto"/>
        <w:rPr>
          <w:sz w:val="20"/>
          <w:szCs w:val="20"/>
          <w:color w:val="auto"/>
        </w:rPr>
      </w:pPr>
      <w:r>
        <w:rPr>
          <w:rFonts w:ascii="Arial" w:cs="Arial" w:eastAsia="Arial" w:hAnsi="Arial"/>
          <w:sz w:val="20"/>
          <w:szCs w:val="20"/>
          <w:color w:val="auto"/>
        </w:rPr>
        <w:t xml:space="preserve">In conjunction with this release, Manpower will hold a conference call on Monday, December 22, 2008 at 8:30 a.m. CST (9:30 a.m. EST). Interested parties are invited to listen to the broadcast live over the Internet by logging on to </w:t>
      </w:r>
      <w:r>
        <w:rPr>
          <w:rFonts w:ascii="Arial" w:cs="Arial" w:eastAsia="Arial" w:hAnsi="Arial"/>
          <w:sz w:val="20"/>
          <w:szCs w:val="20"/>
          <w:u w:val="single" w:color="auto"/>
          <w:color w:val="0000FF"/>
        </w:rPr>
        <w:t>http://investor.manpower.com</w:t>
      </w:r>
      <w:r>
        <w:rPr>
          <w:rFonts w:ascii="Arial" w:cs="Arial" w:eastAsia="Arial" w:hAnsi="Arial"/>
          <w:sz w:val="20"/>
          <w:szCs w:val="20"/>
          <w:color w:val="auto"/>
        </w:rPr>
        <w:t>.</w:t>
      </w:r>
    </w:p>
    <w:p>
      <w:pPr>
        <w:ind w:left="4280"/>
        <w:spacing w:after="0"/>
        <w:rPr>
          <w:sz w:val="20"/>
          <w:szCs w:val="20"/>
          <w:color w:val="auto"/>
        </w:rPr>
      </w:pPr>
      <w:r>
        <w:rPr>
          <w:rFonts w:ascii="Arial" w:cs="Arial" w:eastAsia="Arial" w:hAnsi="Arial"/>
          <w:sz w:val="20"/>
          <w:szCs w:val="20"/>
          <w:b w:val="1"/>
          <w:bCs w:val="1"/>
          <w:color w:val="auto"/>
        </w:rPr>
        <w:t>– MORE –</w:t>
      </w:r>
    </w:p>
    <w:p>
      <w:pPr>
        <w:spacing w:after="0" w:line="27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Manpower Inc. • 100 Manpower Place, Milwaukee, WI 53212 • USA • Phone +1.414.961.1000 • www.manpower.com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392430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134"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Manpower Inc. Withdraws Fourth Quarter 2008 Guidance/Page 2</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Manpower Inc.</w:t>
      </w:r>
    </w:p>
    <w:p>
      <w:pPr>
        <w:spacing w:after="0" w:line="43"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 xml:space="preserve">Manpower Inc. (NYSE: MAN) is a world leader in the employment services industry; creating and delivering services that enable its clients to win in the changing world of work. Celebrating its 60th anniversary in 2008, the $21 billion company offers employers a range of services for the entire employment and business cycle including permanent, temporary and contract recruitment; employee assessment and selection; training; outplacement; outsourcing and consulting. Manpower's worldwide network of 4,500 offices in 80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 ctivities. Manpower Inc. operates under five brands: Manpower, Manpower Professional, Elan, Jefferson Wells and Right Management. More information on Manpower Inc. is available at </w:t>
      </w:r>
      <w:r>
        <w:rPr>
          <w:rFonts w:ascii="Arial" w:cs="Arial" w:eastAsia="Arial" w:hAnsi="Arial"/>
          <w:sz w:val="22"/>
          <w:szCs w:val="22"/>
          <w:u w:val="single" w:color="auto"/>
          <w:color w:val="0000FF"/>
        </w:rPr>
        <w:t>http://www.manpower.com/</w:t>
      </w:r>
      <w:r>
        <w:rPr>
          <w:rFonts w:ascii="Arial" w:cs="Arial" w:eastAsia="Arial" w:hAnsi="Arial"/>
          <w:sz w:val="22"/>
          <w:szCs w:val="22"/>
          <w:color w:val="000000"/>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43" w:lineRule="exact"/>
        <w:rPr>
          <w:sz w:val="20"/>
          <w:szCs w:val="20"/>
          <w:color w:val="auto"/>
        </w:rPr>
      </w:pPr>
    </w:p>
    <w:p>
      <w:pPr>
        <w:ind w:right="160"/>
        <w:spacing w:after="0" w:line="232" w:lineRule="auto"/>
        <w:rPr>
          <w:sz w:val="20"/>
          <w:szCs w:val="20"/>
          <w:color w:val="auto"/>
        </w:rPr>
      </w:pPr>
      <w:r>
        <w:rPr>
          <w:rFonts w:ascii="Arial" w:cs="Arial" w:eastAsia="Arial" w:hAnsi="Arial"/>
          <w:sz w:val="22"/>
          <w:szCs w:val="22"/>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2007, which information is incorporated herein by reference.</w:t>
      </w:r>
    </w:p>
    <w:p>
      <w:pPr>
        <w:spacing w:after="0" w:line="21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 ### -</w:t>
      </w:r>
    </w:p>
    <w:sectPr>
      <w:pgSz w:w="11900" w:h="16838" w:orient="portrait"/>
      <w:cols w:equalWidth="0" w:num="1">
        <w:col w:w="9460"/>
      </w:cols>
      <w:pgMar w:left="1220" w:top="138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2019-12-19T23:47:25Z</dcterms:created>
  <dcterms:modified xsi:type="dcterms:W3CDTF">2019-12-19T23:47:25Z</dcterms:modified>
</cp:coreProperties>
</file>