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3, 2016</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29"/>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41" w:lineRule="exact"/>
        <w:rPr>
          <w:rFonts w:ascii="Arial" w:cs="Arial" w:eastAsia="Arial" w:hAnsi="Arial"/>
          <w:sz w:val="22"/>
          <w:szCs w:val="22"/>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1" w:lineRule="exact"/>
        <w:rPr>
          <w:rFonts w:ascii="Arial" w:cs="Arial" w:eastAsia="Arial" w:hAnsi="Arial"/>
          <w:sz w:val="22"/>
          <w:szCs w:val="22"/>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1" w:lineRule="exact"/>
        <w:rPr>
          <w:rFonts w:ascii="Arial" w:cs="Arial" w:eastAsia="Arial" w:hAnsi="Arial"/>
          <w:sz w:val="22"/>
          <w:szCs w:val="22"/>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firstLine="648"/>
        <w:spacing w:after="0" w:line="304" w:lineRule="auto"/>
        <w:rPr>
          <w:sz w:val="20"/>
          <w:szCs w:val="20"/>
          <w:color w:val="auto"/>
        </w:rPr>
      </w:pPr>
      <w:r>
        <w:rPr>
          <w:rFonts w:ascii="Arial" w:cs="Arial" w:eastAsia="Arial" w:hAnsi="Arial"/>
          <w:sz w:val="18"/>
          <w:szCs w:val="18"/>
          <w:color w:val="auto"/>
        </w:rPr>
        <w:t>At our 2016 Annual Meeting, our shareholders voted on proposals to: (1) elect twelve individuals nominated by the Board of Directors of the Company to serve until 2017; (2) re-approve the material terms of the performance goals under the ManpowerGroup Inc. Corporate Senior Management Annual Incentive Pool Plan; (3) re-approve the material terms of the performance goals under the 2011 Equity Incentive Plan of ManpowerGroup Inc.; (4) ratify the appointment of Deloitte &amp; Touche LLP as our independent auditors for 2016; and (5) provide an advisory vote on the compensation of our named executive officers. The final voting results on these proposals are as follows:</w:t>
      </w:r>
    </w:p>
    <w:p>
      <w:pPr>
        <w:sectPr>
          <w:pgSz w:w="11900" w:h="16838" w:orient="portrait"/>
          <w:cols w:equalWidth="0" w:num="1">
            <w:col w:w="11220"/>
          </w:cols>
          <w:pgMar w:left="240" w:top="7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40" w:right="2420" w:hanging="5"/>
        <w:spacing w:after="0" w:line="669"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a) Election of Gina R. Boswell b) Election of Cari M. Dominguez c) Election of William Downe</w:t>
      </w:r>
    </w:p>
    <w:p>
      <w:pPr>
        <w:spacing w:after="0" w:line="1"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d) Election of John F. Ferraro</w:t>
      </w:r>
    </w:p>
    <w:p>
      <w:pPr>
        <w:spacing w:after="0" w:line="306" w:lineRule="exact"/>
        <w:rPr>
          <w:rFonts w:ascii="Arial" w:cs="Arial" w:eastAsia="Arial" w:hAnsi="Arial"/>
          <w:sz w:val="16"/>
          <w:szCs w:val="16"/>
          <w:color w:val="auto"/>
        </w:rPr>
      </w:pPr>
    </w:p>
    <w:p>
      <w:pPr>
        <w:ind w:left="40" w:right="2060"/>
        <w:spacing w:after="0" w:line="630" w:lineRule="auto"/>
        <w:rPr>
          <w:rFonts w:ascii="Arial" w:cs="Arial" w:eastAsia="Arial" w:hAnsi="Arial"/>
          <w:sz w:val="16"/>
          <w:szCs w:val="16"/>
          <w:color w:val="auto"/>
        </w:rPr>
      </w:pPr>
      <w:r>
        <w:rPr>
          <w:rFonts w:ascii="Arial" w:cs="Arial" w:eastAsia="Arial" w:hAnsi="Arial"/>
          <w:sz w:val="17"/>
          <w:szCs w:val="17"/>
          <w:color w:val="auto"/>
        </w:rPr>
        <w:t>e) Election of Patricia Hemingway Hall f) Election of Roberto Mendoza</w:t>
      </w:r>
    </w:p>
    <w:p>
      <w:pPr>
        <w:ind w:left="40" w:right="2740"/>
        <w:spacing w:after="0" w:line="669" w:lineRule="auto"/>
        <w:rPr>
          <w:rFonts w:ascii="Arial" w:cs="Arial" w:eastAsia="Arial" w:hAnsi="Arial"/>
          <w:sz w:val="16"/>
          <w:szCs w:val="16"/>
          <w:color w:val="auto"/>
        </w:rPr>
      </w:pPr>
      <w:r>
        <w:rPr>
          <w:rFonts w:ascii="Arial" w:cs="Arial" w:eastAsia="Arial" w:hAnsi="Arial"/>
          <w:sz w:val="16"/>
          <w:szCs w:val="16"/>
          <w:color w:val="auto"/>
        </w:rPr>
        <w:t>g) Election of Ulice Payne, Jr. h) Election of Jonas Prising i) Election of Paul Read</w:t>
      </w:r>
    </w:p>
    <w:p>
      <w:pPr>
        <w:spacing w:after="0" w:line="1" w:lineRule="exact"/>
        <w:rPr>
          <w:rFonts w:ascii="Arial" w:cs="Arial" w:eastAsia="Arial" w:hAnsi="Arial"/>
          <w:sz w:val="16"/>
          <w:szCs w:val="16"/>
          <w:color w:val="auto"/>
        </w:rPr>
      </w:pPr>
    </w:p>
    <w:p>
      <w:pPr>
        <w:ind w:left="40" w:right="2500"/>
        <w:spacing w:after="0" w:line="669" w:lineRule="auto"/>
        <w:rPr>
          <w:rFonts w:ascii="Arial" w:cs="Arial" w:eastAsia="Arial" w:hAnsi="Arial"/>
          <w:sz w:val="16"/>
          <w:szCs w:val="16"/>
          <w:color w:val="auto"/>
        </w:rPr>
      </w:pPr>
      <w:r>
        <w:rPr>
          <w:rFonts w:ascii="Arial" w:cs="Arial" w:eastAsia="Arial" w:hAnsi="Arial"/>
          <w:sz w:val="16"/>
          <w:szCs w:val="16"/>
          <w:color w:val="auto"/>
        </w:rPr>
        <w:t>j) Election of Elizabeth P. Sartain k) Election of John R. Walter</w:t>
      </w:r>
    </w:p>
    <w:p>
      <w:pPr>
        <w:ind w:left="40"/>
        <w:spacing w:after="0"/>
        <w:rPr>
          <w:rFonts w:ascii="Arial" w:cs="Arial" w:eastAsia="Arial" w:hAnsi="Arial"/>
          <w:sz w:val="16"/>
          <w:szCs w:val="16"/>
          <w:color w:val="auto"/>
        </w:rPr>
      </w:pPr>
      <w:r>
        <w:rPr>
          <w:rFonts w:ascii="Arial" w:cs="Arial" w:eastAsia="Arial" w:hAnsi="Arial"/>
          <w:sz w:val="18"/>
          <w:szCs w:val="18"/>
          <w:color w:val="auto"/>
        </w:rPr>
        <w:t>l) Election of Edward J. Zore</w:t>
      </w:r>
    </w:p>
    <w:p>
      <w:pPr>
        <w:spacing w:after="0" w:line="306" w:lineRule="exact"/>
        <w:rPr>
          <w:rFonts w:ascii="Arial" w:cs="Arial" w:eastAsia="Arial" w:hAnsi="Arial"/>
          <w:sz w:val="16"/>
          <w:szCs w:val="16"/>
          <w:color w:val="auto"/>
        </w:rPr>
      </w:pPr>
    </w:p>
    <w:p>
      <w:pPr>
        <w:ind w:left="40" w:hanging="5"/>
        <w:spacing w:after="0" w:line="264"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Re-approval of the material terms of the performance goals under the ManpowerGroup Inc. Corporate Senior Management Annual Incentive Pool Plan</w:t>
      </w:r>
    </w:p>
    <w:p>
      <w:pPr>
        <w:spacing w:after="0" w:line="262" w:lineRule="exact"/>
        <w:rPr>
          <w:rFonts w:ascii="Arial" w:cs="Arial" w:eastAsia="Arial" w:hAnsi="Arial"/>
          <w:sz w:val="18"/>
          <w:szCs w:val="18"/>
          <w:color w:val="auto"/>
        </w:rPr>
      </w:pPr>
    </w:p>
    <w:p>
      <w:pPr>
        <w:ind w:left="40" w:hanging="5"/>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Re-approval of the material terms of the performance goals under the 2011 Equity Incentive Plan of ManpowerGroup Inc.</w:t>
      </w:r>
    </w:p>
    <w:p>
      <w:pPr>
        <w:spacing w:after="0" w:line="251" w:lineRule="exact"/>
        <w:rPr>
          <w:rFonts w:ascii="Arial" w:cs="Arial" w:eastAsia="Arial" w:hAnsi="Arial"/>
          <w:sz w:val="18"/>
          <w:szCs w:val="18"/>
          <w:color w:val="auto"/>
        </w:rPr>
      </w:pPr>
    </w:p>
    <w:p>
      <w:pPr>
        <w:ind w:left="40" w:right="40" w:hanging="5"/>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our independent auditors for 2016</w:t>
      </w:r>
    </w:p>
    <w:p>
      <w:pPr>
        <w:spacing w:after="0" w:line="251" w:lineRule="exact"/>
        <w:rPr>
          <w:rFonts w:ascii="Arial" w:cs="Arial" w:eastAsia="Arial" w:hAnsi="Arial"/>
          <w:sz w:val="18"/>
          <w:szCs w:val="18"/>
          <w:color w:val="auto"/>
        </w:rPr>
      </w:pPr>
    </w:p>
    <w:p>
      <w:pPr>
        <w:ind w:left="40" w:right="420" w:hanging="5"/>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0"/>
        </w:trPr>
        <w:tc>
          <w:tcPr>
            <w:tcW w:w="260" w:type="dxa"/>
            <w:vAlign w:val="bottom"/>
          </w:tcPr>
          <w:p>
            <w:pPr>
              <w:spacing w:after="0"/>
              <w:rPr>
                <w:sz w:val="19"/>
                <w:szCs w:val="19"/>
                <w:color w:val="auto"/>
              </w:rPr>
            </w:pPr>
          </w:p>
        </w:tc>
        <w:tc>
          <w:tcPr>
            <w:tcW w:w="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For</w:t>
            </w:r>
          </w:p>
        </w:tc>
        <w:tc>
          <w:tcPr>
            <w:tcW w:w="46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Abstain</w:t>
            </w:r>
          </w:p>
        </w:tc>
        <w:tc>
          <w:tcPr>
            <w:tcW w:w="11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6"/>
              </w:rPr>
              <w:t>Non-Votes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91"/>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61,055,651</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378,917</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6,406</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61,401,818</w:t>
            </w:r>
          </w:p>
        </w:tc>
        <w:tc>
          <w:tcPr>
            <w:tcW w:w="104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32,376</w:t>
            </w:r>
          </w:p>
        </w:tc>
        <w:tc>
          <w:tcPr>
            <w:tcW w:w="8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6,780</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61,097,921</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336,338</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6,715</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61,322,019</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112,127</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6,828</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61,111,201</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323,359</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6,414</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60,742,316</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690,903</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7,755</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60,883,047</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550,976</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6,951</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59,387,240</w:t>
            </w:r>
          </w:p>
        </w:tc>
        <w:tc>
          <w:tcPr>
            <w:tcW w:w="18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1,684,983</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368,751</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61,111,500</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322,277</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7,197</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61,401,831</w:t>
            </w:r>
          </w:p>
        </w:tc>
        <w:tc>
          <w:tcPr>
            <w:tcW w:w="104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32,663</w:t>
            </w:r>
          </w:p>
        </w:tc>
        <w:tc>
          <w:tcPr>
            <w:tcW w:w="8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6,480</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60,996,652</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435,861</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8,461</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513"/>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60,874,674</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556,934</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9,366</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729"/>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60,580,286</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830,578</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30,110</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837"/>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60,224,975</w:t>
            </w:r>
          </w:p>
        </w:tc>
        <w:tc>
          <w:tcPr>
            <w:tcW w:w="18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1,185,521</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30,478</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r>
        <w:trPr>
          <w:trHeight w:val="729"/>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65,737,485</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370,233</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34,806</w:t>
            </w:r>
          </w:p>
        </w:tc>
        <w:tc>
          <w:tcPr>
            <w:tcW w:w="320" w:type="dxa"/>
            <w:vAlign w:val="bottom"/>
          </w:tcPr>
          <w:p>
            <w:pPr>
              <w:spacing w:after="0"/>
              <w:rPr>
                <w:sz w:val="24"/>
                <w:szCs w:val="24"/>
                <w:color w:val="auto"/>
              </w:rPr>
            </w:pPr>
          </w:p>
        </w:tc>
        <w:tc>
          <w:tcPr>
            <w:tcW w:w="112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0</w:t>
            </w:r>
          </w:p>
        </w:tc>
      </w:tr>
      <w:tr>
        <w:trPr>
          <w:trHeight w:val="729"/>
        </w:trPr>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60,364,175</w:t>
            </w:r>
          </w:p>
        </w:tc>
        <w:tc>
          <w:tcPr>
            <w:tcW w:w="18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1,041,495</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35,304</w:t>
            </w:r>
          </w:p>
        </w:tc>
        <w:tc>
          <w:tcPr>
            <w:tcW w:w="320" w:type="dxa"/>
            <w:vAlign w:val="bottom"/>
          </w:tcPr>
          <w:p>
            <w:pPr>
              <w:spacing w:after="0"/>
              <w:rPr>
                <w:sz w:val="24"/>
                <w:szCs w:val="24"/>
                <w:color w:val="auto"/>
              </w:rPr>
            </w:pP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4,701,549</w:t>
            </w:r>
          </w:p>
        </w:tc>
      </w:tr>
    </w:tbl>
    <w:p>
      <w:pPr>
        <w:sectPr>
          <w:pgSz w:w="11900" w:h="16838" w:orient="portrait"/>
          <w:cols w:equalWidth="0" w:num="2">
            <w:col w:w="4940" w:space="460"/>
            <w:col w:w="5820"/>
          </w:cols>
          <w:pgMar w:left="240" w:top="796"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16" w:lineRule="exact"/>
        <w:rPr>
          <w:sz w:val="20"/>
          <w:szCs w:val="20"/>
          <w:color w:val="auto"/>
        </w:rPr>
      </w:pPr>
    </w:p>
    <w:p>
      <w:pPr>
        <w:ind w:right="220"/>
        <w:spacing w:after="0" w:line="295" w:lineRule="auto"/>
        <w:rPr>
          <w:sz w:val="20"/>
          <w:szCs w:val="20"/>
          <w:color w:val="auto"/>
        </w:rPr>
      </w:pPr>
      <w:r>
        <w:rPr>
          <w:rFonts w:ascii="Arial" w:cs="Arial" w:eastAsia="Arial" w:hAnsi="Arial"/>
          <w:sz w:val="18"/>
          <w:szCs w:val="18"/>
          <w:color w:val="auto"/>
        </w:rPr>
        <w:t>On May 3, 2016 we issued a press release announcing that our Board of Directors declared a semi-annual dividend of $0.86 per share. The dividend will be paid on June 15, 2016 to shareholders of record as of the close of business on June 1, 2016. 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10040" w:type="dxa"/>
            <w:vAlign w:val="bottom"/>
          </w:tcPr>
          <w:p>
            <w:pPr>
              <w:ind w:left="820"/>
              <w:spacing w:after="0"/>
              <w:rPr>
                <w:sz w:val="20"/>
                <w:szCs w:val="20"/>
                <w:color w:val="auto"/>
              </w:rPr>
            </w:pPr>
            <w:r>
              <w:rPr>
                <w:rFonts w:ascii="Arial" w:cs="Arial" w:eastAsia="Arial" w:hAnsi="Arial"/>
                <w:sz w:val="18"/>
                <w:szCs w:val="18"/>
                <w:color w:val="auto"/>
              </w:rPr>
              <w:t>Press Release dated May 3,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8200" w:type="dxa"/>
            <w:vAlign w:val="bottom"/>
            <w:gridSpan w:val="2"/>
          </w:tcPr>
          <w:p>
            <w:pPr>
              <w:ind w:left="130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Dated: May 3, 2016</w:t>
            </w:r>
          </w:p>
        </w:tc>
        <w:tc>
          <w:tcPr>
            <w:tcW w:w="2180" w:type="dxa"/>
            <w:vAlign w:val="bottom"/>
          </w:tcPr>
          <w:p>
            <w:pPr>
              <w:ind w:left="1300"/>
              <w:spacing w:after="0"/>
              <w:rPr>
                <w:sz w:val="20"/>
                <w:szCs w:val="20"/>
                <w:color w:val="auto"/>
              </w:rPr>
            </w:pPr>
            <w:r>
              <w:rPr>
                <w:rFonts w:ascii="Arial" w:cs="Arial" w:eastAsia="Arial" w:hAnsi="Arial"/>
                <w:sz w:val="18"/>
                <w:szCs w:val="18"/>
                <w:color w:val="auto"/>
              </w:rPr>
              <w:t>By:</w:t>
            </w:r>
          </w:p>
        </w:tc>
        <w:tc>
          <w:tcPr>
            <w:tcW w:w="602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180" w:type="dxa"/>
            <w:vAlign w:val="bottom"/>
            <w:vMerge w:val="restart"/>
          </w:tcPr>
          <w:p>
            <w:pPr>
              <w:ind w:left="1300"/>
              <w:spacing w:after="0"/>
              <w:rPr>
                <w:sz w:val="20"/>
                <w:szCs w:val="20"/>
                <w:color w:val="auto"/>
              </w:rPr>
            </w:pPr>
            <w:r>
              <w:rPr>
                <w:rFonts w:ascii="Arial" w:cs="Arial" w:eastAsia="Arial" w:hAnsi="Arial"/>
                <w:sz w:val="18"/>
                <w:szCs w:val="18"/>
                <w:color w:val="auto"/>
              </w:rPr>
              <w:t>Name:</w:t>
            </w:r>
          </w:p>
        </w:tc>
        <w:tc>
          <w:tcPr>
            <w:tcW w:w="6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2180" w:type="dxa"/>
            <w:vAlign w:val="bottom"/>
            <w:vMerge w:val="continue"/>
          </w:tcPr>
          <w:p>
            <w:pPr>
              <w:spacing w:after="0"/>
              <w:rPr>
                <w:sz w:val="20"/>
                <w:szCs w:val="20"/>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180" w:type="dxa"/>
            <w:vAlign w:val="bottom"/>
          </w:tcPr>
          <w:p>
            <w:pPr>
              <w:ind w:left="1300"/>
              <w:spacing w:after="0"/>
              <w:rPr>
                <w:sz w:val="20"/>
                <w:szCs w:val="20"/>
                <w:color w:val="auto"/>
              </w:rPr>
            </w:pPr>
            <w:r>
              <w:rPr>
                <w:rFonts w:ascii="Arial" w:cs="Arial" w:eastAsia="Arial" w:hAnsi="Arial"/>
                <w:sz w:val="18"/>
                <w:szCs w:val="18"/>
                <w:color w:val="auto"/>
              </w:rPr>
              <w:t>Title:</w:t>
            </w:r>
          </w:p>
        </w:tc>
        <w:tc>
          <w:tcPr>
            <w:tcW w:w="6020" w:type="dxa"/>
            <w:vAlign w:val="bottom"/>
          </w:tcPr>
          <w:p>
            <w:pPr>
              <w:ind w:left="1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378"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2016</w:t>
      </w:r>
    </w:p>
    <w:p>
      <w:pPr>
        <w:sectPr>
          <w:pgSz w:w="11900" w:h="16838" w:orient="portrait"/>
          <w:cols w:equalWidth="0" w:num="1">
            <w:col w:w="10219"/>
          </w:cols>
          <w:pgMar w:left="240" w:top="79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173990</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00"/>
        <w:spacing w:after="0"/>
        <w:tabs>
          <w:tab w:leader="none" w:pos="480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7"/>
          <w:szCs w:val="17"/>
          <w:b w:val="1"/>
          <w:bCs w:val="1"/>
          <w:color w:val="auto"/>
        </w:rPr>
        <w:t xml:space="preserve">CONTACT: </w:t>
      </w:r>
      <w:r>
        <w:rPr>
          <w:rFonts w:ascii="Arial" w:cs="Arial" w:eastAsia="Arial" w:hAnsi="Arial"/>
          <w:sz w:val="17"/>
          <w:szCs w:val="17"/>
          <w:color w:val="auto"/>
        </w:rPr>
        <w:t>Mike Van Handel</w:t>
      </w:r>
    </w:p>
    <w:p>
      <w:pPr>
        <w:spacing w:after="0" w:line="6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+1.414.906.6305</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Michael.vanhandel@manpowergroup.com</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Increases Dividend 8 Percent</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MILWAUKEE (May 3, 2016) – </w:t>
      </w:r>
      <w:r>
        <w:rPr>
          <w:rFonts w:ascii="Arial" w:cs="Arial" w:eastAsia="Arial" w:hAnsi="Arial"/>
          <w:sz w:val="18"/>
          <w:szCs w:val="18"/>
          <w:color w:val="auto"/>
        </w:rPr>
        <w:t>The Board of Directors of ManpowerGroup (NYSE: MAN) has declared a semi-annual dividend of 86 cents per share, an 8</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increase from the most recent dividend of 80 cents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June 15, 2016 to shareholders of record as of the close of business on June 1, 2016.</w:t>
      </w:r>
    </w:p>
    <w:p>
      <w:pPr>
        <w:spacing w:after="0" w:line="225"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Additional financial information about ManpowerGroup, including stock history and annual shareholder reports, can be found at http://www.manpowergroup.com/investors/investors.cfm.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w:t>
      </w:r>
    </w:p>
    <w:p>
      <w:pPr>
        <w:ind w:right="120"/>
        <w:spacing w:after="0" w:line="295" w:lineRule="auto"/>
        <w:rPr>
          <w:sz w:val="20"/>
          <w:szCs w:val="20"/>
          <w:color w:val="auto"/>
        </w:rPr>
      </w:pPr>
      <w:r>
        <w:rPr>
          <w:rFonts w:ascii="Arial" w:cs="Arial" w:eastAsia="Arial" w:hAnsi="Arial"/>
          <w:sz w:val="16"/>
          <w:szCs w:val="16"/>
          <w:color w:val="auto"/>
        </w:rPr>
        <w:t>–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www.manpowergroup.com.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ManpowerGroup • 100 Manpower Place, Milwaukee, WI 53212 • USA • Phone +1.414.961.1000 • www.manpowergroup.com</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en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2019-12-05T23:47:58Z</dcterms:created>
  <dcterms:modified xsi:type="dcterms:W3CDTF">2019-12-05T23:47:58Z</dcterms:modified>
</cp:coreProperties>
</file>