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15, 2016</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MANPOWERGROUP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Wisconsin</w:t>
            </w:r>
          </w:p>
        </w:tc>
        <w:tc>
          <w:tcPr>
            <w:tcW w:w="2900" w:type="dxa"/>
            <w:vAlign w:val="bottom"/>
          </w:tcPr>
          <w:p>
            <w:pPr>
              <w:jc w:val="right"/>
              <w:ind w:right="1150"/>
              <w:spacing w:after="0"/>
              <w:rPr>
                <w:sz w:val="20"/>
                <w:szCs w:val="20"/>
                <w:color w:val="auto"/>
              </w:rPr>
            </w:pPr>
            <w:r>
              <w:rPr>
                <w:rFonts w:ascii="Arial" w:cs="Arial" w:eastAsia="Arial" w:hAnsi="Arial"/>
                <w:sz w:val="18"/>
                <w:szCs w:val="18"/>
                <w:b w:val="1"/>
                <w:bCs w:val="1"/>
                <w:color w:val="auto"/>
              </w:rPr>
              <w:t>1-10686</w:t>
            </w:r>
          </w:p>
        </w:tc>
        <w:tc>
          <w:tcPr>
            <w:tcW w:w="3640" w:type="dxa"/>
            <w:vAlign w:val="bottom"/>
          </w:tcPr>
          <w:p>
            <w:pPr>
              <w:jc w:val="right"/>
              <w:ind w:right="1290"/>
              <w:spacing w:after="0"/>
              <w:rPr>
                <w:sz w:val="20"/>
                <w:szCs w:val="20"/>
                <w:color w:val="auto"/>
              </w:rPr>
            </w:pPr>
            <w:r>
              <w:rPr>
                <w:rFonts w:ascii="Arial" w:cs="Arial" w:eastAsia="Arial" w:hAnsi="Arial"/>
                <w:sz w:val="18"/>
                <w:szCs w:val="18"/>
                <w:b w:val="1"/>
                <w:bCs w:val="1"/>
                <w:color w:val="auto"/>
              </w:rPr>
              <w:t>39-1672779</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 of incorporation)</w:t>
            </w:r>
          </w:p>
        </w:tc>
        <w:tc>
          <w:tcPr>
            <w:tcW w:w="29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93"/>
              </w:rPr>
              <w:t>(IRS Employer Identification No.)</w:t>
            </w:r>
          </w:p>
        </w:tc>
      </w:tr>
      <w:tr>
        <w:trPr>
          <w:trHeight w:val="918"/>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91"/>
              </w:rPr>
              <w:t>100 Manpower Place</w:t>
            </w:r>
          </w:p>
        </w:tc>
        <w:tc>
          <w:tcPr>
            <w:tcW w:w="29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70"/>
        </w:trPr>
        <w:tc>
          <w:tcPr>
            <w:tcW w:w="4880" w:type="dxa"/>
            <w:vAlign w:val="bottom"/>
          </w:tcPr>
          <w:p>
            <w:pPr>
              <w:jc w:val="center"/>
              <w:ind w:left="1230"/>
              <w:spacing w:after="0"/>
              <w:rPr>
                <w:sz w:val="20"/>
                <w:szCs w:val="20"/>
                <w:color w:val="auto"/>
              </w:rPr>
            </w:pPr>
            <w:r>
              <w:rPr>
                <w:rFonts w:ascii="Arial" w:cs="Arial" w:eastAsia="Arial" w:hAnsi="Arial"/>
                <w:sz w:val="18"/>
                <w:szCs w:val="18"/>
                <w:b w:val="1"/>
                <w:bCs w:val="1"/>
                <w:color w:val="auto"/>
                <w:w w:val="90"/>
              </w:rPr>
              <w:t>Milwaukee, Wisconsin</w:t>
            </w:r>
          </w:p>
        </w:tc>
        <w:tc>
          <w:tcPr>
            <w:tcW w:w="2900" w:type="dxa"/>
            <w:vAlign w:val="bottom"/>
          </w:tcPr>
          <w:p>
            <w:pPr>
              <w:spacing w:after="0"/>
              <w:rPr>
                <w:sz w:val="23"/>
                <w:szCs w:val="23"/>
                <w:color w:val="auto"/>
              </w:rPr>
            </w:pPr>
          </w:p>
        </w:tc>
        <w:tc>
          <w:tcPr>
            <w:tcW w:w="3640" w:type="dxa"/>
            <w:vAlign w:val="bottom"/>
          </w:tcPr>
          <w:p>
            <w:pPr>
              <w:jc w:val="right"/>
              <w:ind w:right="2310"/>
              <w:spacing w:after="0"/>
              <w:rPr>
                <w:sz w:val="20"/>
                <w:szCs w:val="20"/>
                <w:color w:val="auto"/>
              </w:rPr>
            </w:pPr>
            <w:r>
              <w:rPr>
                <w:rFonts w:ascii="Arial" w:cs="Arial" w:eastAsia="Arial" w:hAnsi="Arial"/>
                <w:sz w:val="18"/>
                <w:szCs w:val="18"/>
                <w:b w:val="1"/>
                <w:bCs w:val="1"/>
                <w:color w:val="auto"/>
              </w:rPr>
              <w:t>53212</w:t>
            </w:r>
          </w:p>
        </w:tc>
      </w:tr>
      <w:tr>
        <w:trPr>
          <w:trHeight w:val="34"/>
        </w:trPr>
        <w:tc>
          <w:tcPr>
            <w:tcW w:w="48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43"/>
        </w:trPr>
        <w:tc>
          <w:tcPr>
            <w:tcW w:w="4880" w:type="dxa"/>
            <w:vAlign w:val="bottom"/>
          </w:tcPr>
          <w:p>
            <w:pPr>
              <w:jc w:val="center"/>
              <w:ind w:left="12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00" w:type="dxa"/>
            <w:vAlign w:val="bottom"/>
          </w:tcPr>
          <w:p>
            <w:pPr>
              <w:spacing w:after="0"/>
              <w:rPr>
                <w:sz w:val="21"/>
                <w:szCs w:val="21"/>
                <w:color w:val="auto"/>
              </w:rPr>
            </w:pPr>
          </w:p>
        </w:tc>
        <w:tc>
          <w:tcPr>
            <w:tcW w:w="3640" w:type="dxa"/>
            <w:vAlign w:val="bottom"/>
          </w:tcPr>
          <w:p>
            <w:pPr>
              <w:jc w:val="center"/>
              <w:ind w:right="1510"/>
              <w:spacing w:after="0"/>
              <w:rPr>
                <w:sz w:val="20"/>
                <w:szCs w:val="20"/>
                <w:color w:val="auto"/>
              </w:rPr>
            </w:pPr>
            <w:r>
              <w:rPr>
                <w:rFonts w:ascii="Arial" w:cs="Arial" w:eastAsia="Arial" w:hAnsi="Arial"/>
                <w:sz w:val="18"/>
                <w:szCs w:val="18"/>
                <w:b w:val="1"/>
                <w:bCs w:val="1"/>
                <w:color w:val="auto"/>
                <w:w w:val="94"/>
              </w:rPr>
              <w:t>(Zip Code)</w:t>
            </w:r>
          </w:p>
        </w:tc>
      </w:tr>
    </w:tbl>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(414) 961-1000</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0" w:lineRule="exact"/>
        <w:rPr>
          <w:rFonts w:ascii="Arial" w:cs="Arial" w:eastAsia="Arial" w:hAnsi="Arial"/>
          <w:sz w:val="18"/>
          <w:szCs w:val="18"/>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720" w:right="239" w:bottom="1440" w:gutter="0" w:footer="0" w:header="0"/>
        </w:sectPr>
      </w:pPr>
    </w:p>
    <w:bookmarkStart w:id="1" w:name="page2"/>
    <w:bookmarkEnd w:id="1"/>
    <w:p>
      <w:pPr>
        <w:ind w:right="20"/>
        <w:spacing w:after="0" w:line="313" w:lineRule="auto"/>
        <w:rPr>
          <w:sz w:val="20"/>
          <w:szCs w:val="20"/>
          <w:color w:val="auto"/>
        </w:rPr>
      </w:pPr>
      <w:r>
        <w:rPr>
          <w:rFonts w:ascii="Arial" w:cs="Arial" w:eastAsia="Arial" w:hAnsi="Arial"/>
          <w:sz w:val="18"/>
          <w:szCs w:val="18"/>
          <w:b w:val="1"/>
          <w:bCs w:val="1"/>
          <w:color w:val="auto"/>
        </w:rPr>
        <w:t>Item 5.02. Departure of Directors or Principal Officers; Election of Directors; Appointment of Principal Officers; Compensatory Arrangements of Certain Officers.</w:t>
      </w:r>
    </w:p>
    <w:p>
      <w:pPr>
        <w:spacing w:after="0" w:line="36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Effective as of February 15, 2016, ManpowerGroup Inc. (the "Company") entered into a severance agreement with John (“Jack”) T. McGinnis in connection with his commencement of employment as Executive Vice President and Chief Financial Officer. The agreement contains severance protections and terms similar to the severance agreement that the Company has previously entered into with Michael Van Handel, the prior Executive Vice President and Chief Financial Officer. The agreement expires on the first to occur of (1) the date two years after the occurrence of a change of control of the Company or (2) February 15, 2019 if no such change of control occurs before February 15, 2019.</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Mr. McGinnis’s severance agreement, upon the involuntary termination of his employment (other than for cause) or upon his voluntary termination of employment for good reason, he is entitled to receive a severance payment equal to the sum of his base salary and target level annual incentive. The severance payment is capped at 2 times his base salary in effect at the time of the termination. In the event the termination occurs in the two-year period following a change of control of the Company or during a “protected period” (generally, the six-month period prior to a change of control), the severance payment payable to him is equal to three times the sum of his base salary and target level annual incentive. The cap described above does not apply in the event of a change of control. The definitions of “change of control,” “cause” and “good reason” under the agreement are the same as under the Company’s severance protection agreement with Mr. Van Handel.</w:t>
      </w:r>
    </w:p>
    <w:p>
      <w:pPr>
        <w:spacing w:after="0" w:line="189"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All severance payments under the agreement are contingent upon Mr. McGinnis signing a general release in favor of the Company and are payable to him in a lump sum within 30 days following the date of termination.</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Under the severance agreement, Mr. McGinnis is bound by a nondisclosure agreement to protect confidential information of the Company both during and after employment. In addition, under the agreement, Mr. McGinnis is bound by a non-competition agreement and employee non-solicitation agreement in favor of the Company for a one-year period following the termination of his employment for any reason, except where the termination occurs within the two-year period following a change of control or during a protected period and is either involuntary (other than for cause) or is for good reason.</w:t>
      </w:r>
    </w:p>
    <w:p>
      <w:pPr>
        <w:spacing w:after="0" w:line="1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Under the severance agreement, upon Mr. McGinnis’s (i) involuntary termination (other than for “cause”), (ii) voluntary termination for good reason or (iii) termination due to death or disability, he is entitled to receive a prorated incentive for the year in which termination occurs.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agreed to pay for continued health insurance for Mr. McGinnis for a 12-month period following an involuntary termination of his employment (other than for cause) or a voluntary termination of his employment for good reason. Furthermore, if such a termination occurs with the two-year period following a change of control or during a protected period (generally, the six-month period prior to a change of control), the health insurance benefits will continue for 18 months.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foregoing description of the severance agreement does not purport to be complete and is qualified in its entirety by reference to the agreement, a copy of which is attached hereto as Exhibit 10.1 to this filing and is incorporated herein by reference.</w:t>
      </w:r>
    </w:p>
    <w:p>
      <w:pPr>
        <w:sectPr>
          <w:pgSz w:w="11900" w:h="16838" w:orient="portrait"/>
          <w:cols w:equalWidth="0" w:num="1">
            <w:col w:w="11420"/>
          </w:cols>
          <w:pgMar w:left="240" w:top="89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040" w:type="dxa"/>
            <w:vAlign w:val="bottom"/>
          </w:tcPr>
          <w:p>
            <w:pPr>
              <w:ind w:left="480"/>
              <w:spacing w:after="0"/>
              <w:rPr>
                <w:sz w:val="20"/>
                <w:szCs w:val="20"/>
                <w:color w:val="auto"/>
              </w:rPr>
            </w:pPr>
            <w:r>
              <w:rPr>
                <w:rFonts w:ascii="Arial" w:cs="Arial" w:eastAsia="Arial" w:hAnsi="Arial"/>
                <w:sz w:val="18"/>
                <w:szCs w:val="18"/>
                <w:b w:val="1"/>
                <w:bCs w:val="1"/>
                <w:color w:val="auto"/>
              </w:rPr>
              <w:t>Exhibits</w:t>
            </w:r>
          </w:p>
        </w:tc>
      </w:tr>
      <w:tr>
        <w:trPr>
          <w:trHeight w:val="635"/>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10040" w:type="dxa"/>
            <w:vAlign w:val="bottom"/>
          </w:tcPr>
          <w:p>
            <w:pPr>
              <w:ind w:left="820"/>
              <w:spacing w:after="0"/>
              <w:rPr>
                <w:sz w:val="20"/>
                <w:szCs w:val="20"/>
                <w:color w:val="auto"/>
              </w:rPr>
            </w:pPr>
            <w:r>
              <w:rPr>
                <w:rFonts w:ascii="Arial" w:cs="Arial" w:eastAsia="Arial" w:hAnsi="Arial"/>
                <w:sz w:val="18"/>
                <w:szCs w:val="18"/>
                <w:b w:val="1"/>
                <w:bCs w:val="1"/>
                <w:color w:val="auto"/>
              </w:rPr>
              <w:t>Description</w:t>
            </w:r>
          </w:p>
        </w:tc>
      </w:tr>
      <w:tr>
        <w:trPr>
          <w:trHeight w:val="34"/>
        </w:trPr>
        <w:tc>
          <w:tcPr>
            <w:tcW w:w="1380" w:type="dxa"/>
            <w:vAlign w:val="bottom"/>
            <w:tcBorders>
              <w:bottom w:val="single" w:sz="8" w:color="auto"/>
            </w:tcBorders>
          </w:tcPr>
          <w:p>
            <w:pPr>
              <w:spacing w:after="0"/>
              <w:rPr>
                <w:sz w:val="2"/>
                <w:szCs w:val="2"/>
                <w:color w:val="auto"/>
              </w:rPr>
            </w:pPr>
          </w:p>
        </w:tc>
        <w:tc>
          <w:tcPr>
            <w:tcW w:w="10040" w:type="dxa"/>
            <w:vAlign w:val="bottom"/>
            <w:tcBorders>
              <w:bottom w:val="single" w:sz="8" w:color="auto"/>
            </w:tcBorders>
          </w:tcPr>
          <w:p>
            <w:pPr>
              <w:spacing w:after="0"/>
              <w:rPr>
                <w:sz w:val="2"/>
                <w:szCs w:val="2"/>
                <w:color w:val="auto"/>
              </w:rPr>
            </w:pPr>
          </w:p>
        </w:tc>
      </w:tr>
      <w:tr>
        <w:trPr>
          <w:trHeight w:val="419"/>
        </w:trPr>
        <w:tc>
          <w:tcPr>
            <w:tcW w:w="1380" w:type="dxa"/>
            <w:vAlign w:val="bottom"/>
          </w:tcPr>
          <w:p>
            <w:pPr>
              <w:ind w:left="40"/>
              <w:spacing w:after="0"/>
              <w:rPr>
                <w:sz w:val="20"/>
                <w:szCs w:val="20"/>
                <w:color w:val="auto"/>
              </w:rPr>
            </w:pPr>
            <w:r>
              <w:rPr>
                <w:rFonts w:ascii="Arial" w:cs="Arial" w:eastAsia="Arial" w:hAnsi="Arial"/>
                <w:sz w:val="18"/>
                <w:szCs w:val="18"/>
                <w:color w:val="auto"/>
              </w:rPr>
              <w:t>10.1</w:t>
            </w:r>
          </w:p>
        </w:tc>
        <w:tc>
          <w:tcPr>
            <w:tcW w:w="10040" w:type="dxa"/>
            <w:vAlign w:val="bottom"/>
          </w:tcPr>
          <w:p>
            <w:pPr>
              <w:ind w:left="820"/>
              <w:spacing w:after="0"/>
              <w:rPr>
                <w:sz w:val="20"/>
                <w:szCs w:val="20"/>
                <w:color w:val="auto"/>
              </w:rPr>
            </w:pPr>
            <w:r>
              <w:rPr>
                <w:rFonts w:ascii="Arial" w:cs="Arial" w:eastAsia="Arial" w:hAnsi="Arial"/>
                <w:sz w:val="18"/>
                <w:szCs w:val="18"/>
                <w:color w:val="auto"/>
              </w:rPr>
              <w:t>Severance Agreement dated February 15, 2016 between the Company and John T. McGinnis</w:t>
            </w:r>
          </w:p>
        </w:tc>
      </w:tr>
    </w:tbl>
    <w:p>
      <w:pPr>
        <w:sectPr>
          <w:pgSz w:w="11900" w:h="16838" w:orient="portrait"/>
          <w:cols w:equalWidth="0" w:num="1">
            <w:col w:w="11420"/>
          </w:cols>
          <w:pgMar w:left="240" w:top="621"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920" w:type="dxa"/>
            <w:vAlign w:val="bottom"/>
            <w:gridSpan w:val="2"/>
          </w:tcPr>
          <w:p>
            <w:pPr>
              <w:ind w:left="1460"/>
              <w:spacing w:after="0"/>
              <w:rPr>
                <w:sz w:val="20"/>
                <w:szCs w:val="20"/>
                <w:color w:val="auto"/>
              </w:rPr>
            </w:pPr>
            <w:r>
              <w:rPr>
                <w:rFonts w:ascii="Arial" w:cs="Arial" w:eastAsia="Arial" w:hAnsi="Arial"/>
                <w:sz w:val="18"/>
                <w:szCs w:val="18"/>
                <w:color w:val="auto"/>
              </w:rPr>
              <w:t>MANPOWERGROUP INC.</w:t>
            </w:r>
          </w:p>
        </w:tc>
        <w:tc>
          <w:tcPr>
            <w:tcW w:w="0" w:type="dxa"/>
            <w:vAlign w:val="bottom"/>
          </w:tcPr>
          <w:p>
            <w:pPr>
              <w:spacing w:after="0"/>
              <w:rPr>
                <w:sz w:val="1"/>
                <w:szCs w:val="1"/>
                <w:color w:val="auto"/>
              </w:rPr>
            </w:pPr>
          </w:p>
        </w:tc>
      </w:tr>
      <w:tr>
        <w:trPr>
          <w:trHeight w:val="459"/>
        </w:trPr>
        <w:tc>
          <w:tcPr>
            <w:tcW w:w="3320" w:type="dxa"/>
            <w:vAlign w:val="bottom"/>
            <w:gridSpan w:val="3"/>
          </w:tcPr>
          <w:p>
            <w:pPr>
              <w:spacing w:after="0"/>
              <w:rPr>
                <w:sz w:val="20"/>
                <w:szCs w:val="20"/>
                <w:color w:val="auto"/>
              </w:rPr>
            </w:pPr>
            <w:r>
              <w:rPr>
                <w:rFonts w:ascii="Arial" w:cs="Arial" w:eastAsia="Arial" w:hAnsi="Arial"/>
                <w:sz w:val="18"/>
                <w:szCs w:val="18"/>
                <w:color w:val="auto"/>
              </w:rPr>
              <w:t>Dated: February 16, 2016</w:t>
            </w:r>
          </w:p>
        </w:tc>
        <w:tc>
          <w:tcPr>
            <w:tcW w:w="2360" w:type="dxa"/>
            <w:vAlign w:val="bottom"/>
          </w:tcPr>
          <w:p>
            <w:pPr>
              <w:ind w:left="1460"/>
              <w:spacing w:after="0"/>
              <w:rPr>
                <w:sz w:val="20"/>
                <w:szCs w:val="20"/>
                <w:color w:val="auto"/>
              </w:rPr>
            </w:pPr>
            <w:r>
              <w:rPr>
                <w:rFonts w:ascii="Arial" w:cs="Arial" w:eastAsia="Arial" w:hAnsi="Arial"/>
                <w:sz w:val="18"/>
                <w:szCs w:val="18"/>
                <w:color w:val="auto"/>
              </w:rPr>
              <w:t>By:</w:t>
            </w:r>
          </w:p>
        </w:tc>
        <w:tc>
          <w:tcPr>
            <w:tcW w:w="4560" w:type="dxa"/>
            <w:vAlign w:val="bottom"/>
          </w:tcPr>
          <w:p>
            <w:pPr>
              <w:ind w:left="20"/>
              <w:spacing w:after="0"/>
              <w:rPr>
                <w:sz w:val="20"/>
                <w:szCs w:val="20"/>
                <w:color w:val="auto"/>
              </w:rPr>
            </w:pPr>
            <w:r>
              <w:rPr>
                <w:rFonts w:ascii="Arial" w:cs="Arial" w:eastAsia="Arial" w:hAnsi="Arial"/>
                <w:sz w:val="18"/>
                <w:szCs w:val="18"/>
                <w:color w:val="auto"/>
              </w:rPr>
              <w:t>/s/ Richard Buchband</w:t>
            </w:r>
          </w:p>
        </w:tc>
        <w:tc>
          <w:tcPr>
            <w:tcW w:w="0" w:type="dxa"/>
            <w:vAlign w:val="bottom"/>
          </w:tcPr>
          <w:p>
            <w:pPr>
              <w:spacing w:after="0"/>
              <w:rPr>
                <w:sz w:val="1"/>
                <w:szCs w:val="1"/>
                <w:color w:val="auto"/>
              </w:rPr>
            </w:pPr>
          </w:p>
        </w:tc>
      </w:tr>
      <w:tr>
        <w:trPr>
          <w:trHeight w:val="48"/>
        </w:trPr>
        <w:tc>
          <w:tcPr>
            <w:tcW w:w="520" w:type="dxa"/>
            <w:vAlign w:val="bottom"/>
          </w:tcPr>
          <w:p>
            <w:pPr>
              <w:spacing w:after="0"/>
              <w:rPr>
                <w:sz w:val="4"/>
                <w:szCs w:val="4"/>
                <w:color w:val="auto"/>
              </w:rPr>
            </w:pPr>
          </w:p>
        </w:tc>
        <w:tc>
          <w:tcPr>
            <w:tcW w:w="1320" w:type="dxa"/>
            <w:vAlign w:val="bottom"/>
            <w:tcBorders>
              <w:top w:val="single" w:sz="8" w:color="auto"/>
            </w:tcBorders>
          </w:tcPr>
          <w:p>
            <w:pPr>
              <w:spacing w:after="0"/>
              <w:rPr>
                <w:sz w:val="4"/>
                <w:szCs w:val="4"/>
                <w:color w:val="auto"/>
              </w:rPr>
            </w:pPr>
          </w:p>
        </w:tc>
        <w:tc>
          <w:tcPr>
            <w:tcW w:w="1480" w:type="dxa"/>
            <w:vAlign w:val="bottom"/>
          </w:tcPr>
          <w:p>
            <w:pPr>
              <w:spacing w:after="0"/>
              <w:rPr>
                <w:sz w:val="4"/>
                <w:szCs w:val="4"/>
                <w:color w:val="auto"/>
              </w:rPr>
            </w:pPr>
          </w:p>
        </w:tc>
        <w:tc>
          <w:tcPr>
            <w:tcW w:w="2360" w:type="dxa"/>
            <w:vAlign w:val="bottom"/>
            <w:vMerge w:val="restart"/>
          </w:tcPr>
          <w:p>
            <w:pPr>
              <w:ind w:left="1460"/>
              <w:spacing w:after="0"/>
              <w:rPr>
                <w:sz w:val="20"/>
                <w:szCs w:val="20"/>
                <w:color w:val="auto"/>
              </w:rPr>
            </w:pPr>
            <w:r>
              <w:rPr>
                <w:rFonts w:ascii="Arial" w:cs="Arial" w:eastAsia="Arial" w:hAnsi="Arial"/>
                <w:sz w:val="18"/>
                <w:szCs w:val="18"/>
                <w:color w:val="auto"/>
              </w:rPr>
              <w:t>Name:</w:t>
            </w:r>
          </w:p>
        </w:tc>
        <w:tc>
          <w:tcPr>
            <w:tcW w:w="4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360" w:type="dxa"/>
            <w:vAlign w:val="bottom"/>
            <w:vMerge w:val="continue"/>
          </w:tcPr>
          <w:p>
            <w:pPr>
              <w:spacing w:after="0"/>
              <w:rPr>
                <w:sz w:val="20"/>
                <w:szCs w:val="20"/>
                <w:color w:val="auto"/>
              </w:rPr>
            </w:pPr>
          </w:p>
        </w:tc>
        <w:tc>
          <w:tcPr>
            <w:tcW w:w="4560" w:type="dxa"/>
            <w:vAlign w:val="bottom"/>
          </w:tcPr>
          <w:p>
            <w:pPr>
              <w:ind w:left="140"/>
              <w:spacing w:after="0"/>
              <w:rPr>
                <w:sz w:val="20"/>
                <w:szCs w:val="20"/>
                <w:color w:val="auto"/>
              </w:rPr>
            </w:pPr>
            <w:r>
              <w:rPr>
                <w:rFonts w:ascii="Arial" w:cs="Arial" w:eastAsia="Arial" w:hAnsi="Arial"/>
                <w:sz w:val="18"/>
                <w:szCs w:val="18"/>
                <w:color w:val="auto"/>
              </w:rPr>
              <w:t>Richard Buchband</w:t>
            </w:r>
          </w:p>
        </w:tc>
        <w:tc>
          <w:tcPr>
            <w:tcW w:w="0" w:type="dxa"/>
            <w:vAlign w:val="bottom"/>
          </w:tcPr>
          <w:p>
            <w:pPr>
              <w:spacing w:after="0"/>
              <w:rPr>
                <w:sz w:val="1"/>
                <w:szCs w:val="1"/>
                <w:color w:val="auto"/>
              </w:rPr>
            </w:pPr>
          </w:p>
        </w:tc>
      </w:tr>
      <w:tr>
        <w:trPr>
          <w:trHeight w:val="270"/>
        </w:trPr>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360" w:type="dxa"/>
            <w:vAlign w:val="bottom"/>
          </w:tcPr>
          <w:p>
            <w:pPr>
              <w:ind w:left="1460"/>
              <w:spacing w:after="0"/>
              <w:rPr>
                <w:sz w:val="20"/>
                <w:szCs w:val="20"/>
                <w:color w:val="auto"/>
              </w:rPr>
            </w:pPr>
            <w:r>
              <w:rPr>
                <w:rFonts w:ascii="Arial" w:cs="Arial" w:eastAsia="Arial" w:hAnsi="Arial"/>
                <w:sz w:val="18"/>
                <w:szCs w:val="18"/>
                <w:color w:val="auto"/>
              </w:rPr>
              <w:t>Title:</w:t>
            </w:r>
          </w:p>
        </w:tc>
        <w:tc>
          <w:tcPr>
            <w:tcW w:w="4560" w:type="dxa"/>
            <w:vAlign w:val="bottom"/>
          </w:tcPr>
          <w:p>
            <w:pPr>
              <w:ind w:left="140"/>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bl>
    <w:p>
      <w:pPr>
        <w:sectPr>
          <w:pgSz w:w="11900" w:h="16838" w:orient="portrait"/>
          <w:cols w:equalWidth="0" w:num="1">
            <w:col w:w="10940"/>
          </w:cols>
          <w:pgMar w:left="240" w:top="580" w:right="719" w:bottom="1440" w:gutter="0" w:footer="0" w:header="0"/>
        </w:sectPr>
      </w:pPr>
    </w:p>
    <w:bookmarkStart w:id="4" w:name="page5"/>
    <w:bookmarkEnd w:id="4"/>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Severance Agreement dated February 15, 2016 between the Company and John T. McGinnis.</w:t>
      </w:r>
    </w:p>
    <w:p>
      <w:pPr>
        <w:sectPr>
          <w:pgSz w:w="11900" w:h="16838" w:orient="portrait"/>
          <w:cols w:equalWidth="0" w:num="1">
            <w:col w:w="10219"/>
          </w:cols>
          <w:pgMar w:left="240" w:top="109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10.1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ManpowerGroup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Milwaukee, Wisconsin 53212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15,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ManpowerGroup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Manpower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Milwaukee, WI 53212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John:</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47"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letter:</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“Benefit Plans” means all benefits of employment generally made available to executives of the Corporation from time to time.</w:t>
      </w:r>
    </w:p>
    <w:p>
      <w:pPr>
        <w:spacing w:after="0" w:line="170" w:lineRule="exact"/>
        <w:rPr>
          <w:rFonts w:ascii="Arial" w:cs="Arial" w:eastAsia="Arial" w:hAnsi="Arial"/>
          <w:sz w:val="18"/>
          <w:szCs w:val="18"/>
          <w:color w:val="auto"/>
        </w:rPr>
      </w:pPr>
    </w:p>
    <w:p>
      <w:pPr>
        <w:ind w:left="1300" w:right="40" w:hanging="644"/>
        <w:spacing w:after="0" w:line="286" w:lineRule="auto"/>
        <w:tabs>
          <w:tab w:leader="none" w:pos="1300" w:val="left"/>
        </w:tabs>
        <w:numPr>
          <w:ilvl w:val="1"/>
          <w:numId w:val="2"/>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68" w:lineRule="exact"/>
        <w:rPr>
          <w:rFonts w:ascii="Arial" w:cs="Arial" w:eastAsia="Arial" w:hAnsi="Arial"/>
          <w:sz w:val="16"/>
          <w:szCs w:val="16"/>
          <w:color w:val="auto"/>
        </w:rPr>
      </w:pPr>
    </w:p>
    <w:p>
      <w:pPr>
        <w:ind w:left="1300" w:hanging="644"/>
        <w:spacing w:after="0"/>
        <w:tabs>
          <w:tab w:leader="none" w:pos="1300" w:val="left"/>
        </w:tabs>
        <w:numPr>
          <w:ilvl w:val="1"/>
          <w:numId w:val="2"/>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will mean the first to occur of the following:</w:t>
      </w:r>
    </w:p>
    <w:p>
      <w:pPr>
        <w:spacing w:after="0" w:line="225" w:lineRule="exact"/>
        <w:rPr>
          <w:rFonts w:ascii="Arial" w:cs="Arial" w:eastAsia="Arial" w:hAnsi="Arial"/>
          <w:sz w:val="18"/>
          <w:szCs w:val="18"/>
          <w:color w:val="auto"/>
        </w:rPr>
      </w:pPr>
    </w:p>
    <w:p>
      <w:pPr>
        <w:ind w:left="1960" w:right="220" w:hanging="655"/>
        <w:spacing w:after="0" w:line="342" w:lineRule="auto"/>
        <w:tabs>
          <w:tab w:leader="none" w:pos="1960" w:val="left"/>
        </w:tabs>
        <w:numPr>
          <w:ilvl w:val="2"/>
          <w:numId w:val="2"/>
        </w:numPr>
        <w:rPr>
          <w:rFonts w:ascii="Arial" w:cs="Arial" w:eastAsia="Arial" w:hAnsi="Arial"/>
          <w:sz w:val="16"/>
          <w:szCs w:val="16"/>
          <w:color w:val="auto"/>
        </w:rPr>
      </w:pPr>
      <w:r>
        <w:rPr>
          <w:rFonts w:ascii="Arial" w:cs="Arial" w:eastAsia="Arial" w:hAnsi="Arial"/>
          <w:sz w:val="16"/>
          <w:szCs w:val="16"/>
          <w:color w:val="auto"/>
        </w:rPr>
        <w:t>the acquisition (other than from the Corporation), by any Person (as defined in Sections 13(d)(3) and 14(d)(2) of the Securities Exchange Act of 1934, as amended (the “Exchange Act”)), directly or indirectly, of beneficial ownership (within the meaning 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6" w:name="page7"/>
    <w:bookmarkEnd w:id="6"/>
    <w:p>
      <w:pPr>
        <w:ind w:left="1960"/>
        <w:spacing w:after="0" w:line="340" w:lineRule="auto"/>
        <w:rPr>
          <w:sz w:val="20"/>
          <w:szCs w:val="20"/>
          <w:color w:val="auto"/>
        </w:rPr>
      </w:pPr>
      <w:r>
        <w:rPr>
          <w:rFonts w:ascii="Arial" w:cs="Arial" w:eastAsia="Arial" w:hAnsi="Arial"/>
          <w:sz w:val="16"/>
          <w:szCs w:val="16"/>
          <w:color w:val="auto"/>
        </w:rPr>
        <w:t>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45" w:lineRule="exact"/>
        <w:rPr>
          <w:sz w:val="20"/>
          <w:szCs w:val="20"/>
          <w:color w:val="auto"/>
        </w:rPr>
      </w:pPr>
    </w:p>
    <w:p>
      <w:pPr>
        <w:ind w:left="1960" w:right="120" w:hanging="655"/>
        <w:spacing w:after="0" w:line="272" w:lineRule="auto"/>
        <w:tabs>
          <w:tab w:leader="none" w:pos="1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77" w:lineRule="exact"/>
        <w:rPr>
          <w:rFonts w:ascii="Arial" w:cs="Arial" w:eastAsia="Arial" w:hAnsi="Arial"/>
          <w:sz w:val="17"/>
          <w:szCs w:val="17"/>
          <w:color w:val="auto"/>
        </w:rPr>
      </w:pPr>
    </w:p>
    <w:p>
      <w:pPr>
        <w:ind w:left="1960" w:right="60" w:hanging="655"/>
        <w:spacing w:after="0" w:line="277"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consummation of any liquidation or dissolution of the Corporation or a sale or other disposition of all or substantially all of the assets of the Corporation; or</w:t>
      </w:r>
    </w:p>
    <w:p>
      <w:pPr>
        <w:spacing w:after="0" w:line="170" w:lineRule="exact"/>
        <w:rPr>
          <w:rFonts w:ascii="Arial" w:cs="Arial" w:eastAsia="Arial" w:hAnsi="Arial"/>
          <w:sz w:val="18"/>
          <w:szCs w:val="18"/>
          <w:color w:val="auto"/>
        </w:rPr>
      </w:pPr>
    </w:p>
    <w:p>
      <w:pPr>
        <w:ind w:left="1960" w:right="60" w:hanging="655"/>
        <w:spacing w:after="0" w:line="218" w:lineRule="exact"/>
        <w:tabs>
          <w:tab w:leader="none" w:pos="1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17"/>
          <w:szCs w:val="17"/>
          <w:color w:val="auto"/>
        </w:rPr>
        <w:t>‑</w:t>
      </w:r>
      <w:r>
        <w:rPr>
          <w:rFonts w:ascii="Arial" w:cs="Arial" w:eastAsia="Arial" w:hAnsi="Arial"/>
          <w:sz w:val="17"/>
          <w:szCs w:val="17"/>
          <w:color w:val="auto"/>
        </w:rPr>
        <w:t>12(c); or</w:t>
      </w:r>
    </w:p>
    <w:p>
      <w:pPr>
        <w:spacing w:after="0" w:line="206" w:lineRule="exact"/>
        <w:rPr>
          <w:rFonts w:ascii="Arial" w:cs="Arial" w:eastAsia="Arial" w:hAnsi="Arial"/>
          <w:sz w:val="17"/>
          <w:szCs w:val="17"/>
          <w:color w:val="auto"/>
        </w:rPr>
      </w:pPr>
    </w:p>
    <w:p>
      <w:pPr>
        <w:ind w:left="1960" w:right="360" w:hanging="655"/>
        <w:spacing w:after="0" w:line="259"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87"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95" w:right="239" w:bottom="1440" w:gutter="0" w:footer="0" w:header="0"/>
        </w:sectPr>
      </w:pPr>
    </w:p>
    <w:bookmarkStart w:id="7" w:name="page8"/>
    <w:bookmarkEnd w:id="7"/>
    <w:p>
      <w:pPr>
        <w:ind w:left="1300" w:hanging="644"/>
        <w:spacing w:after="0"/>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36" w:lineRule="exact"/>
        <w:rPr>
          <w:rFonts w:ascii="Arial" w:cs="Arial" w:eastAsia="Arial" w:hAnsi="Arial"/>
          <w:sz w:val="17"/>
          <w:szCs w:val="17"/>
          <w:color w:val="auto"/>
        </w:rPr>
      </w:pPr>
    </w:p>
    <w:p>
      <w:pPr>
        <w:ind w:left="1960" w:right="140" w:hanging="655"/>
        <w:spacing w:after="0" w:line="258"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material breach of any material obligation of any member of the Consolidated ManpowerGroup for the payment or provision of compensation or other benefits to you;</w:t>
      </w:r>
    </w:p>
    <w:p>
      <w:pPr>
        <w:spacing w:after="0" w:line="1" w:lineRule="exact"/>
        <w:rPr>
          <w:rFonts w:ascii="Arial" w:cs="Arial" w:eastAsia="Arial" w:hAnsi="Arial"/>
          <w:sz w:val="18"/>
          <w:szCs w:val="18"/>
          <w:color w:val="auto"/>
        </w:rPr>
      </w:pPr>
    </w:p>
    <w:p>
      <w:pPr>
        <w:ind w:left="1960" w:hanging="655"/>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material diminution in your base salary;</w:t>
      </w:r>
    </w:p>
    <w:p>
      <w:pPr>
        <w:spacing w:after="0" w:line="9" w:lineRule="exact"/>
        <w:rPr>
          <w:rFonts w:ascii="Arial" w:cs="Arial" w:eastAsia="Arial" w:hAnsi="Arial"/>
          <w:sz w:val="18"/>
          <w:szCs w:val="18"/>
          <w:color w:val="auto"/>
        </w:rPr>
      </w:pPr>
    </w:p>
    <w:p>
      <w:pPr>
        <w:ind w:left="1960" w:right="400" w:hanging="655"/>
        <w:spacing w:after="0" w:line="250"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1" w:lineRule="exact"/>
        <w:rPr>
          <w:rFonts w:ascii="Arial" w:cs="Arial" w:eastAsia="Arial" w:hAnsi="Arial"/>
          <w:sz w:val="18"/>
          <w:szCs w:val="18"/>
          <w:color w:val="auto"/>
        </w:rPr>
      </w:pPr>
    </w:p>
    <w:p>
      <w:pPr>
        <w:ind w:left="1960" w:right="160" w:hanging="655"/>
        <w:spacing w:after="0" w:line="265" w:lineRule="auto"/>
        <w:tabs>
          <w:tab w:leader="none" w:pos="1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which is not accompanied by a material reduction in your target bonus opportunity but which diminution occurs within two years after the occurrence of a Change of Control;</w:t>
      </w:r>
    </w:p>
    <w:p>
      <w:pPr>
        <w:ind w:left="1960" w:right="20" w:hanging="655"/>
        <w:spacing w:after="0" w:line="250"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1" w:lineRule="exact"/>
        <w:rPr>
          <w:rFonts w:ascii="Arial" w:cs="Arial" w:eastAsia="Arial" w:hAnsi="Arial"/>
          <w:sz w:val="18"/>
          <w:szCs w:val="18"/>
          <w:color w:val="auto"/>
        </w:rPr>
      </w:pPr>
    </w:p>
    <w:p>
      <w:pPr>
        <w:ind w:left="1960" w:right="260" w:hanging="655"/>
        <w:spacing w:after="0" w:line="261" w:lineRule="auto"/>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82" w:lineRule="exact"/>
        <w:rPr>
          <w:sz w:val="20"/>
          <w:szCs w:val="20"/>
          <w:color w:val="auto"/>
        </w:rPr>
      </w:pPr>
    </w:p>
    <w:p>
      <w:pPr>
        <w:ind w:left="1300" w:right="100" w:hanging="644"/>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188" w:lineRule="exact"/>
        <w:rPr>
          <w:rFonts w:ascii="Arial" w:cs="Arial" w:eastAsia="Arial" w:hAnsi="Arial"/>
          <w:sz w:val="18"/>
          <w:szCs w:val="18"/>
          <w:color w:val="auto"/>
        </w:rPr>
      </w:pPr>
    </w:p>
    <w:p>
      <w:pPr>
        <w:ind w:left="1300" w:right="16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Protected Period</w:t>
      </w:r>
      <w:r>
        <w:rPr>
          <w:rFonts w:ascii="Arial" w:cs="Arial" w:eastAsia="Arial" w:hAnsi="Arial"/>
          <w:sz w:val="18"/>
          <w:szCs w:val="18"/>
          <w:color w:val="auto"/>
        </w:rPr>
        <w:t>. The “Protected Period” shall be a period of time determined in accordance with the following:</w:t>
      </w:r>
    </w:p>
    <w:p>
      <w:pPr>
        <w:spacing w:after="0" w:line="225" w:lineRule="exact"/>
        <w:rPr>
          <w:rFonts w:ascii="Arial" w:cs="Arial" w:eastAsia="Arial" w:hAnsi="Arial"/>
          <w:sz w:val="18"/>
          <w:szCs w:val="18"/>
          <w:color w:val="auto"/>
        </w:rPr>
      </w:pPr>
    </w:p>
    <w:p>
      <w:pPr>
        <w:ind w:left="1960" w:right="20" w:hanging="655"/>
        <w:spacing w:after="0" w:line="259" w:lineRule="auto"/>
        <w:tabs>
          <w:tab w:leader="none" w:pos="1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368" w:right="259" w:bottom="1440" w:gutter="0" w:footer="0" w:header="0"/>
        </w:sectPr>
      </w:pPr>
    </w:p>
    <w:bookmarkStart w:id="8" w:name="page9"/>
    <w:bookmarkEnd w:id="8"/>
    <w:p>
      <w:pPr>
        <w:ind w:left="1952" w:hanging="655"/>
        <w:spacing w:after="0" w:line="279" w:lineRule="auto"/>
        <w:tabs>
          <w:tab w:leader="none" w:pos="1952" w:val="left"/>
        </w:tabs>
        <w:numPr>
          <w:ilvl w:val="2"/>
          <w:numId w:val="6"/>
        </w:numPr>
        <w:rPr>
          <w:rFonts w:ascii="Arial" w:cs="Arial" w:eastAsia="Arial" w:hAnsi="Arial"/>
          <w:sz w:val="17"/>
          <w:szCs w:val="17"/>
          <w:color w:val="auto"/>
        </w:rPr>
      </w:pPr>
      <w:r>
        <w:rPr>
          <w:rFonts w:ascii="Arial" w:cs="Arial" w:eastAsia="Arial" w:hAnsi="Arial"/>
          <w:sz w:val="17"/>
          <w:szCs w:val="17"/>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71" w:lineRule="exact"/>
        <w:rPr>
          <w:rFonts w:ascii="Arial" w:cs="Arial" w:eastAsia="Arial" w:hAnsi="Arial"/>
          <w:sz w:val="17"/>
          <w:szCs w:val="17"/>
          <w:color w:val="auto"/>
        </w:rPr>
      </w:pPr>
    </w:p>
    <w:p>
      <w:pPr>
        <w:ind w:left="1952" w:right="220" w:hanging="655"/>
        <w:spacing w:after="0" w:line="264" w:lineRule="auto"/>
        <w:tabs>
          <w:tab w:leader="none" w:pos="1952" w:val="left"/>
        </w:tabs>
        <w:numPr>
          <w:ilvl w:val="2"/>
          <w:numId w:val="6"/>
        </w:numPr>
        <w:rPr>
          <w:rFonts w:ascii="Arial" w:cs="Arial" w:eastAsia="Arial" w:hAnsi="Arial"/>
          <w:sz w:val="18"/>
          <w:szCs w:val="18"/>
          <w:color w:val="auto"/>
        </w:rPr>
      </w:pPr>
      <w:r>
        <w:rPr>
          <w:rFonts w:ascii="Arial" w:cs="Arial" w:eastAsia="Arial" w:hAnsi="Arial"/>
          <w:sz w:val="18"/>
          <w:szCs w:val="18"/>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81" w:lineRule="exact"/>
        <w:rPr>
          <w:rFonts w:ascii="Arial" w:cs="Arial" w:eastAsia="Arial" w:hAnsi="Arial"/>
          <w:sz w:val="18"/>
          <w:szCs w:val="18"/>
          <w:color w:val="auto"/>
        </w:rPr>
      </w:pPr>
    </w:p>
    <w:p>
      <w:pPr>
        <w:ind w:left="1292" w:right="100" w:hanging="644"/>
        <w:spacing w:after="0" w:line="259" w:lineRule="auto"/>
        <w:tabs>
          <w:tab w:leader="none" w:pos="1292"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will be a period beginning on the date of this letter indicated above and ending on the first to occur of the following: (a) the date which is the two-year anniversary of the occurrence of a Change of Control; (b) the date which is the three year anniversary of the date of this letter indicated above if no Change of Control occurs between the date of this letter indicated above and such three year anniversary; or (c) the Date of Termination.</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 on 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right="40" w:hanging="644"/>
        <w:spacing w:after="0" w:line="297" w:lineRule="auto"/>
        <w:tabs>
          <w:tab w:leader="none" w:pos="1292"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Termination by the Corporation for Cause or by You Other Than for Good Reason</w:t>
      </w:r>
      <w:r>
        <w:rPr>
          <w:rFonts w:ascii="Arial" w:cs="Arial" w:eastAsia="Arial" w:hAnsi="Arial"/>
          <w:sz w:val="16"/>
          <w:szCs w:val="16"/>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58" w:lineRule="exact"/>
        <w:rPr>
          <w:rFonts w:ascii="Arial" w:cs="Arial" w:eastAsia="Arial" w:hAnsi="Arial"/>
          <w:sz w:val="16"/>
          <w:szCs w:val="16"/>
          <w:color w:val="auto"/>
        </w:rPr>
      </w:pPr>
    </w:p>
    <w:p>
      <w:pPr>
        <w:ind w:left="1292" w:hanging="644"/>
        <w:spacing w:after="0" w:line="270" w:lineRule="auto"/>
        <w:tabs>
          <w:tab w:leader="none" w:pos="1292"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Termination by Reason of Disability or Death</w:t>
      </w:r>
      <w:r>
        <w:rPr>
          <w:rFonts w:ascii="Arial" w:cs="Arial" w:eastAsia="Arial" w:hAnsi="Arial"/>
          <w:sz w:val="17"/>
          <w:szCs w:val="17"/>
          <w:color w:val="auto"/>
        </w:rPr>
        <w:t>.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77" w:lineRule="exact"/>
        <w:rPr>
          <w:rFonts w:ascii="Arial" w:cs="Arial" w:eastAsia="Arial" w:hAnsi="Arial"/>
          <w:sz w:val="17"/>
          <w:szCs w:val="17"/>
          <w:color w:val="auto"/>
        </w:rPr>
      </w:pPr>
    </w:p>
    <w:p>
      <w:pPr>
        <w:ind w:left="1292" w:right="40" w:hanging="644"/>
        <w:spacing w:after="0" w:line="264" w:lineRule="auto"/>
        <w:tabs>
          <w:tab w:leader="none" w:pos="1292"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Other than in a Change of Control</w:t>
      </w:r>
      <w:r>
        <w:rPr>
          <w:rFonts w:ascii="Arial" w:cs="Arial" w:eastAsia="Arial" w:hAnsi="Arial"/>
          <w:sz w:val="18"/>
          <w:szCs w:val="18"/>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81" w:lineRule="exact"/>
        <w:rPr>
          <w:rFonts w:ascii="Arial" w:cs="Arial" w:eastAsia="Arial" w:hAnsi="Arial"/>
          <w:sz w:val="18"/>
          <w:szCs w:val="18"/>
          <w:color w:val="auto"/>
        </w:rPr>
      </w:pPr>
    </w:p>
    <w:p>
      <w:pPr>
        <w:ind w:left="2592" w:right="440" w:hanging="647"/>
        <w:spacing w:after="0" w:line="277" w:lineRule="auto"/>
        <w:tabs>
          <w:tab w:leader="none" w:pos="2592" w:val="left"/>
        </w:tabs>
        <w:numPr>
          <w:ilvl w:val="3"/>
          <w:numId w:val="8"/>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584" w:right="259" w:bottom="1440" w:gutter="0" w:footer="0" w:header="0"/>
        </w:sectPr>
      </w:pPr>
    </w:p>
    <w:bookmarkStart w:id="9" w:name="page10"/>
    <w:bookmarkEnd w:id="9"/>
    <w:p>
      <w:pPr>
        <w:ind w:left="1400" w:right="40" w:hanging="647"/>
        <w:spacing w:after="0" w:line="297" w:lineRule="auto"/>
        <w:tabs>
          <w:tab w:leader="none" w:pos="1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58" w:lineRule="exact"/>
        <w:rPr>
          <w:rFonts w:ascii="Arial" w:cs="Arial" w:eastAsia="Arial" w:hAnsi="Arial"/>
          <w:sz w:val="16"/>
          <w:szCs w:val="16"/>
          <w:color w:val="auto"/>
        </w:rPr>
      </w:pPr>
    </w:p>
    <w:p>
      <w:pPr>
        <w:ind w:left="1400" w:hanging="647"/>
        <w:spacing w:after="0" w:line="259" w:lineRule="auto"/>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times the amount of your base salary as then in effect;</w:t>
      </w:r>
    </w:p>
    <w:p>
      <w:pPr>
        <w:spacing w:after="0" w:line="186" w:lineRule="exact"/>
        <w:rPr>
          <w:rFonts w:ascii="Arial" w:cs="Arial" w:eastAsia="Arial" w:hAnsi="Arial"/>
          <w:sz w:val="18"/>
          <w:szCs w:val="18"/>
          <w:color w:val="auto"/>
        </w:rPr>
      </w:pPr>
    </w:p>
    <w:p>
      <w:pPr>
        <w:ind w:left="1400" w:right="40" w:hanging="647"/>
        <w:spacing w:after="0" w:line="218" w:lineRule="exact"/>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up to a twelve</w:t>
      </w:r>
      <w:r>
        <w:rPr>
          <w:rFonts w:ascii="MS PGothic" w:cs="MS PGothic" w:eastAsia="MS PGothic" w:hAnsi="MS PGothic"/>
          <w:sz w:val="18"/>
          <w:szCs w:val="18"/>
          <w:color w:val="auto"/>
        </w:rPr>
        <w:t>‑</w:t>
      </w:r>
      <w:r>
        <w:rPr>
          <w:rFonts w:ascii="Arial" w:cs="Arial" w:eastAsia="Arial" w:hAnsi="Arial"/>
          <w:sz w:val="18"/>
          <w:szCs w:val="18"/>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18"/>
          <w:szCs w:val="18"/>
          <w:color w:val="auto"/>
        </w:rPr>
        <w:t>‑</w:t>
      </w:r>
      <w:r>
        <w:rPr>
          <w:rFonts w:ascii="Arial" w:cs="Arial" w:eastAsia="Arial" w:hAnsi="Arial"/>
          <w:sz w:val="18"/>
          <w:szCs w:val="18"/>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206" w:lineRule="exact"/>
        <w:rPr>
          <w:rFonts w:ascii="Arial" w:cs="Arial" w:eastAsia="Arial" w:hAnsi="Arial"/>
          <w:sz w:val="18"/>
          <w:szCs w:val="18"/>
          <w:color w:val="auto"/>
        </w:rPr>
      </w:pPr>
    </w:p>
    <w:p>
      <w:pPr>
        <w:ind w:left="1400"/>
        <w:spacing w:after="0" w:line="285" w:lineRule="auto"/>
        <w:rPr>
          <w:rFonts w:ascii="Arial" w:cs="Arial" w:eastAsia="Arial" w:hAnsi="Arial"/>
          <w:sz w:val="18"/>
          <w:szCs w:val="18"/>
          <w:color w:val="auto"/>
        </w:rPr>
      </w:pPr>
      <w:r>
        <w:rPr>
          <w:rFonts w:ascii="Arial" w:cs="Arial" w:eastAsia="Arial" w:hAnsi="Arial"/>
          <w:sz w:val="16"/>
          <w:szCs w:val="16"/>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00" w:lineRule="exact"/>
        <w:rPr>
          <w:sz w:val="20"/>
          <w:szCs w:val="20"/>
          <w:color w:val="auto"/>
        </w:rPr>
      </w:pPr>
    </w:p>
    <w:p>
      <w:pPr>
        <w:spacing w:after="0" w:line="2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160"/>
          </w:cols>
          <w:pgMar w:left="1440" w:top="368" w:right="299" w:bottom="1440" w:gutter="0" w:footer="0" w:header="0"/>
        </w:sectPr>
      </w:pPr>
    </w:p>
    <w:bookmarkStart w:id="10" w:name="page11"/>
    <w:bookmarkEnd w:id="10"/>
    <w:p>
      <w:pPr>
        <w:ind w:left="1944" w:hanging="647"/>
        <w:spacing w:after="0" w:line="272" w:lineRule="auto"/>
        <w:tabs>
          <w:tab w:leader="none" w:pos="194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77" w:lineRule="exact"/>
        <w:rPr>
          <w:rFonts w:ascii="Arial" w:cs="Arial" w:eastAsia="Arial" w:hAnsi="Arial"/>
          <w:sz w:val="17"/>
          <w:szCs w:val="17"/>
          <w:color w:val="auto"/>
        </w:rPr>
      </w:pPr>
    </w:p>
    <w:p>
      <w:pPr>
        <w:ind w:left="644" w:right="40" w:hanging="644"/>
        <w:spacing w:after="0" w:line="264" w:lineRule="auto"/>
        <w:tabs>
          <w:tab w:leader="none" w:pos="644"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Termination for Any Other Reason – Change of Control</w:t>
      </w:r>
      <w:r>
        <w:rPr>
          <w:rFonts w:ascii="Arial" w:cs="Arial" w:eastAsia="Arial" w:hAnsi="Arial"/>
          <w:sz w:val="18"/>
          <w:szCs w:val="18"/>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181" w:lineRule="exact"/>
        <w:rPr>
          <w:rFonts w:ascii="Arial" w:cs="Arial" w:eastAsia="Arial" w:hAnsi="Arial"/>
          <w:sz w:val="18"/>
          <w:szCs w:val="18"/>
          <w:color w:val="auto"/>
        </w:rPr>
      </w:pPr>
    </w:p>
    <w:p>
      <w:pPr>
        <w:ind w:left="1944" w:right="440" w:hanging="647"/>
        <w:spacing w:after="0" w:line="277" w:lineRule="auto"/>
        <w:tabs>
          <w:tab w:leader="none" w:pos="194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Corporation will pay you, your unpaid bonus, if any, attributable to any complete fiscal year of the Consolidated ManpowerGroup ended before the Date of Termination;</w:t>
      </w:r>
    </w:p>
    <w:p>
      <w:pPr>
        <w:spacing w:after="0" w:line="170" w:lineRule="exact"/>
        <w:rPr>
          <w:sz w:val="20"/>
          <w:szCs w:val="20"/>
          <w:color w:val="auto"/>
        </w:rPr>
      </w:pPr>
    </w:p>
    <w:p>
      <w:pPr>
        <w:ind w:left="1944" w:right="100" w:hanging="647"/>
        <w:spacing w:after="0" w:line="259" w:lineRule="auto"/>
        <w:tabs>
          <w:tab w:leader="none" w:pos="1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86" w:lineRule="exact"/>
        <w:rPr>
          <w:rFonts w:ascii="Arial" w:cs="Arial" w:eastAsia="Arial" w:hAnsi="Arial"/>
          <w:sz w:val="18"/>
          <w:szCs w:val="18"/>
          <w:color w:val="auto"/>
        </w:rPr>
      </w:pPr>
    </w:p>
    <w:p>
      <w:pPr>
        <w:jc w:val="both"/>
        <w:ind w:left="1944" w:right="380" w:hanging="647"/>
        <w:spacing w:after="0" w:line="264" w:lineRule="auto"/>
        <w:tabs>
          <w:tab w:leader="none" w:pos="1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Corporation will pay, as a severance benefit to you, a lump-sum payment equal to three times the sum of (1) your annual base salary at the highest rate in effect during the Term and (2) your target annual bonus for the fiscal year in which the Change of Control occurs;</w:t>
      </w:r>
    </w:p>
    <w:p>
      <w:pPr>
        <w:spacing w:after="0" w:line="181" w:lineRule="exact"/>
        <w:rPr>
          <w:rFonts w:ascii="Arial" w:cs="Arial" w:eastAsia="Arial" w:hAnsi="Arial"/>
          <w:sz w:val="18"/>
          <w:szCs w:val="18"/>
          <w:color w:val="auto"/>
        </w:rPr>
      </w:pPr>
    </w:p>
    <w:p>
      <w:pPr>
        <w:ind w:left="1944" w:hanging="647"/>
        <w:spacing w:after="0" w:line="270" w:lineRule="auto"/>
        <w:tabs>
          <w:tab w:leader="none" w:pos="1944" w:val="left"/>
        </w:tabs>
        <w:numPr>
          <w:ilvl w:val="0"/>
          <w:numId w:val="12"/>
        </w:numPr>
        <w:rPr>
          <w:rFonts w:ascii="Arial" w:cs="Arial" w:eastAsia="Arial" w:hAnsi="Arial"/>
          <w:sz w:val="17"/>
          <w:szCs w:val="17"/>
          <w:color w:val="auto"/>
        </w:rPr>
      </w:pPr>
      <w:r>
        <w:rPr>
          <w:rFonts w:ascii="Arial" w:cs="Arial" w:eastAsia="Arial" w:hAnsi="Arial"/>
          <w:sz w:val="17"/>
          <w:szCs w:val="17"/>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81" w:lineRule="exact"/>
        <w:rPr>
          <w:rFonts w:ascii="Arial" w:cs="Arial" w:eastAsia="Arial" w:hAnsi="Arial"/>
          <w:sz w:val="17"/>
          <w:szCs w:val="17"/>
          <w:color w:val="auto"/>
        </w:rPr>
      </w:pPr>
    </w:p>
    <w:p>
      <w:pPr>
        <w:ind w:left="1944" w:right="100"/>
        <w:spacing w:after="0" w:line="257" w:lineRule="auto"/>
        <w:rPr>
          <w:rFonts w:ascii="Arial" w:cs="Arial" w:eastAsia="Arial" w:hAnsi="Arial"/>
          <w:sz w:val="17"/>
          <w:szCs w:val="17"/>
          <w:color w:val="auto"/>
        </w:rPr>
      </w:pPr>
      <w:r>
        <w:rPr>
          <w:rFonts w:ascii="Arial" w:cs="Arial" w:eastAsia="Arial" w:hAnsi="Arial"/>
          <w:sz w:val="18"/>
          <w:szCs w:val="18"/>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w:t>
      </w:r>
    </w:p>
    <w:p>
      <w:pPr>
        <w:spacing w:after="0" w:line="200" w:lineRule="exact"/>
        <w:rPr>
          <w:sz w:val="20"/>
          <w:szCs w:val="20"/>
          <w:color w:val="auto"/>
        </w:rPr>
      </w:pPr>
    </w:p>
    <w:p>
      <w:pPr>
        <w:spacing w:after="0" w:line="23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44"/>
          </w:cols>
          <w:pgMar w:left="896" w:top="368" w:right="259" w:bottom="1440" w:gutter="0" w:footer="0" w:header="0"/>
        </w:sectPr>
      </w:pPr>
    </w:p>
    <w:bookmarkStart w:id="11" w:name="page12"/>
    <w:bookmarkEnd w:id="11"/>
    <w:p>
      <w:pPr>
        <w:ind w:left="1944"/>
        <w:spacing w:after="0" w:line="287" w:lineRule="auto"/>
        <w:rPr>
          <w:sz w:val="20"/>
          <w:szCs w:val="20"/>
          <w:color w:val="auto"/>
        </w:rPr>
      </w:pPr>
      <w:r>
        <w:rPr>
          <w:rFonts w:ascii="Arial" w:cs="Arial" w:eastAsia="Arial" w:hAnsi="Arial"/>
          <w:sz w:val="16"/>
          <w:szCs w:val="16"/>
          <w:color w:val="auto"/>
        </w:rPr>
        <w:t>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169" w:lineRule="exact"/>
        <w:rPr>
          <w:sz w:val="20"/>
          <w:szCs w:val="20"/>
          <w:color w:val="auto"/>
        </w:rPr>
      </w:pPr>
    </w:p>
    <w:p>
      <w:pPr>
        <w:ind w:left="1944" w:right="20" w:hanging="647"/>
        <w:spacing w:after="0" w:line="272" w:lineRule="auto"/>
        <w:tabs>
          <w:tab w:leader="none" w:pos="1944"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77" w:lineRule="exact"/>
        <w:rPr>
          <w:rFonts w:ascii="Arial" w:cs="Arial" w:eastAsia="Arial" w:hAnsi="Arial"/>
          <w:sz w:val="17"/>
          <w:szCs w:val="17"/>
          <w:color w:val="auto"/>
        </w:rPr>
      </w:pPr>
    </w:p>
    <w:p>
      <w:pPr>
        <w:ind w:left="644" w:right="40" w:hanging="644"/>
        <w:spacing w:after="0" w:line="268" w:lineRule="auto"/>
        <w:tabs>
          <w:tab w:leader="none" w:pos="644"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Limitation on Benefits</w:t>
      </w:r>
      <w:r>
        <w:rPr>
          <w:rFonts w:ascii="Arial" w:cs="Arial" w:eastAsia="Arial" w:hAnsi="Arial"/>
          <w:sz w:val="17"/>
          <w:szCs w:val="17"/>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200" w:lineRule="exact"/>
        <w:rPr>
          <w:sz w:val="20"/>
          <w:szCs w:val="20"/>
          <w:color w:val="auto"/>
        </w:rPr>
      </w:pPr>
    </w:p>
    <w:p>
      <w:pPr>
        <w:spacing w:after="0" w:line="22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64"/>
          </w:cols>
          <w:pgMar w:left="896" w:top="368" w:right="239" w:bottom="1440" w:gutter="0" w:footer="0" w:header="0"/>
        </w:sectPr>
      </w:pPr>
    </w:p>
    <w:bookmarkStart w:id="12" w:name="page13"/>
    <w:bookmarkEnd w:id="12"/>
    <w:p>
      <w:pPr>
        <w:ind w:left="1292" w:hanging="644"/>
        <w:spacing w:after="0" w:line="278" w:lineRule="auto"/>
        <w:tabs>
          <w:tab w:leader="none" w:pos="1292"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Timing of Payments</w:t>
      </w:r>
      <w:r>
        <w:rPr>
          <w:rFonts w:ascii="Arial" w:cs="Arial" w:eastAsia="Arial" w:hAnsi="Arial"/>
          <w:sz w:val="16"/>
          <w:szCs w:val="16"/>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Midwest edition (or, if not so reported, as reported in such other similar source(s) as the Corporation shall select).</w:t>
      </w:r>
    </w:p>
    <w:p>
      <w:pPr>
        <w:spacing w:after="0" w:line="177" w:lineRule="exact"/>
        <w:rPr>
          <w:rFonts w:ascii="Arial" w:cs="Arial" w:eastAsia="Arial" w:hAnsi="Arial"/>
          <w:sz w:val="16"/>
          <w:szCs w:val="16"/>
          <w:color w:val="auto"/>
        </w:rPr>
      </w:pPr>
    </w:p>
    <w:p>
      <w:pPr>
        <w:ind w:left="1292" w:right="80" w:hanging="644"/>
        <w:spacing w:after="0" w:line="271" w:lineRule="auto"/>
        <w:tabs>
          <w:tab w:leader="none" w:pos="1292" w:val="left"/>
        </w:tabs>
        <w:numPr>
          <w:ilvl w:val="1"/>
          <w:numId w:val="15"/>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Notwithstanding the foregoing, you will have no right to receive any payment or benefit described in Subsections 2(c) (ii)-(v) or 2(d)(ii)-(v),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4"/>
          <w:szCs w:val="24"/>
          <w:color w:val="auto"/>
          <w:vertAlign w:val="superscript"/>
        </w:rPr>
        <w:t>th</w:t>
      </w:r>
      <w:r>
        <w:rPr>
          <w:rFonts w:ascii="Arial" w:cs="Arial" w:eastAsia="Arial" w:hAnsi="Arial"/>
          <w:sz w:val="17"/>
          <w:szCs w:val="17"/>
          <w:color w:val="auto"/>
        </w:rPr>
        <w:t>) day after the Date of Termination.</w:t>
      </w:r>
    </w:p>
    <w:p>
      <w:pPr>
        <w:spacing w:after="0" w:line="78" w:lineRule="exact"/>
        <w:rPr>
          <w:rFonts w:ascii="Arial" w:cs="Arial" w:eastAsia="Arial" w:hAnsi="Arial"/>
          <w:sz w:val="17"/>
          <w:szCs w:val="17"/>
          <w:color w:val="auto"/>
        </w:rPr>
      </w:pPr>
    </w:p>
    <w:p>
      <w:pPr>
        <w:ind w:left="1292" w:right="240" w:hanging="644"/>
        <w:spacing w:after="0" w:line="259" w:lineRule="auto"/>
        <w:tabs>
          <w:tab w:leader="none" w:pos="129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Forfeiture</w:t>
      </w:r>
      <w:r>
        <w:rPr>
          <w:rFonts w:ascii="Arial" w:cs="Arial" w:eastAsia="Arial" w:hAnsi="Arial"/>
          <w:sz w:val="18"/>
          <w:szCs w:val="18"/>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86" w:lineRule="exact"/>
        <w:rPr>
          <w:rFonts w:ascii="Arial" w:cs="Arial" w:eastAsia="Arial" w:hAnsi="Arial"/>
          <w:sz w:val="18"/>
          <w:szCs w:val="18"/>
          <w:color w:val="auto"/>
        </w:rPr>
      </w:pPr>
    </w:p>
    <w:p>
      <w:pPr>
        <w:ind w:left="652" w:hanging="652"/>
        <w:spacing w:after="0"/>
        <w:tabs>
          <w:tab w:leader="none" w:pos="65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Nondisclosure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line="255" w:lineRule="auto"/>
        <w:tabs>
          <w:tab w:leader="none" w:pos="1292" w:val="left"/>
        </w:tabs>
        <w:numPr>
          <w:ilvl w:val="1"/>
          <w:numId w:val="16"/>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w:t>
      </w:r>
    </w:p>
    <w:p>
      <w:pPr>
        <w:spacing w:after="0" w:line="200" w:lineRule="exact"/>
        <w:rPr>
          <w:sz w:val="20"/>
          <w:szCs w:val="20"/>
          <w:color w:val="auto"/>
        </w:rPr>
      </w:pPr>
    </w:p>
    <w:p>
      <w:pPr>
        <w:spacing w:after="0" w:line="2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368" w:right="259" w:bottom="1440" w:gutter="0" w:footer="0" w:header="0"/>
        </w:sectPr>
      </w:pPr>
    </w:p>
    <w:bookmarkStart w:id="13" w:name="page14"/>
    <w:bookmarkEnd w:id="13"/>
    <w:p>
      <w:pPr>
        <w:ind w:left="1292" w:right="20"/>
        <w:spacing w:after="0" w:line="302" w:lineRule="auto"/>
        <w:rPr>
          <w:sz w:val="20"/>
          <w:szCs w:val="20"/>
          <w:color w:val="auto"/>
        </w:rPr>
      </w:pPr>
      <w:r>
        <w:rPr>
          <w:rFonts w:ascii="Arial" w:cs="Arial" w:eastAsia="Arial" w:hAnsi="Arial"/>
          <w:sz w:val="18"/>
          <w:szCs w:val="18"/>
          <w:color w:val="auto"/>
        </w:rPr>
        <w:t>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162" w:lineRule="exact"/>
        <w:rPr>
          <w:sz w:val="20"/>
          <w:szCs w:val="20"/>
          <w:color w:val="auto"/>
        </w:rPr>
      </w:pPr>
    </w:p>
    <w:p>
      <w:pPr>
        <w:ind w:left="1292" w:right="120" w:hanging="644"/>
        <w:spacing w:after="0" w:line="257" w:lineRule="auto"/>
        <w:tabs>
          <w:tab w:leader="none" w:pos="12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You will not, directly or indirectly, at any time during the term of your employment with the Consolidated Manpower Group, or any time thereafter use or disclose any Trade Secret of the Company. The term “Trade Secret” shall have the meaning afforded under applicable law. Nothing in this Agreement shall limit or supersede any common law, statutory or other protections of trade secrets or privileged information where such protections provide the Consolidated ManpowerGroup with greater rights or protections for a longer duration than provided in this Agreement.</w:t>
      </w:r>
    </w:p>
    <w:p>
      <w:pPr>
        <w:spacing w:after="0" w:line="188" w:lineRule="exact"/>
        <w:rPr>
          <w:rFonts w:ascii="Arial" w:cs="Arial" w:eastAsia="Arial" w:hAnsi="Arial"/>
          <w:sz w:val="18"/>
          <w:szCs w:val="18"/>
          <w:color w:val="auto"/>
        </w:rPr>
      </w:pPr>
    </w:p>
    <w:p>
      <w:pPr>
        <w:ind w:left="1292" w:right="60" w:hanging="644"/>
        <w:spacing w:after="0" w:line="259" w:lineRule="auto"/>
        <w:tabs>
          <w:tab w:leader="none" w:pos="1292" w:val="left"/>
        </w:tabs>
        <w:numPr>
          <w:ilvl w:val="1"/>
          <w:numId w:val="17"/>
        </w:numPr>
        <w:rPr>
          <w:rFonts w:ascii="Arial" w:cs="Arial" w:eastAsia="Arial" w:hAnsi="Arial"/>
          <w:sz w:val="18"/>
          <w:szCs w:val="18"/>
          <w:color w:val="auto"/>
        </w:rPr>
      </w:pPr>
      <w:r>
        <w:rPr>
          <w:rFonts w:ascii="Arial" w:cs="Arial" w:eastAsia="Arial" w:hAnsi="Arial"/>
          <w:sz w:val="18"/>
          <w:szCs w:val="18"/>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186" w:lineRule="exact"/>
        <w:rPr>
          <w:rFonts w:ascii="Arial" w:cs="Arial" w:eastAsia="Arial" w:hAnsi="Arial"/>
          <w:sz w:val="18"/>
          <w:szCs w:val="18"/>
          <w:color w:val="auto"/>
        </w:rPr>
      </w:pPr>
    </w:p>
    <w:p>
      <w:pPr>
        <w:ind w:left="652" w:right="80" w:hanging="652"/>
        <w:spacing w:after="0" w:line="272" w:lineRule="auto"/>
        <w:tabs>
          <w:tab w:leader="none" w:pos="65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177" w:lineRule="exact"/>
        <w:rPr>
          <w:rFonts w:ascii="Arial" w:cs="Arial" w:eastAsia="Arial" w:hAnsi="Arial"/>
          <w:sz w:val="17"/>
          <w:szCs w:val="17"/>
          <w:color w:val="auto"/>
        </w:rPr>
      </w:pPr>
    </w:p>
    <w:p>
      <w:pPr>
        <w:ind w:left="652" w:hanging="652"/>
        <w:spacing w:after="0" w:line="264"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Restrictions During Employment</w:t>
      </w:r>
      <w:r>
        <w:rPr>
          <w:rFonts w:ascii="Arial" w:cs="Arial" w:eastAsia="Arial" w:hAnsi="Arial"/>
          <w:sz w:val="18"/>
          <w:szCs w:val="18"/>
          <w:color w:val="auto"/>
        </w:rPr>
        <w:t>. During the term of your employment with the Corporation, you will not directly or indirectly compete against the Corporation, or directly or indirectly divert or attempt to divert customers’ business from the Corporation anywhere the Corporation does or is taking steps to do business.</w:t>
      </w:r>
    </w:p>
    <w:p>
      <w:pPr>
        <w:spacing w:after="0" w:line="181" w:lineRule="exact"/>
        <w:rPr>
          <w:rFonts w:ascii="Arial" w:cs="Arial" w:eastAsia="Arial" w:hAnsi="Arial"/>
          <w:sz w:val="18"/>
          <w:szCs w:val="18"/>
          <w:color w:val="auto"/>
        </w:rPr>
      </w:pPr>
    </w:p>
    <w:p>
      <w:pPr>
        <w:ind w:left="652" w:right="80" w:hanging="652"/>
        <w:spacing w:after="0" w:line="277" w:lineRule="auto"/>
        <w:tabs>
          <w:tab w:leader="none" w:pos="652"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Noncompetition Agreement</w:t>
      </w:r>
      <w:r>
        <w:rPr>
          <w:rFonts w:ascii="Arial" w:cs="Arial" w:eastAsia="Arial" w:hAnsi="Arial"/>
          <w:sz w:val="18"/>
          <w:szCs w:val="18"/>
          <w:color w:val="auto"/>
        </w:rPr>
        <w:t>. During the one-year period which immediately follows the termination, for whatever reason, of your employment with the Corporation:</w:t>
      </w:r>
    </w:p>
    <w:p>
      <w:pPr>
        <w:spacing w:after="0" w:line="170" w:lineRule="exact"/>
        <w:rPr>
          <w:rFonts w:ascii="Arial" w:cs="Arial" w:eastAsia="Arial" w:hAnsi="Arial"/>
          <w:sz w:val="18"/>
          <w:szCs w:val="18"/>
          <w:color w:val="auto"/>
        </w:rPr>
      </w:pPr>
    </w:p>
    <w:p>
      <w:pPr>
        <w:ind w:left="1292" w:right="120" w:hanging="644"/>
        <w:spacing w:after="0" w:line="219" w:lineRule="exact"/>
        <w:tabs>
          <w:tab w:leader="none" w:pos="1292" w:val="left"/>
        </w:tabs>
        <w:numPr>
          <w:ilvl w:val="1"/>
          <w:numId w:val="18"/>
        </w:numPr>
        <w:rPr>
          <w:rFonts w:ascii="Arial" w:cs="Arial" w:eastAsia="Arial" w:hAnsi="Arial"/>
          <w:sz w:val="16"/>
          <w:szCs w:val="16"/>
          <w:color w:val="auto"/>
        </w:rPr>
      </w:pPr>
      <w:r>
        <w:rPr>
          <w:rFonts w:ascii="Arial" w:cs="Arial" w:eastAsia="Arial" w:hAnsi="Arial"/>
          <w:sz w:val="16"/>
          <w:szCs w:val="16"/>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16"/>
          <w:szCs w:val="16"/>
          <w:color w:val="auto"/>
        </w:rPr>
        <w:t>‑</w:t>
      </w:r>
      <w:r>
        <w:rPr>
          <w:rFonts w:ascii="Arial" w:cs="Arial" w:eastAsia="Arial" w:hAnsi="Arial"/>
          <w:sz w:val="16"/>
          <w:szCs w:val="16"/>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16"/>
          <w:szCs w:val="16"/>
          <w:color w:val="auto"/>
        </w:rPr>
        <w:t>‑</w:t>
      </w:r>
      <w:r>
        <w:rPr>
          <w:rFonts w:ascii="Arial" w:cs="Arial" w:eastAsia="Arial" w:hAnsi="Arial"/>
          <w:sz w:val="16"/>
          <w:szCs w:val="16"/>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204" w:lineRule="exact"/>
        <w:rPr>
          <w:rFonts w:ascii="Arial" w:cs="Arial" w:eastAsia="Arial" w:hAnsi="Arial"/>
          <w:sz w:val="16"/>
          <w:szCs w:val="16"/>
          <w:color w:val="auto"/>
        </w:rPr>
      </w:pPr>
    </w:p>
    <w:p>
      <w:pPr>
        <w:ind w:left="1292" w:right="320" w:hanging="644"/>
        <w:spacing w:after="0" w:line="264" w:lineRule="auto"/>
        <w:tabs>
          <w:tab w:leader="none" w:pos="1292"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w:t>
      </w: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395" w:right="259" w:bottom="1440" w:gutter="0" w:footer="0" w:header="0"/>
        </w:sectPr>
      </w:pPr>
    </w:p>
    <w:bookmarkStart w:id="14" w:name="page15"/>
    <w:bookmarkEnd w:id="14"/>
    <w:p>
      <w:pPr>
        <w:ind w:left="1292"/>
        <w:spacing w:after="0" w:line="253" w:lineRule="exact"/>
        <w:rPr>
          <w:sz w:val="20"/>
          <w:szCs w:val="20"/>
          <w:color w:val="auto"/>
        </w:rPr>
      </w:pPr>
      <w:r>
        <w:rPr>
          <w:rFonts w:ascii="Arial" w:cs="Arial" w:eastAsia="Arial" w:hAnsi="Arial"/>
          <w:sz w:val="16"/>
          <w:szCs w:val="16"/>
          <w:color w:val="auto"/>
        </w:rPr>
        <w:t>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16"/>
          <w:szCs w:val="16"/>
          <w:color w:val="auto"/>
        </w:rPr>
        <w:t>‑</w:t>
      </w:r>
      <w:r>
        <w:rPr>
          <w:rFonts w:ascii="Arial" w:cs="Arial" w:eastAsia="Arial" w:hAnsi="Arial"/>
          <w:sz w:val="16"/>
          <w:szCs w:val="16"/>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222" w:lineRule="exact"/>
        <w:rPr>
          <w:sz w:val="20"/>
          <w:szCs w:val="20"/>
          <w:color w:val="auto"/>
        </w:rPr>
      </w:pPr>
    </w:p>
    <w:p>
      <w:pPr>
        <w:ind w:left="312" w:hanging="312"/>
        <w:spacing w:after="0"/>
        <w:tabs>
          <w:tab w:leader="none" w:pos="31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Injunctive and Other Interim Measures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92" w:hanging="644"/>
        <w:spacing w:after="0" w:line="291" w:lineRule="auto"/>
        <w:tabs>
          <w:tab w:leader="none" w:pos="1292" w:val="left"/>
        </w:tabs>
        <w:numPr>
          <w:ilvl w:val="1"/>
          <w:numId w:val="19"/>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ManpowerGroup and its businesses and properties in the event of your breach of any of the restrictions imposed by Sections 3-6,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67" w:lineRule="exact"/>
        <w:rPr>
          <w:rFonts w:ascii="Arial" w:cs="Arial" w:eastAsia="Arial" w:hAnsi="Arial"/>
          <w:sz w:val="16"/>
          <w:szCs w:val="16"/>
          <w:color w:val="auto"/>
        </w:rPr>
      </w:pPr>
    </w:p>
    <w:p>
      <w:pPr>
        <w:ind w:left="1292" w:right="140" w:hanging="644"/>
        <w:spacing w:after="0" w:line="277" w:lineRule="auto"/>
        <w:tabs>
          <w:tab w:leader="none" w:pos="12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Equitable Extension</w:t>
      </w:r>
      <w:r>
        <w:rPr>
          <w:rFonts w:ascii="Arial" w:cs="Arial" w:eastAsia="Arial" w:hAnsi="Arial"/>
          <w:sz w:val="18"/>
          <w:szCs w:val="18"/>
          <w:color w:val="auto"/>
        </w:rPr>
        <w:t>. The duration of any restriction in Section 3-6, above, will be extended by any period during which such restriction is violated by you.</w:t>
      </w:r>
    </w:p>
    <w:p>
      <w:pPr>
        <w:spacing w:after="0" w:line="170" w:lineRule="exact"/>
        <w:rPr>
          <w:rFonts w:ascii="Arial" w:cs="Arial" w:eastAsia="Arial" w:hAnsi="Arial"/>
          <w:sz w:val="18"/>
          <w:szCs w:val="18"/>
          <w:color w:val="auto"/>
        </w:rPr>
      </w:pPr>
    </w:p>
    <w:p>
      <w:pPr>
        <w:jc w:val="both"/>
        <w:ind w:left="1292" w:right="80" w:hanging="644"/>
        <w:spacing w:after="0" w:line="264" w:lineRule="auto"/>
        <w:tabs>
          <w:tab w:leader="none" w:pos="1292"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Nonapplication</w:t>
      </w:r>
      <w:r>
        <w:rPr>
          <w:rFonts w:ascii="Arial" w:cs="Arial" w:eastAsia="Arial" w:hAnsi="Arial"/>
          <w:sz w:val="18"/>
          <w:szCs w:val="18"/>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181" w:lineRule="exact"/>
        <w:rPr>
          <w:rFonts w:ascii="Arial" w:cs="Arial" w:eastAsia="Arial" w:hAnsi="Arial"/>
          <w:sz w:val="18"/>
          <w:szCs w:val="18"/>
          <w:color w:val="auto"/>
        </w:rPr>
      </w:pPr>
    </w:p>
    <w:p>
      <w:pPr>
        <w:ind w:left="652" w:right="60" w:hanging="652"/>
        <w:spacing w:after="0" w:line="220" w:lineRule="exact"/>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Unemployment Compensation</w:t>
      </w:r>
      <w:r>
        <w:rPr>
          <w:rFonts w:ascii="Arial" w:cs="Arial" w:eastAsia="Arial" w:hAnsi="Arial"/>
          <w:sz w:val="18"/>
          <w:szCs w:val="18"/>
          <w:color w:val="auto"/>
        </w:rPr>
        <w:t>. The severance benefits provided for in Subsection 2(c)(iii) will be assigned for unemployment compensation benefit purposes to the one</w:t>
      </w:r>
      <w:r>
        <w:rPr>
          <w:rFonts w:ascii="MS PGothic" w:cs="MS PGothic" w:eastAsia="MS PGothic" w:hAnsi="MS PGothic"/>
          <w:sz w:val="18"/>
          <w:szCs w:val="18"/>
          <w:color w:val="auto"/>
        </w:rPr>
        <w:t>‑</w:t>
      </w:r>
      <w:r>
        <w:rPr>
          <w:rFonts w:ascii="Arial" w:cs="Arial" w:eastAsia="Arial" w:hAnsi="Arial"/>
          <w:sz w:val="18"/>
          <w:szCs w:val="18"/>
          <w:color w:val="auto"/>
        </w:rPr>
        <w:t>year period following the Date of Termination, and the severance benefits provided for in Subsection 2(d)(iii) will be assigned for unemployment compensation purposes to the three</w:t>
      </w:r>
      <w:r>
        <w:rPr>
          <w:rFonts w:ascii="MS PGothic" w:cs="MS PGothic" w:eastAsia="MS PGothic" w:hAnsi="MS PGothic"/>
          <w:sz w:val="18"/>
          <w:szCs w:val="18"/>
          <w:color w:val="auto"/>
        </w:rPr>
        <w:t>‑</w:t>
      </w:r>
      <w:r>
        <w:rPr>
          <w:rFonts w:ascii="Arial" w:cs="Arial" w:eastAsia="Arial" w:hAnsi="Arial"/>
          <w:sz w:val="18"/>
          <w:szCs w:val="18"/>
          <w:color w:val="auto"/>
        </w:rPr>
        <w:t>year period following the Date of Termination, and you will be ineligible to receive, and you agree not to apply for, unemployment compensation during such periods.</w:t>
      </w:r>
    </w:p>
    <w:p>
      <w:pPr>
        <w:spacing w:after="0" w:line="204" w:lineRule="exact"/>
        <w:rPr>
          <w:rFonts w:ascii="Arial" w:cs="Arial" w:eastAsia="Arial" w:hAnsi="Arial"/>
          <w:sz w:val="18"/>
          <w:szCs w:val="18"/>
          <w:color w:val="auto"/>
        </w:rPr>
      </w:pPr>
    </w:p>
    <w:p>
      <w:pPr>
        <w:ind w:left="652" w:right="120" w:hanging="652"/>
        <w:spacing w:after="0" w:line="254" w:lineRule="auto"/>
        <w:tabs>
          <w:tab w:leader="none" w:pos="65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w:t>
      </w:r>
    </w:p>
    <w:p>
      <w:pPr>
        <w:spacing w:after="0" w:line="200" w:lineRule="exact"/>
        <w:rPr>
          <w:sz w:val="20"/>
          <w:szCs w:val="20"/>
          <w:color w:val="auto"/>
        </w:rPr>
      </w:pPr>
    </w:p>
    <w:p>
      <w:pPr>
        <w:spacing w:after="0" w:line="23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395" w:right="259" w:bottom="1440" w:gutter="0" w:footer="0" w:header="0"/>
        </w:sectPr>
      </w:pPr>
    </w:p>
    <w:bookmarkStart w:id="15" w:name="page16"/>
    <w:bookmarkEnd w:id="15"/>
    <w:p>
      <w:pPr>
        <w:ind w:left="652" w:right="740"/>
        <w:spacing w:after="0" w:line="324" w:lineRule="auto"/>
        <w:rPr>
          <w:sz w:val="20"/>
          <w:szCs w:val="20"/>
          <w:color w:val="auto"/>
        </w:rPr>
      </w:pPr>
      <w:r>
        <w:rPr>
          <w:rFonts w:ascii="Arial" w:cs="Arial" w:eastAsia="Arial" w:hAnsi="Arial"/>
          <w:sz w:val="18"/>
          <w:szCs w:val="18"/>
          <w:color w:val="auto"/>
        </w:rPr>
        <w:t>pursuant to subpoena or other legal process or in the course of any proceeding that may be commenced for purposes of enforcing this letter agreement.</w:t>
      </w:r>
    </w:p>
    <w:p>
      <w:pPr>
        <w:spacing w:after="0" w:line="143" w:lineRule="exact"/>
        <w:rPr>
          <w:sz w:val="20"/>
          <w:szCs w:val="20"/>
          <w:color w:val="auto"/>
        </w:rPr>
      </w:pPr>
    </w:p>
    <w:p>
      <w:pPr>
        <w:ind w:left="652" w:right="200" w:hanging="652"/>
        <w:spacing w:after="0" w:line="277"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Successors; Binding Agreement</w:t>
      </w:r>
      <w:r>
        <w:rPr>
          <w:rFonts w:ascii="Arial" w:cs="Arial" w:eastAsia="Arial" w:hAnsi="Arial"/>
          <w:sz w:val="18"/>
          <w:szCs w:val="18"/>
          <w:color w:val="auto"/>
        </w:rPr>
        <w:t>. This letter agreement will be binding on the Corporation and its successors and will inure to the benefit of and be enforceable by your personal or legal representatives, heirs and successors.</w:t>
      </w:r>
    </w:p>
    <w:p>
      <w:pPr>
        <w:spacing w:after="0" w:line="170" w:lineRule="exact"/>
        <w:rPr>
          <w:rFonts w:ascii="Arial" w:cs="Arial" w:eastAsia="Arial" w:hAnsi="Arial"/>
          <w:sz w:val="18"/>
          <w:szCs w:val="18"/>
          <w:color w:val="auto"/>
        </w:rPr>
      </w:pPr>
    </w:p>
    <w:p>
      <w:pPr>
        <w:ind w:left="652" w:right="20" w:hanging="652"/>
        <w:spacing w:after="0" w:line="264"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81" w:lineRule="exact"/>
        <w:rPr>
          <w:rFonts w:ascii="Arial" w:cs="Arial" w:eastAsia="Arial" w:hAnsi="Arial"/>
          <w:sz w:val="18"/>
          <w:szCs w:val="18"/>
          <w:color w:val="auto"/>
        </w:rPr>
      </w:pPr>
    </w:p>
    <w:p>
      <w:pPr>
        <w:ind w:left="652" w:right="420" w:hanging="652"/>
        <w:spacing w:after="0" w:line="259"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Right to Remain Employed</w:t>
      </w:r>
      <w:r>
        <w:rPr>
          <w:rFonts w:ascii="Arial" w:cs="Arial" w:eastAsia="Arial" w:hAnsi="Arial"/>
          <w:sz w:val="18"/>
          <w:szCs w:val="18"/>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86"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provision of this letter may be modified, waived or discharged unless such waiver, modification or discharge is agreed to in writing by you and the Corporation.</w:t>
      </w:r>
    </w:p>
    <w:p>
      <w:pPr>
        <w:spacing w:after="0" w:line="170"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70" w:lineRule="exact"/>
        <w:rPr>
          <w:rFonts w:ascii="Arial" w:cs="Arial" w:eastAsia="Arial" w:hAnsi="Arial"/>
          <w:sz w:val="18"/>
          <w:szCs w:val="18"/>
          <w:color w:val="auto"/>
        </w:rPr>
      </w:pPr>
    </w:p>
    <w:p>
      <w:pPr>
        <w:ind w:left="652" w:right="540" w:hanging="652"/>
        <w:spacing w:after="0" w:line="277"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interpreted in accordance with the laws of the State of New York, United States of America, without regard to its conflict of law provisions.</w:t>
      </w:r>
    </w:p>
    <w:p>
      <w:pPr>
        <w:spacing w:after="0" w:line="170" w:lineRule="exact"/>
        <w:rPr>
          <w:rFonts w:ascii="Arial" w:cs="Arial" w:eastAsia="Arial" w:hAnsi="Arial"/>
          <w:sz w:val="18"/>
          <w:szCs w:val="18"/>
          <w:color w:val="auto"/>
        </w:rPr>
      </w:pPr>
    </w:p>
    <w:p>
      <w:pPr>
        <w:ind w:left="652" w:right="100" w:hanging="652"/>
        <w:spacing w:after="0" w:line="276" w:lineRule="auto"/>
        <w:tabs>
          <w:tab w:leader="none" w:pos="652"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72" w:lineRule="exact"/>
        <w:rPr>
          <w:rFonts w:ascii="Arial" w:cs="Arial" w:eastAsia="Arial" w:hAnsi="Arial"/>
          <w:sz w:val="17"/>
          <w:szCs w:val="17"/>
          <w:color w:val="auto"/>
        </w:rPr>
      </w:pPr>
    </w:p>
    <w:p>
      <w:pPr>
        <w:ind w:left="652" w:right="120" w:hanging="652"/>
        <w:spacing w:after="0" w:line="257"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Previous Agreements</w:t>
      </w:r>
      <w:r>
        <w:rPr>
          <w:rFonts w:ascii="Arial" w:cs="Arial" w:eastAsia="Arial" w:hAnsi="Arial"/>
          <w:sz w:val="18"/>
          <w:szCs w:val="18"/>
          <w:color w:val="auto"/>
        </w:rPr>
        <w:t>. This letter, upon acceptance by you, expressly supersedes any and all previous agreements or understandings relating to your employment by the Corporation or the Consolidated ManpowerGroup, except for the letter from the Corporation to you dated November 17, 2015, regarding the Corporation’s offer of employment to you (provided this letter will supersede the sections of that prior letter concerning severance protection) or the termination of such employment, and any such agreements or understandings shall, as of the date of your acceptance, have no further force or effect.</w:t>
      </w:r>
    </w:p>
    <w:p>
      <w:pPr>
        <w:spacing w:after="0" w:line="188" w:lineRule="exact"/>
        <w:rPr>
          <w:rFonts w:ascii="Arial" w:cs="Arial" w:eastAsia="Arial" w:hAnsi="Arial"/>
          <w:sz w:val="18"/>
          <w:szCs w:val="18"/>
          <w:color w:val="auto"/>
        </w:rPr>
      </w:pPr>
    </w:p>
    <w:p>
      <w:pPr>
        <w:ind w:left="652" w:right="60" w:hanging="652"/>
        <w:spacing w:after="0" w:line="257" w:lineRule="auto"/>
        <w:tabs>
          <w:tab w:leader="none" w:pos="65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188" w:lineRule="exact"/>
        <w:rPr>
          <w:rFonts w:ascii="Arial" w:cs="Arial" w:eastAsia="Arial" w:hAnsi="Arial"/>
          <w:sz w:val="18"/>
          <w:szCs w:val="18"/>
          <w:color w:val="auto"/>
        </w:rPr>
      </w:pPr>
    </w:p>
    <w:p>
      <w:pPr>
        <w:ind w:left="1292" w:right="220" w:hanging="644"/>
        <w:spacing w:after="0" w:line="286" w:lineRule="auto"/>
        <w:tabs>
          <w:tab w:leader="none" w:pos="1292" w:val="left"/>
        </w:tabs>
        <w:numPr>
          <w:ilvl w:val="1"/>
          <w:numId w:val="20"/>
        </w:numPr>
        <w:rPr>
          <w:rFonts w:ascii="Arial" w:cs="Arial" w:eastAsia="Arial" w:hAnsi="Arial"/>
          <w:sz w:val="17"/>
          <w:szCs w:val="17"/>
          <w:color w:val="auto"/>
        </w:rPr>
      </w:pPr>
      <w:r>
        <w:rPr>
          <w:rFonts w:ascii="Arial" w:cs="Arial" w:eastAsia="Arial" w:hAnsi="Arial"/>
          <w:sz w:val="17"/>
          <w:szCs w:val="17"/>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w:t>
      </w:r>
    </w:p>
    <w:p>
      <w:pPr>
        <w:spacing w:after="0" w:line="1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92"/>
          </w:cols>
          <w:pgMar w:left="248" w:top="395" w:right="259" w:bottom="1440" w:gutter="0" w:footer="0" w:header="0"/>
        </w:sectPr>
      </w:pPr>
    </w:p>
    <w:bookmarkStart w:id="16" w:name="page17"/>
    <w:bookmarkEnd w:id="16"/>
    <w:p>
      <w:pPr>
        <w:ind w:left="1292" w:right="60"/>
        <w:spacing w:after="0" w:line="342" w:lineRule="auto"/>
        <w:rPr>
          <w:sz w:val="20"/>
          <w:szCs w:val="20"/>
          <w:color w:val="auto"/>
        </w:rPr>
      </w:pPr>
      <w:r>
        <w:rPr>
          <w:rFonts w:ascii="Arial" w:cs="Arial" w:eastAsia="Arial" w:hAnsi="Arial"/>
          <w:sz w:val="16"/>
          <w:szCs w:val="16"/>
          <w:color w:val="auto"/>
        </w:rPr>
        <w:t>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39" w:lineRule="exact"/>
        <w:rPr>
          <w:sz w:val="20"/>
          <w:szCs w:val="20"/>
          <w:color w:val="auto"/>
        </w:rPr>
      </w:pPr>
    </w:p>
    <w:p>
      <w:pPr>
        <w:ind w:left="1292" w:right="60" w:hanging="644"/>
        <w:spacing w:after="0" w:line="287" w:lineRule="auto"/>
        <w:tabs>
          <w:tab w:leader="none" w:pos="1292" w:val="left"/>
        </w:tabs>
        <w:numPr>
          <w:ilvl w:val="1"/>
          <w:numId w:val="21"/>
        </w:numPr>
        <w:rPr>
          <w:rFonts w:ascii="Arial" w:cs="Arial" w:eastAsia="Arial" w:hAnsi="Arial"/>
          <w:sz w:val="16"/>
          <w:szCs w:val="16"/>
          <w:color w:val="auto"/>
        </w:rPr>
      </w:pPr>
      <w:r>
        <w:rPr>
          <w:rFonts w:ascii="Arial" w:cs="Arial" w:eastAsia="Arial" w:hAnsi="Arial"/>
          <w:sz w:val="16"/>
          <w:szCs w:val="16"/>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6"/>
          <w:szCs w:val="16"/>
          <w:i w:val="1"/>
          <w:iCs w:val="1"/>
          <w:color w:val="auto"/>
        </w:rPr>
        <w:t>et seq</w:t>
      </w:r>
      <w:r>
        <w:rPr>
          <w:rFonts w:ascii="Arial" w:cs="Arial" w:eastAsia="Arial" w:hAnsi="Arial"/>
          <w:sz w:val="16"/>
          <w:szCs w:val="16"/>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68" w:lineRule="exact"/>
        <w:rPr>
          <w:rFonts w:ascii="Arial" w:cs="Arial" w:eastAsia="Arial" w:hAnsi="Arial"/>
          <w:sz w:val="16"/>
          <w:szCs w:val="16"/>
          <w:color w:val="auto"/>
        </w:rPr>
      </w:pPr>
    </w:p>
    <w:p>
      <w:pPr>
        <w:ind w:left="652" w:hanging="652"/>
        <w:spacing w:after="0" w:line="277" w:lineRule="auto"/>
        <w:tabs>
          <w:tab w:leader="none" w:pos="65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12"/>
          </w:cols>
          <w:pgMar w:left="248" w:top="395" w:right="239" w:bottom="1440" w:gutter="0" w:footer="0" w:header="0"/>
        </w:sectPr>
      </w:pPr>
    </w:p>
    <w:bookmarkStart w:id="17" w:name="page18"/>
    <w:bookmarkEnd w:id="17"/>
    <w:p>
      <w:pPr>
        <w:ind w:firstLine="648"/>
        <w:spacing w:after="0" w:line="277" w:lineRule="auto"/>
        <w:rPr>
          <w:sz w:val="20"/>
          <w:szCs w:val="20"/>
          <w:color w:val="auto"/>
        </w:rPr>
      </w:pPr>
      <w:r>
        <w:rPr>
          <w:rFonts w:ascii="Arial" w:cs="Arial" w:eastAsia="Arial" w:hAnsi="Arial"/>
          <w:sz w:val="18"/>
          <w:szCs w:val="18"/>
          <w:color w:val="auto"/>
        </w:rPr>
        <w:t>If you are in agreement with the foregoing, please sign and return one copy of this letter which will constitute our agreement with respect to the subject matter of this letter.</w:t>
      </w:r>
    </w:p>
    <w:p>
      <w:pPr>
        <w:spacing w:after="0" w:line="17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MANPOWERGROUP INC.</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8572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Jonas Prising, 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Agreed as of the 26th day of January,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0712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T. McGinnis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13</w:t>
      </w:r>
    </w:p>
    <w:sectPr>
      <w:pgSz w:w="11900" w:h="16838" w:orient="portrait"/>
      <w:cols w:equalWidth="0" w:num="1">
        <w:col w:w="11000"/>
      </w:cols>
      <w:pgMar w:left="240" w:top="368"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140E0F76"/>
    <w:multiLevelType w:val="hybridMultilevel"/>
    <w:lvl w:ilvl="0">
      <w:lvlJc w:val="left"/>
      <w:lvlText w:val="(%1)"/>
      <w:numFmt w:val="lowerRoman"/>
      <w:start w:val="2"/>
    </w:lvl>
  </w:abstractNum>
  <w:abstractNum w:abstractNumId="3">
    <w:nsid w:val="3352255A"/>
    <w:multiLevelType w:val="hybridMultilevel"/>
    <w:lvl w:ilvl="0">
      <w:lvlJc w:val="left"/>
      <w:lvlText w:val="(%1)"/>
      <w:numFmt w:val="lowerLetter"/>
      <w:start w:val="4"/>
    </w:lvl>
    <w:lvl w:ilvl="1">
      <w:lvlJc w:val="left"/>
      <w:lvlText w:val="(%2)"/>
      <w:numFmt w:val="lowerRoman"/>
      <w:start w:val="1"/>
    </w:lvl>
  </w:abstractNum>
  <w:abstractNum w:abstractNumId="4">
    <w:nsid w:val="109CF92E"/>
    <w:multiLevelType w:val="hybridMultilevel"/>
    <w:lvl w:ilvl="0">
      <w:lvlJc w:val="left"/>
      <w:lvlText w:val="(%1)"/>
      <w:numFmt w:val="lowerLetter"/>
      <w:start w:val="5"/>
    </w:lvl>
    <w:lvl w:ilvl="1">
      <w:lvlJc w:val="left"/>
      <w:lvlText w:val="(%2)"/>
      <w:numFmt w:val="lowerRoman"/>
      <w:start w:val="1"/>
    </w:lvl>
  </w:abstractNum>
  <w:abstractNum w:abstractNumId="5">
    <w:nsid w:val="DED72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6">
    <w:nsid w:val="7FDCC23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4"/>
      <w:numFmt w:val="lowerLetter"/>
      <w:start w:val="1"/>
    </w:lvl>
  </w:abstractNum>
  <w:abstractNum w:abstractNumId="7">
    <w:nsid w:val="1BEFD79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8">
    <w:nsid w:val="41A7C4C9"/>
    <w:multiLevelType w:val="hybridMultilevel"/>
    <w:lvl w:ilvl="0">
      <w:lvlJc w:val="left"/>
      <w:lvlText w:val="(%1)"/>
      <w:numFmt w:val="lowerRoman"/>
      <w:start w:val="2"/>
    </w:lvl>
  </w:abstractNum>
  <w:abstractNum w:abstractNumId="9">
    <w:nsid w:val="6B68079A"/>
    <w:multiLevelType w:val="hybridMultilevel"/>
    <w:lvl w:ilvl="0">
      <w:lvlJc w:val="left"/>
      <w:lvlText w:val="%1"/>
      <w:numFmt w:val="lowerLetter"/>
      <w:start w:val="1"/>
    </w:lvl>
    <w:lvl w:ilvl="1">
      <w:lvlJc w:val="left"/>
      <w:lvlText w:val="(%2)"/>
      <w:numFmt w:val="lowerLetter"/>
      <w:start w:val="22"/>
    </w:lvl>
  </w:abstractNum>
  <w:abstractNum w:abstractNumId="10">
    <w:nsid w:val="4E6AFB66"/>
    <w:multiLevelType w:val="hybridMultilevel"/>
    <w:lvl w:ilvl="0">
      <w:lvlJc w:val="left"/>
      <w:lvlText w:val="(%1)"/>
      <w:numFmt w:val="lowerLetter"/>
      <w:start w:val="4"/>
    </w:lvl>
    <w:lvl w:ilvl="1">
      <w:lvlJc w:val="left"/>
      <w:lvlText w:val="(%2)"/>
      <w:numFmt w:val="lowerLetter"/>
      <w:start w:val="9"/>
    </w:lvl>
  </w:abstractNum>
  <w:abstractNum w:abstractNumId="11">
    <w:nsid w:val="25E45D32"/>
    <w:multiLevelType w:val="hybridMultilevel"/>
    <w:lvl w:ilvl="0">
      <w:lvlJc w:val="left"/>
      <w:lvlText w:val="(%1)"/>
      <w:numFmt w:val="lowerRoman"/>
      <w:start w:val="2"/>
    </w:lvl>
  </w:abstractNum>
  <w:abstractNum w:abstractNumId="12">
    <w:nsid w:val="519B500D"/>
    <w:multiLevelType w:val="hybridMultilevel"/>
    <w:lvl w:ilvl="0">
      <w:lvlJc w:val="left"/>
      <w:lvlText w:val="%1"/>
      <w:numFmt w:val="lowerLetter"/>
      <w:start w:val="1"/>
    </w:lvl>
    <w:lvl w:ilvl="1">
      <w:lvlJc w:val="left"/>
      <w:lvlText w:val="(%2)"/>
      <w:numFmt w:val="lowerLetter"/>
      <w:start w:val="22"/>
    </w:lvl>
  </w:abstractNum>
  <w:abstractNum w:abstractNumId="13">
    <w:nsid w:val="431BD7B7"/>
    <w:multiLevelType w:val="hybridMultilevel"/>
    <w:lvl w:ilvl="0">
      <w:lvlJc w:val="left"/>
      <w:lvlText w:val="(%1)"/>
      <w:numFmt w:val="lowerLetter"/>
      <w:start w:val="5"/>
    </w:lvl>
    <w:lvl w:ilvl="1">
      <w:lvlJc w:val="left"/>
      <w:lvlText w:val="%2"/>
      <w:numFmt w:val="lowerLetter"/>
      <w:start w:val="1"/>
    </w:lvl>
  </w:abstractNum>
  <w:abstractNum w:abstractNumId="14">
    <w:nsid w:val="3F2DBA31"/>
    <w:multiLevelType w:val="hybridMultilevel"/>
    <w:lvl w:ilvl="0">
      <w:lvlJc w:val="left"/>
      <w:lvlText w:val="%1"/>
      <w:numFmt w:val="decimal"/>
      <w:start w:val="1"/>
    </w:lvl>
    <w:lvl w:ilvl="1">
      <w:lvlJc w:val="left"/>
      <w:lvlText w:val="(%2)"/>
      <w:numFmt w:val="lowerLetter"/>
      <w:start w:val="6"/>
    </w:lvl>
  </w:abstractNum>
  <w:abstractNum w:abstractNumId="15">
    <w:nsid w:val="7C83E458"/>
    <w:multiLevelType w:val="hybridMultilevel"/>
    <w:lvl w:ilvl="0">
      <w:lvlJc w:val="left"/>
      <w:lvlText w:val="%1."/>
      <w:numFmt w:val="decimal"/>
      <w:start w:val="3"/>
    </w:lvl>
    <w:lvl w:ilvl="1">
      <w:lvlJc w:val="left"/>
      <w:lvlText w:val="(%2)"/>
      <w:numFmt w:val="lowerLetter"/>
      <w:start w:val="1"/>
    </w:lvl>
  </w:abstractNum>
  <w:abstractNum w:abstractNumId="16">
    <w:nsid w:val="257130A3"/>
    <w:multiLevelType w:val="hybridMultilevel"/>
    <w:lvl w:ilvl="0">
      <w:lvlJc w:val="left"/>
      <w:lvlText w:val="%1"/>
      <w:numFmt w:val="decimal"/>
      <w:start w:val="1"/>
    </w:lvl>
    <w:lvl w:ilvl="1">
      <w:lvlJc w:val="left"/>
      <w:lvlText w:val="(%2)"/>
      <w:numFmt w:val="lowerLetter"/>
      <w:start w:val="2"/>
    </w:lvl>
  </w:abstractNum>
  <w:abstractNum w:abstractNumId="17">
    <w:nsid w:val="62BBD95A"/>
    <w:multiLevelType w:val="hybridMultilevel"/>
    <w:lvl w:ilvl="0">
      <w:lvlJc w:val="left"/>
      <w:lvlText w:val="%1."/>
      <w:numFmt w:val="decimal"/>
      <w:start w:val="4"/>
    </w:lvl>
    <w:lvl w:ilvl="1">
      <w:lvlJc w:val="left"/>
      <w:lvlText w:val="(%2)"/>
      <w:numFmt w:val="lowerLetter"/>
      <w:start w:val="1"/>
    </w:lvl>
  </w:abstractNum>
  <w:abstractNum w:abstractNumId="18">
    <w:nsid w:val="436C6125"/>
    <w:multiLevelType w:val="hybridMultilevel"/>
    <w:lvl w:ilvl="0">
      <w:lvlJc w:val="left"/>
      <w:lvlText w:val="%1."/>
      <w:numFmt w:val="decimal"/>
      <w:start w:val="7"/>
    </w:lvl>
    <w:lvl w:ilvl="1">
      <w:lvlJc w:val="left"/>
      <w:lvlText w:val="(%2)"/>
      <w:numFmt w:val="lowerLetter"/>
      <w:start w:val="1"/>
    </w:lvl>
  </w:abstractNum>
  <w:abstractNum w:abstractNumId="19">
    <w:nsid w:val="628C895D"/>
    <w:multiLevelType w:val="hybridMultilevel"/>
    <w:lvl w:ilvl="0">
      <w:lvlJc w:val="left"/>
      <w:lvlText w:val="%1."/>
      <w:numFmt w:val="decimal"/>
      <w:start w:val="10"/>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2"/>
    </w:lvl>
  </w:abstractNum>
  <w:abstractNum w:abstractNumId="21">
    <w:nsid w:val="721DA317"/>
    <w:multiLevelType w:val="hybridMultilevel"/>
    <w:lvl w:ilvl="0">
      <w:lvlJc w:val="left"/>
      <w:lvlText w:val="%1."/>
      <w:numFmt w:val="decimal"/>
      <w:start w:val="19"/>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2019-12-05T23:50:24Z</dcterms:created>
  <dcterms:modified xsi:type="dcterms:W3CDTF">2019-12-05T23:50:24Z</dcterms:modified>
</cp:coreProperties>
</file>