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October 20, 2017</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Pr>
          <w:p>
            <w:pPr>
              <w:jc w:val="right"/>
              <w:ind w:right="1200"/>
              <w:spacing w:after="0"/>
              <w:rPr>
                <w:sz w:val="20"/>
                <w:szCs w:val="20"/>
                <w:color w:val="auto"/>
              </w:rPr>
            </w:pPr>
            <w:r>
              <w:rPr>
                <w:rFonts w:ascii="Arial" w:cs="Arial" w:eastAsia="Arial" w:hAnsi="Arial"/>
                <w:sz w:val="16"/>
                <w:szCs w:val="16"/>
                <w:b w:val="1"/>
                <w:bCs w:val="1"/>
                <w:color w:val="auto"/>
              </w:rPr>
              <w:t>1-10686</w:t>
            </w: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9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748"/>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0"/>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Arial" w:cs="Arial" w:eastAsia="Arial" w:hAnsi="Arial"/>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Arial" w:cs="Arial" w:eastAsia="Arial" w:hAnsi="Arial"/>
                <w:sz w:val="16"/>
                <w:szCs w:val="16"/>
                <w:b w:val="1"/>
                <w:bCs w:val="1"/>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5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ind w:right="20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100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5"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auto"/>
        </w:rPr>
        <w:t>On October 20, 2017, we issued a press release announcing our results of operations for the three- and nine-month periods ended September 30, 2017. A copy of the press release is attached hereto as Exhibit 99.1 and is incorporated herein by reference.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Item 9.01.</w:t>
            </w:r>
          </w:p>
        </w:tc>
        <w:tc>
          <w:tcPr>
            <w:tcW w:w="10260" w:type="dxa"/>
            <w:vAlign w:val="bottom"/>
            <w:gridSpan w:val="4"/>
          </w:tcPr>
          <w:p>
            <w:pPr>
              <w:ind w:left="38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531"/>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260" w:type="dxa"/>
            <w:vAlign w:val="bottom"/>
            <w:gridSpan w:val="4"/>
          </w:tcPr>
          <w:p>
            <w:pPr>
              <w:ind w:left="114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line="173" w:lineRule="exact"/>
              <w:rPr>
                <w:rFonts w:ascii="Arial" w:cs="Arial" w:eastAsia="Arial" w:hAnsi="Arial"/>
                <w:sz w:val="16"/>
                <w:szCs w:val="16"/>
                <w:color w:val="0000FF"/>
                <w:w w:val="83"/>
              </w:rPr>
            </w:pPr>
            <w:hyperlink w:anchor="page5">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1</w:t>
              </w:r>
            </w:hyperlink>
          </w:p>
        </w:tc>
        <w:tc>
          <w:tcPr>
            <w:tcW w:w="880" w:type="dxa"/>
            <w:vAlign w:val="bottom"/>
          </w:tcPr>
          <w:p>
            <w:pPr>
              <w:spacing w:after="0"/>
              <w:rPr>
                <w:sz w:val="15"/>
                <w:szCs w:val="15"/>
                <w:color w:val="auto"/>
              </w:rPr>
            </w:pPr>
          </w:p>
        </w:tc>
        <w:tc>
          <w:tcPr>
            <w:tcW w:w="10260" w:type="dxa"/>
            <w:vAlign w:val="bottom"/>
            <w:gridSpan w:val="4"/>
          </w:tcPr>
          <w:p>
            <w:pPr>
              <w:ind w:left="1140"/>
              <w:spacing w:after="0" w:line="173" w:lineRule="exact"/>
              <w:rPr>
                <w:rFonts w:ascii="Arial" w:cs="Arial" w:eastAsia="Arial" w:hAnsi="Arial"/>
                <w:sz w:val="16"/>
                <w:szCs w:val="16"/>
                <w:color w:val="0000FF"/>
              </w:rPr>
            </w:pPr>
            <w:hyperlink w:anchor="page5">
              <w:r>
                <w:rPr>
                  <w:rFonts w:ascii="Arial" w:cs="Arial" w:eastAsia="Arial" w:hAnsi="Arial"/>
                  <w:sz w:val="16"/>
                  <w:szCs w:val="16"/>
                  <w:color w:val="0000FF"/>
                </w:rPr>
                <w:t>Press Release dated October 20, 2017</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tcPr>
          <w:p>
            <w:pPr>
              <w:spacing w:after="0"/>
              <w:rPr>
                <w:rFonts w:ascii="Arial" w:cs="Arial" w:eastAsia="Arial" w:hAnsi="Arial"/>
                <w:sz w:val="16"/>
                <w:szCs w:val="16"/>
                <w:color w:val="0000FF"/>
                <w:w w:val="83"/>
              </w:rPr>
            </w:pPr>
            <w:hyperlink w:anchor="page13">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2</w:t>
              </w:r>
            </w:hyperlink>
          </w:p>
        </w:tc>
        <w:tc>
          <w:tcPr>
            <w:tcW w:w="880" w:type="dxa"/>
            <w:vAlign w:val="bottom"/>
          </w:tcPr>
          <w:p>
            <w:pPr>
              <w:spacing w:after="0"/>
              <w:rPr>
                <w:sz w:val="19"/>
                <w:szCs w:val="19"/>
                <w:color w:val="auto"/>
              </w:rPr>
            </w:pPr>
          </w:p>
        </w:tc>
        <w:tc>
          <w:tcPr>
            <w:tcW w:w="10260" w:type="dxa"/>
            <w:vAlign w:val="bottom"/>
            <w:gridSpan w:val="4"/>
          </w:tcPr>
          <w:p>
            <w:pPr>
              <w:ind w:left="1140"/>
              <w:spacing w:after="0"/>
              <w:rPr>
                <w:rFonts w:ascii="Arial" w:cs="Arial" w:eastAsia="Arial" w:hAnsi="Arial"/>
                <w:sz w:val="16"/>
                <w:szCs w:val="16"/>
                <w:color w:val="0000FF"/>
              </w:rPr>
            </w:pPr>
            <w:hyperlink w:anchor="page13">
              <w:r>
                <w:rPr>
                  <w:rFonts w:ascii="Arial" w:cs="Arial" w:eastAsia="Arial" w:hAnsi="Arial"/>
                  <w:sz w:val="16"/>
                  <w:szCs w:val="16"/>
                  <w:color w:val="0000FF"/>
                </w:rPr>
                <w:t>Presentation materials for October 20, 2017 conference call</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bl>
    <w:p>
      <w:pPr>
        <w:sectPr>
          <w:pgSz w:w="11900" w:h="16838" w:orient="portrait"/>
          <w:cols w:equalWidth="0" w:num="1">
            <w:col w:w="11440"/>
          </w:cols>
          <w:pgMar w:left="240" w:top="726"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Arial" w:cs="Arial" w:eastAsia="Arial" w:hAnsi="Arial"/>
          <w:sz w:val="16"/>
          <w:szCs w:val="16"/>
          <w:color w:val="auto"/>
        </w:rPr>
        <w:t>Dated: October 20,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29210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John T. McGinnis</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00"/>
          </w:cols>
          <w:pgMar w:left="240" w:top="91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70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 INDEX</w:t>
            </w:r>
          </w:p>
        </w:tc>
      </w:tr>
      <w:tr>
        <w:trPr>
          <w:trHeight w:val="531"/>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9880" w:type="dxa"/>
            <w:vAlign w:val="bottom"/>
            <w:gridSpan w:val="4"/>
          </w:tcPr>
          <w:p>
            <w:pPr>
              <w:ind w:left="76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line="173" w:lineRule="exact"/>
              <w:rPr>
                <w:rFonts w:ascii="Arial" w:cs="Arial" w:eastAsia="Arial" w:hAnsi="Arial"/>
                <w:sz w:val="16"/>
                <w:szCs w:val="16"/>
                <w:color w:val="0000FF"/>
                <w:w w:val="83"/>
              </w:rPr>
            </w:pPr>
            <w:hyperlink w:anchor="page5">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1</w:t>
              </w:r>
            </w:hyperlink>
          </w:p>
        </w:tc>
        <w:tc>
          <w:tcPr>
            <w:tcW w:w="1260" w:type="dxa"/>
            <w:vAlign w:val="bottom"/>
          </w:tcPr>
          <w:p>
            <w:pPr>
              <w:spacing w:after="0"/>
              <w:rPr>
                <w:sz w:val="15"/>
                <w:szCs w:val="15"/>
                <w:color w:val="auto"/>
              </w:rPr>
            </w:pPr>
          </w:p>
        </w:tc>
        <w:tc>
          <w:tcPr>
            <w:tcW w:w="9880" w:type="dxa"/>
            <w:vAlign w:val="bottom"/>
            <w:gridSpan w:val="4"/>
          </w:tcPr>
          <w:p>
            <w:pPr>
              <w:ind w:left="760"/>
              <w:spacing w:after="0" w:line="173" w:lineRule="exact"/>
              <w:rPr>
                <w:rFonts w:ascii="Arial" w:cs="Arial" w:eastAsia="Arial" w:hAnsi="Arial"/>
                <w:sz w:val="16"/>
                <w:szCs w:val="16"/>
                <w:color w:val="0000FF"/>
              </w:rPr>
            </w:pPr>
            <w:hyperlink w:anchor="page5">
              <w:r>
                <w:rPr>
                  <w:rFonts w:ascii="Arial" w:cs="Arial" w:eastAsia="Arial" w:hAnsi="Arial"/>
                  <w:sz w:val="16"/>
                  <w:szCs w:val="16"/>
                  <w:color w:val="0000FF"/>
                </w:rPr>
                <w:t>Press Release dated October 20, 2017</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tcPr>
          <w:p>
            <w:pPr>
              <w:spacing w:after="0"/>
              <w:rPr>
                <w:rFonts w:ascii="Arial" w:cs="Arial" w:eastAsia="Arial" w:hAnsi="Arial"/>
                <w:sz w:val="16"/>
                <w:szCs w:val="16"/>
                <w:color w:val="0000FF"/>
                <w:w w:val="83"/>
              </w:rPr>
            </w:pPr>
            <w:hyperlink w:anchor="page13">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2</w:t>
              </w:r>
            </w:hyperlink>
          </w:p>
        </w:tc>
        <w:tc>
          <w:tcPr>
            <w:tcW w:w="1260" w:type="dxa"/>
            <w:vAlign w:val="bottom"/>
          </w:tcPr>
          <w:p>
            <w:pPr>
              <w:spacing w:after="0"/>
              <w:rPr>
                <w:sz w:val="19"/>
                <w:szCs w:val="19"/>
                <w:color w:val="auto"/>
              </w:rPr>
            </w:pPr>
          </w:p>
        </w:tc>
        <w:tc>
          <w:tcPr>
            <w:tcW w:w="9880" w:type="dxa"/>
            <w:vAlign w:val="bottom"/>
            <w:gridSpan w:val="4"/>
          </w:tcPr>
          <w:p>
            <w:pPr>
              <w:ind w:left="760"/>
              <w:spacing w:after="0"/>
              <w:rPr>
                <w:rFonts w:ascii="Arial" w:cs="Arial" w:eastAsia="Arial" w:hAnsi="Arial"/>
                <w:sz w:val="16"/>
                <w:szCs w:val="16"/>
                <w:color w:val="0000FF"/>
              </w:rPr>
            </w:pPr>
            <w:hyperlink w:anchor="page13">
              <w:r>
                <w:rPr>
                  <w:rFonts w:ascii="Arial" w:cs="Arial" w:eastAsia="Arial" w:hAnsi="Arial"/>
                  <w:sz w:val="16"/>
                  <w:szCs w:val="16"/>
                  <w:color w:val="0000FF"/>
                </w:rPr>
                <w:t>Presentation materials for October 20, 2017 conference call</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bl>
    <w:p>
      <w:pPr>
        <w:sectPr>
          <w:pgSz w:w="11900" w:h="16838" w:orient="portrait"/>
          <w:cols w:equalWidth="0" w:num="1">
            <w:col w:w="11440"/>
          </w:cols>
          <w:pgMar w:left="240" w:top="91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80135" cy="589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 McGinnis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+1.414.906.7977</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3</w:t>
      </w:r>
      <w:r>
        <w:rPr>
          <w:rFonts w:ascii="Arial" w:cs="Arial" w:eastAsia="Arial" w:hAnsi="Arial"/>
          <w:sz w:val="25"/>
          <w:szCs w:val="25"/>
          <w:b w:val="1"/>
          <w:bCs w:val="1"/>
          <w:color w:val="auto"/>
          <w:vertAlign w:val="superscript"/>
        </w:rPr>
        <w:t>rd</w:t>
      </w:r>
      <w:r>
        <w:rPr>
          <w:rFonts w:ascii="Arial" w:cs="Arial" w:eastAsia="Arial" w:hAnsi="Arial"/>
          <w:sz w:val="19"/>
          <w:szCs w:val="19"/>
          <w:b w:val="1"/>
          <w:bCs w:val="1"/>
          <w:color w:val="auto"/>
        </w:rPr>
        <w:t xml:space="preserve"> Quarter 2017 Results</w:t>
      </w:r>
    </w:p>
    <w:p>
      <w:pPr>
        <w:spacing w:after="0" w:line="175" w:lineRule="exact"/>
        <w:rPr>
          <w:sz w:val="20"/>
          <w:szCs w:val="20"/>
          <w:color w:val="auto"/>
        </w:rPr>
      </w:pPr>
    </w:p>
    <w:p>
      <w:pPr>
        <w:ind w:right="100"/>
        <w:spacing w:after="0" w:line="365" w:lineRule="auto"/>
        <w:rPr>
          <w:sz w:val="20"/>
          <w:szCs w:val="20"/>
          <w:color w:val="auto"/>
        </w:rPr>
      </w:pPr>
      <w:r>
        <w:rPr>
          <w:rFonts w:ascii="Arial" w:cs="Arial" w:eastAsia="Arial" w:hAnsi="Arial"/>
          <w:sz w:val="18"/>
          <w:szCs w:val="18"/>
          <w:b w:val="1"/>
          <w:bCs w:val="1"/>
          <w:color w:val="auto"/>
        </w:rPr>
        <w:t xml:space="preserve">MILWAUKEE, October 20, 2017 -- </w:t>
      </w:r>
      <w:r>
        <w:rPr>
          <w:rFonts w:ascii="Arial" w:cs="Arial" w:eastAsia="Arial" w:hAnsi="Arial"/>
          <w:sz w:val="18"/>
          <w:szCs w:val="18"/>
          <w:color w:val="auto"/>
        </w:rPr>
        <w:t>ManpowerGroup (NYSE: MAN) today reported that net earnings per diluted share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2017 were $2.04 compared to $1.87 in the prior year period. Net earnings in the quarter were $137.7 million compared to $129.2 million a year earlier. Revenues for the third quarter were $5.5 billion, an increase of 7% from the year earlier period.</w:t>
      </w:r>
    </w:p>
    <w:p>
      <w:pPr>
        <w:spacing w:after="0" w:line="175" w:lineRule="exact"/>
        <w:rPr>
          <w:sz w:val="20"/>
          <w:szCs w:val="20"/>
          <w:color w:val="auto"/>
        </w:rPr>
      </w:pPr>
    </w:p>
    <w:p>
      <w:pPr>
        <w:jc w:val="both"/>
        <w:ind w:right="220" w:firstLine="579"/>
        <w:spacing w:after="0" w:line="352" w:lineRule="auto"/>
        <w:rPr>
          <w:sz w:val="20"/>
          <w:szCs w:val="20"/>
          <w:color w:val="auto"/>
        </w:rPr>
      </w:pPr>
      <w:r>
        <w:rPr>
          <w:rFonts w:ascii="Arial" w:cs="Arial" w:eastAsia="Arial" w:hAnsi="Arial"/>
          <w:sz w:val="18"/>
          <w:szCs w:val="18"/>
          <w:color w:val="auto"/>
        </w:rPr>
        <w:t>Financial results in the quarter were impacted by stronger foreign currencies relative to the U.S. dollar compared to the prior year period. On a constant currency basis, revenues increased 4% and net earnings per diluted share increased 6%. Earnings per share in the quarter were positively impacted 6 cents by changes in foreign currencies compared to the prior year.</w:t>
      </w:r>
    </w:p>
    <w:p>
      <w:pPr>
        <w:spacing w:after="0" w:line="187" w:lineRule="exact"/>
        <w:rPr>
          <w:sz w:val="20"/>
          <w:szCs w:val="20"/>
          <w:color w:val="auto"/>
        </w:rPr>
      </w:pPr>
    </w:p>
    <w:p>
      <w:pPr>
        <w:jc w:val="both"/>
        <w:ind w:right="240" w:firstLine="579"/>
        <w:spacing w:after="0" w:line="351" w:lineRule="auto"/>
        <w:rPr>
          <w:sz w:val="20"/>
          <w:szCs w:val="20"/>
          <w:color w:val="auto"/>
        </w:rPr>
      </w:pPr>
      <w:r>
        <w:rPr>
          <w:rFonts w:ascii="Arial" w:cs="Arial" w:eastAsia="Arial" w:hAnsi="Arial"/>
          <w:sz w:val="18"/>
          <w:szCs w:val="18"/>
          <w:color w:val="auto"/>
        </w:rPr>
        <w:t xml:space="preserve">Jonas Prising, ManpowerGroup Chairman &amp; CEO, said, </w:t>
      </w:r>
      <w:r>
        <w:rPr>
          <w:rFonts w:ascii="Arial" w:cs="Arial" w:eastAsia="Arial" w:hAnsi="Arial"/>
          <w:sz w:val="18"/>
          <w:szCs w:val="18"/>
          <w:color w:val="0070C0"/>
        </w:rPr>
        <w:t>“</w:t>
      </w:r>
      <w:r>
        <w:rPr>
          <w:rFonts w:ascii="Arial" w:cs="Arial" w:eastAsia="Arial" w:hAnsi="Arial"/>
          <w:sz w:val="18"/>
          <w:szCs w:val="18"/>
          <w:color w:val="auto"/>
        </w:rPr>
        <w:t>We made good progress with solid results in the third quarter and we are well positioned to finish 2017 with strong performance. Our market-leading global footprint and extensive portfolio of workforce solutions continue to resonate well with our clients and candidates. We expect the broad-based global improvement in both employer hiring intentions and economic growth to provide us with good opportunities for continued profitable growth.</w:t>
      </w:r>
    </w:p>
    <w:p>
      <w:pPr>
        <w:spacing w:after="0" w:line="381" w:lineRule="exact"/>
        <w:rPr>
          <w:sz w:val="20"/>
          <w:szCs w:val="20"/>
          <w:color w:val="auto"/>
        </w:rPr>
      </w:pPr>
    </w:p>
    <w:p>
      <w:pPr>
        <w:ind w:right="340"/>
        <w:spacing w:after="0" w:line="355" w:lineRule="auto"/>
        <w:rPr>
          <w:sz w:val="20"/>
          <w:szCs w:val="20"/>
          <w:color w:val="auto"/>
        </w:rPr>
      </w:pPr>
      <w:r>
        <w:rPr>
          <w:rFonts w:ascii="Arial" w:cs="Arial" w:eastAsia="Arial" w:hAnsi="Arial"/>
          <w:sz w:val="18"/>
          <w:szCs w:val="18"/>
          <w:color w:val="auto"/>
        </w:rPr>
        <w:t>“We are anticipating the fourth quarter of 2017 diluted net earnings per share to be in the range of $2.01 to $2.09, which includes an estimated favorable currency impact of 12 cents,” Prising stated.</w:t>
      </w:r>
    </w:p>
    <w:p>
      <w:pPr>
        <w:spacing w:after="0" w:line="184" w:lineRule="exact"/>
        <w:rPr>
          <w:sz w:val="20"/>
          <w:szCs w:val="20"/>
          <w:color w:val="auto"/>
        </w:rPr>
      </w:pPr>
    </w:p>
    <w:p>
      <w:pPr>
        <w:jc w:val="both"/>
        <w:ind w:right="140" w:firstLine="579"/>
        <w:spacing w:after="0" w:line="352" w:lineRule="auto"/>
        <w:rPr>
          <w:sz w:val="20"/>
          <w:szCs w:val="20"/>
          <w:color w:val="auto"/>
        </w:rPr>
      </w:pPr>
      <w:r>
        <w:rPr>
          <w:rFonts w:ascii="Arial" w:cs="Arial" w:eastAsia="Arial" w:hAnsi="Arial"/>
          <w:sz w:val="18"/>
          <w:szCs w:val="18"/>
          <w:color w:val="auto"/>
        </w:rPr>
        <w:t>Net earnings for the nine months ended September 30, 2017 were $329.1 million, or $4.84 per diluted share compared to net earnings of $316.3 million, or $4.42 per diluted share in the prior year. The year to date period included restructuring costs which reduced earnings per share by 41 cents and discrete income tax benefits in the first quarter which increased earnings per share by 19</w:t>
      </w:r>
    </w:p>
    <w:p>
      <w:pPr>
        <w:sectPr>
          <w:pgSz w:w="11900" w:h="16838" w:orient="portrait"/>
          <w:cols w:equalWidth="0" w:num="1">
            <w:col w:w="11440"/>
          </w:cols>
          <w:pgMar w:left="240" w:top="533" w:right="219" w:bottom="1440" w:gutter="0" w:footer="0" w:header="0"/>
        </w:sectPr>
      </w:pPr>
    </w:p>
    <w:bookmarkStart w:id="5" w:name="page6"/>
    <w:bookmarkEnd w:id="5"/>
    <w:p>
      <w:pPr>
        <w:ind w:right="540"/>
        <w:spacing w:after="0" w:line="355" w:lineRule="auto"/>
        <w:rPr>
          <w:sz w:val="20"/>
          <w:szCs w:val="20"/>
          <w:color w:val="auto"/>
        </w:rPr>
      </w:pPr>
      <w:r>
        <w:rPr>
          <w:rFonts w:ascii="Arial" w:cs="Arial" w:eastAsia="Arial" w:hAnsi="Arial"/>
          <w:sz w:val="18"/>
          <w:szCs w:val="18"/>
          <w:color w:val="auto"/>
        </w:rPr>
        <w:t>cents. Revenues for the nine-month period were $15.4 billion, an increase of 5% from the prior year in reported U.S. dollars and in constant currency. Foreign currency exchange rates had no impact on earnings per share for the nine-month period in 2017.</w:t>
      </w:r>
    </w:p>
    <w:p>
      <w:pPr>
        <w:spacing w:after="0" w:line="184" w:lineRule="exact"/>
        <w:rPr>
          <w:sz w:val="20"/>
          <w:szCs w:val="20"/>
          <w:color w:val="auto"/>
        </w:rPr>
      </w:pPr>
    </w:p>
    <w:p>
      <w:pPr>
        <w:ind w:right="240" w:firstLine="579"/>
        <w:spacing w:after="0" w:line="352" w:lineRule="auto"/>
        <w:rPr>
          <w:sz w:val="20"/>
          <w:szCs w:val="20"/>
          <w:color w:val="auto"/>
        </w:rPr>
      </w:pPr>
      <w:r>
        <w:rPr>
          <w:rFonts w:ascii="Arial" w:cs="Arial" w:eastAsia="Arial" w:hAnsi="Arial"/>
          <w:sz w:val="18"/>
          <w:szCs w:val="18"/>
          <w:color w:val="auto"/>
        </w:rPr>
        <w:t xml:space="preserve">In conjunction with its third quarter earnings release, ManpowerGroup will broadcast its conference call live over the Internet on October 20, 2017 at 7:30 a.m. CDT (8:30 a.m. EDT). Interested parties are invited to listen to the webcast and view the presentation by logging on to </w:t>
      </w:r>
      <w:r>
        <w:rPr>
          <w:rFonts w:ascii="Arial" w:cs="Arial" w:eastAsia="Arial" w:hAnsi="Arial"/>
          <w:sz w:val="18"/>
          <w:szCs w:val="18"/>
          <w:u w:val="single" w:color="auto"/>
          <w:color w:val="0000FF"/>
        </w:rPr>
        <w:t>http://investor.manpowergroup.com/</w:t>
      </w:r>
      <w:r>
        <w:rPr>
          <w:rFonts w:ascii="Arial" w:cs="Arial" w:eastAsia="Arial" w:hAnsi="Arial"/>
          <w:sz w:val="18"/>
          <w:szCs w:val="18"/>
          <w:color w:val="0000FF"/>
        </w:rPr>
        <w:t xml:space="preserve"> </w:t>
      </w:r>
      <w:r>
        <w:rPr>
          <w:rFonts w:ascii="Arial" w:cs="Arial" w:eastAsia="Arial" w:hAnsi="Arial"/>
          <w:sz w:val="18"/>
          <w:szCs w:val="18"/>
          <w:color w:val="000000"/>
        </w:rPr>
        <w:t>in the section titled “Investor Relations.”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over 400,000 clients and connect 3+ million people to meaningful, sustainable work across a wide range of industries and skills. Our expert family of brands - Manpower®, Experis®, Right Management® and ManpowerGroup® Solutions - creates substantially more value for candidates and clients across 80 countries and territories and has done so for nearly 70 years. In 2017, ManpowerGroup was named one of the World's Most Ethical Companies for the seventh consecutive year and one of Fortune's Most Admired Companies, confirming our position as the most trusted and admired brand in the industry. See how ManpowerGroup is powering the future of work: </w:t>
      </w:r>
      <w:r>
        <w:rPr>
          <w:rFonts w:ascii="Arial" w:cs="Arial" w:eastAsia="Arial" w:hAnsi="Arial"/>
          <w:sz w:val="16"/>
          <w:szCs w:val="16"/>
          <w:u w:val="single" w:color="auto"/>
          <w:color w:val="1155CC"/>
        </w:rPr>
        <w:t>www.manpowergroup.com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2016, which information is incorporated herein by reference.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420"/>
          </w:cols>
          <w:pgMar w:left="240" w:top="595"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w w:val="93"/>
              </w:rPr>
              <w:t>Three Months Ended September 30</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2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5,464.8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5,088.2</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4,564.2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4,229.9</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7.9 %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858.3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672.7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647.2</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3.9 %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211.1</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-5.0 %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70.5</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12.4 %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129.2</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1.89</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9.0 %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68.4</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-2.4 %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69.0</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-2.1 %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500" w:firstLine="2"/>
        <w:spacing w:after="0" w:line="265"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$6.4 million and $6.3 million for the three months ended September 30, 2017 and 2016, respectively. These fees are primarily based on revenues generated by the franchise offices, which were $272.9 million and $273.1 million for the three months ended September 30, 2017 and 2016, respectively.</w:t>
      </w:r>
    </w:p>
    <w:p>
      <w:pPr>
        <w:sectPr>
          <w:pgSz w:w="11900" w:h="16838" w:orient="portrait"/>
          <w:cols w:equalWidth="0" w:num="1">
            <w:col w:w="11260"/>
          </w:cols>
          <w:pgMar w:left="420" w:top="67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w w:val="94"/>
              </w:rPr>
              <w:t>Three Months Ended September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723.7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383.7</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4.7 %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1,107.4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1,277.8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299.0</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29.1 %</w:t>
            </w:r>
          </w:p>
        </w:tc>
        <w:tc>
          <w:tcPr>
            <w:tcW w:w="1060" w:type="dxa"/>
            <w:vAlign w:val="bottom"/>
          </w:tcPr>
          <w:p>
            <w:pPr>
              <w:jc w:val="right"/>
              <w:spacing w:after="0"/>
              <w:rPr>
                <w:sz w:val="20"/>
                <w:szCs w:val="20"/>
                <w:color w:val="auto"/>
              </w:rPr>
            </w:pPr>
            <w:r>
              <w:rPr>
                <w:rFonts w:ascii="Arial" w:cs="Arial" w:eastAsia="Arial" w:hAnsi="Arial"/>
                <w:sz w:val="16"/>
                <w:szCs w:val="16"/>
                <w:color w:val="auto"/>
              </w:rPr>
              <w:t>22.7 %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389.5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15.7 %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2,318.4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1,966.3</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17.9 %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12.0 %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1,300.1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665.4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650.9</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2.2 %</w:t>
            </w:r>
          </w:p>
        </w:tc>
        <w:tc>
          <w:tcPr>
            <w:tcW w:w="106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5,464.8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5,088.2</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7.4 %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14.9 %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13.2 %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18.4</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31.5 %</w:t>
            </w:r>
          </w:p>
        </w:tc>
        <w:tc>
          <w:tcPr>
            <w:tcW w:w="1060" w:type="dxa"/>
            <w:vAlign w:val="bottom"/>
          </w:tcPr>
          <w:p>
            <w:pPr>
              <w:jc w:val="right"/>
              <w:spacing w:after="0"/>
              <w:rPr>
                <w:sz w:val="20"/>
                <w:szCs w:val="20"/>
                <w:color w:val="auto"/>
              </w:rPr>
            </w:pPr>
            <w:r>
              <w:rPr>
                <w:rFonts w:ascii="Arial" w:cs="Arial" w:eastAsia="Arial" w:hAnsi="Arial"/>
                <w:sz w:val="16"/>
                <w:szCs w:val="16"/>
                <w:color w:val="auto"/>
              </w:rPr>
              <w:t>25.0 %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16.3 %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25.3</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7.8 %</w:t>
            </w:r>
          </w:p>
        </w:tc>
        <w:tc>
          <w:tcPr>
            <w:tcW w:w="106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240" w:hanging="9"/>
        <w:spacing w:after="0" w:line="26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$3.9 million and $4.1 million for the three months ended September 30, 2017 and 2016, respectively. These fees are primarily based on revenues generated by the franchise offices, which were $164.3 million and $179.8 million for the three months ended September 30, 2017 and 2016,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2"/>
            <w:shd w:val="clear" w:color="auto" w:fill="CCEEFF"/>
          </w:tcPr>
          <w:p>
            <w:pPr>
              <w:jc w:val="right"/>
              <w:ind w:right="3180"/>
              <w:spacing w:after="0"/>
              <w:rPr>
                <w:sz w:val="20"/>
                <w:szCs w:val="20"/>
                <w:color w:val="auto"/>
              </w:rPr>
            </w:pPr>
            <w:r>
              <w:rPr>
                <w:rFonts w:ascii="Arial" w:cs="Arial" w:eastAsia="Arial" w:hAnsi="Arial"/>
                <w:sz w:val="16"/>
                <w:szCs w:val="16"/>
                <w:color w:val="auto"/>
              </w:rPr>
              <w:t>—</w:t>
            </w: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w w:val="94"/>
              </w:rPr>
              <w:t>Nine Months Ended September 30</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2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78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15,396.8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14,698.0</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12,846.7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12,205.2</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5.3 %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2,492.8</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2,000.6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1,954.0</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2.4 %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538.8</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34.4</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5.1 %</w:t>
            </w:r>
          </w:p>
        </w:tc>
        <w:tc>
          <w:tcPr>
            <w:tcW w:w="104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513.3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504.4</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184.2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188.1</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-2.1 %</w:t>
            </w:r>
          </w:p>
        </w:tc>
        <w:tc>
          <w:tcPr>
            <w:tcW w:w="104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316.3</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4.46</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9.6 %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4.42</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70.9</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-5.1 %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71.6</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-5.0 %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380" w:hanging="9"/>
        <w:spacing w:after="0" w:line="265"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$17.5 million and $17.2 million for the nine months ended September 30, 2017 and 2016, respectively. These fees are primarily based on revenues generated by the franchise offices, which were $759.3 million and $762.1 million for the nine months ended September 30, 2017 and 2016, respectively.</w:t>
      </w:r>
    </w:p>
    <w:p>
      <w:pPr>
        <w:sectPr>
          <w:pgSz w:w="11900" w:h="16838" w:orient="portrait"/>
          <w:cols w:equalWidth="0" w:num="1">
            <w:col w:w="11240"/>
          </w:cols>
          <w:pgMar w:left="340" w:top="872"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w w:val="95"/>
              </w:rPr>
              <w:t>Nine Months Ended September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2,152.1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1,082.2</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6.4 %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7.5 %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3,144.6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3,234.3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3,608.8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861.9</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21.5 %</w:t>
            </w:r>
          </w:p>
        </w:tc>
        <w:tc>
          <w:tcPr>
            <w:tcW w:w="1060" w:type="dxa"/>
            <w:vAlign w:val="bottom"/>
          </w:tcPr>
          <w:p>
            <w:pPr>
              <w:jc w:val="right"/>
              <w:spacing w:after="0"/>
              <w:rPr>
                <w:sz w:val="20"/>
                <w:szCs w:val="20"/>
                <w:color w:val="auto"/>
              </w:rPr>
            </w:pPr>
            <w:r>
              <w:rPr>
                <w:rFonts w:ascii="Arial" w:cs="Arial" w:eastAsia="Arial" w:hAnsi="Arial"/>
                <w:sz w:val="16"/>
                <w:szCs w:val="16"/>
                <w:color w:val="auto"/>
              </w:rPr>
              <w:t>21.5 %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1,114.7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6,258.0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5,585.4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12.0 %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11.9 %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3,888.3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3,836.3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1,941.2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1,841.7</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5.4 %</w:t>
            </w:r>
          </w:p>
        </w:tc>
        <w:tc>
          <w:tcPr>
            <w:tcW w:w="1060" w:type="dxa"/>
            <w:vAlign w:val="bottom"/>
          </w:tcPr>
          <w:p>
            <w:pPr>
              <w:jc w:val="right"/>
              <w:spacing w:after="0"/>
              <w:rPr>
                <w:sz w:val="20"/>
                <w:szCs w:val="20"/>
                <w:color w:val="auto"/>
              </w:rPr>
            </w:pPr>
            <w:r>
              <w:rPr>
                <w:rFonts w:ascii="Arial" w:cs="Arial" w:eastAsia="Arial" w:hAnsi="Arial"/>
                <w:sz w:val="16"/>
                <w:szCs w:val="16"/>
                <w:color w:val="auto"/>
              </w:rPr>
              <w:t>5.5 %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15,396.8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14,698.0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4.8 %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5.1 %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143.2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57.3</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22.1 %</w:t>
            </w:r>
          </w:p>
        </w:tc>
        <w:tc>
          <w:tcPr>
            <w:tcW w:w="1060" w:type="dxa"/>
            <w:vAlign w:val="bottom"/>
          </w:tcPr>
          <w:p>
            <w:pPr>
              <w:jc w:val="right"/>
              <w:spacing w:after="0"/>
              <w:rPr>
                <w:sz w:val="20"/>
                <w:szCs w:val="20"/>
                <w:color w:val="auto"/>
              </w:rPr>
            </w:pPr>
            <w:r>
              <w:rPr>
                <w:rFonts w:ascii="Arial" w:cs="Arial" w:eastAsia="Arial" w:hAnsi="Arial"/>
                <w:sz w:val="16"/>
                <w:szCs w:val="16"/>
                <w:color w:val="auto"/>
              </w:rPr>
              <w:t>22.4 %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308.8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275.0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12.3 %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12.1 %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-24.6 %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66.8</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5.8 %</w:t>
            </w:r>
          </w:p>
        </w:tc>
        <w:tc>
          <w:tcPr>
            <w:tcW w:w="106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654.6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642.0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538.8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504.4</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140" w:hanging="9"/>
        <w:spacing w:after="0" w:line="265"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$11.0 million and $11.1 million for the nine months ended September 30, 2017 and 2016, respectively. These fees are primarily based on revenues generated by the franchise offices, which were $487.6 million and $511.5 million for the nine months ended September 30, 2017 and 2016,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 30</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2016</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5,181.0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4,413.1</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121.3</w:t>
            </w: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5,973.6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5,132.9</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1,322.0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1,239.9</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294.4</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843.7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759.7</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2,294.0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9" w:right="319" w:bottom="1440" w:gutter="0" w:footer="0" w:header="0"/>
        </w:sectPr>
      </w:pP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Land, buildings, leasehold improvements and equipment</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623.9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567.0</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469.6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419.7</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147.3</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8,581.7</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7,574.2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940" w:space="720"/>
            <w:col w:w="2580"/>
          </w:cols>
          <w:pgMar w:left="340" w:top="679"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LIABILITIES AND SHAREHOLDERS' EQUITY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1,914.4</w:t>
            </w: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208.1</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398.6</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707.2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649.2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39.8</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4,626.2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3,658.8</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785.6</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683.4</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1,469.0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3,227.2</w:t>
            </w: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2,558.2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2,291.3</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(426.1)</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(2,731.7)</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Arial" w:cs="Arial" w:eastAsia="Arial" w:hAnsi="Arial"/>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2,361.9</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84.5</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2,446.4</w:t>
            </w:r>
          </w:p>
        </w:tc>
      </w:tr>
      <w:tr>
        <w:trPr>
          <w:trHeight w:val="235"/>
        </w:trPr>
        <w:tc>
          <w:tcPr>
            <w:tcW w:w="8660" w:type="dxa"/>
            <w:vAlign w:val="bottom"/>
          </w:tcPr>
          <w:p>
            <w:pPr>
              <w:jc w:val="right"/>
              <w:ind w:right="544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8,581.7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7,574.2</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Nine Months Ended</w:t>
            </w: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center"/>
              <w:ind w:left="460"/>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80"/>
              <w:spacing w:after="0"/>
              <w:rPr>
                <w:sz w:val="20"/>
                <w:szCs w:val="20"/>
                <w:color w:val="auto"/>
              </w:rPr>
            </w:pPr>
            <w:r>
              <w:rPr>
                <w:rFonts w:ascii="Arial" w:cs="Arial" w:eastAsia="Arial" w:hAnsi="Arial"/>
                <w:sz w:val="16"/>
                <w:szCs w:val="16"/>
                <w:b w:val="1"/>
                <w:bCs w:val="1"/>
                <w:color w:val="auto"/>
                <w:w w:val="89"/>
              </w:rPr>
              <w:t>2016</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center"/>
              <w:ind w:left="460"/>
              <w:spacing w:after="0"/>
              <w:rPr>
                <w:sz w:val="20"/>
                <w:szCs w:val="20"/>
                <w:color w:val="auto"/>
              </w:rPr>
            </w:pPr>
            <w:r>
              <w:rPr>
                <w:rFonts w:ascii="Arial" w:cs="Arial" w:eastAsia="Arial" w:hAnsi="Arial"/>
                <w:sz w:val="16"/>
                <w:szCs w:val="16"/>
                <w:color w:val="auto"/>
                <w:w w:val="93"/>
              </w:rPr>
              <w:t>(Unaudited)</w:t>
            </w:r>
          </w:p>
        </w:tc>
        <w:tc>
          <w:tcPr>
            <w:tcW w:w="80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329.1</w:t>
            </w:r>
          </w:p>
        </w:tc>
        <w:tc>
          <w:tcPr>
            <w:tcW w:w="12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316.3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64.0</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14.5</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on exercise of share-based awards</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281.8</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287.5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402.5</w:t>
            </w:r>
          </w:p>
        </w:tc>
      </w:tr>
      <w:tr>
        <w:trPr>
          <w:trHeight w:val="20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17"/>
        </w:trPr>
        <w:tc>
          <w:tcPr>
            <w:tcW w:w="8800" w:type="dxa"/>
            <w:vAlign w:val="bottom"/>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the sale of investments,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of contingent consideration for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Proceeds from share-based awards and other equity transactions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share-based award transactions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(537.6)</w:t>
            </w: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r>
      <w:tr>
        <w:trPr>
          <w:trHeight w:val="235"/>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666.9</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503.1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9"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2019-12-29T04:01:56Z</dcterms:created>
  <dcterms:modified xsi:type="dcterms:W3CDTF">2019-12-29T04:01:56Z</dcterms:modified>
</cp:coreProperties>
</file>