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20, 2021</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gridSpan w:val="3"/>
          </w:tcPr>
          <w:p>
            <w:pPr>
              <w:jc w:val="right"/>
              <w:ind w:right="1500"/>
              <w:spacing w:after="0"/>
              <w:rPr>
                <w:sz w:val="20"/>
                <w:szCs w:val="20"/>
                <w:color w:val="auto"/>
              </w:rPr>
            </w:pPr>
            <w:r>
              <w:rPr>
                <w:rFonts w:ascii="Arial" w:cs="Arial" w:eastAsia="Arial" w:hAnsi="Arial"/>
                <w:sz w:val="18"/>
                <w:szCs w:val="18"/>
                <w:b w:val="1"/>
                <w:bCs w:val="1"/>
                <w:color w:val="auto"/>
              </w:rPr>
              <w:t>1-10686</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39-1672779</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(IRS Employer Identification No.)</w:t>
            </w:r>
          </w:p>
        </w:tc>
      </w:tr>
      <w:tr>
        <w:trPr>
          <w:trHeight w:val="328"/>
        </w:trPr>
        <w:tc>
          <w:tcPr>
            <w:tcW w:w="44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1"/>
              </w:rPr>
              <w:t>100 Manpower Place</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440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1"/>
              </w:rPr>
              <w:t>Milwaukee, Wisconsin</w:t>
            </w:r>
          </w:p>
        </w:tc>
        <w:tc>
          <w:tcPr>
            <w:tcW w:w="10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53212</w:t>
            </w:r>
          </w:p>
        </w:tc>
      </w:tr>
      <w:tr>
        <w:trPr>
          <w:trHeight w:val="228"/>
        </w:trPr>
        <w:tc>
          <w:tcPr>
            <w:tcW w:w="44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b w:val="1"/>
                <w:bCs w:val="1"/>
                <w:color w:val="auto"/>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20, 2021, we issued a press release announcing our results of operations for the three months ended March 31, 2021.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252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April 20, 2021</w:t>
              </w:r>
            </w:hyperlink>
          </w:p>
        </w:tc>
        <w:tc>
          <w:tcPr>
            <w:tcW w:w="7360" w:type="dxa"/>
            <w:vAlign w:val="bottom"/>
            <w:tcBorders>
              <w:top w:val="single" w:sz="8" w:color="auto"/>
            </w:tcBorders>
            <w:gridSpan w:val="2"/>
          </w:tcPr>
          <w:p>
            <w:pPr>
              <w:spacing w:after="0"/>
              <w:rPr>
                <w:sz w:val="14"/>
                <w:szCs w:val="14"/>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7"/>
                <w:szCs w:val="17"/>
                <w:color w:val="auto"/>
              </w:rPr>
            </w:pPr>
          </w:p>
        </w:tc>
        <w:tc>
          <w:tcPr>
            <w:tcW w:w="9880" w:type="dxa"/>
            <w:vAlign w:val="bottom"/>
            <w:gridSpan w:val="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Presentation materials for April 20, 2021 Conference Call</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627"/>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5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MANPOWERGROUP INC.</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Dated:   April 20, 2021</w:t>
            </w:r>
          </w:p>
        </w:tc>
        <w:tc>
          <w:tcPr>
            <w:tcW w:w="820" w:type="dxa"/>
            <w:vAlign w:val="bottom"/>
          </w:tcPr>
          <w:p>
            <w:pPr>
              <w:ind w:left="120"/>
              <w:spacing w:after="0"/>
              <w:rPr>
                <w:sz w:val="20"/>
                <w:szCs w:val="20"/>
                <w:color w:val="auto"/>
              </w:rPr>
            </w:pPr>
            <w:r>
              <w:rPr>
                <w:rFonts w:ascii="Arial" w:cs="Arial" w:eastAsia="Arial" w:hAnsi="Arial"/>
                <w:sz w:val="18"/>
                <w:szCs w:val="18"/>
                <w:color w:val="auto"/>
              </w:rPr>
              <w:t>By:</w:t>
            </w:r>
          </w:p>
        </w:tc>
        <w:tc>
          <w:tcPr>
            <w:tcW w:w="5100" w:type="dxa"/>
            <w:vAlign w:val="bottom"/>
          </w:tcPr>
          <w:p>
            <w:pPr>
              <w:ind w:left="60"/>
              <w:spacing w:after="0"/>
              <w:rPr>
                <w:sz w:val="20"/>
                <w:szCs w:val="20"/>
                <w:color w:val="auto"/>
              </w:rPr>
            </w:pPr>
            <w:r>
              <w:rPr>
                <w:rFonts w:ascii="Arial" w:cs="Arial" w:eastAsia="Arial" w:hAnsi="Arial"/>
                <w:sz w:val="18"/>
                <w:szCs w:val="18"/>
                <w:color w:val="auto"/>
              </w:rPr>
              <w:t>/s/ John T. McGinnis</w:t>
            </w:r>
          </w:p>
        </w:tc>
      </w:tr>
      <w:tr>
        <w:trPr>
          <w:trHeight w:val="195"/>
        </w:trPr>
        <w:tc>
          <w:tcPr>
            <w:tcW w:w="740" w:type="dxa"/>
            <w:vAlign w:val="bottom"/>
          </w:tcPr>
          <w:p>
            <w:pPr>
              <w:spacing w:after="0"/>
              <w:rPr>
                <w:sz w:val="16"/>
                <w:szCs w:val="16"/>
                <w:color w:val="auto"/>
              </w:rPr>
            </w:pPr>
          </w:p>
        </w:tc>
        <w:tc>
          <w:tcPr>
            <w:tcW w:w="4580" w:type="dxa"/>
            <w:vAlign w:val="bottom"/>
            <w:tcBorders>
              <w:top w:val="single" w:sz="8" w:color="auto"/>
            </w:tcBorders>
          </w:tcPr>
          <w:p>
            <w:pPr>
              <w:spacing w:after="0"/>
              <w:rPr>
                <w:sz w:val="16"/>
                <w:szCs w:val="16"/>
                <w:color w:val="auto"/>
              </w:rPr>
            </w:pPr>
          </w:p>
        </w:tc>
        <w:tc>
          <w:tcPr>
            <w:tcW w:w="82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T. McGinnis</w:t>
            </w:r>
          </w:p>
        </w:tc>
      </w:tr>
      <w:tr>
        <w:trPr>
          <w:trHeight w:val="216"/>
        </w:trPr>
        <w:tc>
          <w:tcPr>
            <w:tcW w:w="7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Title:</w:t>
            </w:r>
          </w:p>
        </w:tc>
        <w:tc>
          <w:tcPr>
            <w:tcW w:w="5100" w:type="dxa"/>
            <w:vAlign w:val="bottom"/>
          </w:tcPr>
          <w:p>
            <w:pPr>
              <w:ind w:left="6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6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525905"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6"/>
          <w:szCs w:val="16"/>
          <w:b w:val="1"/>
          <w:bCs w:val="1"/>
          <w:color w:val="auto"/>
        </w:rPr>
        <w:t>Contact: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Jack McGinnis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+1.414.906.7977</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0000FF"/>
        </w:rPr>
        <w:t>jack.mcginnis@manpowergroup.com</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ManpowerGroup Reports 1st Quarter 2021 Results</w:t>
      </w:r>
    </w:p>
    <w:p>
      <w:pPr>
        <w:spacing w:after="0" w:line="262" w:lineRule="exact"/>
        <w:rPr>
          <w:sz w:val="20"/>
          <w:szCs w:val="20"/>
          <w:color w:val="auto"/>
        </w:rPr>
      </w:pPr>
    </w:p>
    <w:p>
      <w:pPr>
        <w:ind w:left="580" w:hanging="38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7% revenue increase in the quarter (1% increase on a constant currency basis)</w:t>
      </w:r>
    </w:p>
    <w:p>
      <w:pPr>
        <w:spacing w:after="0" w:line="13" w:lineRule="exact"/>
        <w:rPr>
          <w:rFonts w:ascii="Arial" w:cs="Arial" w:eastAsia="Arial" w:hAnsi="Arial"/>
          <w:sz w:val="20"/>
          <w:szCs w:val="20"/>
          <w:color w:val="auto"/>
        </w:rPr>
      </w:pPr>
    </w:p>
    <w:p>
      <w:pPr>
        <w:ind w:left="580" w:hanging="383"/>
        <w:spacing w:after="0" w:line="225"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All three of our brands experienced sequential quarterly improvement in year-over-year revenues, led by Manpower and Talent Solutions both with growth in the quarter and Experis with ongoing improvement in the revenue trend</w:t>
      </w:r>
    </w:p>
    <w:p>
      <w:pPr>
        <w:ind w:left="580" w:hanging="383"/>
        <w:spacing w:after="0" w:line="225"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profit of $98 million in the quarter, a reported increase of 161% year-over-year (8% increase in constant currency excluding restructuring charges in the prior year)</w:t>
      </w:r>
    </w:p>
    <w:p>
      <w:pPr>
        <w:ind w:left="580" w:hanging="38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$100 million of common stock repurchased during the quarter</w:t>
      </w:r>
    </w:p>
    <w:p>
      <w:pPr>
        <w:spacing w:after="0" w:line="13" w:lineRule="exact"/>
        <w:rPr>
          <w:rFonts w:ascii="Arial" w:cs="Arial" w:eastAsia="Arial" w:hAnsi="Arial"/>
          <w:sz w:val="20"/>
          <w:szCs w:val="20"/>
          <w:color w:val="auto"/>
        </w:rPr>
      </w:pPr>
    </w:p>
    <w:p>
      <w:pPr>
        <w:ind w:left="580" w:hanging="383"/>
        <w:spacing w:after="0" w:line="236"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Accounts receivable collection trend improving further, ended the quarter with almost four days of DSO improvement year-over-year</w:t>
      </w:r>
    </w:p>
    <w:p>
      <w:pPr>
        <w:spacing w:after="0" w:line="38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MILWAUKEE, April 20, 2021 -- </w:t>
      </w:r>
      <w:r>
        <w:rPr>
          <w:rFonts w:ascii="Arial" w:cs="Arial" w:eastAsia="Arial" w:hAnsi="Arial"/>
          <w:sz w:val="20"/>
          <w:szCs w:val="20"/>
          <w:color w:val="auto"/>
        </w:rPr>
        <w:t>ManpowerGroup (NYSE: MAN) today reported net earnings of $1.11 per diluted share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three months ended March 31, 2021 compared to $0.03 per diluted share in the prior year period. Net earnings in the quarter were $62.0 million compared to $1.7 million a year earlier. Revenues for the first quarter were $4.9 billion, a 7% increase from the prior year period.</w:t>
      </w:r>
    </w:p>
    <w:p>
      <w:pPr>
        <w:spacing w:after="0" w:line="3" w:lineRule="exact"/>
        <w:rPr>
          <w:sz w:val="20"/>
          <w:szCs w:val="20"/>
          <w:color w:val="auto"/>
        </w:rPr>
      </w:pPr>
    </w:p>
    <w:p>
      <w:pPr>
        <w:jc w:val="both"/>
        <w:ind w:firstLine="664"/>
        <w:spacing w:after="0" w:line="225" w:lineRule="auto"/>
        <w:rPr>
          <w:sz w:val="20"/>
          <w:szCs w:val="20"/>
          <w:color w:val="auto"/>
        </w:rPr>
      </w:pPr>
      <w:r>
        <w:rPr>
          <w:rFonts w:ascii="Arial" w:cs="Arial" w:eastAsia="Arial" w:hAnsi="Arial"/>
          <w:sz w:val="20"/>
          <w:szCs w:val="20"/>
          <w:color w:val="auto"/>
        </w:rPr>
        <w:t>Financial results in the quarter were also impacted by the weaker U.S. dollar relative to foreign currencies compared to the prior year period. Earnings per share in the quarter were positively impacted by 6 cents due to changes in foreign currencies compared to the prior year. On a constant currency basis, revenues increased 1% compared to the prior year period. Excluding the prior year impacts of restructuring costs and a pension settlement charge, on a constant currency basis, net earnings per diluted share increased 28% during the quarter.</w:t>
      </w:r>
    </w:p>
    <w:p>
      <w:pPr>
        <w:spacing w:after="0" w:line="2" w:lineRule="exact"/>
        <w:rPr>
          <w:sz w:val="20"/>
          <w:szCs w:val="20"/>
          <w:color w:val="auto"/>
        </w:rPr>
      </w:pPr>
    </w:p>
    <w:p>
      <w:pPr>
        <w:jc w:val="both"/>
        <w:ind w:firstLine="777"/>
        <w:spacing w:after="0" w:line="236" w:lineRule="auto"/>
        <w:rPr>
          <w:sz w:val="20"/>
          <w:szCs w:val="20"/>
          <w:color w:val="auto"/>
        </w:rPr>
      </w:pPr>
      <w:r>
        <w:rPr>
          <w:rFonts w:ascii="Arial" w:cs="Arial" w:eastAsia="Arial" w:hAnsi="Arial"/>
          <w:sz w:val="20"/>
          <w:szCs w:val="20"/>
          <w:color w:val="auto"/>
        </w:rPr>
        <w:t>Days Sales Outstanding improved by 3.7 days year over year reflecting our continued focus on collections and working capital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777"/>
        <w:spacing w:after="0" w:line="225" w:lineRule="auto"/>
        <w:rPr>
          <w:sz w:val="20"/>
          <w:szCs w:val="20"/>
          <w:color w:val="auto"/>
        </w:rPr>
      </w:pPr>
      <w:r>
        <w:rPr>
          <w:rFonts w:ascii="Arial" w:cs="Arial" w:eastAsia="Arial" w:hAnsi="Arial"/>
          <w:sz w:val="20"/>
          <w:szCs w:val="20"/>
          <w:color w:val="auto"/>
        </w:rPr>
        <w:t>Jonas Prising, ManpowerGroup Chairman &amp; CEO, said, “Our first quarter results reflect a continuation of the global recovery coupled with a strong execution of our strategic initiatives. Despite increased restrictions in many key markets, we saw improving momentum for all of our brands. The combination of technology investments and our people-first approach is allowing us to confidently manage global uncertainty, deliver locally and collaborate remotely.</w:t>
      </w:r>
    </w:p>
    <w:p>
      <w:pPr>
        <w:spacing w:after="0" w:line="2" w:lineRule="exact"/>
        <w:rPr>
          <w:sz w:val="20"/>
          <w:szCs w:val="20"/>
          <w:color w:val="auto"/>
        </w:rPr>
      </w:pPr>
    </w:p>
    <w:p>
      <w:pPr>
        <w:jc w:val="both"/>
        <w:ind w:firstLine="790"/>
        <w:spacing w:after="0" w:line="225" w:lineRule="auto"/>
        <w:rPr>
          <w:sz w:val="20"/>
          <w:szCs w:val="20"/>
          <w:color w:val="auto"/>
        </w:rPr>
      </w:pPr>
      <w:r>
        <w:rPr>
          <w:rFonts w:ascii="Arial" w:cs="Arial" w:eastAsia="Arial" w:hAnsi="Arial"/>
          <w:sz w:val="20"/>
          <w:szCs w:val="20"/>
          <w:color w:val="auto"/>
          <w:highlight w:val="white"/>
        </w:rPr>
        <w:t xml:space="preserve">We are </w:t>
      </w:r>
      <w:r>
        <w:rPr>
          <w:rFonts w:ascii="Arial" w:cs="Arial" w:eastAsia="Arial" w:hAnsi="Arial"/>
          <w:sz w:val="20"/>
          <w:szCs w:val="20"/>
          <w:color w:val="auto"/>
        </w:rPr>
        <w:t>pleased with the progress made during the first quarter of 2021 and remain confident that our Diversification,</w:t>
      </w:r>
      <w:r>
        <w:rPr>
          <w:rFonts w:ascii="Arial" w:cs="Arial" w:eastAsia="Arial" w:hAnsi="Arial"/>
          <w:sz w:val="20"/>
          <w:szCs w:val="20"/>
          <w:color w:val="auto"/>
          <w:highlight w:val="white"/>
        </w:rPr>
        <w:t xml:space="preserve"> </w:t>
      </w:r>
      <w:r>
        <w:rPr>
          <w:rFonts w:ascii="Arial" w:cs="Arial" w:eastAsia="Arial" w:hAnsi="Arial"/>
          <w:sz w:val="20"/>
          <w:szCs w:val="20"/>
          <w:color w:val="auto"/>
        </w:rPr>
        <w:t>Digitization and Innovation initiatives are positioning ManpowerGroup for greater profitable growth in the future.</w:t>
      </w:r>
    </w:p>
    <w:p>
      <w:pPr>
        <w:spacing w:after="0" w:line="1" w:lineRule="exact"/>
        <w:rPr>
          <w:sz w:val="20"/>
          <w:szCs w:val="20"/>
          <w:color w:val="auto"/>
        </w:rPr>
      </w:pPr>
    </w:p>
    <w:p>
      <w:pPr>
        <w:jc w:val="both"/>
        <w:ind w:firstLine="790"/>
        <w:spacing w:after="0" w:line="225" w:lineRule="auto"/>
        <w:rPr>
          <w:sz w:val="20"/>
          <w:szCs w:val="20"/>
          <w:color w:val="auto"/>
        </w:rPr>
      </w:pPr>
      <w:r>
        <w:rPr>
          <w:rFonts w:ascii="Arial" w:cs="Arial" w:eastAsia="Arial" w:hAnsi="Arial"/>
          <w:sz w:val="20"/>
          <w:szCs w:val="20"/>
          <w:color w:val="auto"/>
        </w:rPr>
        <w:t>We anticipate diluted earnings per share in the second quarter will be between $1.36 and $1.44, which includes an estimated favorable currency impact of 10 cents.”</w:t>
      </w:r>
    </w:p>
    <w:p>
      <w:pPr>
        <w:spacing w:after="0" w:line="1" w:lineRule="exact"/>
        <w:rPr>
          <w:sz w:val="20"/>
          <w:szCs w:val="20"/>
          <w:color w:val="auto"/>
        </w:rPr>
      </w:pPr>
    </w:p>
    <w:p>
      <w:pPr>
        <w:jc w:val="both"/>
        <w:ind w:firstLine="776"/>
        <w:spacing w:after="0" w:line="230" w:lineRule="auto"/>
        <w:rPr>
          <w:sz w:val="20"/>
          <w:szCs w:val="20"/>
          <w:color w:val="auto"/>
        </w:rPr>
      </w:pPr>
      <w:r>
        <w:rPr>
          <w:rFonts w:ascii="Arial" w:cs="Arial" w:eastAsia="Arial" w:hAnsi="Arial"/>
          <w:sz w:val="20"/>
          <w:szCs w:val="20"/>
          <w:color w:val="auto"/>
        </w:rPr>
        <w:t xml:space="preserve">In conjunction with its first quarter earnings release, ManpowerGroup will broadcast its conference call live over the Internet on April 20, 2021 at 7:30 a.m. CST (8:30 a.m. EST). Prepared remarks for the conference call are included within the Investor Relations section of our website at manpowergroup.com. Interested parties are invited to listen to the webcast and view the presentation by logging on to </w:t>
      </w:r>
      <w:r>
        <w:rPr>
          <w:rFonts w:ascii="Arial" w:cs="Arial" w:eastAsia="Arial" w:hAnsi="Arial"/>
          <w:sz w:val="20"/>
          <w:szCs w:val="20"/>
          <w:u w:val="single" w:color="auto"/>
          <w:color w:val="0000FF"/>
        </w:rPr>
        <w:t>http://investor.manpowergroup.com/</w:t>
      </w:r>
      <w:r>
        <w:rPr>
          <w:rFonts w:ascii="Arial" w:cs="Arial" w:eastAsia="Arial" w:hAnsi="Arial"/>
          <w:sz w:val="20"/>
          <w:szCs w:val="20"/>
          <w:color w:val="auto"/>
        </w:rPr>
        <w:t xml:space="preserve"> in the section titled “Investor Relations.”</w:t>
      </w:r>
    </w:p>
    <w:p>
      <w:pPr>
        <w:spacing w:after="0" w:line="104" w:lineRule="exact"/>
        <w:rPr>
          <w:sz w:val="20"/>
          <w:szCs w:val="20"/>
          <w:color w:val="auto"/>
        </w:rPr>
      </w:pPr>
    </w:p>
    <w:p>
      <w:pPr>
        <w:jc w:val="both"/>
        <w:ind w:right="20" w:firstLine="774"/>
        <w:spacing w:after="0" w:line="236" w:lineRule="auto"/>
        <w:rPr>
          <w:sz w:val="20"/>
          <w:szCs w:val="20"/>
          <w:color w:val="auto"/>
        </w:rPr>
      </w:pPr>
      <w:r>
        <w:rPr>
          <w:rFonts w:ascii="Arial" w:cs="Arial" w:eastAsia="Arial" w:hAnsi="Arial"/>
          <w:sz w:val="20"/>
          <w:szCs w:val="20"/>
          <w:color w:val="auto"/>
        </w:rPr>
        <w:t xml:space="preserve">Supplemental financial information referenced in the conference call can be found at </w:t>
      </w:r>
      <w:r>
        <w:rPr>
          <w:rFonts w:ascii="Arial" w:cs="Arial" w:eastAsia="Arial" w:hAnsi="Arial"/>
          <w:sz w:val="20"/>
          <w:szCs w:val="20"/>
          <w:u w:val="single" w:color="auto"/>
          <w:color w:val="0000FF"/>
        </w:rPr>
        <w:t>http://investor.manpowergroup.com/</w:t>
      </w:r>
      <w:r>
        <w:rPr>
          <w:rFonts w:ascii="Arial" w:cs="Arial" w:eastAsia="Arial" w:hAnsi="Arial"/>
          <w:sz w:val="20"/>
          <w:szCs w:val="20"/>
          <w:color w:val="000000"/>
        </w:rPr>
        <w: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ManpowerGroup® (NYSE: </w:t>
      </w:r>
      <w:r>
        <w:rPr>
          <w:rFonts w:ascii="Arial" w:cs="Arial" w:eastAsia="Arial" w:hAnsi="Arial"/>
          <w:sz w:val="18"/>
          <w:szCs w:val="18"/>
          <w:u w:val="single" w:color="auto"/>
          <w:color w:val="auto"/>
        </w:rPr>
        <w:t>MAN</w:t>
      </w:r>
      <w:r>
        <w:rPr>
          <w:rFonts w:ascii="Arial" w:cs="Arial" w:eastAsia="Arial" w:hAnsi="Arial"/>
          <w:sz w:val="18"/>
          <w:szCs w:val="18"/>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w:t>
      </w:r>
      <w:r>
        <w:rPr>
          <w:rFonts w:ascii="Arial" w:cs="Arial" w:eastAsia="Arial" w:hAnsi="Arial"/>
          <w:sz w:val="15"/>
          <w:szCs w:val="15"/>
          <w:color w:val="auto"/>
        </w:rPr>
        <w:t>th</w:t>
      </w:r>
      <w:r>
        <w:rPr>
          <w:rFonts w:ascii="Arial" w:cs="Arial" w:eastAsia="Arial" w:hAnsi="Arial"/>
          <w:sz w:val="18"/>
          <w:szCs w:val="18"/>
          <w:color w:val="auto"/>
        </w:rPr>
        <w:t xml:space="preserve"> year - all confirming our position as the brand of choice for in-demand talent.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news release contains statements, including statements regarding economic uncertainty, the global recovery, financial outlook, the Company’s strategic initiatives and technology investments and its positioning for future growth, as well as the potential impacts of the COVID-19 pandemic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2020,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ManpowerGroup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3"/>
              </w:rPr>
              <w:t>Three Months Ended March 31</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 Variance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Constant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Reported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 (a)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4,619.1</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6.6%</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3,895.1</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6.7%</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160.9%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-73.6%</w:t>
            </w: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439.2%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99.3%</w:t>
            </w: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3562.0%</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3361.0%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3633.3%</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820" w:type="dxa"/>
            <w:vAlign w:val="bottom"/>
            <w:tcBorders>
              <w:bottom w:val="single" w:sz="8" w:color="CFF0FC"/>
            </w:tcBorders>
            <w:gridSpan w:val="2"/>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8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3600.0%</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-6.1%</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820" w:type="dxa"/>
            <w:vAlign w:val="bottom"/>
            <w:tcBorders>
              <w:bottom w:val="single" w:sz="8" w:color="CFF0FC"/>
            </w:tcBorders>
            <w:gridSpan w:val="2"/>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8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-5.7%</w:t>
            </w:r>
          </w:p>
        </w:tc>
        <w:tc>
          <w:tcPr>
            <w:tcW w:w="1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40" w:hanging="532"/>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from services include fees received from our franchise offices of $3.6 million and $3.3 million for the three months ended March 31, 2021 and 2020, respectively. These fees are primarily based on revenues generated by the franchise offices, which were $249.1 million and $82.3 million for the three months ended March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Operating Unit Results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3"/>
              </w:rPr>
              <w:t>Three Months Ended March 31</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 Variance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Constant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Reported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608.8</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1,011.0</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1,093.8</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360" w:type="dxa"/>
            <w:vAlign w:val="bottom"/>
          </w:tcPr>
          <w:p>
            <w:pPr>
              <w:ind w:left="50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327.7</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11.1%</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1,068.5</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5.5%</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4,619.1</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6.6%</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Unit Profit: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1164.4%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165.9%</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00"/>
              <w:spacing w:after="0"/>
              <w:rPr>
                <w:sz w:val="20"/>
                <w:szCs w:val="20"/>
                <w:color w:val="auto"/>
              </w:rPr>
            </w:pPr>
            <w:r>
              <w:rPr>
                <w:rFonts w:ascii="Arial" w:cs="Arial" w:eastAsia="Arial" w:hAnsi="Arial"/>
                <w:sz w:val="18"/>
                <w:szCs w:val="18"/>
                <w:color w:val="auto"/>
              </w:rPr>
              <w:t>France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37.2%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1184.5%</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38.5%</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w:t>
            </w: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160.9%</w:t>
            </w:r>
          </w:p>
        </w:tc>
        <w:tc>
          <w:tcPr>
            <w:tcW w:w="13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Interest and other expenses, net (b)</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right="220" w:hanging="532"/>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 fees received from our franchise offices of $3.1 million and $3.0 million for the three months ended March 31, 2021 and 2020, respectively. These fees are primarily based on revenues generated by the franchise offices, which were $117.5 million and $76.5 million for the three months ended March 31, 2021 and 2020, respectively.</w:t>
      </w:r>
    </w:p>
    <w:p>
      <w:pPr>
        <w:spacing w:after="0" w:line="4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components of interest and other expenses, net were: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1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7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7" w:name="page8"/>
    <w:bookmarkEnd w:id="7"/>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Consolidated Balance Sheets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Mar. 31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Dec.31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4"/>
          </w:tcPr>
          <w:p>
            <w:pPr>
              <w:jc w:val="right"/>
              <w:ind w:right="69"/>
              <w:spacing w:after="0"/>
              <w:rPr>
                <w:sz w:val="20"/>
                <w:szCs w:val="20"/>
                <w:color w:val="auto"/>
              </w:rPr>
            </w:pPr>
            <w:r>
              <w:rPr>
                <w:rFonts w:ascii="Arial" w:cs="Arial" w:eastAsia="Arial" w:hAnsi="Arial"/>
                <w:sz w:val="18"/>
                <w:szCs w:val="18"/>
                <w:color w:val="auto"/>
              </w:rPr>
              <w:t>(Unaudited)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1,522.7</w:t>
            </w:r>
          </w:p>
        </w:tc>
        <w:tc>
          <w:tcPr>
            <w:tcW w:w="3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69"/>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assets: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Land, buildings, leasehold improvements and equipment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property and equipment</w:t>
            </w:r>
          </w:p>
        </w:tc>
        <w:tc>
          <w:tcPr>
            <w:tcW w:w="1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9,230.7</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9,328.2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2,723.4</w:t>
            </w:r>
          </w:p>
        </w:tc>
        <w:tc>
          <w:tcPr>
            <w:tcW w:w="300" w:type="dxa"/>
            <w:vAlign w:val="bottom"/>
          </w:tcPr>
          <w:p>
            <w:pPr>
              <w:spacing w:after="0"/>
              <w:rPr>
                <w:sz w:val="19"/>
                <w:szCs w:val="19"/>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compensation payable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taxes and insurance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Value added taxes payable</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 and current maturities of long-term debt</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liabilities: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liabilities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(437.8)</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(4,058.9)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ManpowerGroup shareholders' equity</w:t>
            </w:r>
          </w:p>
        </w:tc>
        <w:tc>
          <w:tcPr>
            <w:tcW w:w="1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14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6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8" w:name="page9"/>
    <w:bookmarkEnd w:id="8"/>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8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b w:val="1"/>
                <w:bCs w:val="1"/>
                <w:color w:val="auto"/>
                <w:w w:val="94"/>
              </w:rPr>
              <w:t>March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center"/>
              <w:ind w:right="310"/>
              <w:spacing w:after="0"/>
              <w:rPr>
                <w:sz w:val="20"/>
                <w:szCs w:val="20"/>
                <w:color w:val="auto"/>
              </w:rPr>
            </w:pPr>
            <w:r>
              <w:rPr>
                <w:rFonts w:ascii="Arial" w:cs="Arial" w:eastAsia="Arial" w:hAnsi="Arial"/>
                <w:sz w:val="18"/>
                <w:szCs w:val="18"/>
                <w:color w:val="auto"/>
                <w:w w:val="93"/>
              </w:rPr>
              <w:t>(Unaudited)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earnings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operating lease right-of-use assets impairment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doubtful accounts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Share-based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(29.8)</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(230.6)</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Cash provided by operating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Acquisitions of businesses, net of cash acquired</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property and equipment</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Cash used in investing activities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Net change in short-term borrowings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long-term debt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Repayments of long-term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Payments of contingent consideration for acquisitions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Proceeds from share-based awards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share-based award transactions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Cash used in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(106.0)</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1,567.1</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1,025.8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1,522.7</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1,099.5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40"/>
          </w:cols>
          <w:pgMar w:left="320" w:top="571"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94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5095240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2021-04-20T06:47:20Z</dcterms:created>
  <dcterms:modified xsi:type="dcterms:W3CDTF">2021-04-20T06:47:20Z</dcterms:modified>
</cp:coreProperties>
</file>