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5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1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1159"/>
        <w:spacing w:after="0"/>
        <w:rPr>
          <w:sz w:val="20"/>
          <w:szCs w:val="20"/>
          <w:color w:val="auto"/>
        </w:rPr>
      </w:pPr>
      <w:r>
        <w:rPr>
          <w:rFonts w:ascii="Arial" w:cs="Arial" w:eastAsia="Arial" w:hAnsi="Arial"/>
          <w:sz w:val="27"/>
          <w:szCs w:val="27"/>
          <w:b w:val="1"/>
          <w:bCs w:val="1"/>
          <w:color w:val="auto"/>
        </w:rPr>
        <w:t>FORM 8-K</w:t>
      </w:r>
    </w:p>
    <w:p>
      <w:pPr>
        <w:spacing w:after="0" w:line="218"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ind w:right="-115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20" w:lineRule="exact"/>
        <w:rPr>
          <w:sz w:val="24"/>
          <w:szCs w:val="24"/>
          <w:color w:val="auto"/>
        </w:rPr>
      </w:pPr>
    </w:p>
    <w:p>
      <w:pPr>
        <w:jc w:val="center"/>
        <w:ind w:right="-1159"/>
        <w:spacing w:after="0"/>
        <w:rPr>
          <w:sz w:val="20"/>
          <w:szCs w:val="20"/>
          <w:color w:val="auto"/>
        </w:rPr>
      </w:pPr>
      <w:r>
        <w:rPr>
          <w:rFonts w:ascii="Arial" w:cs="Arial" w:eastAsia="Arial" w:hAnsi="Arial"/>
          <w:sz w:val="15"/>
          <w:szCs w:val="15"/>
          <w:color w:val="auto"/>
        </w:rPr>
        <w:t>Date of Report (Date of earliest event reported): October 20, 2010</w:t>
      </w:r>
    </w:p>
    <w:p>
      <w:pPr>
        <w:spacing w:after="0" w:line="190" w:lineRule="exact"/>
        <w:rPr>
          <w:sz w:val="24"/>
          <w:szCs w:val="24"/>
          <w:color w:val="auto"/>
        </w:rPr>
      </w:pPr>
    </w:p>
    <w:p>
      <w:pPr>
        <w:ind w:left="4160"/>
        <w:spacing w:after="0"/>
        <w:rPr>
          <w:sz w:val="20"/>
          <w:szCs w:val="20"/>
          <w:color w:val="auto"/>
        </w:rPr>
      </w:pPr>
      <w:r>
        <w:rPr>
          <w:rFonts w:ascii="Arial" w:cs="Arial" w:eastAsia="Arial" w:hAnsi="Arial"/>
          <w:sz w:val="37"/>
          <w:szCs w:val="37"/>
          <w:b w:val="1"/>
          <w:bCs w:val="1"/>
          <w:color w:val="auto"/>
        </w:rPr>
        <w:t>MANPOWER INC.</w:t>
      </w:r>
    </w:p>
    <w:p>
      <w:pPr>
        <w:spacing w:after="0" w:line="35" w:lineRule="exact"/>
        <w:rPr>
          <w:sz w:val="24"/>
          <w:szCs w:val="24"/>
          <w:color w:val="auto"/>
        </w:rPr>
      </w:pPr>
    </w:p>
    <w:p>
      <w:pPr>
        <w:ind w:left="414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60"/>
          </w:cols>
          <w:pgMar w:left="240" w:top="400" w:right="1399" w:bottom="1440" w:gutter="0" w:footer="0" w:header="0"/>
        </w:sectPr>
      </w:pPr>
    </w:p>
    <w:p>
      <w:pPr>
        <w:spacing w:after="0" w:line="383" w:lineRule="exact"/>
        <w:rPr>
          <w:sz w:val="24"/>
          <w:szCs w:val="24"/>
          <w:color w:val="auto"/>
        </w:rPr>
      </w:pPr>
    </w:p>
    <w:p>
      <w:pPr>
        <w:jc w:val="center"/>
        <w:ind w:left="1160"/>
        <w:spacing w:after="0"/>
        <w:rPr>
          <w:sz w:val="20"/>
          <w:szCs w:val="20"/>
          <w:color w:val="auto"/>
        </w:rPr>
      </w:pPr>
      <w:r>
        <w:rPr>
          <w:rFonts w:ascii="Arial" w:cs="Arial" w:eastAsia="Arial" w:hAnsi="Arial"/>
          <w:sz w:val="15"/>
          <w:szCs w:val="15"/>
          <w:b w:val="1"/>
          <w:bCs w:val="1"/>
          <w:color w:val="auto"/>
        </w:rPr>
        <w:t>Wisconsin</w:t>
      </w:r>
    </w:p>
    <w:p>
      <w:pPr>
        <w:spacing w:after="0" w:line="25"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1-10686</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340"/>
        <w:spacing w:after="0"/>
        <w:rPr>
          <w:sz w:val="20"/>
          <w:szCs w:val="20"/>
          <w:color w:val="auto"/>
        </w:rPr>
      </w:pPr>
      <w:r>
        <w:rPr>
          <w:rFonts w:ascii="Arial" w:cs="Arial" w:eastAsia="Arial" w:hAnsi="Arial"/>
          <w:sz w:val="15"/>
          <w:szCs w:val="15"/>
          <w:b w:val="1"/>
          <w:bCs w:val="1"/>
          <w:color w:val="auto"/>
        </w:rPr>
        <w:t>39-1672779</w:t>
      </w:r>
    </w:p>
    <w:p>
      <w:pPr>
        <w:spacing w:after="0" w:line="25" w:lineRule="exact"/>
        <w:rPr>
          <w:sz w:val="24"/>
          <w:szCs w:val="24"/>
          <w:color w:val="auto"/>
        </w:rPr>
      </w:pPr>
    </w:p>
    <w:p>
      <w:pPr>
        <w:jc w:val="center"/>
        <w:ind w:right="360"/>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160" w:space="720"/>
            <w:col w:w="2560"/>
          </w:cols>
          <w:pgMar w:left="240" w:top="400" w:right="1399" w:bottom="1440" w:gutter="0" w:footer="0" w:header="0"/>
          <w:type w:val="continuous"/>
        </w:sectPr>
      </w:pPr>
    </w:p>
    <w:p>
      <w:pPr>
        <w:spacing w:after="0" w:line="219"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100 Manpower Place</w:t>
      </w:r>
    </w:p>
    <w:p>
      <w:pPr>
        <w:spacing w:after="0" w:line="25" w:lineRule="exact"/>
        <w:rPr>
          <w:sz w:val="24"/>
          <w:szCs w:val="24"/>
          <w:color w:val="auto"/>
        </w:rPr>
      </w:pPr>
    </w:p>
    <w:p>
      <w:pPr>
        <w:jc w:val="center"/>
        <w:ind w:right="160"/>
        <w:spacing w:after="0"/>
        <w:rPr>
          <w:sz w:val="20"/>
          <w:szCs w:val="20"/>
          <w:color w:val="auto"/>
        </w:rPr>
      </w:pPr>
      <w:r>
        <w:rPr>
          <w:rFonts w:ascii="Arial" w:cs="Arial" w:eastAsia="Arial" w:hAnsi="Arial"/>
          <w:sz w:val="15"/>
          <w:szCs w:val="15"/>
          <w:b w:val="1"/>
          <w:bCs w:val="1"/>
          <w:color w:val="auto"/>
        </w:rPr>
        <w:t>Milwaukee, Wisconsin</w:t>
      </w:r>
    </w:p>
    <w:p>
      <w:pPr>
        <w:spacing w:after="0" w:line="10" w:lineRule="exact"/>
        <w:rPr>
          <w:sz w:val="24"/>
          <w:szCs w:val="24"/>
          <w:color w:val="auto"/>
        </w:rPr>
      </w:pPr>
    </w:p>
    <w:p>
      <w:pPr>
        <w:jc w:val="center"/>
        <w:ind w:right="1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53212</w:t>
      </w:r>
    </w:p>
    <w:p>
      <w:pPr>
        <w:spacing w:after="0" w:line="2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840" w:space="720"/>
            <w:col w:w="2700"/>
          </w:cols>
          <w:pgMar w:left="240" w:top="400" w:right="1399" w:bottom="1440" w:gutter="0" w:footer="0" w:header="0"/>
          <w:type w:val="continuous"/>
        </w:sectPr>
      </w:pPr>
    </w:p>
    <w:p>
      <w:pPr>
        <w:spacing w:after="0" w:line="17" w:lineRule="exact"/>
        <w:rPr>
          <w:sz w:val="24"/>
          <w:szCs w:val="24"/>
          <w:color w:val="auto"/>
        </w:rPr>
      </w:pPr>
    </w:p>
    <w:p>
      <w:pPr>
        <w:ind w:left="3620"/>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420"/>
        <w:spacing w:after="0"/>
        <w:rPr>
          <w:sz w:val="20"/>
          <w:szCs w:val="20"/>
          <w:color w:val="auto"/>
        </w:rPr>
      </w:pPr>
      <w:r>
        <w:rPr>
          <w:rFonts w:ascii="Arial" w:cs="Arial" w:eastAsia="Arial" w:hAnsi="Arial"/>
          <w:sz w:val="15"/>
          <w:szCs w:val="15"/>
          <w:color w:val="auto"/>
        </w:rPr>
        <w:t>Written communications pursuant to Rule 425 under the Securities Act (17 CFR 230.425)</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Soliciting material pursuant to Rule 14a-12 under the Securities Act (17 CFR 240.14a-12)</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14d-2(b) under the Exchange Act (17 CFR 240.14d-2(b))</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727329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60"/>
          </w:cols>
          <w:pgMar w:left="240" w:top="400" w:right="1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20" w:lineRule="exact"/>
        <w:rPr>
          <w:sz w:val="20"/>
          <w:szCs w:val="20"/>
          <w:color w:val="auto"/>
        </w:rPr>
      </w:pPr>
    </w:p>
    <w:p>
      <w:pPr>
        <w:ind w:right="20" w:firstLine="549"/>
        <w:spacing w:after="0" w:line="284" w:lineRule="auto"/>
        <w:rPr>
          <w:sz w:val="20"/>
          <w:szCs w:val="20"/>
          <w:color w:val="auto"/>
        </w:rPr>
      </w:pPr>
      <w:r>
        <w:rPr>
          <w:rFonts w:ascii="Arial" w:cs="Arial" w:eastAsia="Arial" w:hAnsi="Arial"/>
          <w:sz w:val="15"/>
          <w:szCs w:val="15"/>
          <w:color w:val="auto"/>
        </w:rPr>
        <w:t>On October 20, 2010, we issued a press release announcing our results of operations for the three- and nine- month periods ended September 30, 2010. A copy of the press release is attached hereto as Exhibit 99.1 and is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00" w:type="dxa"/>
            <w:vAlign w:val="bottom"/>
          </w:tcPr>
          <w:p>
            <w:pPr>
              <w:spacing w:after="0"/>
              <w:rPr>
                <w:sz w:val="20"/>
                <w:szCs w:val="20"/>
                <w:color w:val="auto"/>
              </w:rPr>
            </w:pPr>
            <w:r>
              <w:rPr>
                <w:rFonts w:ascii="Arial" w:cs="Arial" w:eastAsia="Arial" w:hAnsi="Arial"/>
                <w:sz w:val="15"/>
                <w:szCs w:val="15"/>
                <w:b w:val="1"/>
                <w:bCs w:val="1"/>
                <w:color w:val="auto"/>
              </w:rPr>
              <w:t>Item 9.01.</w:t>
            </w:r>
          </w:p>
        </w:tc>
        <w:tc>
          <w:tcPr>
            <w:tcW w:w="10340" w:type="dxa"/>
            <w:vAlign w:val="bottom"/>
          </w:tcPr>
          <w:p>
            <w:pPr>
              <w:ind w:left="380"/>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tc>
      </w:tr>
      <w:tr>
        <w:trPr>
          <w:trHeight w:val="391"/>
        </w:trPr>
        <w:tc>
          <w:tcPr>
            <w:tcW w:w="11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10340" w:type="dxa"/>
            <w:vAlign w:val="bottom"/>
            <w:tcBorders>
              <w:bottom w:val="single" w:sz="8" w:color="auto"/>
            </w:tcBorders>
          </w:tcPr>
          <w:p>
            <w:pPr>
              <w:ind w:left="1100"/>
              <w:spacing w:after="0"/>
              <w:rPr>
                <w:sz w:val="20"/>
                <w:szCs w:val="20"/>
                <w:color w:val="auto"/>
              </w:rPr>
            </w:pPr>
            <w:r>
              <w:rPr>
                <w:rFonts w:ascii="Arial" w:cs="Arial" w:eastAsia="Arial" w:hAnsi="Arial"/>
                <w:sz w:val="15"/>
                <w:szCs w:val="15"/>
                <w:b w:val="1"/>
                <w:bCs w:val="1"/>
                <w:color w:val="auto"/>
              </w:rPr>
              <w:t>Description</w:t>
            </w:r>
          </w:p>
        </w:tc>
      </w:tr>
      <w:tr>
        <w:trPr>
          <w:trHeight w:val="172"/>
        </w:trPr>
        <w:tc>
          <w:tcPr>
            <w:tcW w:w="1100" w:type="dxa"/>
            <w:vAlign w:val="bottom"/>
          </w:tcPr>
          <w:p>
            <w:pPr>
              <w:spacing w:after="0"/>
              <w:rPr>
                <w:sz w:val="20"/>
                <w:szCs w:val="20"/>
                <w:color w:val="auto"/>
              </w:rPr>
            </w:pPr>
            <w:r>
              <w:rPr>
                <w:rFonts w:ascii="Arial" w:cs="Arial" w:eastAsia="Arial" w:hAnsi="Arial"/>
                <w:sz w:val="15"/>
                <w:szCs w:val="15"/>
                <w:color w:val="auto"/>
              </w:rPr>
              <w:t>99.1</w:t>
            </w:r>
          </w:p>
        </w:tc>
        <w:tc>
          <w:tcPr>
            <w:tcW w:w="10340" w:type="dxa"/>
            <w:vAlign w:val="bottom"/>
          </w:tcPr>
          <w:p>
            <w:pPr>
              <w:ind w:left="1100"/>
              <w:spacing w:after="0"/>
              <w:rPr>
                <w:sz w:val="20"/>
                <w:szCs w:val="20"/>
                <w:color w:val="auto"/>
              </w:rPr>
            </w:pPr>
            <w:r>
              <w:rPr>
                <w:rFonts w:ascii="Arial" w:cs="Arial" w:eastAsia="Arial" w:hAnsi="Arial"/>
                <w:sz w:val="15"/>
                <w:szCs w:val="15"/>
                <w:color w:val="auto"/>
              </w:rPr>
              <w:t>Press Release dated October 20, 2010</w:t>
            </w:r>
          </w:p>
        </w:tc>
      </w:tr>
      <w:tr>
        <w:trPr>
          <w:trHeight w:val="194"/>
        </w:trPr>
        <w:tc>
          <w:tcPr>
            <w:tcW w:w="1100" w:type="dxa"/>
            <w:vAlign w:val="bottom"/>
          </w:tcPr>
          <w:p>
            <w:pPr>
              <w:spacing w:after="0"/>
              <w:rPr>
                <w:sz w:val="20"/>
                <w:szCs w:val="20"/>
                <w:color w:val="auto"/>
              </w:rPr>
            </w:pPr>
            <w:r>
              <w:rPr>
                <w:rFonts w:ascii="Arial" w:cs="Arial" w:eastAsia="Arial" w:hAnsi="Arial"/>
                <w:sz w:val="15"/>
                <w:szCs w:val="15"/>
                <w:color w:val="auto"/>
              </w:rPr>
              <w:t>99.2</w:t>
            </w:r>
          </w:p>
        </w:tc>
        <w:tc>
          <w:tcPr>
            <w:tcW w:w="10340" w:type="dxa"/>
            <w:vAlign w:val="bottom"/>
          </w:tcPr>
          <w:p>
            <w:pPr>
              <w:ind w:left="1100"/>
              <w:spacing w:after="0"/>
              <w:rPr>
                <w:sz w:val="20"/>
                <w:szCs w:val="20"/>
                <w:color w:val="auto"/>
              </w:rPr>
            </w:pPr>
            <w:r>
              <w:rPr>
                <w:rFonts w:ascii="Arial" w:cs="Arial" w:eastAsia="Arial" w:hAnsi="Arial"/>
                <w:sz w:val="15"/>
                <w:szCs w:val="15"/>
                <w:color w:val="auto"/>
              </w:rPr>
              <w:t>Presentation materials for October 20, 2010 conference call</w:t>
            </w:r>
          </w:p>
        </w:tc>
      </w:tr>
      <w:tr>
        <w:trPr>
          <w:trHeight w:val="944"/>
        </w:trPr>
        <w:tc>
          <w:tcPr>
            <w:tcW w:w="1100" w:type="dxa"/>
            <w:vAlign w:val="bottom"/>
            <w:tcBorders>
              <w:bottom w:val="single" w:sz="8" w:color="808080"/>
            </w:tcBorders>
          </w:tcPr>
          <w:p>
            <w:pPr>
              <w:spacing w:after="0"/>
              <w:rPr>
                <w:sz w:val="24"/>
                <w:szCs w:val="24"/>
                <w:color w:val="auto"/>
              </w:rPr>
            </w:pPr>
          </w:p>
        </w:tc>
        <w:tc>
          <w:tcPr>
            <w:tcW w:w="10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6" w:right="2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5"/>
          <w:szCs w:val="15"/>
          <w:b w:val="1"/>
          <w:bCs w:val="1"/>
          <w:color w:val="auto"/>
        </w:rPr>
        <w:t>SIGNATURES</w:t>
      </w:r>
    </w:p>
    <w:p>
      <w:pPr>
        <w:spacing w:after="0" w:line="220"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MANPOWER INC.</w:t>
      </w:r>
    </w:p>
    <w:p>
      <w:pPr>
        <w:spacing w:after="0" w:line="193"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5"/>
          <w:szCs w:val="15"/>
          <w:color w:val="auto"/>
        </w:rPr>
        <w:t>Dated: October 20,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13335</wp:posOffset>
            </wp:positionV>
            <wp:extent cx="204025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255" cy="14605"/>
                    </a:xfrm>
                    <a:prstGeom prst="rect">
                      <a:avLst/>
                    </a:prstGeom>
                    <a:noFill/>
                  </pic:spPr>
                </pic:pic>
              </a:graphicData>
            </a:graphic>
          </wp:anchor>
        </w:drawing>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Executive Vice President and</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875030</wp:posOffset>
            </wp:positionV>
            <wp:extent cx="727329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000"/>
          </w:cols>
          <w:pgMar w:left="240" w:top="456"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8"/>
        </w:trPr>
        <w:tc>
          <w:tcPr>
            <w:tcW w:w="1520" w:type="dxa"/>
            <w:vAlign w:val="bottom"/>
          </w:tcPr>
          <w:p>
            <w:pPr>
              <w:spacing w:after="0"/>
              <w:rPr>
                <w:sz w:val="17"/>
                <w:szCs w:val="17"/>
                <w:color w:val="auto"/>
              </w:rPr>
            </w:pPr>
          </w:p>
        </w:tc>
        <w:tc>
          <w:tcPr>
            <w:tcW w:w="9920" w:type="dxa"/>
            <w:vAlign w:val="bottom"/>
          </w:tcPr>
          <w:p>
            <w:pPr>
              <w:ind w:left="3600"/>
              <w:spacing w:after="0"/>
              <w:rPr>
                <w:sz w:val="20"/>
                <w:szCs w:val="20"/>
                <w:color w:val="auto"/>
              </w:rPr>
            </w:pPr>
            <w:r>
              <w:rPr>
                <w:rFonts w:ascii="Arial" w:cs="Arial" w:eastAsia="Arial" w:hAnsi="Arial"/>
                <w:sz w:val="15"/>
                <w:szCs w:val="15"/>
                <w:b w:val="1"/>
                <w:bCs w:val="1"/>
                <w:color w:val="auto"/>
              </w:rPr>
              <w:t>EXHIBIT INDEX</w:t>
            </w:r>
          </w:p>
        </w:tc>
      </w:tr>
      <w:tr>
        <w:trPr>
          <w:trHeight w:val="391"/>
        </w:trPr>
        <w:tc>
          <w:tcPr>
            <w:tcW w:w="1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992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Description</w:t>
            </w:r>
          </w:p>
        </w:tc>
      </w:t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99.1</w:t>
            </w:r>
          </w:p>
        </w:tc>
        <w:tc>
          <w:tcPr>
            <w:tcW w:w="9920" w:type="dxa"/>
            <w:vAlign w:val="bottom"/>
          </w:tcPr>
          <w:p>
            <w:pPr>
              <w:ind w:left="800"/>
              <w:spacing w:after="0"/>
              <w:rPr>
                <w:sz w:val="20"/>
                <w:szCs w:val="20"/>
                <w:color w:val="auto"/>
              </w:rPr>
            </w:pPr>
            <w:r>
              <w:rPr>
                <w:rFonts w:ascii="Arial" w:cs="Arial" w:eastAsia="Arial" w:hAnsi="Arial"/>
                <w:sz w:val="15"/>
                <w:szCs w:val="15"/>
                <w:color w:val="auto"/>
              </w:rPr>
              <w:t>Press Release dated October 20, 2010</w:t>
            </w:r>
          </w:p>
        </w:tc>
      </w:tr>
      <w:tr>
        <w:trPr>
          <w:trHeight w:val="194"/>
        </w:trPr>
        <w:tc>
          <w:tcPr>
            <w:tcW w:w="1520" w:type="dxa"/>
            <w:vAlign w:val="bottom"/>
          </w:tcPr>
          <w:p>
            <w:pPr>
              <w:spacing w:after="0"/>
              <w:rPr>
                <w:sz w:val="20"/>
                <w:szCs w:val="20"/>
                <w:color w:val="auto"/>
              </w:rPr>
            </w:pPr>
            <w:r>
              <w:rPr>
                <w:rFonts w:ascii="Arial" w:cs="Arial" w:eastAsia="Arial" w:hAnsi="Arial"/>
                <w:sz w:val="15"/>
                <w:szCs w:val="15"/>
                <w:color w:val="auto"/>
              </w:rPr>
              <w:t>99.2</w:t>
            </w:r>
          </w:p>
        </w:tc>
        <w:tc>
          <w:tcPr>
            <w:tcW w:w="9920" w:type="dxa"/>
            <w:vAlign w:val="bottom"/>
          </w:tcPr>
          <w:p>
            <w:pPr>
              <w:ind w:left="800"/>
              <w:spacing w:after="0"/>
              <w:rPr>
                <w:sz w:val="20"/>
                <w:szCs w:val="20"/>
                <w:color w:val="auto"/>
              </w:rPr>
            </w:pPr>
            <w:r>
              <w:rPr>
                <w:rFonts w:ascii="Arial" w:cs="Arial" w:eastAsia="Arial" w:hAnsi="Arial"/>
                <w:sz w:val="15"/>
                <w:szCs w:val="15"/>
                <w:color w:val="auto"/>
              </w:rPr>
              <w:t>Presentation materials for October 20, 2010 conference call</w:t>
            </w:r>
          </w:p>
        </w:tc>
      </w:tr>
    </w:tbl>
    <w:p>
      <w:pPr>
        <w:sectPr>
          <w:pgSz w:w="11900" w:h="16838" w:orient="portrait"/>
          <w:cols w:equalWidth="0" w:num="1">
            <w:col w:w="11440"/>
          </w:cols>
          <w:pgMar w:left="240" w:top="662"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275590</wp:posOffset>
            </wp:positionV>
            <wp:extent cx="980440" cy="90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0440" cy="90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06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3"/>
          <w:szCs w:val="13"/>
          <w:b w:val="1"/>
          <w:bCs w:val="1"/>
          <w:color w:val="auto"/>
        </w:rPr>
        <w:t>Contact:</w:t>
      </w:r>
    </w:p>
    <w:p>
      <w:pPr>
        <w:spacing w:after="0" w:line="21" w:lineRule="exact"/>
        <w:rPr>
          <w:sz w:val="20"/>
          <w:szCs w:val="20"/>
          <w:color w:val="auto"/>
        </w:rPr>
      </w:pPr>
    </w:p>
    <w:p>
      <w:pPr>
        <w:jc w:val="right"/>
        <w:ind w:right="6060"/>
        <w:spacing w:after="0"/>
        <w:rPr>
          <w:sz w:val="20"/>
          <w:szCs w:val="20"/>
          <w:color w:val="auto"/>
        </w:rPr>
      </w:pPr>
      <w:r>
        <w:rPr>
          <w:rFonts w:ascii="Arial" w:cs="Arial" w:eastAsia="Arial" w:hAnsi="Arial"/>
          <w:sz w:val="18"/>
          <w:szCs w:val="18"/>
          <w:color w:val="auto"/>
        </w:rPr>
        <w:t>Mike Van Handel</w:t>
      </w:r>
    </w:p>
    <w:p>
      <w:pPr>
        <w:jc w:val="right"/>
        <w:ind w:right="6100"/>
        <w:spacing w:after="0" w:line="238" w:lineRule="auto"/>
        <w:rPr>
          <w:sz w:val="20"/>
          <w:szCs w:val="20"/>
          <w:color w:val="auto"/>
        </w:rPr>
      </w:pPr>
      <w:r>
        <w:rPr>
          <w:rFonts w:ascii="Arial" w:cs="Arial" w:eastAsia="Arial" w:hAnsi="Arial"/>
          <w:sz w:val="18"/>
          <w:szCs w:val="18"/>
          <w:color w:val="auto"/>
        </w:rPr>
        <w:t>Manpower Inc.</w:t>
      </w:r>
    </w:p>
    <w:p>
      <w:pPr>
        <w:ind w:left="3400"/>
        <w:spacing w:after="0"/>
        <w:rPr>
          <w:sz w:val="20"/>
          <w:szCs w:val="20"/>
          <w:color w:val="auto"/>
        </w:rPr>
      </w:pPr>
      <w:r>
        <w:rPr>
          <w:rFonts w:ascii="Arial" w:cs="Arial" w:eastAsia="Arial" w:hAnsi="Arial"/>
          <w:sz w:val="18"/>
          <w:szCs w:val="18"/>
          <w:color w:val="auto"/>
        </w:rPr>
        <w:t>+1.414.906.6305</w:t>
      </w:r>
    </w:p>
    <w:p>
      <w:pPr>
        <w:ind w:left="3260"/>
        <w:spacing w:after="0"/>
        <w:rPr>
          <w:sz w:val="20"/>
          <w:szCs w:val="20"/>
          <w:color w:val="auto"/>
        </w:rPr>
      </w:pPr>
      <w:r>
        <w:rPr>
          <w:rFonts w:ascii="Arial" w:cs="Arial" w:eastAsia="Arial" w:hAnsi="Arial"/>
          <w:sz w:val="18"/>
          <w:szCs w:val="18"/>
          <w:color w:val="auto"/>
        </w:rPr>
        <w:t>michael.vanhandel@manpower.com</w:t>
      </w:r>
    </w:p>
    <w:p>
      <w:pPr>
        <w:spacing w:after="0" w:line="39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Manpower Inc. Reports 3</w:t>
      </w:r>
      <w:r>
        <w:rPr>
          <w:rFonts w:ascii="Arial" w:cs="Arial" w:eastAsia="Arial" w:hAnsi="Arial"/>
          <w:sz w:val="21"/>
          <w:szCs w:val="21"/>
          <w:b w:val="1"/>
          <w:bCs w:val="1"/>
          <w:color w:val="auto"/>
          <w:vertAlign w:val="superscript"/>
        </w:rPr>
        <w:t>rd</w:t>
      </w:r>
      <w:r>
        <w:rPr>
          <w:rFonts w:ascii="Arial" w:cs="Arial" w:eastAsia="Arial" w:hAnsi="Arial"/>
          <w:sz w:val="15"/>
          <w:szCs w:val="15"/>
          <w:b w:val="1"/>
          <w:bCs w:val="1"/>
          <w:color w:val="auto"/>
        </w:rPr>
        <w:t xml:space="preserve"> Quarter 2010 Results</w:t>
      </w:r>
    </w:p>
    <w:p>
      <w:pPr>
        <w:spacing w:after="0" w:line="358" w:lineRule="exact"/>
        <w:rPr>
          <w:sz w:val="20"/>
          <w:szCs w:val="20"/>
          <w:color w:val="auto"/>
        </w:rPr>
      </w:pPr>
    </w:p>
    <w:p>
      <w:pPr>
        <w:ind w:right="840" w:firstLine="564"/>
        <w:spacing w:after="0" w:line="269" w:lineRule="auto"/>
        <w:rPr>
          <w:sz w:val="20"/>
          <w:szCs w:val="20"/>
          <w:color w:val="auto"/>
        </w:rPr>
      </w:pPr>
      <w:r>
        <w:rPr>
          <w:rFonts w:ascii="Arial" w:cs="Arial" w:eastAsia="Arial" w:hAnsi="Arial"/>
          <w:sz w:val="15"/>
          <w:szCs w:val="15"/>
          <w:color w:val="auto"/>
        </w:rPr>
        <w:t>MILWAUKEE, WI, USA, October 20, 2010 – Manpower Inc. (NYSE: MAN) today reported that earnings per diluted share for the three months ended September 30, 2010 were 62 cents compared to a loss of 67 cents in the prior year period. Revenues for the third quarter were $5.0 billion, an increase of 19 percent from the year earlier period, or an increase of 24 percent in constant currency.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Third quarter results were unfavorably impacted by 3 cents per diluted share as foreign currencies were relatively weaker compared to the third quarter of 2009.</w:t>
      </w:r>
    </w:p>
    <w:p>
      <w:pPr>
        <w:spacing w:after="0" w:line="193" w:lineRule="exact"/>
        <w:rPr>
          <w:sz w:val="20"/>
          <w:szCs w:val="20"/>
          <w:color w:val="auto"/>
        </w:rPr>
      </w:pPr>
    </w:p>
    <w:p>
      <w:pPr>
        <w:ind w:right="860"/>
        <w:spacing w:after="0" w:line="264" w:lineRule="auto"/>
        <w:rPr>
          <w:sz w:val="20"/>
          <w:szCs w:val="20"/>
          <w:color w:val="auto"/>
        </w:rPr>
      </w:pPr>
      <w:r>
        <w:rPr>
          <w:rFonts w:ascii="Arial" w:cs="Arial" w:eastAsia="Arial" w:hAnsi="Arial"/>
          <w:sz w:val="15"/>
          <w:szCs w:val="15"/>
          <w:color w:val="auto"/>
        </w:rPr>
        <w:t>Third quarter 2009 results include a loss on the sale of an equity investment and a goodwill impairment charge totaling $71.3 million ($66.3 million after tax) or 84 cents per diluted share. Also included in third quarter 2009 results is a $7.5 million ($4.6 million after tax) or 6 cents per diluted share charge related to the repayment of our revolver borrowings and the extinguishment of an interest rate swap agreement. Excluding these charges, third quarter 2009 net earnings would have been $18.1 million, or 23 cents per diluted share.</w:t>
      </w:r>
    </w:p>
    <w:p>
      <w:pPr>
        <w:spacing w:after="0" w:line="156" w:lineRule="exact"/>
        <w:rPr>
          <w:sz w:val="20"/>
          <w:szCs w:val="20"/>
          <w:color w:val="auto"/>
        </w:rPr>
      </w:pPr>
    </w:p>
    <w:p>
      <w:pPr>
        <w:ind w:right="860"/>
        <w:spacing w:after="0" w:line="269" w:lineRule="auto"/>
        <w:rPr>
          <w:sz w:val="20"/>
          <w:szCs w:val="20"/>
          <w:color w:val="auto"/>
        </w:rPr>
      </w:pPr>
      <w:r>
        <w:rPr>
          <w:rFonts w:ascii="Arial" w:cs="Arial" w:eastAsia="Arial" w:hAnsi="Arial"/>
          <w:sz w:val="15"/>
          <w:szCs w:val="15"/>
          <w:color w:val="auto"/>
        </w:rPr>
        <w:t>Jeffrey A. Joerres, Manpower Inc. Chairman and Chief Executive Officer, said, “Our team around the world did an outstanding job in the third quarter. We were able to sustain our growth from the second quarter and substantially improve our operating margin. We continue to benefit from our office network and strong portfolio of offerings.</w:t>
      </w:r>
    </w:p>
    <w:p>
      <w:pPr>
        <w:spacing w:after="0" w:line="152" w:lineRule="exact"/>
        <w:rPr>
          <w:sz w:val="20"/>
          <w:szCs w:val="20"/>
          <w:color w:val="auto"/>
        </w:rPr>
      </w:pPr>
    </w:p>
    <w:p>
      <w:pPr>
        <w:ind w:right="920"/>
        <w:spacing w:after="0" w:line="284" w:lineRule="auto"/>
        <w:rPr>
          <w:sz w:val="20"/>
          <w:szCs w:val="20"/>
          <w:color w:val="auto"/>
        </w:rPr>
      </w:pPr>
      <w:r>
        <w:rPr>
          <w:rFonts w:ascii="Arial" w:cs="Arial" w:eastAsia="Arial" w:hAnsi="Arial"/>
          <w:sz w:val="15"/>
          <w:szCs w:val="15"/>
          <w:color w:val="auto"/>
        </w:rPr>
        <w:t>“The U.S., Germany and the U.K. did particularly well, as did the emerging markets. The trends continue to be strong for our industry, and we continue to hear and experience encouraging signs from our clients.</w:t>
      </w:r>
    </w:p>
    <w:p>
      <w:pPr>
        <w:spacing w:after="0" w:line="141" w:lineRule="exact"/>
        <w:rPr>
          <w:sz w:val="20"/>
          <w:szCs w:val="20"/>
          <w:color w:val="auto"/>
        </w:rPr>
      </w:pPr>
    </w:p>
    <w:p>
      <w:pPr>
        <w:ind w:right="960"/>
        <w:spacing w:after="0" w:line="364" w:lineRule="auto"/>
        <w:rPr>
          <w:sz w:val="20"/>
          <w:szCs w:val="20"/>
          <w:color w:val="auto"/>
        </w:rPr>
      </w:pPr>
      <w:r>
        <w:rPr>
          <w:rFonts w:ascii="Arial" w:cs="Arial" w:eastAsia="Arial" w:hAnsi="Arial"/>
          <w:sz w:val="13"/>
          <w:szCs w:val="13"/>
          <w:color w:val="auto"/>
        </w:rPr>
        <w:t>“We are anticipating the fourth quarter of 2010 diluted earnings per share to be in the range of $.54 to $.62, which includes an estimated negative currency impact of 2 cents. This is before expected reorganization charges related to Right Management and Jefferson Wells of 15 to 20 cents per share,” Joerres stated.</w:t>
      </w:r>
    </w:p>
    <w:p>
      <w:pPr>
        <w:spacing w:after="0" w:line="95" w:lineRule="exact"/>
        <w:rPr>
          <w:sz w:val="20"/>
          <w:szCs w:val="20"/>
          <w:color w:val="auto"/>
        </w:rPr>
      </w:pPr>
    </w:p>
    <w:p>
      <w:pPr>
        <w:ind w:right="900"/>
        <w:spacing w:after="0" w:line="269" w:lineRule="auto"/>
        <w:rPr>
          <w:sz w:val="20"/>
          <w:szCs w:val="20"/>
          <w:color w:val="auto"/>
        </w:rPr>
      </w:pPr>
      <w:r>
        <w:rPr>
          <w:rFonts w:ascii="Arial" w:cs="Arial" w:eastAsia="Arial" w:hAnsi="Arial"/>
          <w:sz w:val="15"/>
          <w:szCs w:val="15"/>
          <w:color w:val="auto"/>
        </w:rPr>
        <w:t>Earnings per diluted share for the nine months ended September 30, 2010 were $1.06 compared to a loss of 49 cents per diluted share in 2009. Net earnings were $86.8 million compared to a loss of $38.3 million in the prior year. Revenues for the nine-month period were $13.7 billion, an increase of 18 percent from the prior year. Foreign currency exchange rates had an unfavorable impact of 1 cent for the nine-month period.</w:t>
      </w:r>
    </w:p>
    <w:p>
      <w:pPr>
        <w:spacing w:after="0" w:line="152" w:lineRule="exact"/>
        <w:rPr>
          <w:sz w:val="20"/>
          <w:szCs w:val="20"/>
          <w:color w:val="auto"/>
        </w:rPr>
      </w:pPr>
    </w:p>
    <w:p>
      <w:pPr>
        <w:jc w:val="both"/>
        <w:ind w:right="1020"/>
        <w:spacing w:after="0" w:line="269" w:lineRule="auto"/>
        <w:rPr>
          <w:sz w:val="20"/>
          <w:szCs w:val="20"/>
          <w:color w:val="auto"/>
        </w:rPr>
      </w:pPr>
      <w:r>
        <w:rPr>
          <w:rFonts w:ascii="Arial" w:cs="Arial" w:eastAsia="Arial" w:hAnsi="Arial"/>
          <w:sz w:val="15"/>
          <w:szCs w:val="15"/>
          <w:color w:val="auto"/>
        </w:rPr>
        <w:t>Earnings per diluted share for the nine month period in 2009 include the loss on the sale of the equity investment and goodwill impairment charge totaling 84 cents, the charge of 6 cents related to the repayment of our revolver borrowings and extinguishment of an interest rate swap, and the first and second quarter reorganization charges totaling 17 cents.</w:t>
      </w:r>
    </w:p>
    <w:p>
      <w:pPr>
        <w:spacing w:after="0" w:line="152" w:lineRule="exact"/>
        <w:rPr>
          <w:sz w:val="20"/>
          <w:szCs w:val="20"/>
          <w:color w:val="auto"/>
        </w:rPr>
      </w:pPr>
    </w:p>
    <w:p>
      <w:pPr>
        <w:ind w:right="960"/>
        <w:spacing w:after="0" w:line="321" w:lineRule="auto"/>
        <w:rPr>
          <w:sz w:val="20"/>
          <w:szCs w:val="20"/>
          <w:color w:val="auto"/>
        </w:rPr>
      </w:pPr>
      <w:r>
        <w:rPr>
          <w:rFonts w:ascii="Arial" w:cs="Arial" w:eastAsia="Arial" w:hAnsi="Arial"/>
          <w:sz w:val="14"/>
          <w:szCs w:val="14"/>
          <w:color w:val="auto"/>
        </w:rPr>
        <w:t>In conjunction with its third quarter earnings release, Manpower will broadcast its conference call live over the Internet on October 20, 2010 at 7:30 a.m. CDT (8:30 a.m. EDT). Interested parties are invited to listen to the webcast and view the presentation by logging on to http://investor.manpower.com.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Supplemental financial information referenced in the conference call can be found at </w:t>
      </w:r>
      <w:r>
        <w:rPr>
          <w:rFonts w:ascii="Arial" w:cs="Arial" w:eastAsia="Arial" w:hAnsi="Arial"/>
          <w:sz w:val="15"/>
          <w:szCs w:val="15"/>
          <w:u w:val="single" w:color="auto"/>
          <w:color w:val="auto"/>
        </w:rPr>
        <w:t>http://investor.manpower.com</w:t>
      </w:r>
      <w:r>
        <w:rPr>
          <w:rFonts w:ascii="Arial" w:cs="Arial" w:eastAsia="Arial" w:hAnsi="Arial"/>
          <w:sz w:val="15"/>
          <w:szCs w:val="15"/>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25" w:lineRule="exact"/>
        <w:rPr>
          <w:sz w:val="20"/>
          <w:szCs w:val="20"/>
          <w:color w:val="auto"/>
        </w:rPr>
      </w:pPr>
    </w:p>
    <w:p>
      <w:pPr>
        <w:ind w:right="840"/>
        <w:spacing w:after="0" w:line="277" w:lineRule="auto"/>
        <w:rPr>
          <w:sz w:val="20"/>
          <w:szCs w:val="20"/>
          <w:color w:val="auto"/>
        </w:rPr>
      </w:pPr>
      <w:r>
        <w:rPr>
          <w:rFonts w:ascii="Arial" w:cs="Arial" w:eastAsia="Arial" w:hAnsi="Arial"/>
          <w:sz w:val="14"/>
          <w:szCs w:val="14"/>
          <w:color w:val="auto"/>
        </w:rPr>
        <w:t xml:space="preserve">Manpower Inc. (NYSE: MAN) is a world leader in innovative workforce solutions; creating and delivering services that enable its clients to win in the changing world of work. With over 60 years’ experience, Manpower offers employers a range of services and solutions for the entire employment and business cycle including permanent, temporary and contract recruitment; employee assessment and selection; training; outplacement; outsourcing and consulting. Manpower’s worldwide network of nearly 4,000 offices in 82 countries and territories is the world’s largest in the industry and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about Manpower Inc. is available at </w:t>
      </w:r>
      <w:r>
        <w:rPr>
          <w:rFonts w:ascii="Arial" w:cs="Arial" w:eastAsia="Arial" w:hAnsi="Arial"/>
          <w:sz w:val="14"/>
          <w:szCs w:val="14"/>
          <w:u w:val="single" w:color="auto"/>
          <w:color w:val="auto"/>
        </w:rPr>
        <w:t>www.manpower.com</w:t>
      </w:r>
      <w:r>
        <w:rPr>
          <w:rFonts w:ascii="Arial" w:cs="Arial" w:eastAsia="Arial" w:hAnsi="Arial"/>
          <w:sz w:val="14"/>
          <w:szCs w:val="14"/>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5" w:lineRule="exact"/>
        <w:rPr>
          <w:sz w:val="20"/>
          <w:szCs w:val="20"/>
          <w:color w:val="auto"/>
        </w:rPr>
      </w:pPr>
    </w:p>
    <w:p>
      <w:pPr>
        <w:ind w:right="920"/>
        <w:spacing w:after="0" w:line="258"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2009, which information is incorporated herein by reference.</w:t>
      </w:r>
    </w:p>
    <w:p>
      <w:pPr>
        <w:spacing w:after="0" w:line="183" w:lineRule="exact"/>
        <w:rPr>
          <w:sz w:val="20"/>
          <w:szCs w:val="20"/>
          <w:color w:val="auto"/>
        </w:rPr>
      </w:pPr>
    </w:p>
    <w:p>
      <w:pPr>
        <w:ind w:left="4140"/>
        <w:spacing w:after="0"/>
        <w:rPr>
          <w:sz w:val="20"/>
          <w:szCs w:val="20"/>
          <w:color w:val="auto"/>
        </w:rPr>
      </w:pPr>
      <w:r>
        <w:rPr>
          <w:rFonts w:ascii="Arial" w:cs="Arial" w:eastAsia="Arial" w:hAnsi="Arial"/>
          <w:sz w:val="15"/>
          <w:szCs w:val="15"/>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410210</wp:posOffset>
            </wp:positionV>
            <wp:extent cx="727329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620"/>
          </w:cols>
          <w:pgMar w:left="1060" w:top="116" w:right="219" w:bottom="1440" w:gutter="0" w:footer="0" w:header="0"/>
        </w:sectPr>
      </w:pPr>
    </w:p>
    <w:bookmarkStart w:id="5" w:name="page6"/>
    <w:bookmarkEnd w:id="5"/>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Results of Operations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 except per share data)</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5"/>
                <w:szCs w:val="15"/>
                <w:b w:val="1"/>
                <w:bCs w:val="1"/>
                <w:color w:val="auto"/>
                <w:w w:val="92"/>
              </w:rPr>
              <w:t>Three Months Ended September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left="74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 (b)</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4,972.0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4,189.6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Cost of services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4,130.8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3,485.5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18.5%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704.1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732.3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664.6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Goodwill and intangible asset impairment charges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61.0</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732.3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725.6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0.9%</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profit (loss)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(21.5)</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29.3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-71.4%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(50.8)</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earnings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(52.8)</w:t>
            </w:r>
          </w:p>
        </w:tc>
        <w:tc>
          <w:tcPr>
            <w:tcW w:w="2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Net earnings (loss) per share - basic</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0.63</w:t>
            </w:r>
          </w:p>
        </w:tc>
        <w:tc>
          <w:tcPr>
            <w:tcW w:w="2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(0.67)</w:t>
            </w:r>
          </w:p>
        </w:tc>
        <w:tc>
          <w:tcPr>
            <w:tcW w:w="260" w:type="dxa"/>
            <w:vAlign w:val="bottom"/>
          </w:tcPr>
          <w:p>
            <w:pPr>
              <w:spacing w:after="0"/>
              <w:rPr>
                <w:sz w:val="14"/>
                <w:szCs w:val="14"/>
                <w:color w:val="auto"/>
              </w:rPr>
            </w:pPr>
          </w:p>
        </w:tc>
        <w:tc>
          <w:tcPr>
            <w:tcW w:w="1400" w:type="dxa"/>
            <w:vAlign w:val="bottom"/>
            <w:gridSpan w:val="3"/>
          </w:tcPr>
          <w:p>
            <w:pPr>
              <w:ind w:left="620"/>
              <w:spacing w:after="0" w:line="169" w:lineRule="exact"/>
              <w:rPr>
                <w:sz w:val="20"/>
                <w:szCs w:val="20"/>
                <w:color w:val="auto"/>
              </w:rPr>
            </w:pPr>
            <w:r>
              <w:rPr>
                <w:rFonts w:ascii="Arial" w:cs="Arial" w:eastAsia="Arial" w:hAnsi="Arial"/>
                <w:sz w:val="15"/>
                <w:szCs w:val="15"/>
                <w:color w:val="auto"/>
              </w:rPr>
              <w:t>N/A</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earnings (loss) per share - diluted</w:t>
            </w:r>
          </w:p>
        </w:tc>
        <w:tc>
          <w:tcPr>
            <w:tcW w:w="240" w:type="dxa"/>
            <w:vAlign w:val="bottom"/>
            <w:shd w:val="clear" w:color="auto" w:fill="CCEEFF"/>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0.62</w:t>
            </w:r>
          </w:p>
        </w:tc>
        <w:tc>
          <w:tcPr>
            <w:tcW w:w="2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(0.67)</w:t>
            </w:r>
          </w:p>
        </w:tc>
        <w:tc>
          <w:tcPr>
            <w:tcW w:w="2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620"/>
              <w:spacing w:after="0" w:line="169" w:lineRule="exact"/>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Weighted average shares - basic</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78.4</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 diluted</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78.4</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5.5%</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9" w:right="240" w:hanging="9"/>
        <w:spacing w:after="0" w:line="269" w:lineRule="auto"/>
        <w:tabs>
          <w:tab w:leader="none" w:pos="216" w:val="left"/>
        </w:tabs>
        <w:numPr>
          <w:ilvl w:val="0"/>
          <w:numId w:val="1"/>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$6.8 million and $5.7 million for the three months ended September 30, 2010 and 2009, respectively. These fees are primarily based on revenues generated by the franchise offices, which were $273.3 million and $200.3 million for the three months ended September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641985</wp:posOffset>
            </wp:positionV>
            <wp:extent cx="727329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6" w:name="page7"/>
    <w:bookmarkEnd w:id="6"/>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Operating Unit Results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5"/>
                <w:szCs w:val="15"/>
                <w:b w:val="1"/>
                <w:bCs w:val="1"/>
                <w:color w:val="auto"/>
                <w:w w:val="92"/>
              </w:rPr>
              <w:t>Three Months Ended September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left="74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409.8</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83.5%</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317.1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243.5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30.3%</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25.8%</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653.3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62.0%</w:t>
            </w:r>
          </w:p>
        </w:tc>
      </w:tr>
      <w:tr>
        <w:trPr>
          <w:trHeight w:val="183"/>
        </w:trPr>
        <w:tc>
          <w:tcPr>
            <w:tcW w:w="20" w:type="dxa"/>
            <w:vAlign w:val="bottom"/>
          </w:tcPr>
          <w:p>
            <w:pPr>
              <w:spacing w:after="0"/>
              <w:rPr>
                <w:sz w:val="15"/>
                <w:szCs w:val="15"/>
                <w:color w:val="auto"/>
              </w:rPr>
            </w:pPr>
          </w:p>
        </w:tc>
        <w:tc>
          <w:tcPr>
            <w:tcW w:w="6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1,314.1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18.8%</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EMEA: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231.0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23.1%</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1,548.0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1,379.3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19.6%</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1,805.1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1,610.3</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20.1%</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427.9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29.8%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20.5%</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135.7</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-37.0%</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-36.5%</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48.3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-6.9%</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-6.9%</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4,972.0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4,189.6</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18.7%</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24.1%</w:t>
            </w: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tcBorders>
          </w:tcPr>
          <w:p>
            <w:pPr>
              <w:spacing w:after="0" w:line="169" w:lineRule="exact"/>
              <w:rPr>
                <w:sz w:val="20"/>
                <w:szCs w:val="20"/>
                <w:color w:val="auto"/>
              </w:rPr>
            </w:pPr>
            <w:r>
              <w:rPr>
                <w:rFonts w:ascii="Arial" w:cs="Arial" w:eastAsia="Arial" w:hAnsi="Arial"/>
                <w:sz w:val="15"/>
                <w:szCs w:val="15"/>
                <w:color w:val="auto"/>
              </w:rPr>
              <w:t>Operating Unit Profit (Loss) (c):</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27.4</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1.7</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43.2%</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7.2</w:t>
            </w:r>
          </w:p>
        </w:tc>
        <w:tc>
          <w:tcPr>
            <w:tcW w:w="2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395.3%</w:t>
            </w: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390.5%</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10.6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135.6%</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160.6%</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EMEA: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8.6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30.7%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44.6%</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171.0%</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190.8%</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24.6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121.5%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139.3%</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234.1%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210.9%</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21.2</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(0.6)</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126.6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67.0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Goodwill and intangible asset impairment charge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(61.0)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 amortization expense (c)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Reclassification of French business tax</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profit (loss)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(21.5)</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 (d)</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(29.3)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55" w:lineRule="exact"/>
        <w:rPr>
          <w:sz w:val="20"/>
          <w:szCs w:val="20"/>
          <w:color w:val="auto"/>
        </w:rPr>
      </w:pPr>
    </w:p>
    <w:p>
      <w:pPr>
        <w:ind w:left="9" w:right="140" w:hanging="9"/>
        <w:spacing w:after="0" w:line="269" w:lineRule="auto"/>
        <w:tabs>
          <w:tab w:leader="none" w:pos="213"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United States results include the results of COMSYS IT Partners, Inc., which was acquired on April 5, 2010. United States revenues from services include fees received from our franchise offices of $4.0 million and $3.0 million for the three months ended September 30, 2010 and 2009, respectively. These fees are primarily based on revenues generated by the franchise offices, which were $169.0 million and $121.6 million for the three months ended September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193" w:lineRule="exact"/>
        <w:rPr>
          <w:rFonts w:ascii="Arial" w:cs="Arial" w:eastAsia="Arial" w:hAnsi="Arial"/>
          <w:sz w:val="15"/>
          <w:szCs w:val="15"/>
          <w:color w:val="auto"/>
        </w:rPr>
      </w:pPr>
    </w:p>
    <w:p>
      <w:pPr>
        <w:ind w:left="9" w:right="260" w:hanging="9"/>
        <w:spacing w:after="0" w:line="269" w:lineRule="auto"/>
        <w:tabs>
          <w:tab w:leader="none" w:pos="216" w:val="left"/>
        </w:tabs>
        <w:numPr>
          <w:ilvl w:val="0"/>
          <w:numId w:val="2"/>
        </w:numPr>
        <w:rPr>
          <w:rFonts w:ascii="Arial" w:cs="Arial" w:eastAsia="Arial" w:hAnsi="Arial"/>
          <w:sz w:val="15"/>
          <w:szCs w:val="15"/>
          <w:color w:val="auto"/>
        </w:rPr>
      </w:pPr>
      <w:r>
        <w:rPr>
          <w:rFonts w:ascii="Arial" w:cs="Arial" w:eastAsia="Arial" w:hAnsi="Arial"/>
          <w:sz w:val="15"/>
          <w:szCs w:val="15"/>
          <w:color w:val="auto"/>
        </w:rPr>
        <w:t>During the third quarter of 2010, we redefined Operating Unit Profit (Loss) to exclude intangible asset amortization.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2900" w:type="dxa"/>
            <w:vAlign w:val="bottom"/>
          </w:tcPr>
          <w:p>
            <w:pPr>
              <w:spacing w:after="0"/>
              <w:rPr>
                <w:sz w:val="16"/>
                <w:szCs w:val="16"/>
                <w:color w:val="auto"/>
              </w:rPr>
            </w:pP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21.5</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(1.7)</w:t>
            </w: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exchange gains</w:t>
            </w: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jc w:val="right"/>
              <w:ind w:right="2860"/>
              <w:spacing w:after="0"/>
              <w:rPr>
                <w:sz w:val="20"/>
                <w:szCs w:val="20"/>
                <w:color w:val="auto"/>
              </w:rPr>
            </w:pPr>
            <w:r>
              <w:rPr>
                <w:rFonts w:ascii="Arial" w:cs="Arial" w:eastAsia="Arial" w:hAnsi="Arial"/>
                <w:sz w:val="15"/>
                <w:szCs w:val="15"/>
                <w:color w:val="auto"/>
              </w:rPr>
              <w:t>(0.6)</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Miscellaneous income, net</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(0.2)</w:t>
            </w:r>
          </w:p>
        </w:tc>
      </w:tr>
      <w:tr>
        <w:trPr>
          <w:trHeight w:val="186"/>
        </w:trPr>
        <w:tc>
          <w:tcPr>
            <w:tcW w:w="6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Loss from sale of an equity investment</w:t>
            </w: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900" w:type="dxa"/>
            <w:vAlign w:val="bottom"/>
            <w:tcBorders>
              <w:bottom w:val="single" w:sz="8" w:color="CCEEFF"/>
            </w:tcBorders>
            <w:shd w:val="clear" w:color="auto" w:fill="CCEEFF"/>
          </w:tcPr>
          <w:p>
            <w:pPr>
              <w:spacing w:after="0"/>
              <w:rPr>
                <w:sz w:val="16"/>
                <w:szCs w:val="16"/>
                <w:color w:val="auto"/>
              </w:rPr>
            </w:pPr>
          </w:p>
        </w:tc>
      </w:tr>
      <w:tr>
        <w:trPr>
          <w:trHeight w:val="183"/>
        </w:trPr>
        <w:tc>
          <w:tcPr>
            <w:tcW w:w="6020" w:type="dxa"/>
            <w:vAlign w:val="bottom"/>
          </w:tcPr>
          <w:p>
            <w:pPr>
              <w:spacing w:after="0"/>
              <w:rPr>
                <w:sz w:val="15"/>
                <w:szCs w:val="15"/>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color w:val="auto"/>
              </w:rPr>
              <w:t>29.3</w:t>
            </w:r>
          </w:p>
        </w:tc>
      </w:tr>
      <w:tr>
        <w:trPr>
          <w:trHeight w:val="20"/>
        </w:trPr>
        <w:tc>
          <w:tcPr>
            <w:tcW w:w="6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6"/>
        </w:trPr>
        <w:tc>
          <w:tcPr>
            <w:tcW w:w="6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7" w:name="page8"/>
    <w:bookmarkEnd w:id="7"/>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Results of Operations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 except per share data)</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5"/>
                <w:szCs w:val="15"/>
                <w:b w:val="1"/>
                <w:bCs w:val="1"/>
                <w:color w:val="auto"/>
                <w:w w:val="92"/>
              </w:rPr>
              <w:t>Nine Months Ended September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72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 (b)</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13,656.9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11,626.1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Cost of services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11,317.2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9,564.0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18.3%</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2,339.7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2,062.1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2,119.1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2,002.2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Goodwill and intangible asset impairment charges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61.0</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2,119.1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2,063.2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profit (loss)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52.0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-36.2%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(53.1)</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(14.8)</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earnings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(38.3)</w:t>
            </w:r>
          </w:p>
        </w:tc>
        <w:tc>
          <w:tcPr>
            <w:tcW w:w="2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Net earnings (loss) per share - basic</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1.08</w:t>
            </w:r>
          </w:p>
        </w:tc>
        <w:tc>
          <w:tcPr>
            <w:tcW w:w="2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(0.49)</w:t>
            </w:r>
          </w:p>
        </w:tc>
        <w:tc>
          <w:tcPr>
            <w:tcW w:w="260" w:type="dxa"/>
            <w:vAlign w:val="bottom"/>
          </w:tcPr>
          <w:p>
            <w:pPr>
              <w:spacing w:after="0"/>
              <w:rPr>
                <w:sz w:val="14"/>
                <w:szCs w:val="14"/>
                <w:color w:val="auto"/>
              </w:rPr>
            </w:pPr>
          </w:p>
        </w:tc>
        <w:tc>
          <w:tcPr>
            <w:tcW w:w="1400" w:type="dxa"/>
            <w:vAlign w:val="bottom"/>
            <w:gridSpan w:val="3"/>
          </w:tcPr>
          <w:p>
            <w:pPr>
              <w:ind w:left="620"/>
              <w:spacing w:after="0" w:line="169" w:lineRule="exact"/>
              <w:rPr>
                <w:sz w:val="20"/>
                <w:szCs w:val="20"/>
                <w:color w:val="auto"/>
              </w:rPr>
            </w:pPr>
            <w:r>
              <w:rPr>
                <w:rFonts w:ascii="Arial" w:cs="Arial" w:eastAsia="Arial" w:hAnsi="Arial"/>
                <w:sz w:val="15"/>
                <w:szCs w:val="15"/>
                <w:color w:val="auto"/>
              </w:rPr>
              <w:t>N/A</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earnings (loss) per share - diluted</w:t>
            </w:r>
          </w:p>
        </w:tc>
        <w:tc>
          <w:tcPr>
            <w:tcW w:w="240" w:type="dxa"/>
            <w:vAlign w:val="bottom"/>
            <w:shd w:val="clear" w:color="auto" w:fill="CCEEFF"/>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1.06</w:t>
            </w:r>
          </w:p>
        </w:tc>
        <w:tc>
          <w:tcPr>
            <w:tcW w:w="2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(0.49)</w:t>
            </w:r>
          </w:p>
        </w:tc>
        <w:tc>
          <w:tcPr>
            <w:tcW w:w="2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620"/>
              <w:spacing w:after="0" w:line="169" w:lineRule="exact"/>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Weighted average shares - basic</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78.3</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 diluted</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78.3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9" w:right="280" w:hanging="9"/>
        <w:spacing w:after="0" w:line="269" w:lineRule="auto"/>
        <w:tabs>
          <w:tab w:leader="none" w:pos="21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$17.2 million and $16.6 million for the nine months ended September 30, 2010 and 2009, respectively. These fees are primarily based on revenues generated by the franchise offices, which were $704.5 million and $533.3 million for the nine months ended September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641985</wp:posOffset>
            </wp:positionV>
            <wp:extent cx="727329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8" w:name="page9"/>
    <w:bookmarkEnd w:id="8"/>
    <w:p>
      <w:pPr>
        <w:jc w:val="center"/>
        <w:ind w:right="131"/>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Operating Unit Results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5"/>
                <w:szCs w:val="15"/>
                <w:b w:val="1"/>
                <w:bCs w:val="1"/>
                <w:color w:val="auto"/>
                <w:w w:val="92"/>
              </w:rPr>
              <w:t>Nine Months Ended September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72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1,880.2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1,157.9</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62.4%</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917.7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683.4</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34.3%</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26.5%</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2,797.9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1,841.3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49.1%</w:t>
            </w:r>
          </w:p>
        </w:tc>
      </w:tr>
      <w:tr>
        <w:trPr>
          <w:trHeight w:val="183"/>
        </w:trPr>
        <w:tc>
          <w:tcPr>
            <w:tcW w:w="20" w:type="dxa"/>
            <w:vAlign w:val="bottom"/>
          </w:tcPr>
          <w:p>
            <w:pPr>
              <w:spacing w:after="0"/>
              <w:rPr>
                <w:sz w:val="15"/>
                <w:szCs w:val="15"/>
                <w:color w:val="auto"/>
              </w:rPr>
            </w:pPr>
          </w:p>
        </w:tc>
        <w:tc>
          <w:tcPr>
            <w:tcW w:w="6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3,775.0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3,371.1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12.0%</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17.4%</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EMEA: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681.5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14.9%</w:t>
            </w: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4,361.3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3,894.0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12.0%</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12.9%</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5,111.4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4,575.5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13.2%</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1,558.9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1,259.3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23.8%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13.7%</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429.8</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-34.2%</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126.1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149.1</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-15.4%</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-15.4%</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13,656.9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11,626.1</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18.0%</w:t>
            </w: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tcBorders>
          </w:tcPr>
          <w:p>
            <w:pPr>
              <w:spacing w:after="0" w:line="169" w:lineRule="exact"/>
              <w:rPr>
                <w:sz w:val="20"/>
                <w:szCs w:val="20"/>
                <w:color w:val="auto"/>
              </w:rPr>
            </w:pPr>
            <w:r>
              <w:rPr>
                <w:rFonts w:ascii="Arial" w:cs="Arial" w:eastAsia="Arial" w:hAnsi="Arial"/>
                <w:sz w:val="15"/>
                <w:szCs w:val="15"/>
                <w:color w:val="auto"/>
              </w:rPr>
              <w:t>Operating Unit Profit (Loss) (c):</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United States (a)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38.0</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(15.4)</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87.1%</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76.8%</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260" w:type="dxa"/>
            <w:vAlign w:val="bottom"/>
          </w:tcPr>
          <w:p>
            <w:pPr>
              <w:spacing w:after="0"/>
              <w:rPr>
                <w:sz w:val="16"/>
                <w:szCs w:val="16"/>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15.8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122.7%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148.0%</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EMEA: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16.8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87.9%</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99.5%</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EMEA (b)</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123.3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25.0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392.8%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410.2%</w:t>
            </w: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Asia Pacific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76.6%</w:t>
            </w: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92.6</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-78.0%</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-78.9%</w:t>
            </w: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Jefferson Wells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(18.3)</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271.5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133.5</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(56.6)</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Goodwill and intangible asset impairment charge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(61.0)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 amortization expense (c)</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(17.0)</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Reclassification of French business tax</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profit (loss)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spacing w:after="0"/>
              <w:rPr>
                <w:sz w:val="15"/>
                <w:szCs w:val="15"/>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 (d)</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(52.0)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Earnings (loss) before income taxes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55" w:lineRule="exact"/>
        <w:rPr>
          <w:sz w:val="20"/>
          <w:szCs w:val="20"/>
          <w:color w:val="auto"/>
        </w:rPr>
      </w:pPr>
    </w:p>
    <w:p>
      <w:pPr>
        <w:ind w:left="9" w:right="160" w:hanging="9"/>
        <w:spacing w:after="0" w:line="269" w:lineRule="auto"/>
        <w:tabs>
          <w:tab w:leader="none" w:pos="21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United States results include the results of COMSYS IT Partners, Inc., which was acquired on April 5, 2010. United States, revenues from services include fees received from our franchise offices of $9.9 million and $7.4 million for the nine months ended September 30, 2010 and 2009, respectively. These fees are primarily based on revenues generated by the franchise offices, which were $457.0 million and $323.7 million for the nine months ended September 30, 2010 and 2009,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2009 results have been restated as disclosed in Note 16 to the Consolidated Financial Statements included in our 2009 Annual Report to Shareholders.</w:t>
      </w:r>
    </w:p>
    <w:p>
      <w:pPr>
        <w:spacing w:after="0" w:line="193" w:lineRule="exact"/>
        <w:rPr>
          <w:rFonts w:ascii="Arial" w:cs="Arial" w:eastAsia="Arial" w:hAnsi="Arial"/>
          <w:sz w:val="15"/>
          <w:szCs w:val="15"/>
          <w:color w:val="auto"/>
        </w:rPr>
      </w:pPr>
    </w:p>
    <w:p>
      <w:pPr>
        <w:ind w:left="9" w:right="260" w:hanging="9"/>
        <w:spacing w:after="0" w:line="269" w:lineRule="auto"/>
        <w:tabs>
          <w:tab w:leader="none" w:pos="216"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third quarter of 2010, we redefined Operating Unit Profit (Loss) to exclude intangible asset amortization.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151" w:lineRule="exact"/>
        <w:rPr>
          <w:rFonts w:ascii="Arial" w:cs="Arial" w:eastAsia="Arial" w:hAnsi="Arial"/>
          <w:sz w:val="15"/>
          <w:szCs w:val="15"/>
          <w:color w:val="auto"/>
        </w:rPr>
      </w:pPr>
    </w:p>
    <w:p>
      <w:pPr>
        <w:ind w:left="249" w:hanging="249"/>
        <w:spacing w:after="0"/>
        <w:tabs>
          <w:tab w:leader="none" w:pos="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2009</w:t>
            </w:r>
          </w:p>
        </w:tc>
        <w:tc>
          <w:tcPr>
            <w:tcW w:w="2900" w:type="dxa"/>
            <w:vAlign w:val="bottom"/>
          </w:tcPr>
          <w:p>
            <w:pPr>
              <w:spacing w:after="0"/>
              <w:rPr>
                <w:sz w:val="16"/>
                <w:szCs w:val="16"/>
                <w:color w:val="auto"/>
              </w:rPr>
            </w:pP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48.5</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(9.3)</w:t>
            </w: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exchange losses</w:t>
            </w: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0.9</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Miscellaneous expenses, net</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color w:val="auto"/>
              </w:rPr>
              <w:t>1.6</w:t>
            </w:r>
          </w:p>
        </w:tc>
      </w:tr>
      <w:tr>
        <w:trPr>
          <w:trHeight w:val="186"/>
        </w:trPr>
        <w:tc>
          <w:tcPr>
            <w:tcW w:w="6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Loss from sale of an equity investment</w:t>
            </w: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900" w:type="dxa"/>
            <w:vAlign w:val="bottom"/>
            <w:tcBorders>
              <w:bottom w:val="single" w:sz="8" w:color="CCEEFF"/>
            </w:tcBorders>
            <w:shd w:val="clear" w:color="auto" w:fill="CCEEFF"/>
          </w:tcPr>
          <w:p>
            <w:pPr>
              <w:spacing w:after="0"/>
              <w:rPr>
                <w:sz w:val="16"/>
                <w:szCs w:val="16"/>
                <w:color w:val="auto"/>
              </w:rPr>
            </w:pPr>
          </w:p>
        </w:tc>
      </w:tr>
      <w:tr>
        <w:trPr>
          <w:trHeight w:val="183"/>
        </w:trPr>
        <w:tc>
          <w:tcPr>
            <w:tcW w:w="6020" w:type="dxa"/>
            <w:vAlign w:val="bottom"/>
          </w:tcPr>
          <w:p>
            <w:pPr>
              <w:spacing w:after="0"/>
              <w:rPr>
                <w:sz w:val="15"/>
                <w:szCs w:val="15"/>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33.2</w:t>
            </w:r>
          </w:p>
        </w:tc>
        <w:tc>
          <w:tcPr>
            <w:tcW w:w="140" w:type="dxa"/>
            <w:vAlign w:val="bottom"/>
          </w:tcPr>
          <w:p>
            <w:pPr>
              <w:spacing w:after="0"/>
              <w:rPr>
                <w:sz w:val="15"/>
                <w:szCs w:val="15"/>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color w:val="auto"/>
              </w:rPr>
              <w:t>52.0</w:t>
            </w:r>
          </w:p>
        </w:tc>
      </w:tr>
      <w:tr>
        <w:trPr>
          <w:trHeight w:val="20"/>
        </w:trPr>
        <w:tc>
          <w:tcPr>
            <w:tcW w:w="6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622"/>
        </w:trPr>
        <w:tc>
          <w:tcPr>
            <w:tcW w:w="6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Sep.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7"/>
              </w:rPr>
              <w:t>Dec. 31</w:t>
            </w:r>
          </w:p>
        </w:tc>
      </w:tr>
      <w:tr>
        <w:trPr>
          <w:trHeight w:val="200"/>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2009</w:t>
            </w:r>
          </w:p>
        </w:tc>
        <w:tc>
          <w:tcPr>
            <w:tcW w:w="120" w:type="dxa"/>
            <w:vAlign w:val="bottom"/>
          </w:tcPr>
          <w:p>
            <w:pPr>
              <w:spacing w:after="0"/>
              <w:rPr>
                <w:sz w:val="17"/>
                <w:szCs w:val="17"/>
                <w:color w:val="auto"/>
              </w:rPr>
            </w:pPr>
          </w:p>
        </w:tc>
      </w:tr>
      <w:tr>
        <w:trPr>
          <w:trHeight w:val="183"/>
        </w:trPr>
        <w:tc>
          <w:tcPr>
            <w:tcW w:w="8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5"/>
                <w:szCs w:val="15"/>
                <w:color w:val="auto"/>
              </w:rPr>
              <w:t>(Unaudited)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1,014.6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3,890.9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3,070.8</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Prepaid expenses and other assets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Future income tax benefits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67.4</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4,332.4</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Goodwill and other intangible assets, net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1,357.5</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347.5</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1,705.0</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Land, buildings, leasehold improvements and equipment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703.6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527.2</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property and equipment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176.4</w:t>
            </w:r>
          </w:p>
        </w:tc>
      </w:tr>
      <w:tr>
        <w:trPr>
          <w:trHeight w:val="23"/>
        </w:trPr>
        <w:tc>
          <w:tcPr>
            <w:tcW w:w="8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7,015.4</w:t>
            </w:r>
          </w:p>
        </w:tc>
        <w:tc>
          <w:tcPr>
            <w:tcW w:w="12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6,213.8</w:t>
            </w:r>
          </w:p>
        </w:tc>
      </w:tr>
      <w:tr>
        <w:trPr>
          <w:trHeight w:val="20"/>
        </w:trPr>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8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LIABILITIES AND SHAREHOLDERS' EQUITY</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1,293.5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944.4</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Employee compensation payable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221.5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187.8</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Accrued liabilities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465.9</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Accrued payroll taxes and insurance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633.6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572.0</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Value added taxes payable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391.2</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Short-term borrowings and current maturities of long-term debt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41.7</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2,603.0</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Long-term debt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715.6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long-term liabilities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358.7</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1,074.3</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Common stock</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2,765.1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2,544.2</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1,109.6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Accumulated other comprehensive income</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94.4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106.9</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Treasury stock, at cost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(1,260.8)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(1,225.2)</w:t>
            </w:r>
          </w:p>
        </w:tc>
      </w:tr>
      <w:tr>
        <w:trPr>
          <w:trHeight w:val="23"/>
        </w:trPr>
        <w:tc>
          <w:tcPr>
            <w:tcW w:w="8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220"/>
              <w:spacing w:after="0"/>
              <w:rPr>
                <w:sz w:val="20"/>
                <w:szCs w:val="20"/>
                <w:color w:val="auto"/>
              </w:rPr>
            </w:pPr>
            <w:r>
              <w:rPr>
                <w:rFonts w:ascii="Arial" w:cs="Arial" w:eastAsia="Arial" w:hAnsi="Arial"/>
                <w:sz w:val="15"/>
                <w:szCs w:val="15"/>
                <w:color w:val="auto"/>
              </w:rPr>
              <w:t>Total shareholders' equity</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2,536.5</w:t>
            </w:r>
          </w:p>
        </w:tc>
      </w:tr>
      <w:tr>
        <w:trPr>
          <w:trHeight w:val="23"/>
        </w:trPr>
        <w:tc>
          <w:tcPr>
            <w:tcW w:w="8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8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liabilities and shareholders' equity</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7,015.4</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6,213.8</w:t>
            </w:r>
          </w:p>
        </w:tc>
      </w:tr>
      <w:tr>
        <w:trPr>
          <w:trHeight w:val="622"/>
        </w:trPr>
        <w:tc>
          <w:tcPr>
            <w:tcW w:w="880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Manpower Inc.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Statements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5"/>
                <w:szCs w:val="15"/>
                <w:b w:val="1"/>
                <w:bCs w:val="1"/>
                <w:color w:val="auto"/>
                <w:w w:val="92"/>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5"/>
                <w:szCs w:val="15"/>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95"/>
              </w:rPr>
              <w:t>2009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4"/>
          </w:tcPr>
          <w:p>
            <w:pPr>
              <w:jc w:val="center"/>
              <w:ind w:left="444"/>
              <w:spacing w:after="0"/>
              <w:rPr>
                <w:sz w:val="20"/>
                <w:szCs w:val="20"/>
                <w:color w:val="auto"/>
              </w:rPr>
            </w:pPr>
            <w:r>
              <w:rPr>
                <w:rFonts w:ascii="Arial" w:cs="Arial" w:eastAsia="Arial" w:hAnsi="Arial"/>
                <w:sz w:val="15"/>
                <w:szCs w:val="15"/>
                <w:color w:val="auto"/>
                <w:w w:val="94"/>
              </w:rPr>
              <w:t>(Unaudited)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Net earnings (loss)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86.8</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Adjustments to reconcile net earnings (loss) to net cash provided by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72.8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Non-cash goodwill and intangible asset impairment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 for doubtful accounts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Loss from sale of an equity investment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Share-based compensation</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Excess tax benefit on exercise of stock options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(730.2)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655.2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Other liabilities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494.7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(300.8)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(used in) provided by operating activities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(56.4)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Acquisitions of businesses, net of cash acquired</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(260.6)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the sale of an equity investment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Proceeds from the sale of property and equipment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used in investing activities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change in short-term borrowings</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Proceeds from long-term debt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Repayments of long-term debt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Proceeds from share-based awards</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Excess tax benefit on exercise of stock options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Repurchases of common stock</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(34.8)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Dividends paid</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20"/>
              <w:spacing w:after="0"/>
              <w:rPr>
                <w:sz w:val="20"/>
                <w:szCs w:val="20"/>
                <w:color w:val="auto"/>
              </w:rPr>
            </w:pPr>
            <w:r>
              <w:rPr>
                <w:rFonts w:ascii="Arial" w:cs="Arial" w:eastAsia="Arial" w:hAnsi="Arial"/>
                <w:sz w:val="15"/>
                <w:szCs w:val="15"/>
                <w:color w:val="auto"/>
              </w:rPr>
              <w:t>Cash used in financing activities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Change in cash and cash equivalents</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(416.3)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326.6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874.0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Cash and cash equivalents, end of period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598.3</w:t>
            </w:r>
          </w:p>
        </w:tc>
        <w:tc>
          <w:tcPr>
            <w:tcW w:w="12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6"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410845</wp:posOffset>
            </wp:positionV>
            <wp:extent cx="6969760" cy="522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480"/>
        <w:spacing w:after="0"/>
        <w:rPr>
          <w:sz w:val="20"/>
          <w:szCs w:val="20"/>
          <w:color w:val="auto"/>
        </w:rPr>
      </w:pPr>
      <w:r>
        <w:rPr>
          <w:rFonts w:ascii="Arial" w:cs="Arial" w:eastAsia="Arial" w:hAnsi="Arial"/>
          <w:sz w:val="24"/>
          <w:szCs w:val="24"/>
          <w:color w:val="FFFFFF"/>
        </w:rPr>
        <w:t>Manpower Inc.</w:t>
      </w:r>
    </w:p>
    <w:p>
      <w:pPr>
        <w:spacing w:after="0" w:line="78" w:lineRule="exact"/>
        <w:rPr>
          <w:sz w:val="20"/>
          <w:szCs w:val="20"/>
          <w:color w:val="auto"/>
        </w:rPr>
      </w:pPr>
    </w:p>
    <w:p>
      <w:pPr>
        <w:ind w:left="7400"/>
        <w:spacing w:after="0"/>
        <w:rPr>
          <w:sz w:val="20"/>
          <w:szCs w:val="20"/>
          <w:color w:val="auto"/>
        </w:rPr>
      </w:pPr>
      <w:r>
        <w:rPr>
          <w:rFonts w:ascii="Arial" w:cs="Arial" w:eastAsia="Arial" w:hAnsi="Arial"/>
          <w:sz w:val="24"/>
          <w:szCs w:val="24"/>
          <w:color w:val="FFFFFF"/>
        </w:rPr>
        <w:t>2010 3</w:t>
      </w:r>
      <w:r>
        <w:rPr>
          <w:rFonts w:ascii="Arial" w:cs="Arial" w:eastAsia="Arial" w:hAnsi="Arial"/>
          <w:sz w:val="17"/>
          <w:szCs w:val="17"/>
          <w:color w:val="FFFFFF"/>
        </w:rPr>
        <w:t>rd</w:t>
      </w:r>
      <w:r>
        <w:rPr>
          <w:rFonts w:ascii="Arial" w:cs="Arial" w:eastAsia="Arial" w:hAnsi="Arial"/>
          <w:sz w:val="24"/>
          <w:szCs w:val="24"/>
          <w:color w:val="FFFFFF"/>
        </w:rPr>
        <w:t xml:space="preserv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740"/>
        <w:spacing w:after="0"/>
        <w:tabs>
          <w:tab w:leader="none" w:pos="8460" w:val="left"/>
        </w:tabs>
        <w:rPr>
          <w:sz w:val="20"/>
          <w:szCs w:val="20"/>
          <w:color w:val="auto"/>
        </w:rPr>
      </w:pPr>
      <w:r>
        <w:rPr>
          <w:rFonts w:ascii="Arial" w:cs="Arial" w:eastAsia="Arial" w:hAnsi="Arial"/>
          <w:sz w:val="24"/>
          <w:szCs w:val="24"/>
          <w:color w:val="6698C2"/>
        </w:rPr>
        <w:t>2010</w:t>
        <w:tab/>
        <w:t>October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2372360</wp:posOffset>
            </wp:positionV>
            <wp:extent cx="727329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2</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rPr>
          <w:sz w:val="20"/>
          <w:szCs w:val="20"/>
          <w:color w:val="auto"/>
        </w:rPr>
      </w:pPr>
      <w:r>
        <w:rPr>
          <w:rFonts w:ascii="Arial" w:cs="Arial" w:eastAsia="Arial" w:hAnsi="Arial"/>
          <w:sz w:val="46"/>
          <w:szCs w:val="46"/>
          <w:color w:val="5F81AA"/>
        </w:rPr>
        <w:t>Forward-Looking Statement</w:t>
      </w:r>
    </w:p>
    <w:p>
      <w:pPr>
        <w:spacing w:after="0" w:line="200" w:lineRule="exact"/>
        <w:rPr>
          <w:sz w:val="20"/>
          <w:szCs w:val="20"/>
          <w:color w:val="auto"/>
        </w:rPr>
      </w:pPr>
    </w:p>
    <w:p>
      <w:pPr>
        <w:spacing w:after="0" w:line="289" w:lineRule="exact"/>
        <w:rPr>
          <w:sz w:val="20"/>
          <w:szCs w:val="20"/>
          <w:color w:val="auto"/>
        </w:rPr>
      </w:pPr>
    </w:p>
    <w:p>
      <w:pPr>
        <w:ind w:left="400" w:right="4380"/>
        <w:spacing w:after="0" w:line="249" w:lineRule="auto"/>
        <w:rPr>
          <w:sz w:val="20"/>
          <w:szCs w:val="20"/>
          <w:color w:val="auto"/>
        </w:rPr>
      </w:pPr>
      <w:r>
        <w:rPr>
          <w:rFonts w:ascii="Arial" w:cs="Arial" w:eastAsia="Arial" w:hAnsi="Arial"/>
          <w:sz w:val="24"/>
          <w:szCs w:val="24"/>
          <w:color w:val="auto"/>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Company’s Annual Report on Form 10-K dated December 31, 2009,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1599565</wp:posOffset>
            </wp:positionV>
            <wp:extent cx="727329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20"/>
          </w:cols>
          <w:pgMar w:left="1240" w:top="375" w:right="1039" w:bottom="1440" w:gutter="0" w:footer="0" w:header="0"/>
        </w:sectPr>
      </w:pPr>
    </w:p>
    <w:bookmarkStart w:id="13" w:name="page14"/>
    <w:bookmarkEnd w:id="13"/>
    <w:tbl>
      <w:tblPr>
        <w:tblLayout w:type="fixed"/>
        <w:tblInd w:w="118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3</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80"/>
        <w:spacing w:after="0"/>
        <w:rPr>
          <w:sz w:val="20"/>
          <w:szCs w:val="20"/>
          <w:color w:val="auto"/>
        </w:rPr>
      </w:pPr>
      <w:r>
        <w:rPr>
          <w:rFonts w:ascii="Arial" w:cs="Arial" w:eastAsia="Arial" w:hAnsi="Arial"/>
          <w:sz w:val="40"/>
          <w:szCs w:val="40"/>
          <w:color w:val="5F81AA"/>
        </w:rPr>
        <w:t>Consolidated Financial Highlights</w:t>
      </w:r>
    </w:p>
    <w:p>
      <w:pPr>
        <w:spacing w:after="0" w:line="200" w:lineRule="exact"/>
        <w:rPr>
          <w:sz w:val="20"/>
          <w:szCs w:val="20"/>
          <w:color w:val="auto"/>
        </w:rPr>
      </w:pPr>
    </w:p>
    <w:p>
      <w:pPr>
        <w:spacing w:after="0" w:line="308" w:lineRule="exact"/>
        <w:rPr>
          <w:sz w:val="20"/>
          <w:szCs w:val="20"/>
          <w:color w:val="auto"/>
        </w:rPr>
      </w:pPr>
    </w:p>
    <w:p>
      <w:pPr>
        <w:ind w:left="4100"/>
        <w:spacing w:after="0"/>
        <w:rPr>
          <w:sz w:val="20"/>
          <w:szCs w:val="20"/>
          <w:color w:val="auto"/>
        </w:rPr>
      </w:pPr>
      <w:r>
        <w:rPr>
          <w:rFonts w:ascii="Arial" w:cs="Arial" w:eastAsia="Arial" w:hAnsi="Arial"/>
          <w:sz w:val="40"/>
          <w:szCs w:val="40"/>
          <w:b w:val="1"/>
          <w:bCs w:val="1"/>
          <w:color w:val="auto"/>
        </w:rPr>
        <w:t>Q3 Highlights</w:t>
      </w:r>
    </w:p>
    <w:p>
      <w:pPr>
        <w:sectPr>
          <w:pgSz w:w="11900" w:h="16838" w:orient="portrait"/>
          <w:cols w:equalWidth="0" w:num="1">
            <w:col w:w="9660"/>
          </w:cols>
          <w:pgMar w:left="1200" w:top="375" w:right="1039" w:bottom="1440" w:gutter="0" w:footer="0" w:header="0"/>
        </w:sectPr>
      </w:pPr>
    </w:p>
    <w:p>
      <w:pPr>
        <w:spacing w:after="0" w:line="258" w:lineRule="exact"/>
        <w:rPr>
          <w:sz w:val="20"/>
          <w:szCs w:val="20"/>
          <w:color w:val="auto"/>
        </w:rPr>
      </w:pPr>
    </w:p>
    <w:p>
      <w:pPr>
        <w:ind w:left="1780"/>
        <w:spacing w:after="0"/>
        <w:rPr>
          <w:sz w:val="20"/>
          <w:szCs w:val="20"/>
          <w:color w:val="auto"/>
        </w:rPr>
      </w:pPr>
      <w:r>
        <w:rPr>
          <w:rFonts w:ascii="Arial" w:cs="Arial" w:eastAsia="Arial" w:hAnsi="Arial"/>
          <w:sz w:val="37"/>
          <w:szCs w:val="37"/>
          <w:color w:val="auto"/>
        </w:rPr>
        <w:t>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36"/>
          <w:szCs w:val="36"/>
          <w:color w:val="auto"/>
        </w:rPr>
        <w:t>24% CC</w:t>
      </w:r>
    </w:p>
    <w:p>
      <w:pPr>
        <w:spacing w:after="0" w:line="192" w:lineRule="exact"/>
        <w:rPr>
          <w:sz w:val="20"/>
          <w:szCs w:val="20"/>
          <w:color w:val="auto"/>
        </w:rPr>
      </w:pPr>
    </w:p>
    <w:p>
      <w:pPr>
        <w:ind w:left="1560"/>
        <w:spacing w:after="0"/>
        <w:rPr>
          <w:sz w:val="20"/>
          <w:szCs w:val="20"/>
          <w:color w:val="auto"/>
        </w:rPr>
      </w:pPr>
      <w:r>
        <w:rPr>
          <w:rFonts w:ascii="Arial" w:cs="Arial" w:eastAsia="Arial" w:hAnsi="Arial"/>
          <w:sz w:val="37"/>
          <w:szCs w:val="37"/>
          <w:color w:val="auto"/>
        </w:rPr>
        <w:t>10 bps</w:t>
      </w:r>
    </w:p>
    <w:p>
      <w:pPr>
        <w:spacing w:after="0" w:line="295" w:lineRule="exact"/>
        <w:rPr>
          <w:sz w:val="20"/>
          <w:szCs w:val="20"/>
          <w:color w:val="auto"/>
        </w:rPr>
      </w:pPr>
    </w:p>
    <w:p>
      <w:pPr>
        <w:ind w:left="1640"/>
        <w:spacing w:after="0"/>
        <w:rPr>
          <w:sz w:val="20"/>
          <w:szCs w:val="20"/>
          <w:color w:val="auto"/>
        </w:rPr>
      </w:pPr>
      <w:r>
        <w:rPr>
          <w:rFonts w:ascii="Arial" w:cs="Arial" w:eastAsia="Arial" w:hAnsi="Arial"/>
          <w:sz w:val="37"/>
          <w:szCs w:val="37"/>
          <w:color w:val="auto"/>
        </w:rPr>
        <w:t>N/A</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37"/>
          <w:szCs w:val="37"/>
          <w:color w:val="auto"/>
        </w:rPr>
        <w:t>N/A</w:t>
      </w:r>
    </w:p>
    <w:p>
      <w:pPr>
        <w:spacing w:after="0" w:line="272" w:lineRule="exact"/>
        <w:rPr>
          <w:sz w:val="20"/>
          <w:szCs w:val="20"/>
          <w:color w:val="auto"/>
        </w:rPr>
      </w:pPr>
    </w:p>
    <w:p>
      <w:pPr>
        <w:ind w:left="1380"/>
        <w:spacing w:after="0"/>
        <w:rPr>
          <w:sz w:val="20"/>
          <w:szCs w:val="20"/>
          <w:color w:val="auto"/>
        </w:rPr>
      </w:pPr>
      <w:r>
        <w:rPr>
          <w:rFonts w:ascii="Arial" w:cs="Arial" w:eastAsia="Arial" w:hAnsi="Arial"/>
          <w:sz w:val="37"/>
          <w:szCs w:val="37"/>
          <w:color w:val="auto"/>
        </w:rPr>
        <w:t>270 bps</w:t>
      </w:r>
    </w:p>
    <w:p>
      <w:pPr>
        <w:spacing w:after="0" w:line="238" w:lineRule="exact"/>
        <w:rPr>
          <w:sz w:val="20"/>
          <w:szCs w:val="20"/>
          <w:color w:val="auto"/>
        </w:rPr>
      </w:pPr>
    </w:p>
    <w:p>
      <w:pPr>
        <w:ind w:left="1640"/>
        <w:spacing w:after="0"/>
        <w:rPr>
          <w:sz w:val="20"/>
          <w:szCs w:val="20"/>
          <w:color w:val="auto"/>
        </w:rPr>
      </w:pPr>
      <w:r>
        <w:rPr>
          <w:rFonts w:ascii="Arial" w:cs="Arial" w:eastAsia="Arial" w:hAnsi="Arial"/>
          <w:sz w:val="37"/>
          <w:szCs w:val="37"/>
          <w:color w:val="auto"/>
        </w:rPr>
        <w:t>N/A</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37"/>
          <w:szCs w:val="37"/>
          <w:color w:val="auto"/>
        </w:rPr>
        <w:t>N/A</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20" w:right="2040"/>
        <w:spacing w:after="0" w:line="450" w:lineRule="auto"/>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$5.0B</w:t>
      </w:r>
      <w:r>
        <w:rPr>
          <w:rFonts w:ascii="Arial" w:cs="Arial" w:eastAsia="Arial" w:hAnsi="Arial"/>
          <w:sz w:val="40"/>
          <w:szCs w:val="40"/>
          <w:b w:val="1"/>
          <w:bCs w:val="1"/>
          <w:color w:val="auto"/>
        </w:rPr>
        <w:t xml:space="preserve"> Gross Margin </w:t>
      </w:r>
      <w:r>
        <w:rPr>
          <w:rFonts w:ascii="Arial" w:cs="Arial" w:eastAsia="Arial" w:hAnsi="Arial"/>
          <w:sz w:val="42"/>
          <w:szCs w:val="42"/>
          <w:b w:val="1"/>
          <w:bCs w:val="1"/>
          <w:color w:val="D47C18"/>
        </w:rPr>
        <w:t>16.9%</w:t>
      </w:r>
      <w:r>
        <w:rPr>
          <w:rFonts w:ascii="Arial" w:cs="Arial" w:eastAsia="Arial" w:hAnsi="Arial"/>
          <w:sz w:val="40"/>
          <w:szCs w:val="40"/>
          <w:b w:val="1"/>
          <w:bCs w:val="1"/>
          <w:color w:val="auto"/>
        </w:rPr>
        <w:t xml:space="preserve"> Operating Profit </w:t>
      </w:r>
      <w:r>
        <w:rPr>
          <w:rFonts w:ascii="Arial" w:cs="Arial" w:eastAsia="Arial" w:hAnsi="Arial"/>
          <w:sz w:val="42"/>
          <w:szCs w:val="42"/>
          <w:b w:val="1"/>
          <w:bCs w:val="1"/>
          <w:color w:val="D47C18"/>
        </w:rPr>
        <w:t>$109M</w:t>
      </w:r>
      <w:r>
        <w:rPr>
          <w:rFonts w:ascii="Arial" w:cs="Arial" w:eastAsia="Arial" w:hAnsi="Arial"/>
          <w:sz w:val="40"/>
          <w:szCs w:val="40"/>
          <w:b w:val="1"/>
          <w:bCs w:val="1"/>
          <w:color w:val="auto"/>
        </w:rPr>
        <w:t xml:space="preserve"> OP Margin </w:t>
      </w:r>
      <w:r>
        <w:rPr>
          <w:rFonts w:ascii="Arial" w:cs="Arial" w:eastAsia="Arial" w:hAnsi="Arial"/>
          <w:sz w:val="42"/>
          <w:szCs w:val="42"/>
          <w:b w:val="1"/>
          <w:bCs w:val="1"/>
          <w:color w:val="D47C18"/>
        </w:rPr>
        <w:t>2.2%</w:t>
      </w:r>
    </w:p>
    <w:p>
      <w:pPr>
        <w:spacing w:after="0" w:line="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 xml:space="preserve">EPS </w:t>
      </w:r>
      <w:r>
        <w:rPr>
          <w:rFonts w:ascii="Arial" w:cs="Arial" w:eastAsia="Arial" w:hAnsi="Arial"/>
          <w:sz w:val="42"/>
          <w:szCs w:val="42"/>
          <w:b w:val="1"/>
          <w:bCs w:val="1"/>
          <w:color w:val="D47C18"/>
        </w:rPr>
        <w:t>$.62</w:t>
      </w:r>
    </w:p>
    <w:p>
      <w:pPr>
        <w:spacing w:after="0" w:line="526" w:lineRule="exact"/>
        <w:rPr>
          <w:sz w:val="20"/>
          <w:szCs w:val="20"/>
          <w:color w:val="auto"/>
        </w:rPr>
      </w:pPr>
    </w:p>
    <w:p>
      <w:pPr>
        <w:sectPr>
          <w:pgSz w:w="11900" w:h="16838" w:orient="portrait"/>
          <w:cols w:equalWidth="0" w:num="2">
            <w:col w:w="2780" w:space="320"/>
            <w:col w:w="6560"/>
          </w:cols>
          <w:pgMar w:left="1200" w:top="375" w:right="1039" w:bottom="1440" w:gutter="0" w:footer="0" w:header="0"/>
          <w:type w:val="continuous"/>
        </w:sectPr>
      </w:pPr>
    </w:p>
    <w:p>
      <w:pPr>
        <w:spacing w:after="0" w:line="266"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284480</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60"/>
          </w:cols>
          <w:pgMar w:left="1200" w:top="375" w:right="1039" w:bottom="1440" w:gutter="0" w:footer="0" w:header="0"/>
          <w:type w:val="continuous"/>
        </w:sectPr>
      </w:pPr>
    </w:p>
    <w:bookmarkStart w:id="14" w:name="page15"/>
    <w:bookmarkEnd w:id="14"/>
    <w:tbl>
      <w:tblPr>
        <w:tblLayout w:type="fixed"/>
        <w:tblInd w:w="96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4</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color w:val="5F81AA"/>
        </w:rPr>
        <w:t>Consolidated Gross Margin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4209415</wp:posOffset>
            </wp:positionV>
            <wp:extent cx="72732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440"/>
          </w:cols>
          <w:pgMar w:left="1420" w:top="375" w:right="1039" w:bottom="1440" w:gutter="0" w:footer="0" w:header="0"/>
        </w:sectPr>
      </w:pPr>
    </w:p>
    <w:bookmarkStart w:id="15" w:name="page16"/>
    <w:bookmarkEnd w:id="15"/>
    <w:tbl>
      <w:tblPr>
        <w:tblLayout w:type="fixed"/>
        <w:tblInd w:w="110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5</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40"/>
          <w:szCs w:val="40"/>
          <w:color w:val="5F81AA"/>
        </w:rPr>
        <w:t>Americas Segment</w:t>
      </w:r>
    </w:p>
    <w:p>
      <w:pPr>
        <w:spacing w:after="0"/>
        <w:rPr>
          <w:sz w:val="20"/>
          <w:szCs w:val="20"/>
          <w:color w:val="auto"/>
        </w:rPr>
      </w:pPr>
      <w:r>
        <w:rPr>
          <w:rFonts w:ascii="Arial" w:cs="Arial" w:eastAsia="Arial" w:hAnsi="Arial"/>
          <w:sz w:val="30"/>
          <w:szCs w:val="30"/>
          <w:color w:val="5F81AA"/>
        </w:rPr>
        <w:t>(22% of Revenue)</w:t>
      </w:r>
    </w:p>
    <w:p>
      <w:pPr>
        <w:spacing w:after="0" w:line="319" w:lineRule="exact"/>
        <w:rPr>
          <w:sz w:val="20"/>
          <w:szCs w:val="20"/>
          <w:color w:val="auto"/>
        </w:rPr>
      </w:pPr>
    </w:p>
    <w:p>
      <w:pPr>
        <w:ind w:left="3260"/>
        <w:spacing w:after="0"/>
        <w:rPr>
          <w:sz w:val="20"/>
          <w:szCs w:val="20"/>
          <w:color w:val="auto"/>
        </w:rPr>
      </w:pPr>
      <w:r>
        <w:rPr>
          <w:rFonts w:ascii="Arial" w:cs="Arial" w:eastAsia="Arial" w:hAnsi="Arial"/>
          <w:sz w:val="40"/>
          <w:szCs w:val="40"/>
          <w:b w:val="1"/>
          <w:bCs w:val="1"/>
          <w:color w:val="auto"/>
        </w:rPr>
        <w:t xml:space="preserve">Q3 Financial Highlights </w:t>
      </w:r>
      <w:r>
        <w:rPr>
          <w:rFonts w:ascii="Arial" w:cs="Arial" w:eastAsia="Arial" w:hAnsi="Arial"/>
          <w:sz w:val="33"/>
          <w:szCs w:val="33"/>
          <w:b w:val="1"/>
          <w:bCs w:val="1"/>
          <w:color w:val="D47C18"/>
          <w:vertAlign w:val="superscript"/>
        </w:rPr>
        <w:t>(1)</w:t>
      </w:r>
    </w:p>
    <w:p>
      <w:pPr>
        <w:ind w:left="1940"/>
        <w:spacing w:after="0"/>
        <w:tabs>
          <w:tab w:leader="none" w:pos="3380" w:val="left"/>
        </w:tabs>
        <w:rPr>
          <w:sz w:val="20"/>
          <w:szCs w:val="20"/>
          <w:color w:val="auto"/>
        </w:rPr>
      </w:pPr>
      <w:r>
        <w:rPr>
          <w:rFonts w:ascii="Arial" w:cs="Arial" w:eastAsia="Arial" w:hAnsi="Arial"/>
          <w:sz w:val="73"/>
          <w:szCs w:val="73"/>
          <w:color w:val="auto"/>
          <w:vertAlign w:val="superscript"/>
        </w:rPr>
        <w:t>64%</w:t>
      </w:r>
      <w:r>
        <w:rPr>
          <w:rFonts w:ascii="Arial" w:cs="Arial" w:eastAsia="Arial" w:hAnsi="Arial"/>
          <w:sz w:val="33"/>
          <w:szCs w:val="33"/>
          <w:b w:val="1"/>
          <w:bCs w:val="1"/>
          <w:color w:val="D47C18"/>
          <w:vertAlign w:val="superscript"/>
        </w:rPr>
        <w:t>(2)</w:t>
      </w:r>
      <w:r>
        <w:rPr>
          <w:rFonts w:ascii="Arial" w:cs="Arial" w:eastAsia="Arial" w:hAnsi="Arial"/>
          <w:sz w:val="33"/>
          <w:szCs w:val="33"/>
          <w:b w:val="1"/>
          <w:bCs w:val="1"/>
          <w:color w:val="D47C18"/>
          <w:vertAlign w:val="subscript"/>
        </w:rPr>
        <w:t>(2)</w:t>
      </w:r>
      <w:r>
        <w:rPr>
          <w:rFonts w:ascii="Arial" w:cs="Arial" w:eastAsia="Arial" w:hAnsi="Arial"/>
          <w:sz w:val="40"/>
          <w:szCs w:val="40"/>
          <w:b w:val="1"/>
          <w:bCs w:val="1"/>
          <w:color w:val="auto"/>
        </w:rPr>
        <w:tab/>
        <w:t xml:space="preserve">Revenue </w:t>
      </w:r>
      <w:r>
        <w:rPr>
          <w:rFonts w:ascii="Arial" w:cs="Arial" w:eastAsia="Arial" w:hAnsi="Arial"/>
          <w:sz w:val="42"/>
          <w:szCs w:val="42"/>
          <w:b w:val="1"/>
          <w:bCs w:val="1"/>
          <w:color w:val="D47C18"/>
        </w:rPr>
        <w:t>$1.1B</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37"/>
          <w:szCs w:val="37"/>
          <w:color w:val="auto"/>
        </w:rPr>
        <w:t>62% CC</w:t>
      </w:r>
    </w:p>
    <w:p>
      <w:pPr>
        <w:ind w:left="1820"/>
        <w:spacing w:after="0" w:line="181" w:lineRule="auto"/>
        <w:tabs>
          <w:tab w:leader="none" w:pos="3400" w:val="left"/>
        </w:tabs>
        <w:rPr>
          <w:sz w:val="20"/>
          <w:szCs w:val="20"/>
          <w:color w:val="auto"/>
        </w:rPr>
      </w:pPr>
      <w:r>
        <w:rPr>
          <w:rFonts w:ascii="Arial" w:cs="Arial" w:eastAsia="Arial" w:hAnsi="Arial"/>
          <w:sz w:val="70"/>
          <w:szCs w:val="70"/>
          <w:color w:val="auto"/>
          <w:vertAlign w:val="superscript"/>
        </w:rPr>
        <w:t>395%</w:t>
      </w:r>
      <w:r>
        <w:rPr>
          <w:sz w:val="20"/>
          <w:szCs w:val="20"/>
          <w:color w:val="auto"/>
        </w:rPr>
        <w:tab/>
      </w:r>
      <w:r>
        <w:rPr>
          <w:rFonts w:ascii="Arial" w:cs="Arial" w:eastAsia="Arial" w:hAnsi="Arial"/>
          <w:sz w:val="38"/>
          <w:szCs w:val="38"/>
          <w:b w:val="1"/>
          <w:bCs w:val="1"/>
          <w:color w:val="auto"/>
        </w:rPr>
        <w:t xml:space="preserve">OUP </w:t>
      </w:r>
      <w:r>
        <w:rPr>
          <w:rFonts w:ascii="Arial" w:cs="Arial" w:eastAsia="Arial" w:hAnsi="Arial"/>
          <w:sz w:val="41"/>
          <w:szCs w:val="41"/>
          <w:b w:val="1"/>
          <w:bCs w:val="1"/>
          <w:color w:val="D47C18"/>
        </w:rPr>
        <w:t>$36M</w:t>
      </w:r>
    </w:p>
    <w:p>
      <w:pPr>
        <w:spacing w:after="0" w:line="111" w:lineRule="exact"/>
        <w:rPr>
          <w:sz w:val="20"/>
          <w:szCs w:val="20"/>
          <w:color w:val="auto"/>
        </w:rPr>
      </w:pPr>
    </w:p>
    <w:p>
      <w:pPr>
        <w:ind w:left="1480"/>
        <w:spacing w:after="0"/>
        <w:rPr>
          <w:sz w:val="20"/>
          <w:szCs w:val="20"/>
          <w:color w:val="auto"/>
        </w:rPr>
      </w:pPr>
      <w:r>
        <w:rPr>
          <w:rFonts w:ascii="Arial" w:cs="Arial" w:eastAsia="Arial" w:hAnsi="Arial"/>
          <w:sz w:val="37"/>
          <w:szCs w:val="37"/>
          <w:color w:val="auto"/>
        </w:rPr>
        <w:t>391%CC</w:t>
      </w:r>
    </w:p>
    <w:p>
      <w:pPr>
        <w:spacing w:after="0" w:line="289" w:lineRule="exact"/>
        <w:rPr>
          <w:sz w:val="20"/>
          <w:szCs w:val="20"/>
          <w:color w:val="auto"/>
        </w:rPr>
      </w:pPr>
    </w:p>
    <w:p>
      <w:pPr>
        <w:ind w:left="1540"/>
        <w:spacing w:after="0"/>
        <w:tabs>
          <w:tab w:leader="none" w:pos="3380" w:val="left"/>
        </w:tabs>
        <w:rPr>
          <w:sz w:val="20"/>
          <w:szCs w:val="20"/>
          <w:color w:val="auto"/>
        </w:rPr>
      </w:pPr>
      <w:r>
        <w:rPr>
          <w:rFonts w:ascii="Arial" w:cs="Arial" w:eastAsia="Arial" w:hAnsi="Arial"/>
          <w:sz w:val="37"/>
          <w:szCs w:val="37"/>
          <w:color w:val="auto"/>
        </w:rPr>
        <w:t>220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3.3%</w:t>
      </w:r>
    </w:p>
    <w:p>
      <w:pPr>
        <w:spacing w:after="0" w:line="200" w:lineRule="exact"/>
        <w:rPr>
          <w:sz w:val="20"/>
          <w:szCs w:val="20"/>
          <w:color w:val="auto"/>
        </w:rPr>
      </w:pPr>
    </w:p>
    <w:p>
      <w:pPr>
        <w:spacing w:after="0" w:line="381" w:lineRule="exact"/>
        <w:rPr>
          <w:sz w:val="20"/>
          <w:szCs w:val="20"/>
          <w:color w:val="auto"/>
        </w:rPr>
      </w:pPr>
    </w:p>
    <w:p>
      <w:pPr>
        <w:ind w:left="380" w:right="1080" w:hanging="279"/>
        <w:spacing w:after="0" w:line="207" w:lineRule="auto"/>
        <w:tabs>
          <w:tab w:leader="none" w:pos="353" w:val="left"/>
        </w:tabs>
        <w:numPr>
          <w:ilvl w:val="0"/>
          <w:numId w:val="5"/>
        </w:numPr>
        <w:rPr>
          <w:rFonts w:ascii="Arial" w:cs="Arial" w:eastAsia="Arial" w:hAnsi="Arial"/>
          <w:sz w:val="26"/>
          <w:szCs w:val="26"/>
          <w:color w:val="auto"/>
          <w:vertAlign w:val="superscript"/>
        </w:rPr>
      </w:pPr>
      <w:r>
        <w:rPr>
          <w:rFonts w:ascii="Arial" w:cs="Arial" w:eastAsia="Arial" w:hAnsi="Arial"/>
          <w:sz w:val="18"/>
          <w:szCs w:val="18"/>
          <w:color w:val="auto"/>
        </w:rPr>
        <w:t>Included in these amounts is the US, which had revenue of $752M (+84%) and OUP of $27M. On an organic basis, US revenue was $552M (+35%) and OUP was $18M.</w:t>
      </w:r>
    </w:p>
    <w:p>
      <w:pPr>
        <w:spacing w:after="0" w:line="67" w:lineRule="exact"/>
        <w:rPr>
          <w:rFonts w:ascii="Arial" w:cs="Arial" w:eastAsia="Arial" w:hAnsi="Arial"/>
          <w:sz w:val="26"/>
          <w:szCs w:val="26"/>
          <w:color w:val="auto"/>
          <w:vertAlign w:val="superscript"/>
        </w:rPr>
      </w:pPr>
    </w:p>
    <w:p>
      <w:pPr>
        <w:ind w:left="300" w:hanging="199"/>
        <w:spacing w:after="0"/>
        <w:tabs>
          <w:tab w:leader="none" w:pos="3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On an organic basis, Americas revenue increased 33% in USD (31% in CC).</w:t>
      </w:r>
    </w:p>
    <w:p>
      <w:pPr>
        <w:spacing w:after="0" w:line="184" w:lineRule="exact"/>
        <w:rPr>
          <w:sz w:val="20"/>
          <w:szCs w:val="20"/>
          <w:color w:val="auto"/>
        </w:rPr>
      </w:pPr>
    </w:p>
    <w:p>
      <w:pPr>
        <w:ind w:left="100" w:right="1120"/>
        <w:spacing w:after="0" w:line="270" w:lineRule="auto"/>
        <w:rPr>
          <w:sz w:val="20"/>
          <w:szCs w:val="20"/>
          <w:color w:val="auto"/>
        </w:rPr>
      </w:pPr>
      <w:r>
        <w:rPr>
          <w:rFonts w:ascii="Arial" w:cs="Arial" w:eastAsia="Arial" w:hAnsi="Arial"/>
          <w:sz w:val="21"/>
          <w:szCs w:val="21"/>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287020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580"/>
          </w:cols>
          <w:pgMar w:left="1280" w:top="375" w:right="1039" w:bottom="1440" w:gutter="0" w:footer="0" w:header="0"/>
        </w:sectPr>
      </w:pPr>
    </w:p>
    <w:bookmarkStart w:id="16" w:name="page17"/>
    <w:bookmarkEnd w:id="16"/>
    <w:tbl>
      <w:tblPr>
        <w:tblLayout w:type="fixed"/>
        <w:tblInd w:w="1251"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6</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51"/>
        <w:spacing w:after="0"/>
        <w:rPr>
          <w:sz w:val="20"/>
          <w:szCs w:val="20"/>
          <w:color w:val="auto"/>
        </w:rPr>
      </w:pPr>
      <w:r>
        <w:rPr>
          <w:rFonts w:ascii="Arial" w:cs="Arial" w:eastAsia="Arial" w:hAnsi="Arial"/>
          <w:sz w:val="40"/>
          <w:szCs w:val="40"/>
          <w:color w:val="5F81AA"/>
        </w:rPr>
        <w:t>Americas - Q3 Revenue Growth YoY</w:t>
      </w:r>
    </w:p>
    <w:p>
      <w:pPr>
        <w:spacing w:after="0" w:line="190" w:lineRule="exact"/>
        <w:rPr>
          <w:sz w:val="20"/>
          <w:szCs w:val="20"/>
          <w:color w:val="auto"/>
        </w:rPr>
      </w:pPr>
    </w:p>
    <w:p>
      <w:pPr>
        <w:ind w:left="211"/>
        <w:spacing w:after="0"/>
        <w:rPr>
          <w:sz w:val="20"/>
          <w:szCs w:val="20"/>
          <w:color w:val="auto"/>
        </w:rPr>
      </w:pPr>
      <w:r>
        <w:rPr>
          <w:rFonts w:ascii="Arial" w:cs="Arial" w:eastAsia="Arial" w:hAnsi="Arial"/>
          <w:sz w:val="23"/>
          <w:szCs w:val="23"/>
          <w:b w:val="1"/>
          <w:bCs w:val="1"/>
          <w:color w:val="auto"/>
        </w:rPr>
        <w:t>% of Segment</w:t>
      </w:r>
    </w:p>
    <w:p>
      <w:pPr>
        <w:ind w:left="211"/>
        <w:spacing w:after="0" w:line="219" w:lineRule="auto"/>
        <w:rPr>
          <w:sz w:val="20"/>
          <w:szCs w:val="20"/>
          <w:color w:val="auto"/>
        </w:rPr>
      </w:pPr>
      <w:r>
        <w:rPr>
          <w:rFonts w:ascii="Arial" w:cs="Arial" w:eastAsia="Arial" w:hAnsi="Arial"/>
          <w:sz w:val="23"/>
          <w:szCs w:val="23"/>
          <w:b w:val="1"/>
          <w:bCs w:val="1"/>
          <w:color w:val="auto"/>
        </w:rPr>
        <w:t>Revenue</w:t>
      </w:r>
    </w:p>
    <w:p>
      <w:pPr>
        <w:ind w:left="2911"/>
        <w:spacing w:after="0"/>
        <w:rPr>
          <w:sz w:val="20"/>
          <w:szCs w:val="20"/>
          <w:color w:val="auto"/>
        </w:rPr>
      </w:pPr>
      <w:r>
        <w:rPr>
          <w:rFonts w:ascii="Arial" w:cs="Arial" w:eastAsia="Arial" w:hAnsi="Arial"/>
          <w:sz w:val="17"/>
          <w:szCs w:val="17"/>
          <w:b w:val="1"/>
          <w:bCs w:val="1"/>
          <w:color w:val="D47C18"/>
        </w:rPr>
        <w:t>(1)</w:t>
      </w:r>
    </w:p>
    <w:p>
      <w:pPr>
        <w:spacing w:after="0" w:line="6" w:lineRule="exact"/>
        <w:rPr>
          <w:sz w:val="20"/>
          <w:szCs w:val="20"/>
          <w:color w:val="auto"/>
        </w:rPr>
      </w:pPr>
    </w:p>
    <w:p>
      <w:pPr>
        <w:ind w:left="411"/>
        <w:spacing w:after="0"/>
        <w:rPr>
          <w:sz w:val="20"/>
          <w:szCs w:val="20"/>
          <w:color w:val="auto"/>
        </w:rPr>
      </w:pPr>
      <w:r>
        <w:rPr>
          <w:rFonts w:ascii="Arial" w:cs="Arial" w:eastAsia="Arial" w:hAnsi="Arial"/>
          <w:sz w:val="27"/>
          <w:szCs w:val="27"/>
          <w:b w:val="1"/>
          <w:bCs w:val="1"/>
          <w:color w:val="D47C18"/>
        </w:rPr>
        <w:t>70%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1"/>
        <w:spacing w:after="0"/>
        <w:rPr>
          <w:sz w:val="20"/>
          <w:szCs w:val="20"/>
          <w:color w:val="auto"/>
        </w:rPr>
      </w:pPr>
      <w:r>
        <w:rPr>
          <w:rFonts w:ascii="Arial" w:cs="Arial" w:eastAsia="Arial" w:hAnsi="Arial"/>
          <w:sz w:val="27"/>
          <w:szCs w:val="27"/>
          <w:b w:val="1"/>
          <w:bCs w:val="1"/>
          <w:color w:val="D47C18"/>
        </w:rPr>
        <w:t>11%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71"/>
        <w:spacing w:after="0"/>
        <w:rPr>
          <w:sz w:val="20"/>
          <w:szCs w:val="20"/>
          <w:color w:val="auto"/>
        </w:rPr>
      </w:pPr>
      <w:r>
        <w:rPr>
          <w:rFonts w:ascii="Arial" w:cs="Arial" w:eastAsia="Arial" w:hAnsi="Arial"/>
          <w:sz w:val="27"/>
          <w:szCs w:val="27"/>
          <w:b w:val="1"/>
          <w:bCs w:val="1"/>
          <w:color w:val="D47C18"/>
        </w:rPr>
        <w:t>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1"/>
        <w:spacing w:after="0"/>
        <w:rPr>
          <w:sz w:val="20"/>
          <w:szCs w:val="20"/>
          <w:color w:val="auto"/>
        </w:rPr>
      </w:pPr>
      <w:r>
        <w:rPr>
          <w:rFonts w:ascii="Arial" w:cs="Arial" w:eastAsia="Arial" w:hAnsi="Arial"/>
          <w:sz w:val="27"/>
          <w:szCs w:val="27"/>
          <w:b w:val="1"/>
          <w:bCs w:val="1"/>
          <w:color w:val="D47C18"/>
        </w:rPr>
        <w:t>14%</w:t>
      </w:r>
    </w:p>
    <w:p>
      <w:pPr>
        <w:sectPr>
          <w:pgSz w:w="11900" w:h="16838" w:orient="portrait"/>
          <w:cols w:equalWidth="0" w:num="1">
            <w:col w:w="9731"/>
          </w:cols>
          <w:pgMar w:left="1129" w:top="37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51"/>
        <w:spacing w:after="0"/>
        <w:rPr>
          <w:sz w:val="20"/>
          <w:szCs w:val="20"/>
          <w:color w:val="auto"/>
        </w:rPr>
      </w:pPr>
      <w:r>
        <w:rPr>
          <w:rFonts w:ascii="Arial" w:cs="Arial" w:eastAsia="Arial" w:hAnsi="Arial"/>
          <w:sz w:val="21"/>
          <w:szCs w:val="21"/>
          <w:b w:val="1"/>
          <w:bCs w:val="1"/>
          <w:color w:val="auto"/>
        </w:rPr>
        <w:t>Revenue</w:t>
      </w:r>
    </w:p>
    <w:p>
      <w:pPr>
        <w:spacing w:after="0" w:line="36" w:lineRule="exact"/>
        <w:rPr>
          <w:sz w:val="20"/>
          <w:szCs w:val="20"/>
          <w:color w:val="auto"/>
        </w:rPr>
      </w:pPr>
    </w:p>
    <w:p>
      <w:pPr>
        <w:ind w:left="3531"/>
        <w:spacing w:after="0"/>
        <w:rPr>
          <w:sz w:val="20"/>
          <w:szCs w:val="20"/>
          <w:color w:val="auto"/>
        </w:rPr>
      </w:pPr>
      <w:r>
        <w:rPr>
          <w:rFonts w:ascii="Arial" w:cs="Arial" w:eastAsia="Arial" w:hAnsi="Arial"/>
          <w:sz w:val="21"/>
          <w:szCs w:val="21"/>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Growth - CC</w:t>
      </w:r>
    </w:p>
    <w:p>
      <w:pPr>
        <w:spacing w:after="0" w:line="278" w:lineRule="exact"/>
        <w:rPr>
          <w:sz w:val="20"/>
          <w:szCs w:val="20"/>
          <w:color w:val="auto"/>
        </w:rPr>
      </w:pPr>
    </w:p>
    <w:p>
      <w:pPr>
        <w:sectPr>
          <w:pgSz w:w="11900" w:h="16838" w:orient="portrait"/>
          <w:cols w:equalWidth="0" w:num="2">
            <w:col w:w="4511" w:space="720"/>
            <w:col w:w="4500"/>
          </w:cols>
          <w:pgMar w:left="1129" w:top="375" w:right="1039" w:bottom="1440" w:gutter="0" w:footer="0" w:header="0"/>
          <w:type w:val="continuous"/>
        </w:sectPr>
      </w:pPr>
    </w:p>
    <w:p>
      <w:pPr>
        <w:ind w:left="251" w:hanging="251"/>
        <w:spacing w:after="0" w:line="215" w:lineRule="auto"/>
        <w:tabs>
          <w:tab w:leader="none" w:pos="251" w:val="left"/>
        </w:tabs>
        <w:numPr>
          <w:ilvl w:val="0"/>
          <w:numId w:val="6"/>
        </w:numPr>
        <w:rPr>
          <w:rFonts w:ascii="Arial" w:cs="Arial" w:eastAsia="Arial" w:hAnsi="Arial"/>
          <w:sz w:val="26"/>
          <w:szCs w:val="26"/>
          <w:color w:val="auto"/>
          <w:vertAlign w:val="superscript"/>
        </w:rPr>
      </w:pPr>
      <w:r>
        <w:rPr>
          <w:rFonts w:ascii="Arial" w:cs="Arial" w:eastAsia="Arial" w:hAnsi="Arial"/>
          <w:sz w:val="18"/>
          <w:szCs w:val="18"/>
          <w:color w:val="auto"/>
        </w:rPr>
        <w:t>On an organic basis, US revenue was $552M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493395</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731"/>
          </w:cols>
          <w:pgMar w:left="1129" w:top="375" w:right="1039" w:bottom="1440" w:gutter="0" w:footer="0" w:header="0"/>
          <w:type w:val="continuous"/>
        </w:sectPr>
      </w:pPr>
    </w:p>
    <w:bookmarkStart w:id="17" w:name="page18"/>
    <w:bookmarkEnd w:id="17"/>
    <w:tbl>
      <w:tblPr>
        <w:tblLayout w:type="fixed"/>
        <w:tblInd w:w="110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7</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color w:val="5F81AA"/>
        </w:rPr>
        <w:t>France Segment</w:t>
      </w:r>
    </w:p>
    <w:p>
      <w:pPr>
        <w:spacing w:after="0"/>
        <w:rPr>
          <w:sz w:val="20"/>
          <w:szCs w:val="20"/>
          <w:color w:val="auto"/>
        </w:rPr>
      </w:pPr>
      <w:r>
        <w:rPr>
          <w:rFonts w:ascii="Arial" w:cs="Arial" w:eastAsia="Arial" w:hAnsi="Arial"/>
          <w:sz w:val="30"/>
          <w:szCs w:val="30"/>
          <w:color w:val="5F81AA"/>
        </w:rPr>
        <w:t>(28% of Revenue)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40"/>
          <w:szCs w:val="40"/>
          <w:b w:val="1"/>
          <w:bCs w:val="1"/>
          <w:color w:val="auto"/>
        </w:rPr>
        <w:t>Q3 Financial Highlights</w:t>
      </w:r>
    </w:p>
    <w:p>
      <w:pPr>
        <w:spacing w:after="0" w:line="292" w:lineRule="exact"/>
        <w:rPr>
          <w:sz w:val="20"/>
          <w:szCs w:val="20"/>
          <w:color w:val="auto"/>
        </w:rPr>
      </w:pPr>
    </w:p>
    <w:tbl>
      <w:tblPr>
        <w:tblLayout w:type="fixed"/>
        <w:tblInd w:w="1460" w:type="dxa"/>
        <w:tblCellMar>
          <w:top w:w="0" w:type="dxa"/>
          <w:left w:w="0" w:type="dxa"/>
          <w:bottom w:w="0" w:type="dxa"/>
          <w:right w:w="0" w:type="dxa"/>
        </w:tblCellMar>
      </w:tblPr>
      <w:tr>
        <w:trPr>
          <w:trHeight w:val="441"/>
        </w:trPr>
        <w:tc>
          <w:tcPr>
            <w:tcW w:w="1780" w:type="dxa"/>
            <w:vAlign w:val="bottom"/>
          </w:tcPr>
          <w:p>
            <w:pPr>
              <w:jc w:val="center"/>
              <w:ind w:right="17"/>
              <w:spacing w:after="0"/>
              <w:rPr>
                <w:sz w:val="20"/>
                <w:szCs w:val="20"/>
                <w:color w:val="auto"/>
              </w:rPr>
            </w:pPr>
            <w:r>
              <w:rPr>
                <w:rFonts w:ascii="Arial" w:cs="Arial" w:eastAsia="Arial" w:hAnsi="Arial"/>
                <w:sz w:val="37"/>
                <w:szCs w:val="37"/>
                <w:color w:val="auto"/>
              </w:rPr>
              <w:t>7%</w:t>
            </w:r>
          </w:p>
        </w:tc>
        <w:tc>
          <w:tcPr>
            <w:tcW w:w="200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Revenue</w:t>
            </w:r>
          </w:p>
        </w:tc>
        <w:tc>
          <w:tcPr>
            <w:tcW w:w="1240" w:type="dxa"/>
            <w:vAlign w:val="bottom"/>
            <w:vMerge w:val="restart"/>
          </w:tcPr>
          <w:p>
            <w:pPr>
              <w:ind w:left="100"/>
              <w:spacing w:after="0"/>
              <w:rPr>
                <w:sz w:val="20"/>
                <w:szCs w:val="20"/>
                <w:color w:val="auto"/>
              </w:rPr>
            </w:pPr>
            <w:r>
              <w:rPr>
                <w:rFonts w:ascii="Arial" w:cs="Arial" w:eastAsia="Arial" w:hAnsi="Arial"/>
                <w:sz w:val="43"/>
                <w:szCs w:val="43"/>
                <w:b w:val="1"/>
                <w:bCs w:val="1"/>
                <w:color w:val="D47C18"/>
                <w:w w:val="97"/>
              </w:rPr>
              <w:t>$1.4B</w:t>
            </w:r>
          </w:p>
        </w:tc>
        <w:tc>
          <w:tcPr>
            <w:tcW w:w="0" w:type="dxa"/>
            <w:vAlign w:val="bottom"/>
          </w:tcPr>
          <w:p>
            <w:pPr>
              <w:spacing w:after="0"/>
              <w:rPr>
                <w:sz w:val="1"/>
                <w:szCs w:val="1"/>
                <w:color w:val="auto"/>
              </w:rPr>
            </w:pPr>
          </w:p>
        </w:tc>
      </w:tr>
      <w:tr>
        <w:trPr>
          <w:trHeight w:val="247"/>
        </w:trPr>
        <w:tc>
          <w:tcPr>
            <w:tcW w:w="1780" w:type="dxa"/>
            <w:vAlign w:val="bottom"/>
            <w:vMerge w:val="restart"/>
          </w:tcPr>
          <w:p>
            <w:pPr>
              <w:jc w:val="center"/>
              <w:ind w:right="97"/>
              <w:spacing w:after="0"/>
              <w:rPr>
                <w:sz w:val="20"/>
                <w:szCs w:val="20"/>
                <w:color w:val="auto"/>
              </w:rPr>
            </w:pPr>
            <w:r>
              <w:rPr>
                <w:rFonts w:ascii="Arial" w:cs="Arial" w:eastAsia="Arial" w:hAnsi="Arial"/>
                <w:sz w:val="37"/>
                <w:szCs w:val="37"/>
                <w:color w:val="auto"/>
                <w:w w:val="99"/>
              </w:rPr>
              <w:t>19%</w:t>
            </w:r>
          </w:p>
        </w:tc>
        <w:tc>
          <w:tcPr>
            <w:tcW w:w="200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78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780" w:type="dxa"/>
            <w:vAlign w:val="bottom"/>
          </w:tcPr>
          <w:p>
            <w:pPr>
              <w:jc w:val="center"/>
              <w:ind w:right="97"/>
              <w:spacing w:after="0" w:line="330" w:lineRule="exact"/>
              <w:rPr>
                <w:sz w:val="20"/>
                <w:szCs w:val="20"/>
                <w:color w:val="auto"/>
              </w:rPr>
            </w:pPr>
            <w:r>
              <w:rPr>
                <w:rFonts w:ascii="Arial" w:cs="Arial" w:eastAsia="Arial" w:hAnsi="Arial"/>
                <w:sz w:val="37"/>
                <w:szCs w:val="37"/>
                <w:color w:val="auto"/>
              </w:rPr>
              <w:t>CC</w:t>
            </w: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780" w:type="dxa"/>
            <w:vAlign w:val="bottom"/>
          </w:tcPr>
          <w:p>
            <w:pPr>
              <w:jc w:val="center"/>
              <w:ind w:right="57"/>
              <w:spacing w:after="0" w:line="343" w:lineRule="exact"/>
              <w:rPr>
                <w:sz w:val="20"/>
                <w:szCs w:val="20"/>
                <w:color w:val="auto"/>
              </w:rPr>
            </w:pPr>
            <w:r>
              <w:rPr>
                <w:rFonts w:ascii="Arial" w:cs="Arial" w:eastAsia="Arial" w:hAnsi="Arial"/>
                <w:sz w:val="37"/>
                <w:szCs w:val="37"/>
                <w:color w:val="auto"/>
                <w:w w:val="99"/>
              </w:rPr>
              <w:t>136%</w:t>
            </w:r>
          </w:p>
        </w:tc>
        <w:tc>
          <w:tcPr>
            <w:tcW w:w="3240" w:type="dxa"/>
            <w:vAlign w:val="bottom"/>
            <w:gridSpan w:val="2"/>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$25M</w:t>
            </w:r>
          </w:p>
        </w:tc>
        <w:tc>
          <w:tcPr>
            <w:tcW w:w="0" w:type="dxa"/>
            <w:vAlign w:val="bottom"/>
          </w:tcPr>
          <w:p>
            <w:pPr>
              <w:spacing w:after="0"/>
              <w:rPr>
                <w:sz w:val="1"/>
                <w:szCs w:val="1"/>
                <w:color w:val="auto"/>
              </w:rPr>
            </w:pPr>
          </w:p>
        </w:tc>
      </w:tr>
      <w:tr>
        <w:trPr>
          <w:trHeight w:val="265"/>
        </w:trPr>
        <w:tc>
          <w:tcPr>
            <w:tcW w:w="1780" w:type="dxa"/>
            <w:vAlign w:val="bottom"/>
            <w:vMerge w:val="restart"/>
          </w:tcPr>
          <w:p>
            <w:pPr>
              <w:jc w:val="center"/>
              <w:ind w:right="37"/>
              <w:spacing w:after="0"/>
              <w:rPr>
                <w:sz w:val="20"/>
                <w:szCs w:val="20"/>
                <w:color w:val="auto"/>
              </w:rPr>
            </w:pPr>
            <w:r>
              <w:rPr>
                <w:rFonts w:ascii="Arial" w:cs="Arial" w:eastAsia="Arial" w:hAnsi="Arial"/>
                <w:sz w:val="37"/>
                <w:szCs w:val="37"/>
                <w:color w:val="auto"/>
                <w:w w:val="98"/>
              </w:rPr>
              <w:t>161% CC</w:t>
            </w:r>
          </w:p>
        </w:tc>
        <w:tc>
          <w:tcPr>
            <w:tcW w:w="32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1540"/>
        <w:spacing w:after="0"/>
        <w:tabs>
          <w:tab w:leader="none" w:pos="3460" w:val="left"/>
        </w:tabs>
        <w:rPr>
          <w:sz w:val="20"/>
          <w:szCs w:val="20"/>
          <w:color w:val="auto"/>
        </w:rPr>
      </w:pPr>
      <w:r>
        <w:rPr>
          <w:rFonts w:ascii="Arial" w:cs="Arial" w:eastAsia="Arial" w:hAnsi="Arial"/>
          <w:sz w:val="37"/>
          <w:szCs w:val="37"/>
          <w:color w:val="auto"/>
        </w:rPr>
        <w:t>100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1574800</wp:posOffset>
            </wp:positionV>
            <wp:extent cx="727329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580"/>
          </w:cols>
          <w:pgMar w:left="1280" w:top="375" w:right="1039" w:bottom="1440" w:gutter="0" w:footer="0" w:header="0"/>
        </w:sectPr>
      </w:pPr>
    </w:p>
    <w:bookmarkStart w:id="18" w:name="page19"/>
    <w:bookmarkEnd w:id="18"/>
    <w:tbl>
      <w:tblPr>
        <w:tblLayout w:type="fixed"/>
        <w:tblInd w:w="2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8</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40"/>
          <w:szCs w:val="40"/>
          <w:color w:val="5F81AA"/>
        </w:rPr>
        <w:t>EMEA Segment</w:t>
      </w:r>
    </w:p>
    <w:p>
      <w:pPr>
        <w:ind w:left="1040"/>
        <w:spacing w:after="0"/>
        <w:rPr>
          <w:sz w:val="20"/>
          <w:szCs w:val="20"/>
          <w:color w:val="auto"/>
        </w:rPr>
      </w:pPr>
      <w:r>
        <w:rPr>
          <w:rFonts w:ascii="Arial" w:cs="Arial" w:eastAsia="Arial" w:hAnsi="Arial"/>
          <w:sz w:val="30"/>
          <w:szCs w:val="30"/>
          <w:color w:val="5F81AA"/>
        </w:rPr>
        <w:t>(36% of Revenue)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4200" w:type="dxa"/>
            <w:vAlign w:val="bottom"/>
          </w:tcPr>
          <w:p>
            <w:pPr>
              <w:spacing w:after="0"/>
              <w:rPr>
                <w:sz w:val="24"/>
                <w:szCs w:val="24"/>
                <w:color w:val="auto"/>
              </w:rPr>
            </w:pPr>
          </w:p>
        </w:tc>
        <w:tc>
          <w:tcPr>
            <w:tcW w:w="7240" w:type="dxa"/>
            <w:vAlign w:val="bottom"/>
          </w:tcPr>
          <w:p>
            <w:pPr>
              <w:ind w:left="100"/>
              <w:spacing w:after="0"/>
              <w:rPr>
                <w:sz w:val="20"/>
                <w:szCs w:val="20"/>
                <w:color w:val="auto"/>
              </w:rPr>
            </w:pPr>
            <w:r>
              <w:rPr>
                <w:rFonts w:ascii="Arial" w:cs="Arial" w:eastAsia="Arial" w:hAnsi="Arial"/>
                <w:sz w:val="40"/>
                <w:szCs w:val="40"/>
                <w:b w:val="1"/>
                <w:bCs w:val="1"/>
                <w:color w:val="auto"/>
              </w:rPr>
              <w:t>Q3 Financial Highlights</w:t>
            </w:r>
          </w:p>
        </w:tc>
        <w:tc>
          <w:tcPr>
            <w:tcW w:w="0" w:type="dxa"/>
            <w:vAlign w:val="bottom"/>
          </w:tcPr>
          <w:p>
            <w:pPr>
              <w:spacing w:after="0"/>
              <w:rPr>
                <w:sz w:val="1"/>
                <w:szCs w:val="1"/>
                <w:color w:val="auto"/>
              </w:rPr>
            </w:pPr>
          </w:p>
        </w:tc>
      </w:tr>
      <w:tr>
        <w:trPr>
          <w:trHeight w:val="667"/>
        </w:trPr>
        <w:tc>
          <w:tcPr>
            <w:tcW w:w="4200" w:type="dxa"/>
            <w:vAlign w:val="bottom"/>
          </w:tcPr>
          <w:p>
            <w:pPr>
              <w:jc w:val="right"/>
              <w:ind w:right="457"/>
              <w:spacing w:after="0"/>
              <w:rPr>
                <w:sz w:val="20"/>
                <w:szCs w:val="20"/>
                <w:color w:val="auto"/>
              </w:rPr>
            </w:pPr>
            <w:r>
              <w:rPr>
                <w:rFonts w:ascii="Arial" w:cs="Arial" w:eastAsia="Arial" w:hAnsi="Arial"/>
                <w:sz w:val="37"/>
                <w:szCs w:val="37"/>
                <w:color w:val="auto"/>
              </w:rPr>
              <w:t>12%</w:t>
            </w:r>
          </w:p>
        </w:tc>
        <w:tc>
          <w:tcPr>
            <w:tcW w:w="724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$1.8B</w:t>
            </w:r>
          </w:p>
        </w:tc>
        <w:tc>
          <w:tcPr>
            <w:tcW w:w="0" w:type="dxa"/>
            <w:vAlign w:val="bottom"/>
          </w:tcPr>
          <w:p>
            <w:pPr>
              <w:spacing w:after="0"/>
              <w:rPr>
                <w:sz w:val="1"/>
                <w:szCs w:val="1"/>
                <w:color w:val="auto"/>
              </w:rPr>
            </w:pPr>
          </w:p>
        </w:tc>
      </w:tr>
      <w:tr>
        <w:trPr>
          <w:trHeight w:val="247"/>
        </w:trPr>
        <w:tc>
          <w:tcPr>
            <w:tcW w:w="4200" w:type="dxa"/>
            <w:vAlign w:val="bottom"/>
            <w:vMerge w:val="restart"/>
          </w:tcPr>
          <w:p>
            <w:pPr>
              <w:ind w:left="2560"/>
              <w:spacing w:after="0"/>
              <w:rPr>
                <w:sz w:val="20"/>
                <w:szCs w:val="20"/>
                <w:color w:val="auto"/>
              </w:rPr>
            </w:pPr>
            <w:r>
              <w:rPr>
                <w:rFonts w:ascii="Arial" w:cs="Arial" w:eastAsia="Arial" w:hAnsi="Arial"/>
                <w:sz w:val="37"/>
                <w:szCs w:val="37"/>
                <w:color w:val="auto"/>
              </w:rPr>
              <w:t>20% CC</w:t>
            </w:r>
          </w:p>
        </w:tc>
        <w:tc>
          <w:tcPr>
            <w:tcW w:w="7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200" w:type="dxa"/>
            <w:vAlign w:val="bottom"/>
            <w:vMerge w:val="continue"/>
          </w:tcPr>
          <w:p>
            <w:pPr>
              <w:spacing w:after="0"/>
              <w:rPr>
                <w:sz w:val="18"/>
                <w:szCs w:val="18"/>
                <w:color w:val="auto"/>
              </w:rPr>
            </w:pPr>
          </w:p>
        </w:tc>
        <w:tc>
          <w:tcPr>
            <w:tcW w:w="7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7"/>
        </w:trPr>
        <w:tc>
          <w:tcPr>
            <w:tcW w:w="4200" w:type="dxa"/>
            <w:vAlign w:val="bottom"/>
          </w:tcPr>
          <w:p>
            <w:pPr>
              <w:jc w:val="right"/>
              <w:ind w:right="357"/>
              <w:spacing w:after="0"/>
              <w:rPr>
                <w:sz w:val="20"/>
                <w:szCs w:val="20"/>
                <w:color w:val="auto"/>
              </w:rPr>
            </w:pPr>
            <w:r>
              <w:rPr>
                <w:rFonts w:ascii="Arial" w:cs="Arial" w:eastAsia="Arial" w:hAnsi="Arial"/>
                <w:sz w:val="37"/>
                <w:szCs w:val="37"/>
                <w:color w:val="auto"/>
              </w:rPr>
              <w:t>122%</w:t>
            </w:r>
          </w:p>
        </w:tc>
        <w:tc>
          <w:tcPr>
            <w:tcW w:w="7240" w:type="dxa"/>
            <w:vAlign w:val="bottom"/>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$54M</w:t>
            </w:r>
          </w:p>
        </w:tc>
        <w:tc>
          <w:tcPr>
            <w:tcW w:w="0" w:type="dxa"/>
            <w:vAlign w:val="bottom"/>
          </w:tcPr>
          <w:p>
            <w:pPr>
              <w:spacing w:after="0"/>
              <w:rPr>
                <w:sz w:val="1"/>
                <w:szCs w:val="1"/>
                <w:color w:val="auto"/>
              </w:rPr>
            </w:pPr>
          </w:p>
        </w:tc>
      </w:tr>
      <w:tr>
        <w:trPr>
          <w:trHeight w:val="446"/>
        </w:trPr>
        <w:tc>
          <w:tcPr>
            <w:tcW w:w="4200" w:type="dxa"/>
            <w:vAlign w:val="bottom"/>
          </w:tcPr>
          <w:p>
            <w:pPr>
              <w:ind w:left="2500"/>
              <w:spacing w:after="0"/>
              <w:rPr>
                <w:sz w:val="20"/>
                <w:szCs w:val="20"/>
                <w:color w:val="auto"/>
              </w:rPr>
            </w:pPr>
            <w:r>
              <w:rPr>
                <w:rFonts w:ascii="Arial" w:cs="Arial" w:eastAsia="Arial" w:hAnsi="Arial"/>
                <w:sz w:val="37"/>
                <w:szCs w:val="37"/>
                <w:color w:val="auto"/>
              </w:rPr>
              <w:t>139% CC</w:t>
            </w:r>
          </w:p>
        </w:tc>
        <w:tc>
          <w:tcPr>
            <w:tcW w:w="7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4200" w:type="dxa"/>
            <w:vAlign w:val="bottom"/>
          </w:tcPr>
          <w:p>
            <w:pPr>
              <w:ind w:left="2620"/>
              <w:spacing w:after="0"/>
              <w:rPr>
                <w:sz w:val="20"/>
                <w:szCs w:val="20"/>
                <w:color w:val="auto"/>
              </w:rPr>
            </w:pPr>
            <w:r>
              <w:rPr>
                <w:rFonts w:ascii="Arial" w:cs="Arial" w:eastAsia="Arial" w:hAnsi="Arial"/>
                <w:sz w:val="37"/>
                <w:szCs w:val="37"/>
                <w:color w:val="auto"/>
              </w:rPr>
              <w:t>150 bps</w:t>
            </w:r>
          </w:p>
        </w:tc>
        <w:tc>
          <w:tcPr>
            <w:tcW w:w="7240" w:type="dxa"/>
            <w:vAlign w:val="bottom"/>
          </w:tcPr>
          <w:p>
            <w:pPr>
              <w:ind w:left="24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3.0%</w:t>
            </w:r>
          </w:p>
        </w:tc>
        <w:tc>
          <w:tcPr>
            <w:tcW w:w="0" w:type="dxa"/>
            <w:vAlign w:val="bottom"/>
          </w:tcPr>
          <w:p>
            <w:pPr>
              <w:spacing w:after="0"/>
              <w:rPr>
                <w:sz w:val="1"/>
                <w:szCs w:val="1"/>
                <w:color w:val="auto"/>
              </w:rPr>
            </w:pPr>
          </w:p>
        </w:tc>
      </w:tr>
      <w:tr>
        <w:trPr>
          <w:trHeight w:val="2726"/>
        </w:trPr>
        <w:tc>
          <w:tcPr>
            <w:tcW w:w="4200" w:type="dxa"/>
            <w:vAlign w:val="bottom"/>
            <w:tcBorders>
              <w:bottom w:val="single" w:sz="8" w:color="808080"/>
            </w:tcBorders>
          </w:tcPr>
          <w:p>
            <w:pPr>
              <w:spacing w:after="0"/>
              <w:rPr>
                <w:sz w:val="24"/>
                <w:szCs w:val="24"/>
                <w:color w:val="auto"/>
              </w:rPr>
            </w:pPr>
          </w:p>
        </w:tc>
        <w:tc>
          <w:tcPr>
            <w:tcW w:w="7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19" w:name="page20"/>
    <w:bookmarkEnd w:id="19"/>
    <w:tbl>
      <w:tblPr>
        <w:tblLayout w:type="fixed"/>
        <w:tblInd w:w="2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400" w:type="dxa"/>
            <w:vAlign w:val="bottom"/>
          </w:tcPr>
          <w:p>
            <w:pPr>
              <w:jc w:val="right"/>
              <w:spacing w:after="0"/>
              <w:rPr>
                <w:sz w:val="20"/>
                <w:szCs w:val="20"/>
                <w:color w:val="auto"/>
              </w:rPr>
            </w:pPr>
            <w:r>
              <w:rPr>
                <w:rFonts w:ascii="Arial" w:cs="Arial" w:eastAsia="Arial" w:hAnsi="Arial"/>
                <w:sz w:val="17"/>
                <w:szCs w:val="17"/>
                <w:color w:val="FFFFFF"/>
              </w:rPr>
              <w:t>9</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400" w:type="dxa"/>
            <w:vAlign w:val="bottom"/>
          </w:tcPr>
          <w:p>
            <w:pPr>
              <w:spacing w:after="0"/>
              <w:rPr>
                <w:sz w:val="17"/>
                <w:szCs w:val="17"/>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40"/>
          <w:szCs w:val="40"/>
          <w:color w:val="5F81AA"/>
        </w:rPr>
        <w:t>EMEA - Q3 Revenue Growth YoY</w:t>
      </w:r>
    </w:p>
    <w:p>
      <w:pPr>
        <w:spacing w:after="0" w:line="190" w:lineRule="exact"/>
        <w:rPr>
          <w:sz w:val="20"/>
          <w:szCs w:val="20"/>
          <w:color w:val="auto"/>
        </w:rPr>
      </w:pPr>
    </w:p>
    <w:p>
      <w:pPr>
        <w:ind w:left="1100" w:right="8820" w:firstLine="6"/>
        <w:spacing w:after="0" w:line="283" w:lineRule="auto"/>
        <w:tabs>
          <w:tab w:leader="none" w:pos="1367" w:val="left"/>
        </w:tabs>
        <w:numPr>
          <w:ilvl w:val="0"/>
          <w:numId w:val="7"/>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129" w:lineRule="exact"/>
        <w:rPr>
          <w:sz w:val="20"/>
          <w:szCs w:val="20"/>
          <w:color w:val="auto"/>
        </w:rPr>
      </w:pPr>
    </w:p>
    <w:p>
      <w:pPr>
        <w:ind w:left="1360"/>
        <w:spacing w:after="0"/>
        <w:rPr>
          <w:sz w:val="20"/>
          <w:szCs w:val="20"/>
          <w:color w:val="auto"/>
        </w:rPr>
      </w:pPr>
      <w:r>
        <w:rPr>
          <w:rFonts w:ascii="Arial" w:cs="Arial" w:eastAsia="Arial" w:hAnsi="Arial"/>
          <w:sz w:val="27"/>
          <w:szCs w:val="27"/>
          <w:b w:val="1"/>
          <w:bCs w:val="1"/>
          <w:color w:val="D47C18"/>
        </w:rPr>
        <w:t>14%</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7"/>
          <w:szCs w:val="27"/>
          <w:b w:val="1"/>
          <w:bCs w:val="1"/>
          <w:color w:val="D47C18"/>
        </w:rPr>
        <w:t>14%</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7"/>
          <w:szCs w:val="27"/>
          <w:b w:val="1"/>
          <w:bCs w:val="1"/>
          <w:color w:val="D47C18"/>
        </w:rPr>
        <w:t>13%</w:t>
      </w:r>
    </w:p>
    <w:p>
      <w:pPr>
        <w:spacing w:after="0" w:line="227"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D47C18"/>
        </w:rPr>
        <w:t>11%</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D47C18"/>
        </w:rPr>
        <w:t>10%</w:t>
      </w:r>
    </w:p>
    <w:p>
      <w:pPr>
        <w:spacing w:after="0" w:line="284" w:lineRule="exact"/>
        <w:rPr>
          <w:sz w:val="20"/>
          <w:szCs w:val="20"/>
          <w:color w:val="auto"/>
        </w:rPr>
      </w:pPr>
    </w:p>
    <w:p>
      <w:pPr>
        <w:ind w:left="1520"/>
        <w:spacing w:after="0"/>
        <w:rPr>
          <w:sz w:val="20"/>
          <w:szCs w:val="20"/>
          <w:color w:val="auto"/>
        </w:rPr>
      </w:pPr>
      <w:r>
        <w:rPr>
          <w:rFonts w:ascii="Arial" w:cs="Arial" w:eastAsia="Arial" w:hAnsi="Arial"/>
          <w:sz w:val="27"/>
          <w:szCs w:val="27"/>
          <w:b w:val="1"/>
          <w:bCs w:val="1"/>
          <w:color w:val="D47C18"/>
        </w:rPr>
        <w:t>8%</w:t>
      </w:r>
    </w:p>
    <w:p>
      <w:pPr>
        <w:spacing w:after="0" w:line="204" w:lineRule="exact"/>
        <w:rPr>
          <w:sz w:val="20"/>
          <w:szCs w:val="20"/>
          <w:color w:val="auto"/>
        </w:rPr>
      </w:pPr>
    </w:p>
    <w:p>
      <w:pPr>
        <w:ind w:left="1500"/>
        <w:spacing w:after="0"/>
        <w:rPr>
          <w:sz w:val="20"/>
          <w:szCs w:val="20"/>
          <w:color w:val="auto"/>
        </w:rPr>
      </w:pPr>
      <w:r>
        <w:rPr>
          <w:rFonts w:ascii="Arial" w:cs="Arial" w:eastAsia="Arial" w:hAnsi="Arial"/>
          <w:sz w:val="27"/>
          <w:szCs w:val="27"/>
          <w:b w:val="1"/>
          <w:bCs w:val="1"/>
          <w:color w:val="D47C18"/>
        </w:rPr>
        <w:t>6%</w:t>
      </w:r>
    </w:p>
    <w:p>
      <w:pPr>
        <w:spacing w:after="0" w:line="204" w:lineRule="exact"/>
        <w:rPr>
          <w:sz w:val="20"/>
          <w:szCs w:val="20"/>
          <w:color w:val="auto"/>
        </w:rPr>
      </w:pPr>
    </w:p>
    <w:p>
      <w:pPr>
        <w:ind w:left="1400"/>
        <w:spacing w:after="0"/>
        <w:rPr>
          <w:sz w:val="20"/>
          <w:szCs w:val="20"/>
          <w:color w:val="auto"/>
        </w:rPr>
      </w:pPr>
      <w:r>
        <w:rPr>
          <w:rFonts w:ascii="Arial" w:cs="Arial" w:eastAsia="Arial" w:hAnsi="Arial"/>
          <w:sz w:val="27"/>
          <w:szCs w:val="27"/>
          <w:b w:val="1"/>
          <w:bCs w:val="1"/>
          <w:color w:val="D47C18"/>
        </w:rPr>
        <w:t>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Revenue</w:t>
            </w:r>
          </w:p>
        </w:tc>
        <w:tc>
          <w:tcPr>
            <w:tcW w:w="5460" w:type="dxa"/>
            <w:vAlign w:val="bottom"/>
          </w:tcPr>
          <w:p>
            <w:pPr>
              <w:ind w:left="460"/>
              <w:spacing w:after="0"/>
              <w:rPr>
                <w:sz w:val="20"/>
                <w:szCs w:val="20"/>
                <w:color w:val="auto"/>
              </w:rPr>
            </w:pPr>
            <w:r>
              <w:rPr>
                <w:rFonts w:ascii="Arial" w:cs="Arial" w:eastAsia="Arial" w:hAnsi="Arial"/>
                <w:sz w:val="21"/>
                <w:szCs w:val="21"/>
                <w:b w:val="1"/>
                <w:bCs w:val="1"/>
                <w:color w:val="auto"/>
              </w:rPr>
              <w:t>Revenue Growth - CC</w:t>
            </w:r>
          </w:p>
        </w:tc>
      </w:tr>
      <w:tr>
        <w:trPr>
          <w:trHeight w:val="283"/>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Growth</w:t>
            </w:r>
          </w:p>
        </w:tc>
        <w:tc>
          <w:tcPr>
            <w:tcW w:w="5460" w:type="dxa"/>
            <w:vAlign w:val="bottom"/>
          </w:tcPr>
          <w:p>
            <w:pPr>
              <w:spacing w:after="0"/>
              <w:rPr>
                <w:sz w:val="24"/>
                <w:szCs w:val="24"/>
                <w:color w:val="auto"/>
              </w:rPr>
            </w:pPr>
          </w:p>
        </w:tc>
      </w:tr>
      <w:tr>
        <w:trPr>
          <w:trHeight w:val="984"/>
        </w:trPr>
        <w:tc>
          <w:tcPr>
            <w:tcW w:w="59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0" w:name="page21"/>
    <w:bookmarkEnd w:id="20"/>
    <w:tbl>
      <w:tblPr>
        <w:tblLayout w:type="fixed"/>
        <w:tblInd w:w="2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10</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40"/>
          <w:szCs w:val="40"/>
          <w:color w:val="5F81AA"/>
        </w:rPr>
        <w:t>Asia Pacific Segment</w:t>
      </w:r>
    </w:p>
    <w:p>
      <w:pPr>
        <w:ind w:left="1040"/>
        <w:spacing w:after="0"/>
        <w:rPr>
          <w:sz w:val="20"/>
          <w:szCs w:val="20"/>
          <w:color w:val="auto"/>
        </w:rPr>
      </w:pPr>
      <w:r>
        <w:rPr>
          <w:rFonts w:ascii="Arial" w:cs="Arial" w:eastAsia="Arial" w:hAnsi="Arial"/>
          <w:sz w:val="30"/>
          <w:szCs w:val="30"/>
          <w:color w:val="5F81AA"/>
        </w:rPr>
        <w:t>(11% of Revenue)</w:t>
      </w:r>
    </w:p>
    <w:p>
      <w:pPr>
        <w:spacing w:after="0" w:line="345" w:lineRule="exact"/>
        <w:rPr>
          <w:sz w:val="20"/>
          <w:szCs w:val="20"/>
          <w:color w:val="auto"/>
        </w:rPr>
      </w:pPr>
    </w:p>
    <w:p>
      <w:pPr>
        <w:ind w:left="4300"/>
        <w:spacing w:after="0"/>
        <w:rPr>
          <w:sz w:val="20"/>
          <w:szCs w:val="20"/>
          <w:color w:val="auto"/>
        </w:rPr>
      </w:pPr>
      <w:r>
        <w:rPr>
          <w:rFonts w:ascii="Arial" w:cs="Arial" w:eastAsia="Arial" w:hAnsi="Arial"/>
          <w:sz w:val="40"/>
          <w:szCs w:val="40"/>
          <w:b w:val="1"/>
          <w:bCs w:val="1"/>
          <w:color w:val="auto"/>
        </w:rPr>
        <w:t>Q3 Financial Highlights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260" w:type="dxa"/>
            <w:vAlign w:val="bottom"/>
          </w:tcPr>
          <w:p>
            <w:pPr>
              <w:jc w:val="center"/>
              <w:ind w:left="2277"/>
              <w:spacing w:after="0"/>
              <w:rPr>
                <w:sz w:val="20"/>
                <w:szCs w:val="20"/>
                <w:color w:val="auto"/>
              </w:rPr>
            </w:pPr>
            <w:r>
              <w:rPr>
                <w:rFonts w:ascii="Arial" w:cs="Arial" w:eastAsia="Arial" w:hAnsi="Arial"/>
                <w:sz w:val="37"/>
                <w:szCs w:val="37"/>
                <w:color w:val="auto"/>
                <w:w w:val="97"/>
              </w:rPr>
              <w:t>30%</w:t>
            </w:r>
          </w:p>
        </w:tc>
        <w:tc>
          <w:tcPr>
            <w:tcW w:w="7180" w:type="dxa"/>
            <w:vAlign w:val="bottom"/>
            <w:vMerge w:val="restart"/>
          </w:tcPr>
          <w:p>
            <w:pPr>
              <w:ind w:left="18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$556M</w:t>
            </w:r>
          </w:p>
        </w:tc>
        <w:tc>
          <w:tcPr>
            <w:tcW w:w="0" w:type="dxa"/>
            <w:vAlign w:val="bottom"/>
          </w:tcPr>
          <w:p>
            <w:pPr>
              <w:spacing w:after="0"/>
              <w:rPr>
                <w:sz w:val="1"/>
                <w:szCs w:val="1"/>
                <w:color w:val="auto"/>
              </w:rPr>
            </w:pPr>
          </w:p>
        </w:tc>
      </w:tr>
      <w:tr>
        <w:trPr>
          <w:trHeight w:val="247"/>
        </w:trPr>
        <w:tc>
          <w:tcPr>
            <w:tcW w:w="4260" w:type="dxa"/>
            <w:vAlign w:val="bottom"/>
            <w:vMerge w:val="restart"/>
          </w:tcPr>
          <w:p>
            <w:pPr>
              <w:jc w:val="center"/>
              <w:ind w:left="2177"/>
              <w:spacing w:after="0"/>
              <w:rPr>
                <w:sz w:val="20"/>
                <w:szCs w:val="20"/>
                <w:color w:val="auto"/>
              </w:rPr>
            </w:pPr>
            <w:r>
              <w:rPr>
                <w:rFonts w:ascii="Arial" w:cs="Arial" w:eastAsia="Arial" w:hAnsi="Arial"/>
                <w:sz w:val="37"/>
                <w:szCs w:val="37"/>
                <w:color w:val="auto"/>
                <w:w w:val="99"/>
              </w:rPr>
              <w:t>21%</w:t>
            </w:r>
          </w:p>
        </w:tc>
        <w:tc>
          <w:tcPr>
            <w:tcW w:w="7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260" w:type="dxa"/>
            <w:vAlign w:val="bottom"/>
            <w:vMerge w:val="continue"/>
          </w:tcPr>
          <w:p>
            <w:pPr>
              <w:spacing w:after="0"/>
              <w:rPr>
                <w:sz w:val="16"/>
                <w:szCs w:val="16"/>
                <w:color w:val="auto"/>
              </w:rPr>
            </w:pPr>
          </w:p>
        </w:tc>
        <w:tc>
          <w:tcPr>
            <w:tcW w:w="7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260" w:type="dxa"/>
            <w:vAlign w:val="bottom"/>
          </w:tcPr>
          <w:p>
            <w:pPr>
              <w:jc w:val="center"/>
              <w:ind w:left="2177"/>
              <w:spacing w:after="0" w:line="330" w:lineRule="exact"/>
              <w:rPr>
                <w:sz w:val="20"/>
                <w:szCs w:val="20"/>
                <w:color w:val="auto"/>
              </w:rPr>
            </w:pPr>
            <w:r>
              <w:rPr>
                <w:rFonts w:ascii="Arial" w:cs="Arial" w:eastAsia="Arial" w:hAnsi="Arial"/>
                <w:sz w:val="37"/>
                <w:szCs w:val="37"/>
                <w:color w:val="auto"/>
              </w:rPr>
              <w:t>CC</w:t>
            </w: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260" w:type="dxa"/>
            <w:vAlign w:val="bottom"/>
          </w:tcPr>
          <w:p>
            <w:pPr>
              <w:jc w:val="center"/>
              <w:ind w:left="2177"/>
              <w:spacing w:after="0" w:line="343" w:lineRule="exact"/>
              <w:rPr>
                <w:sz w:val="20"/>
                <w:szCs w:val="20"/>
                <w:color w:val="auto"/>
              </w:rPr>
            </w:pPr>
            <w:r>
              <w:rPr>
                <w:rFonts w:ascii="Arial" w:cs="Arial" w:eastAsia="Arial" w:hAnsi="Arial"/>
                <w:sz w:val="37"/>
                <w:szCs w:val="37"/>
                <w:color w:val="auto"/>
                <w:w w:val="99"/>
              </w:rPr>
              <w:t>234%</w:t>
            </w:r>
          </w:p>
        </w:tc>
        <w:tc>
          <w:tcPr>
            <w:tcW w:w="7180" w:type="dxa"/>
            <w:vAlign w:val="bottom"/>
            <w:vMerge w:val="restart"/>
          </w:tcPr>
          <w:p>
            <w:pPr>
              <w:ind w:left="20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$13M</w:t>
            </w:r>
          </w:p>
        </w:tc>
        <w:tc>
          <w:tcPr>
            <w:tcW w:w="0" w:type="dxa"/>
            <w:vAlign w:val="bottom"/>
          </w:tcPr>
          <w:p>
            <w:pPr>
              <w:spacing w:after="0"/>
              <w:rPr>
                <w:sz w:val="1"/>
                <w:szCs w:val="1"/>
                <w:color w:val="auto"/>
              </w:rPr>
            </w:pPr>
          </w:p>
        </w:tc>
      </w:tr>
      <w:tr>
        <w:trPr>
          <w:trHeight w:val="441"/>
        </w:trPr>
        <w:tc>
          <w:tcPr>
            <w:tcW w:w="4260" w:type="dxa"/>
            <w:vAlign w:val="bottom"/>
          </w:tcPr>
          <w:p>
            <w:pPr>
              <w:jc w:val="center"/>
              <w:ind w:left="2157"/>
              <w:spacing w:after="0"/>
              <w:rPr>
                <w:sz w:val="20"/>
                <w:szCs w:val="20"/>
                <w:color w:val="auto"/>
              </w:rPr>
            </w:pPr>
            <w:r>
              <w:rPr>
                <w:rFonts w:ascii="Arial" w:cs="Arial" w:eastAsia="Arial" w:hAnsi="Arial"/>
                <w:sz w:val="37"/>
                <w:szCs w:val="37"/>
                <w:color w:val="auto"/>
                <w:w w:val="98"/>
              </w:rPr>
              <w:t>211% CC</w:t>
            </w:r>
          </w:p>
        </w:tc>
        <w:tc>
          <w:tcPr>
            <w:tcW w:w="7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4260" w:type="dxa"/>
            <w:vAlign w:val="bottom"/>
          </w:tcPr>
          <w:p>
            <w:pPr>
              <w:jc w:val="center"/>
              <w:ind w:left="2097"/>
              <w:spacing w:after="0"/>
              <w:rPr>
                <w:sz w:val="20"/>
                <w:szCs w:val="20"/>
                <w:color w:val="auto"/>
              </w:rPr>
            </w:pPr>
            <w:r>
              <w:rPr>
                <w:rFonts w:ascii="Arial" w:cs="Arial" w:eastAsia="Arial" w:hAnsi="Arial"/>
                <w:sz w:val="37"/>
                <w:szCs w:val="37"/>
                <w:color w:val="auto"/>
                <w:w w:val="98"/>
              </w:rPr>
              <w:t>150 bps</w:t>
            </w:r>
          </w:p>
        </w:tc>
        <w:tc>
          <w:tcPr>
            <w:tcW w:w="7180" w:type="dxa"/>
            <w:vAlign w:val="bottom"/>
          </w:tcPr>
          <w:p>
            <w:pPr>
              <w:ind w:left="18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2.4%</w:t>
            </w:r>
          </w:p>
        </w:tc>
        <w:tc>
          <w:tcPr>
            <w:tcW w:w="0" w:type="dxa"/>
            <w:vAlign w:val="bottom"/>
          </w:tcPr>
          <w:p>
            <w:pPr>
              <w:spacing w:after="0"/>
              <w:rPr>
                <w:sz w:val="1"/>
                <w:szCs w:val="1"/>
                <w:color w:val="auto"/>
              </w:rPr>
            </w:pPr>
          </w:p>
        </w:tc>
      </w:tr>
      <w:tr>
        <w:trPr>
          <w:trHeight w:val="2726"/>
        </w:trPr>
        <w:tc>
          <w:tcPr>
            <w:tcW w:w="426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1" w:name="page22"/>
    <w:bookmarkEnd w:id="21"/>
    <w:tbl>
      <w:tblPr>
        <w:tblLayout w:type="fixed"/>
        <w:tblInd w:w="2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11</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40"/>
        <w:spacing w:after="0"/>
        <w:rPr>
          <w:sz w:val="20"/>
          <w:szCs w:val="20"/>
          <w:color w:val="auto"/>
        </w:rPr>
      </w:pPr>
      <w:r>
        <w:rPr>
          <w:rFonts w:ascii="Arial" w:cs="Arial" w:eastAsia="Arial" w:hAnsi="Arial"/>
          <w:sz w:val="40"/>
          <w:szCs w:val="40"/>
          <w:color w:val="5F81AA"/>
        </w:rPr>
        <w:t>Asia Pacific - Q3 Revenue Growth YoY</w:t>
      </w:r>
    </w:p>
    <w:p>
      <w:pPr>
        <w:spacing w:after="0" w:line="304" w:lineRule="exact"/>
        <w:rPr>
          <w:sz w:val="20"/>
          <w:szCs w:val="20"/>
          <w:color w:val="auto"/>
        </w:rPr>
      </w:pPr>
    </w:p>
    <w:p>
      <w:pPr>
        <w:ind w:left="800" w:right="9420" w:hanging="284"/>
        <w:spacing w:after="0" w:line="307" w:lineRule="auto"/>
        <w:tabs>
          <w:tab w:leader="none" w:pos="78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27"/>
          <w:szCs w:val="27"/>
          <w:b w:val="1"/>
          <w:bCs w:val="1"/>
          <w:color w:val="D47C18"/>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D47C18"/>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D47C18"/>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Revenue</w:t>
            </w:r>
          </w:p>
        </w:tc>
        <w:tc>
          <w:tcPr>
            <w:tcW w:w="5460" w:type="dxa"/>
            <w:vAlign w:val="bottom"/>
          </w:tcPr>
          <w:p>
            <w:pPr>
              <w:ind w:left="460"/>
              <w:spacing w:after="0"/>
              <w:rPr>
                <w:sz w:val="20"/>
                <w:szCs w:val="20"/>
                <w:color w:val="auto"/>
              </w:rPr>
            </w:pPr>
            <w:r>
              <w:rPr>
                <w:rFonts w:ascii="Arial" w:cs="Arial" w:eastAsia="Arial" w:hAnsi="Arial"/>
                <w:sz w:val="21"/>
                <w:szCs w:val="21"/>
                <w:b w:val="1"/>
                <w:bCs w:val="1"/>
                <w:color w:val="auto"/>
              </w:rPr>
              <w:t>Revenue Growth - CC</w:t>
            </w:r>
          </w:p>
        </w:tc>
      </w:tr>
      <w:tr>
        <w:trPr>
          <w:trHeight w:val="283"/>
        </w:trPr>
        <w:tc>
          <w:tcPr>
            <w:tcW w:w="5980" w:type="dxa"/>
            <w:vAlign w:val="bottom"/>
          </w:tcPr>
          <w:p>
            <w:pPr>
              <w:jc w:val="center"/>
              <w:ind w:left="4113"/>
              <w:spacing w:after="0"/>
              <w:rPr>
                <w:sz w:val="20"/>
                <w:szCs w:val="20"/>
                <w:color w:val="auto"/>
              </w:rPr>
            </w:pPr>
            <w:r>
              <w:rPr>
                <w:rFonts w:ascii="Arial" w:cs="Arial" w:eastAsia="Arial" w:hAnsi="Arial"/>
                <w:sz w:val="21"/>
                <w:szCs w:val="21"/>
                <w:b w:val="1"/>
                <w:bCs w:val="1"/>
                <w:color w:val="auto"/>
              </w:rPr>
              <w:t>Growth</w:t>
            </w:r>
          </w:p>
        </w:tc>
        <w:tc>
          <w:tcPr>
            <w:tcW w:w="5460" w:type="dxa"/>
            <w:vAlign w:val="bottom"/>
          </w:tcPr>
          <w:p>
            <w:pPr>
              <w:spacing w:after="0"/>
              <w:rPr>
                <w:sz w:val="24"/>
                <w:szCs w:val="24"/>
                <w:color w:val="auto"/>
              </w:rPr>
            </w:pPr>
          </w:p>
        </w:tc>
      </w:tr>
      <w:tr>
        <w:trPr>
          <w:trHeight w:val="1087"/>
        </w:trPr>
        <w:tc>
          <w:tcPr>
            <w:tcW w:w="59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2" w:name="page23"/>
    <w:bookmarkEnd w:id="22"/>
    <w:tbl>
      <w:tblPr>
        <w:tblLayout w:type="fixed"/>
        <w:tblInd w:w="21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12</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ind w:left="1060"/>
        <w:spacing w:after="0"/>
        <w:rPr>
          <w:sz w:val="20"/>
          <w:szCs w:val="20"/>
          <w:color w:val="auto"/>
        </w:rPr>
      </w:pPr>
      <w:r>
        <w:rPr>
          <w:rFonts w:ascii="Arial" w:cs="Arial" w:eastAsia="Arial" w:hAnsi="Arial"/>
          <w:sz w:val="40"/>
          <w:szCs w:val="40"/>
          <w:color w:val="5F81AA"/>
        </w:rPr>
        <w:t>Right Management Segment</w:t>
      </w:r>
    </w:p>
    <w:p>
      <w:pPr>
        <w:ind w:left="1060"/>
        <w:spacing w:after="0"/>
        <w:rPr>
          <w:sz w:val="20"/>
          <w:szCs w:val="20"/>
          <w:color w:val="auto"/>
        </w:rPr>
      </w:pPr>
      <w:r>
        <w:rPr>
          <w:rFonts w:ascii="Arial" w:cs="Arial" w:eastAsia="Arial" w:hAnsi="Arial"/>
          <w:sz w:val="30"/>
          <w:szCs w:val="30"/>
          <w:color w:val="5F81AA"/>
        </w:rPr>
        <w:t>(2% of Revenue)</w:t>
      </w:r>
    </w:p>
    <w:p>
      <w:pPr>
        <w:spacing w:after="0" w:line="334" w:lineRule="exact"/>
        <w:rPr>
          <w:sz w:val="20"/>
          <w:szCs w:val="20"/>
          <w:color w:val="auto"/>
        </w:rPr>
      </w:pPr>
    </w:p>
    <w:p>
      <w:pPr>
        <w:ind w:left="4300"/>
        <w:spacing w:after="0"/>
        <w:rPr>
          <w:sz w:val="20"/>
          <w:szCs w:val="20"/>
          <w:color w:val="auto"/>
        </w:rPr>
      </w:pPr>
      <w:r>
        <w:rPr>
          <w:rFonts w:ascii="Arial" w:cs="Arial" w:eastAsia="Arial" w:hAnsi="Arial"/>
          <w:sz w:val="40"/>
          <w:szCs w:val="40"/>
          <w:b w:val="1"/>
          <w:bCs w:val="1"/>
          <w:color w:val="auto"/>
        </w:rPr>
        <w:t>Q3 Financial Highlights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240" w:type="dxa"/>
            <w:vAlign w:val="bottom"/>
          </w:tcPr>
          <w:p>
            <w:pPr>
              <w:ind w:left="3140"/>
              <w:spacing w:after="0"/>
              <w:rPr>
                <w:sz w:val="20"/>
                <w:szCs w:val="20"/>
                <w:color w:val="auto"/>
              </w:rPr>
            </w:pPr>
            <w:r>
              <w:rPr>
                <w:rFonts w:ascii="Arial" w:cs="Arial" w:eastAsia="Arial" w:hAnsi="Arial"/>
                <w:sz w:val="37"/>
                <w:szCs w:val="37"/>
                <w:color w:val="auto"/>
              </w:rPr>
              <w:t>37%</w:t>
            </w:r>
          </w:p>
        </w:tc>
        <w:tc>
          <w:tcPr>
            <w:tcW w:w="7200" w:type="dxa"/>
            <w:vAlign w:val="bottom"/>
            <w:vMerge w:val="restart"/>
          </w:tcPr>
          <w:p>
            <w:pPr>
              <w:ind w:left="20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$86M</w:t>
            </w:r>
          </w:p>
        </w:tc>
        <w:tc>
          <w:tcPr>
            <w:tcW w:w="0" w:type="dxa"/>
            <w:vAlign w:val="bottom"/>
          </w:tcPr>
          <w:p>
            <w:pPr>
              <w:spacing w:after="0"/>
              <w:rPr>
                <w:sz w:val="1"/>
                <w:szCs w:val="1"/>
                <w:color w:val="auto"/>
              </w:rPr>
            </w:pPr>
          </w:p>
        </w:tc>
      </w:tr>
      <w:tr>
        <w:trPr>
          <w:trHeight w:val="235"/>
        </w:trPr>
        <w:tc>
          <w:tcPr>
            <w:tcW w:w="4240" w:type="dxa"/>
            <w:vAlign w:val="bottom"/>
            <w:vMerge w:val="restart"/>
          </w:tcPr>
          <w:p>
            <w:pPr>
              <w:jc w:val="right"/>
              <w:ind w:right="297"/>
              <w:spacing w:after="0"/>
              <w:rPr>
                <w:sz w:val="20"/>
                <w:szCs w:val="20"/>
                <w:color w:val="auto"/>
              </w:rPr>
            </w:pPr>
            <w:r>
              <w:rPr>
                <w:rFonts w:ascii="Arial" w:cs="Arial" w:eastAsia="Arial" w:hAnsi="Arial"/>
                <w:sz w:val="37"/>
                <w:szCs w:val="37"/>
                <w:color w:val="auto"/>
              </w:rPr>
              <w:t>36%</w:t>
            </w:r>
          </w:p>
        </w:tc>
        <w:tc>
          <w:tcPr>
            <w:tcW w:w="7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40" w:type="dxa"/>
            <w:vAlign w:val="bottom"/>
            <w:vMerge w:val="continue"/>
          </w:tcPr>
          <w:p>
            <w:pPr>
              <w:spacing w:after="0"/>
              <w:rPr>
                <w:sz w:val="19"/>
                <w:szCs w:val="19"/>
                <w:color w:val="auto"/>
              </w:rPr>
            </w:pPr>
          </w:p>
        </w:tc>
        <w:tc>
          <w:tcPr>
            <w:tcW w:w="7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240" w:type="dxa"/>
            <w:vAlign w:val="bottom"/>
          </w:tcPr>
          <w:p>
            <w:pPr>
              <w:ind w:left="3120"/>
              <w:spacing w:after="0" w:line="330" w:lineRule="exact"/>
              <w:rPr>
                <w:sz w:val="20"/>
                <w:szCs w:val="20"/>
                <w:color w:val="auto"/>
              </w:rPr>
            </w:pPr>
            <w:r>
              <w:rPr>
                <w:rFonts w:ascii="Arial" w:cs="Arial" w:eastAsia="Arial" w:hAnsi="Arial"/>
                <w:sz w:val="37"/>
                <w:szCs w:val="37"/>
                <w:color w:val="auto"/>
              </w:rPr>
              <w:t>CC</w:t>
            </w:r>
          </w:p>
        </w:tc>
        <w:tc>
          <w:tcPr>
            <w:tcW w:w="7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240" w:type="dxa"/>
            <w:vAlign w:val="bottom"/>
          </w:tcPr>
          <w:p>
            <w:pPr>
              <w:jc w:val="center"/>
              <w:ind w:left="2237"/>
              <w:spacing w:after="0" w:line="332" w:lineRule="exact"/>
              <w:rPr>
                <w:sz w:val="20"/>
                <w:szCs w:val="20"/>
                <w:color w:val="auto"/>
              </w:rPr>
            </w:pPr>
            <w:r>
              <w:rPr>
                <w:rFonts w:ascii="Arial" w:cs="Arial" w:eastAsia="Arial" w:hAnsi="Arial"/>
                <w:sz w:val="37"/>
                <w:szCs w:val="37"/>
                <w:color w:val="auto"/>
                <w:w w:val="99"/>
              </w:rPr>
              <w:t>100%</w:t>
            </w:r>
          </w:p>
        </w:tc>
        <w:tc>
          <w:tcPr>
            <w:tcW w:w="7200" w:type="dxa"/>
            <w:vAlign w:val="bottom"/>
            <w:vMerge w:val="restart"/>
          </w:tcPr>
          <w:p>
            <w:pPr>
              <w:ind w:left="22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$0M</w:t>
            </w:r>
          </w:p>
        </w:tc>
        <w:tc>
          <w:tcPr>
            <w:tcW w:w="0" w:type="dxa"/>
            <w:vAlign w:val="bottom"/>
          </w:tcPr>
          <w:p>
            <w:pPr>
              <w:spacing w:after="0"/>
              <w:rPr>
                <w:sz w:val="1"/>
                <w:szCs w:val="1"/>
                <w:color w:val="auto"/>
              </w:rPr>
            </w:pPr>
          </w:p>
        </w:tc>
      </w:tr>
      <w:tr>
        <w:trPr>
          <w:trHeight w:val="441"/>
        </w:trPr>
        <w:tc>
          <w:tcPr>
            <w:tcW w:w="4240" w:type="dxa"/>
            <w:vAlign w:val="bottom"/>
          </w:tcPr>
          <w:p>
            <w:pPr>
              <w:jc w:val="center"/>
              <w:ind w:left="2137"/>
              <w:spacing w:after="0"/>
              <w:rPr>
                <w:sz w:val="20"/>
                <w:szCs w:val="20"/>
                <w:color w:val="auto"/>
              </w:rPr>
            </w:pPr>
            <w:r>
              <w:rPr>
                <w:rFonts w:ascii="Arial" w:cs="Arial" w:eastAsia="Arial" w:hAnsi="Arial"/>
                <w:sz w:val="37"/>
                <w:szCs w:val="37"/>
                <w:color w:val="auto"/>
                <w:w w:val="98"/>
              </w:rPr>
              <w:t>102% CC</w:t>
            </w:r>
          </w:p>
        </w:tc>
        <w:tc>
          <w:tcPr>
            <w:tcW w:w="7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62"/>
        </w:trPr>
        <w:tc>
          <w:tcPr>
            <w:tcW w:w="4240" w:type="dxa"/>
            <w:vAlign w:val="bottom"/>
          </w:tcPr>
          <w:p>
            <w:pPr>
              <w:jc w:val="center"/>
              <w:ind w:left="2157"/>
              <w:spacing w:after="0"/>
              <w:rPr>
                <w:sz w:val="20"/>
                <w:szCs w:val="20"/>
                <w:color w:val="auto"/>
              </w:rPr>
            </w:pPr>
            <w:r>
              <w:rPr>
                <w:rFonts w:ascii="Arial" w:cs="Arial" w:eastAsia="Arial" w:hAnsi="Arial"/>
                <w:sz w:val="37"/>
                <w:szCs w:val="37"/>
                <w:color w:val="auto"/>
                <w:w w:val="99"/>
              </w:rPr>
              <w:t>1570</w:t>
            </w:r>
          </w:p>
        </w:tc>
        <w:tc>
          <w:tcPr>
            <w:tcW w:w="7200" w:type="dxa"/>
            <w:vAlign w:val="bottom"/>
          </w:tcPr>
          <w:p>
            <w:pPr>
              <w:ind w:left="20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0.0%</w:t>
            </w:r>
          </w:p>
        </w:tc>
        <w:tc>
          <w:tcPr>
            <w:tcW w:w="0" w:type="dxa"/>
            <w:vAlign w:val="bottom"/>
          </w:tcPr>
          <w:p>
            <w:pPr>
              <w:spacing w:after="0"/>
              <w:rPr>
                <w:sz w:val="1"/>
                <w:szCs w:val="1"/>
                <w:color w:val="auto"/>
              </w:rPr>
            </w:pPr>
          </w:p>
        </w:tc>
      </w:tr>
      <w:tr>
        <w:trPr>
          <w:trHeight w:val="441"/>
        </w:trPr>
        <w:tc>
          <w:tcPr>
            <w:tcW w:w="4240" w:type="dxa"/>
            <w:vAlign w:val="bottom"/>
          </w:tcPr>
          <w:p>
            <w:pPr>
              <w:jc w:val="center"/>
              <w:ind w:left="2137"/>
              <w:spacing w:after="0"/>
              <w:rPr>
                <w:sz w:val="20"/>
                <w:szCs w:val="20"/>
                <w:color w:val="auto"/>
              </w:rPr>
            </w:pPr>
            <w:r>
              <w:rPr>
                <w:rFonts w:ascii="Arial" w:cs="Arial" w:eastAsia="Arial" w:hAnsi="Arial"/>
                <w:sz w:val="37"/>
                <w:szCs w:val="37"/>
                <w:color w:val="auto"/>
              </w:rPr>
              <w:t>bps</w:t>
            </w:r>
          </w:p>
        </w:tc>
        <w:tc>
          <w:tcPr>
            <w:tcW w:w="7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8"/>
        </w:trPr>
        <w:tc>
          <w:tcPr>
            <w:tcW w:w="424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75" w:right="219" w:bottom="1440" w:gutter="0" w:footer="0" w:header="0"/>
        </w:sectPr>
      </w:pPr>
    </w:p>
    <w:bookmarkStart w:id="23" w:name="page24"/>
    <w:bookmarkEnd w:id="23"/>
    <w:tbl>
      <w:tblPr>
        <w:tblLayout w:type="fixed"/>
        <w:tblInd w:w="106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13</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color w:val="5F81AA"/>
        </w:rPr>
        <w:t>Jefferson Wells Segment</w:t>
      </w:r>
    </w:p>
    <w:p>
      <w:pPr>
        <w:spacing w:after="0"/>
        <w:rPr>
          <w:sz w:val="20"/>
          <w:szCs w:val="20"/>
          <w:color w:val="auto"/>
        </w:rPr>
      </w:pPr>
      <w:r>
        <w:rPr>
          <w:rFonts w:ascii="Arial" w:cs="Arial" w:eastAsia="Arial" w:hAnsi="Arial"/>
          <w:sz w:val="30"/>
          <w:szCs w:val="30"/>
          <w:color w:val="5F81AA"/>
        </w:rPr>
        <w:t>(1% of Revenue)</w:t>
      </w:r>
    </w:p>
    <w:p>
      <w:pPr>
        <w:spacing w:after="0" w:line="334" w:lineRule="exact"/>
        <w:rPr>
          <w:sz w:val="20"/>
          <w:szCs w:val="20"/>
          <w:color w:val="auto"/>
        </w:rPr>
      </w:pPr>
    </w:p>
    <w:p>
      <w:pPr>
        <w:ind w:left="3220"/>
        <w:spacing w:after="0"/>
        <w:rPr>
          <w:sz w:val="20"/>
          <w:szCs w:val="20"/>
          <w:color w:val="auto"/>
        </w:rPr>
      </w:pPr>
      <w:r>
        <w:rPr>
          <w:rFonts w:ascii="Arial" w:cs="Arial" w:eastAsia="Arial" w:hAnsi="Arial"/>
          <w:sz w:val="40"/>
          <w:szCs w:val="40"/>
          <w:b w:val="1"/>
          <w:bCs w:val="1"/>
          <w:color w:val="auto"/>
        </w:rPr>
        <w:t>Q3 Financial Highlights</w:t>
      </w:r>
    </w:p>
    <w:p>
      <w:pPr>
        <w:spacing w:after="0" w:line="200" w:lineRule="exact"/>
        <w:rPr>
          <w:sz w:val="20"/>
          <w:szCs w:val="20"/>
          <w:color w:val="auto"/>
        </w:rPr>
      </w:pPr>
    </w:p>
    <w:p>
      <w:pPr>
        <w:spacing w:after="0" w:line="212" w:lineRule="exact"/>
        <w:rPr>
          <w:sz w:val="20"/>
          <w:szCs w:val="20"/>
          <w:color w:val="auto"/>
        </w:rPr>
      </w:pPr>
    </w:p>
    <w:p>
      <w:pPr>
        <w:ind w:left="2020"/>
        <w:spacing w:after="0"/>
        <w:tabs>
          <w:tab w:leader="none" w:pos="3340" w:val="left"/>
        </w:tabs>
        <w:rPr>
          <w:sz w:val="20"/>
          <w:szCs w:val="20"/>
          <w:color w:val="auto"/>
        </w:rPr>
      </w:pPr>
      <w:r>
        <w:rPr>
          <w:rFonts w:ascii="Arial" w:cs="Arial" w:eastAsia="Arial" w:hAnsi="Arial"/>
          <w:sz w:val="37"/>
          <w:szCs w:val="37"/>
          <w:color w:val="auto"/>
        </w:rPr>
        <w:t>7%</w:t>
      </w:r>
      <w:r>
        <w:rPr>
          <w:sz w:val="20"/>
          <w:szCs w:val="20"/>
          <w:color w:val="auto"/>
        </w:rPr>
        <w:tab/>
      </w: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D47C18"/>
        </w:rPr>
        <w:t>$45M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20"/>
        <w:spacing w:after="0"/>
        <w:tabs>
          <w:tab w:leader="none" w:pos="3360" w:val="left"/>
        </w:tabs>
        <w:rPr>
          <w:sz w:val="20"/>
          <w:szCs w:val="20"/>
          <w:color w:val="auto"/>
        </w:rPr>
      </w:pPr>
      <w:r>
        <w:rPr>
          <w:rFonts w:ascii="Arial" w:cs="Arial" w:eastAsia="Arial" w:hAnsi="Arial"/>
          <w:sz w:val="37"/>
          <w:szCs w:val="37"/>
          <w:color w:val="auto"/>
        </w:rPr>
        <w:t>N/A</w:t>
      </w:r>
      <w:r>
        <w:rPr>
          <w:sz w:val="20"/>
          <w:szCs w:val="20"/>
          <w:color w:val="auto"/>
        </w:rPr>
        <w:tab/>
      </w:r>
      <w:r>
        <w:rPr>
          <w:rFonts w:ascii="Arial" w:cs="Arial" w:eastAsia="Arial" w:hAnsi="Arial"/>
          <w:sz w:val="40"/>
          <w:szCs w:val="40"/>
          <w:b w:val="1"/>
          <w:bCs w:val="1"/>
          <w:color w:val="auto"/>
        </w:rPr>
        <w:t xml:space="preserve">OUP </w:t>
      </w:r>
      <w:r>
        <w:rPr>
          <w:rFonts w:ascii="Arial" w:cs="Arial" w:eastAsia="Arial" w:hAnsi="Arial"/>
          <w:sz w:val="42"/>
          <w:szCs w:val="42"/>
          <w:b w:val="1"/>
          <w:bCs w:val="1"/>
          <w:color w:val="D47C18"/>
        </w:rPr>
        <w:t>$(2M)</w:t>
      </w:r>
    </w:p>
    <w:p>
      <w:pPr>
        <w:spacing w:after="0" w:line="200" w:lineRule="exact"/>
        <w:rPr>
          <w:sz w:val="20"/>
          <w:szCs w:val="20"/>
          <w:color w:val="auto"/>
        </w:rPr>
      </w:pPr>
    </w:p>
    <w:p>
      <w:pPr>
        <w:spacing w:after="0" w:line="392" w:lineRule="exact"/>
        <w:rPr>
          <w:sz w:val="20"/>
          <w:szCs w:val="20"/>
          <w:color w:val="auto"/>
        </w:rPr>
      </w:pPr>
    </w:p>
    <w:p>
      <w:pPr>
        <w:ind w:left="1580"/>
        <w:spacing w:after="0"/>
        <w:tabs>
          <w:tab w:leader="none" w:pos="3340" w:val="left"/>
        </w:tabs>
        <w:rPr>
          <w:sz w:val="20"/>
          <w:szCs w:val="20"/>
          <w:color w:val="auto"/>
        </w:rPr>
      </w:pPr>
      <w:r>
        <w:rPr>
          <w:rFonts w:ascii="Arial" w:cs="Arial" w:eastAsia="Arial" w:hAnsi="Arial"/>
          <w:sz w:val="37"/>
          <w:szCs w:val="37"/>
          <w:color w:val="auto"/>
        </w:rPr>
        <w:t>230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D47C18"/>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1778000</wp:posOffset>
            </wp:positionV>
            <wp:extent cx="727329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640"/>
          </w:cols>
          <w:pgMar w:left="1320" w:top="375" w:right="939" w:bottom="1440" w:gutter="0" w:footer="0" w:header="0"/>
        </w:sectPr>
      </w:pPr>
    </w:p>
    <w:bookmarkStart w:id="24" w:name="page25"/>
    <w:bookmarkEnd w:id="24"/>
    <w:tbl>
      <w:tblPr>
        <w:tblLayout w:type="fixed"/>
        <w:tblInd w:w="118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14</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26" w:lineRule="exact"/>
        <w:rPr>
          <w:sz w:val="20"/>
          <w:szCs w:val="20"/>
          <w:color w:val="auto"/>
        </w:rPr>
      </w:pPr>
    </w:p>
    <w:p>
      <w:pPr>
        <w:ind w:left="80"/>
        <w:spacing w:after="0"/>
        <w:rPr>
          <w:sz w:val="20"/>
          <w:szCs w:val="20"/>
          <w:color w:val="auto"/>
        </w:rPr>
      </w:pPr>
      <w:r>
        <w:rPr>
          <w:rFonts w:ascii="Arial" w:cs="Arial" w:eastAsia="Arial" w:hAnsi="Arial"/>
          <w:sz w:val="40"/>
          <w:szCs w:val="40"/>
          <w:color w:val="5F81AA"/>
        </w:rPr>
        <w:t>Cash Flow Summary - Nine Months</w:t>
      </w:r>
    </w:p>
    <w:p>
      <w:pPr>
        <w:sectPr>
          <w:pgSz w:w="11900" w:h="16838" w:orient="portrait"/>
          <w:cols w:equalWidth="0" w:num="1">
            <w:col w:w="9760"/>
          </w:cols>
          <w:pgMar w:left="1200" w:top="375" w:right="939" w:bottom="1440" w:gutter="0" w:footer="0" w:header="0"/>
        </w:sect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27"/>
          <w:szCs w:val="27"/>
          <w:color w:val="D47C18"/>
        </w:rPr>
        <w:t>($ in millions)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30"/>
          <w:szCs w:val="30"/>
          <w:b w:val="1"/>
          <w:bCs w:val="1"/>
          <w:color w:val="auto"/>
        </w:rPr>
        <w:t>Cash from Operations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30"/>
          <w:szCs w:val="30"/>
          <w:b w:val="1"/>
          <w:bCs w:val="1"/>
          <w:color w:val="auto"/>
        </w:rPr>
        <w:t>Capital</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auto"/>
        </w:rPr>
        <w:t>Free</w:t>
      </w:r>
      <w:r>
        <w:rPr>
          <w:rFonts w:ascii="Arial" w:cs="Arial" w:eastAsia="Arial" w:hAnsi="Arial"/>
          <w:sz w:val="57"/>
          <w:szCs w:val="57"/>
          <w:b w:val="1"/>
          <w:bCs w:val="1"/>
          <w:color w:val="auto"/>
          <w:vertAlign w:val="superscript"/>
        </w:rPr>
        <w:t>Expenditures</w:t>
      </w:r>
      <w:r>
        <w:rPr>
          <w:rFonts w:ascii="Arial" w:cs="Arial" w:eastAsia="Arial" w:hAnsi="Arial"/>
          <w:sz w:val="29"/>
          <w:szCs w:val="29"/>
          <w:b w:val="1"/>
          <w:bCs w:val="1"/>
          <w:color w:val="auto"/>
        </w:rPr>
        <w:t>CashFlow</w:t>
      </w:r>
    </w:p>
    <w:p>
      <w:pPr>
        <w:spacing w:after="0" w:line="42" w:lineRule="exact"/>
        <w:rPr>
          <w:sz w:val="20"/>
          <w:szCs w:val="20"/>
          <w:color w:val="auto"/>
        </w:rPr>
      </w:pPr>
    </w:p>
    <w:p>
      <w:pPr>
        <w:ind w:left="400"/>
        <w:spacing w:after="0"/>
        <w:rPr>
          <w:sz w:val="20"/>
          <w:szCs w:val="20"/>
          <w:color w:val="auto"/>
        </w:rPr>
      </w:pPr>
      <w:r>
        <w:rPr>
          <w:rFonts w:ascii="Arial" w:cs="Arial" w:eastAsia="Arial" w:hAnsi="Arial"/>
          <w:sz w:val="30"/>
          <w:szCs w:val="30"/>
          <w:b w:val="1"/>
          <w:bCs w:val="1"/>
          <w:color w:val="auto"/>
        </w:rPr>
        <w:t>Change in</w:t>
      </w:r>
    </w:p>
    <w:p>
      <w:pPr>
        <w:jc w:val="center"/>
        <w:ind w:right="2900"/>
        <w:spacing w:after="0" w:line="191" w:lineRule="auto"/>
        <w:rPr>
          <w:sz w:val="20"/>
          <w:szCs w:val="20"/>
          <w:color w:val="auto"/>
        </w:rPr>
      </w:pPr>
      <w:r>
        <w:rPr>
          <w:rFonts w:ascii="Arial" w:cs="Arial" w:eastAsia="Arial" w:hAnsi="Arial"/>
          <w:sz w:val="11"/>
          <w:szCs w:val="11"/>
          <w:b w:val="1"/>
          <w:bCs w:val="1"/>
          <w:color w:val="auto"/>
        </w:rPr>
        <w:t>Debt</w:t>
      </w:r>
    </w:p>
    <w:p>
      <w:pPr>
        <w:ind w:left="20" w:right="2020"/>
        <w:spacing w:after="0" w:line="391" w:lineRule="auto"/>
        <w:rPr>
          <w:sz w:val="20"/>
          <w:szCs w:val="20"/>
          <w:color w:val="auto"/>
        </w:rPr>
      </w:pPr>
      <w:r>
        <w:rPr>
          <w:rFonts w:ascii="Arial" w:cs="Arial" w:eastAsia="Arial" w:hAnsi="Arial"/>
          <w:sz w:val="20"/>
          <w:szCs w:val="20"/>
          <w:b w:val="1"/>
          <w:bCs w:val="1"/>
          <w:color w:val="auto"/>
        </w:rPr>
        <w:t>Acquisitions of Businesses,netofcash acquired</w:t>
      </w:r>
    </w:p>
    <w:p>
      <w:pPr>
        <w:spacing w:after="0" w:line="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 Repurchases</w:t>
      </w:r>
    </w:p>
    <w:p>
      <w:pPr>
        <w:spacing w:after="0" w:line="78" w:lineRule="exact"/>
        <w:rPr>
          <w:sz w:val="20"/>
          <w:szCs w:val="20"/>
          <w:color w:val="auto"/>
        </w:rPr>
      </w:pPr>
    </w:p>
    <w:p>
      <w:pPr>
        <w:ind w:right="320"/>
        <w:spacing w:after="0" w:line="352" w:lineRule="auto"/>
        <w:rPr>
          <w:sz w:val="20"/>
          <w:szCs w:val="20"/>
          <w:color w:val="auto"/>
        </w:rPr>
      </w:pPr>
      <w:r>
        <w:rPr>
          <w:rFonts w:ascii="Arial" w:cs="Arial" w:eastAsia="Arial" w:hAnsi="Arial"/>
          <w:sz w:val="30"/>
          <w:szCs w:val="30"/>
          <w:b w:val="1"/>
          <w:bCs w:val="1"/>
          <w:color w:val="auto"/>
        </w:rPr>
        <w:t>Effect of Exchange Rate Changes Other</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30"/>
          <w:szCs w:val="30"/>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1029970</wp:posOffset>
            </wp:positionV>
            <wp:extent cx="727329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tabs>
          <w:tab w:leader="none" w:pos="1780" w:val="left"/>
        </w:tabs>
        <w:rPr>
          <w:sz w:val="20"/>
          <w:szCs w:val="20"/>
          <w:color w:val="auto"/>
        </w:rPr>
      </w:pPr>
      <w:r>
        <w:rPr>
          <w:rFonts w:ascii="Arial" w:cs="Arial" w:eastAsia="Arial" w:hAnsi="Arial"/>
          <w:sz w:val="30"/>
          <w:szCs w:val="30"/>
          <w:b w:val="1"/>
          <w:bCs w:val="1"/>
          <w:color w:val="D47C18"/>
        </w:rPr>
        <w:t>2010</w:t>
      </w:r>
      <w:r>
        <w:rPr>
          <w:sz w:val="20"/>
          <w:szCs w:val="20"/>
          <w:color w:val="auto"/>
        </w:rPr>
        <w:tab/>
      </w:r>
      <w:r>
        <w:rPr>
          <w:rFonts w:ascii="Arial" w:cs="Arial" w:eastAsia="Arial" w:hAnsi="Arial"/>
          <w:sz w:val="30"/>
          <w:szCs w:val="30"/>
          <w:b w:val="1"/>
          <w:bCs w:val="1"/>
          <w:color w:val="D47C18"/>
        </w:rPr>
        <w:t>2009</w:t>
      </w:r>
    </w:p>
    <w:p>
      <w:pPr>
        <w:spacing w:after="0" w:line="252" w:lineRule="exact"/>
        <w:rPr>
          <w:sz w:val="20"/>
          <w:szCs w:val="20"/>
          <w:color w:val="auto"/>
        </w:rPr>
      </w:pPr>
    </w:p>
    <w:p>
      <w:pPr>
        <w:ind w:left="1940" w:hanging="1760"/>
        <w:spacing w:after="0"/>
        <w:tabs>
          <w:tab w:leader="none" w:pos="1940" w:val="left"/>
        </w:tabs>
        <w:numPr>
          <w:ilvl w:val="1"/>
          <w:numId w:val="9"/>
        </w:numPr>
        <w:rPr>
          <w:rFonts w:ascii="Arial" w:cs="Arial" w:eastAsia="Arial" w:hAnsi="Arial"/>
          <w:sz w:val="34"/>
          <w:szCs w:val="34"/>
          <w:b w:val="1"/>
          <w:bCs w:val="1"/>
          <w:color w:val="auto"/>
        </w:rPr>
      </w:pPr>
      <w:r>
        <w:rPr>
          <w:rFonts w:ascii="Arial" w:cs="Arial" w:eastAsia="Arial" w:hAnsi="Arial"/>
          <w:sz w:val="34"/>
          <w:szCs w:val="34"/>
          <w:b w:val="1"/>
          <w:bCs w:val="1"/>
          <w:color w:val="auto"/>
        </w:rPr>
        <w:t>412</w:t>
      </w:r>
    </w:p>
    <w:p>
      <w:pPr>
        <w:spacing w:after="0" w:line="66" w:lineRule="exact"/>
        <w:rPr>
          <w:rFonts w:ascii="Arial" w:cs="Arial" w:eastAsia="Arial" w:hAnsi="Arial"/>
          <w:sz w:val="34"/>
          <w:szCs w:val="34"/>
          <w:b w:val="1"/>
          <w:bCs w:val="1"/>
          <w:color w:val="auto"/>
        </w:rPr>
      </w:pPr>
    </w:p>
    <w:p>
      <w:pPr>
        <w:ind w:left="1980" w:hanging="1811"/>
        <w:spacing w:after="0"/>
        <w:tabs>
          <w:tab w:leader="none" w:pos="1980" w:val="left"/>
        </w:tabs>
        <w:numPr>
          <w:ilvl w:val="0"/>
          <w:numId w:val="10"/>
        </w:numPr>
        <w:rPr>
          <w:rFonts w:ascii="Arial" w:cs="Arial" w:eastAsia="Arial" w:hAnsi="Arial"/>
          <w:sz w:val="34"/>
          <w:szCs w:val="34"/>
          <w:b w:val="1"/>
          <w:bCs w:val="1"/>
          <w:color w:val="auto"/>
        </w:rPr>
      </w:pPr>
      <w:r>
        <w:rPr>
          <w:rFonts w:ascii="Arial" w:cs="Arial" w:eastAsia="Arial" w:hAnsi="Arial"/>
          <w:sz w:val="34"/>
          <w:szCs w:val="34"/>
          <w:b w:val="1"/>
          <w:bCs w:val="1"/>
          <w:color w:val="auto"/>
        </w:rPr>
        <w:t>(27)</w:t>
      </w:r>
    </w:p>
    <w:p>
      <w:pPr>
        <w:spacing w:after="0" w:line="54" w:lineRule="exact"/>
        <w:rPr>
          <w:rFonts w:ascii="Arial" w:cs="Arial" w:eastAsia="Arial" w:hAnsi="Arial"/>
          <w:sz w:val="34"/>
          <w:szCs w:val="34"/>
          <w:b w:val="1"/>
          <w:bCs w:val="1"/>
          <w:color w:val="auto"/>
        </w:rPr>
      </w:pPr>
    </w:p>
    <w:p>
      <w:pPr>
        <w:ind w:left="1940" w:hanging="1760"/>
        <w:spacing w:after="0"/>
        <w:tabs>
          <w:tab w:leader="none" w:pos="1940" w:val="left"/>
        </w:tabs>
        <w:numPr>
          <w:ilvl w:val="1"/>
          <w:numId w:val="10"/>
        </w:numPr>
        <w:rPr>
          <w:rFonts w:ascii="Arial" w:cs="Arial" w:eastAsia="Arial" w:hAnsi="Arial"/>
          <w:sz w:val="34"/>
          <w:szCs w:val="34"/>
          <w:b w:val="1"/>
          <w:bCs w:val="1"/>
          <w:color w:val="auto"/>
        </w:rPr>
      </w:pPr>
      <w:r>
        <w:rPr>
          <w:rFonts w:ascii="Arial" w:cs="Arial" w:eastAsia="Arial" w:hAnsi="Arial"/>
          <w:sz w:val="34"/>
          <w:szCs w:val="34"/>
          <w:b w:val="1"/>
          <w:bCs w:val="1"/>
          <w:color w:val="auto"/>
        </w:rPr>
        <w:t>385</w:t>
      </w:r>
    </w:p>
    <w:p>
      <w:pPr>
        <w:spacing w:after="0" w:line="204" w:lineRule="exact"/>
        <w:rPr>
          <w:rFonts w:ascii="Arial" w:cs="Arial" w:eastAsia="Arial" w:hAnsi="Arial"/>
          <w:sz w:val="34"/>
          <w:szCs w:val="34"/>
          <w:b w:val="1"/>
          <w:bCs w:val="1"/>
          <w:color w:val="auto"/>
        </w:rPr>
      </w:pPr>
    </w:p>
    <w:p>
      <w:pPr>
        <w:ind w:left="2060" w:hanging="1790"/>
        <w:spacing w:after="0"/>
        <w:tabs>
          <w:tab w:leader="none" w:pos="2060" w:val="left"/>
        </w:tabs>
        <w:numPr>
          <w:ilvl w:val="2"/>
          <w:numId w:val="10"/>
        </w:numPr>
        <w:rPr>
          <w:rFonts w:ascii="Arial" w:cs="Arial" w:eastAsia="Arial" w:hAnsi="Arial"/>
          <w:sz w:val="32"/>
          <w:szCs w:val="32"/>
          <w:b w:val="1"/>
          <w:bCs w:val="1"/>
          <w:color w:val="auto"/>
        </w:rPr>
      </w:pPr>
      <w:r>
        <w:rPr>
          <w:rFonts w:ascii="Arial" w:cs="Arial" w:eastAsia="Arial" w:hAnsi="Arial"/>
          <w:sz w:val="32"/>
          <w:szCs w:val="32"/>
          <w:b w:val="1"/>
          <w:bCs w:val="1"/>
          <w:color w:val="auto"/>
        </w:rPr>
        <w:t>(89)</w:t>
      </w:r>
    </w:p>
    <w:p>
      <w:pPr>
        <w:spacing w:after="0" w:line="238" w:lineRule="exact"/>
        <w:rPr>
          <w:sz w:val="20"/>
          <w:szCs w:val="20"/>
          <w:color w:val="auto"/>
        </w:rPr>
      </w:pPr>
    </w:p>
    <w:p>
      <w:pPr>
        <w:ind w:left="1980" w:hanging="1805"/>
        <w:spacing w:after="0"/>
        <w:tabs>
          <w:tab w:leader="none" w:pos="1980" w:val="left"/>
        </w:tabs>
        <w:numPr>
          <w:ilvl w:val="0"/>
          <w:numId w:val="11"/>
        </w:numPr>
        <w:rPr>
          <w:rFonts w:ascii="Arial" w:cs="Arial" w:eastAsia="Arial" w:hAnsi="Arial"/>
          <w:sz w:val="34"/>
          <w:szCs w:val="34"/>
          <w:b w:val="1"/>
          <w:bCs w:val="1"/>
          <w:color w:val="auto"/>
        </w:rPr>
      </w:pPr>
      <w:r>
        <w:rPr>
          <w:rFonts w:ascii="Arial" w:cs="Arial" w:eastAsia="Arial" w:hAnsi="Arial"/>
          <w:sz w:val="34"/>
          <w:szCs w:val="34"/>
          <w:b w:val="1"/>
          <w:bCs w:val="1"/>
          <w:color w:val="auto"/>
        </w:rPr>
        <w:t>(21)</w:t>
      </w:r>
    </w:p>
    <w:p>
      <w:pPr>
        <w:spacing w:after="0" w:line="181" w:lineRule="exact"/>
        <w:rPr>
          <w:sz w:val="20"/>
          <w:szCs w:val="20"/>
          <w:color w:val="auto"/>
        </w:rPr>
      </w:pPr>
    </w:p>
    <w:tbl>
      <w:tblPr>
        <w:tblLayout w:type="fixed"/>
        <w:tblInd w:w="160" w:type="dxa"/>
        <w:tblCellMar>
          <w:top w:w="0" w:type="dxa"/>
          <w:left w:w="0" w:type="dxa"/>
          <w:bottom w:w="0" w:type="dxa"/>
          <w:right w:w="0" w:type="dxa"/>
        </w:tblCellMar>
      </w:tblPr>
      <w:tr>
        <w:trPr>
          <w:trHeight w:val="445"/>
        </w:trPr>
        <w:tc>
          <w:tcPr>
            <w:tcW w:w="1280" w:type="dxa"/>
            <w:vAlign w:val="bottom"/>
          </w:tcPr>
          <w:p>
            <w:pPr>
              <w:jc w:val="right"/>
              <w:ind w:right="512"/>
              <w:spacing w:after="0"/>
              <w:rPr>
                <w:sz w:val="20"/>
                <w:szCs w:val="20"/>
                <w:color w:val="auto"/>
              </w:rPr>
            </w:pPr>
            <w:r>
              <w:rPr>
                <w:rFonts w:ascii="Arial" w:cs="Arial" w:eastAsia="Arial" w:hAnsi="Arial"/>
                <w:sz w:val="34"/>
                <w:szCs w:val="34"/>
                <w:b w:val="1"/>
                <w:bCs w:val="1"/>
                <w:color w:val="auto"/>
                <w:w w:val="95"/>
              </w:rPr>
              <w:t>(35)</w:t>
            </w:r>
          </w:p>
        </w:tc>
        <w:tc>
          <w:tcPr>
            <w:tcW w:w="1040" w:type="dxa"/>
            <w:vAlign w:val="bottom"/>
          </w:tcPr>
          <w:p>
            <w:pPr>
              <w:jc w:val="right"/>
              <w:spacing w:after="0"/>
              <w:rPr>
                <w:sz w:val="20"/>
                <w:szCs w:val="20"/>
                <w:color w:val="auto"/>
              </w:rPr>
            </w:pPr>
            <w:r>
              <w:rPr>
                <w:rFonts w:ascii="Arial" w:cs="Arial" w:eastAsia="Arial" w:hAnsi="Arial"/>
                <w:sz w:val="34"/>
                <w:szCs w:val="34"/>
                <w:color w:val="auto"/>
              </w:rPr>
              <w:t>-</w:t>
            </w:r>
          </w:p>
        </w:tc>
      </w:tr>
      <w:tr>
        <w:trPr>
          <w:trHeight w:val="503"/>
        </w:trPr>
        <w:tc>
          <w:tcPr>
            <w:tcW w:w="1280" w:type="dxa"/>
            <w:vAlign w:val="bottom"/>
          </w:tcPr>
          <w:p>
            <w:pPr>
              <w:jc w:val="right"/>
              <w:ind w:right="612"/>
              <w:spacing w:after="0"/>
              <w:rPr>
                <w:sz w:val="20"/>
                <w:szCs w:val="20"/>
                <w:color w:val="auto"/>
              </w:rPr>
            </w:pPr>
            <w:r>
              <w:rPr>
                <w:rFonts w:ascii="Arial" w:cs="Arial" w:eastAsia="Arial" w:hAnsi="Arial"/>
                <w:sz w:val="34"/>
                <w:szCs w:val="34"/>
                <w:b w:val="1"/>
                <w:bCs w:val="1"/>
                <w:color w:val="auto"/>
              </w:rPr>
              <w:t>8</w:t>
            </w:r>
          </w:p>
        </w:tc>
        <w:tc>
          <w:tcPr>
            <w:tcW w:w="1040" w:type="dxa"/>
            <w:vAlign w:val="bottom"/>
          </w:tcPr>
          <w:p>
            <w:pPr>
              <w:jc w:val="right"/>
              <w:spacing w:after="0"/>
              <w:rPr>
                <w:sz w:val="20"/>
                <w:szCs w:val="20"/>
                <w:color w:val="auto"/>
              </w:rPr>
            </w:pPr>
            <w:r>
              <w:rPr>
                <w:rFonts w:ascii="Arial" w:cs="Arial" w:eastAsia="Arial" w:hAnsi="Arial"/>
                <w:sz w:val="34"/>
                <w:szCs w:val="34"/>
                <w:b w:val="1"/>
                <w:bCs w:val="1"/>
                <w:color w:val="auto"/>
              </w:rPr>
              <w:t>54</w:t>
            </w:r>
          </w:p>
        </w:tc>
      </w:tr>
    </w:tbl>
    <w:p>
      <w:pPr>
        <w:ind w:left="2180" w:hanging="1898"/>
        <w:spacing w:after="0"/>
        <w:tabs>
          <w:tab w:leader="none" w:pos="2180" w:val="left"/>
        </w:tabs>
        <w:numPr>
          <w:ilvl w:val="1"/>
          <w:numId w:val="12"/>
        </w:numPr>
        <w:rPr>
          <w:rFonts w:ascii="Arial" w:cs="Arial" w:eastAsia="Arial" w:hAnsi="Arial"/>
          <w:sz w:val="34"/>
          <w:szCs w:val="34"/>
          <w:b w:val="1"/>
          <w:bCs w:val="1"/>
          <w:color w:val="auto"/>
        </w:rPr>
      </w:pPr>
      <w:r>
        <w:rPr>
          <w:rFonts w:ascii="Arial" w:cs="Arial" w:eastAsia="Arial" w:hAnsi="Arial"/>
          <w:sz w:val="34"/>
          <w:szCs w:val="34"/>
          <w:b w:val="1"/>
          <w:bCs w:val="1"/>
          <w:color w:val="auto"/>
        </w:rPr>
        <w:t>(2)</w:t>
      </w:r>
    </w:p>
    <w:p>
      <w:pPr>
        <w:spacing w:after="0" w:line="135" w:lineRule="exact"/>
        <w:rPr>
          <w:rFonts w:ascii="Arial" w:cs="Arial" w:eastAsia="Arial" w:hAnsi="Arial"/>
          <w:sz w:val="34"/>
          <w:szCs w:val="34"/>
          <w:b w:val="1"/>
          <w:bCs w:val="1"/>
          <w:color w:val="auto"/>
        </w:rPr>
      </w:pPr>
    </w:p>
    <w:p>
      <w:pPr>
        <w:ind w:left="1960" w:hanging="1951"/>
        <w:spacing w:after="0"/>
        <w:tabs>
          <w:tab w:leader="none" w:pos="1960" w:val="left"/>
        </w:tabs>
        <w:numPr>
          <w:ilvl w:val="0"/>
          <w:numId w:val="13"/>
        </w:numPr>
        <w:rPr>
          <w:rFonts w:ascii="Arial" w:cs="Arial" w:eastAsia="Arial" w:hAnsi="Arial"/>
          <w:sz w:val="34"/>
          <w:szCs w:val="34"/>
          <w:b w:val="1"/>
          <w:bCs w:val="1"/>
          <w:color w:val="auto"/>
        </w:rPr>
      </w:pPr>
      <w:r>
        <w:rPr>
          <w:rFonts w:ascii="Arial" w:cs="Arial" w:eastAsia="Arial" w:hAnsi="Arial"/>
          <w:sz w:val="34"/>
          <w:szCs w:val="34"/>
          <w:b w:val="1"/>
          <w:bCs w:val="1"/>
          <w:color w:val="auto"/>
        </w:rPr>
        <w:t>327</w:t>
      </w:r>
    </w:p>
    <w:p>
      <w:pPr>
        <w:sectPr>
          <w:pgSz w:w="11900" w:h="16838" w:orient="portrait"/>
          <w:cols w:equalWidth="0" w:num="2">
            <w:col w:w="5180" w:space="720"/>
            <w:col w:w="3860"/>
          </w:cols>
          <w:pgMar w:left="1200" w:top="375" w:right="939" w:bottom="1440" w:gutter="0" w:footer="0" w:header="0"/>
          <w:type w:val="continuous"/>
        </w:sectPr>
      </w:pPr>
    </w:p>
    <w:bookmarkStart w:id="25" w:name="page26"/>
    <w:bookmarkEnd w:id="25"/>
    <w:tbl>
      <w:tblPr>
        <w:tblLayout w:type="fixed"/>
        <w:tblInd w:w="170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15</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40"/>
          <w:szCs w:val="40"/>
          <w:color w:val="5F81AA"/>
        </w:rPr>
        <w:t>Balance Sheet Highlights</w:t>
      </w:r>
    </w:p>
    <w:p>
      <w:pPr>
        <w:spacing w:after="0" w:line="331"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Total Debt</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in millions)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Total Debt</w:t>
      </w:r>
    </w:p>
    <w:p>
      <w:pPr>
        <w:spacing w:after="0" w:line="180"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Net</w:t>
      </w:r>
    </w:p>
    <w:p>
      <w:pPr>
        <w:ind w:left="9580"/>
        <w:spacing w:after="0"/>
        <w:rPr>
          <w:sz w:val="20"/>
          <w:szCs w:val="20"/>
          <w:color w:val="auto"/>
        </w:rPr>
      </w:pPr>
      <w:r>
        <w:rPr>
          <w:rFonts w:ascii="Arial" w:cs="Arial" w:eastAsia="Arial" w:hAnsi="Arial"/>
          <w:sz w:val="20"/>
          <w:szCs w:val="20"/>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80" w:type="dxa"/>
            <w:vAlign w:val="bottom"/>
          </w:tcPr>
          <w:p>
            <w:pPr>
              <w:jc w:val="center"/>
              <w:ind w:right="2653"/>
              <w:spacing w:after="0"/>
              <w:rPr>
                <w:sz w:val="20"/>
                <w:szCs w:val="20"/>
                <w:color w:val="auto"/>
              </w:rPr>
            </w:pPr>
            <w:r>
              <w:rPr>
                <w:rFonts w:ascii="Arial" w:cs="Arial" w:eastAsia="Arial" w:hAnsi="Arial"/>
                <w:sz w:val="21"/>
                <w:szCs w:val="21"/>
                <w:b w:val="1"/>
                <w:bCs w:val="1"/>
                <w:color w:val="auto"/>
                <w:w w:val="99"/>
              </w:rPr>
              <w:t>Total Debt to</w:t>
            </w:r>
          </w:p>
        </w:tc>
        <w:tc>
          <w:tcPr>
            <w:tcW w:w="3280" w:type="dxa"/>
            <w:vAlign w:val="bottom"/>
            <w:vMerge w:val="restart"/>
          </w:tcPr>
          <w:p>
            <w:pPr>
              <w:jc w:val="right"/>
              <w:spacing w:after="0"/>
              <w:rPr>
                <w:sz w:val="20"/>
                <w:szCs w:val="20"/>
                <w:color w:val="auto"/>
              </w:rPr>
            </w:pPr>
            <w:r>
              <w:rPr>
                <w:rFonts w:ascii="Arial" w:cs="Arial" w:eastAsia="Arial" w:hAnsi="Arial"/>
                <w:sz w:val="24"/>
                <w:szCs w:val="24"/>
                <w:color w:val="auto"/>
              </w:rPr>
              <w:t>2010</w:t>
            </w:r>
          </w:p>
        </w:tc>
        <w:tc>
          <w:tcPr>
            <w:tcW w:w="0" w:type="dxa"/>
            <w:vAlign w:val="bottom"/>
          </w:tcPr>
          <w:p>
            <w:pPr>
              <w:spacing w:after="0"/>
              <w:rPr>
                <w:sz w:val="1"/>
                <w:szCs w:val="1"/>
                <w:color w:val="auto"/>
              </w:rPr>
            </w:pPr>
          </w:p>
        </w:tc>
      </w:tr>
      <w:tr>
        <w:trPr>
          <w:trHeight w:val="291"/>
        </w:trPr>
        <w:tc>
          <w:tcPr>
            <w:tcW w:w="4680" w:type="dxa"/>
            <w:vAlign w:val="bottom"/>
          </w:tcPr>
          <w:p>
            <w:pPr>
              <w:jc w:val="center"/>
              <w:ind w:right="2633"/>
              <w:spacing w:after="0"/>
              <w:rPr>
                <w:sz w:val="20"/>
                <w:szCs w:val="20"/>
                <w:color w:val="auto"/>
              </w:rPr>
            </w:pPr>
            <w:r>
              <w:rPr>
                <w:rFonts w:ascii="Arial" w:cs="Arial" w:eastAsia="Arial" w:hAnsi="Arial"/>
                <w:sz w:val="21"/>
                <w:szCs w:val="21"/>
                <w:b w:val="1"/>
                <w:bCs w:val="1"/>
                <w:color w:val="auto"/>
              </w:rPr>
              <w:t>Total Capitalization</w:t>
            </w: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500"/>
        <w:spacing w:after="0"/>
        <w:rPr>
          <w:sz w:val="20"/>
          <w:szCs w:val="20"/>
          <w:color w:val="auto"/>
        </w:rPr>
      </w:pPr>
      <w:r>
        <w:rPr>
          <w:rFonts w:ascii="Arial" w:cs="Arial" w:eastAsia="Arial" w:hAnsi="Arial"/>
          <w:sz w:val="24"/>
          <w:szCs w:val="24"/>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405130</wp:posOffset>
            </wp:positionV>
            <wp:extent cx="727329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80"/>
          </w:cols>
          <w:pgMar w:left="680" w:top="375" w:right="739" w:bottom="1440" w:gutter="0" w:footer="0" w:header="0"/>
        </w:sectPr>
      </w:pPr>
    </w:p>
    <w:bookmarkStart w:id="26" w:name="page27"/>
    <w:bookmarkEnd w:id="26"/>
    <w:tbl>
      <w:tblPr>
        <w:tblLayout w:type="fixed"/>
        <w:tblInd w:w="1548"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16</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340" w:lineRule="exact"/>
        <w:rPr>
          <w:sz w:val="20"/>
          <w:szCs w:val="20"/>
          <w:color w:val="auto"/>
        </w:rPr>
      </w:pPr>
    </w:p>
    <w:p>
      <w:pPr>
        <w:ind w:left="448"/>
        <w:spacing w:after="0"/>
        <w:rPr>
          <w:sz w:val="20"/>
          <w:szCs w:val="20"/>
          <w:color w:val="auto"/>
        </w:rPr>
      </w:pPr>
      <w:r>
        <w:rPr>
          <w:rFonts w:ascii="Arial" w:cs="Arial" w:eastAsia="Arial" w:hAnsi="Arial"/>
          <w:sz w:val="40"/>
          <w:szCs w:val="40"/>
          <w:color w:val="5F81AA"/>
        </w:rPr>
        <w:t>Credit Facilities as of September 30, 2010</w:t>
      </w:r>
    </w:p>
    <w:p>
      <w:pPr>
        <w:spacing w:after="0" w:line="3" w:lineRule="exact"/>
        <w:rPr>
          <w:sz w:val="20"/>
          <w:szCs w:val="20"/>
          <w:color w:val="auto"/>
        </w:rPr>
      </w:pPr>
    </w:p>
    <w:p>
      <w:pPr>
        <w:ind w:left="448"/>
        <w:spacing w:after="0"/>
        <w:rPr>
          <w:sz w:val="20"/>
          <w:szCs w:val="20"/>
          <w:color w:val="auto"/>
        </w:rPr>
      </w:pPr>
      <w:r>
        <w:rPr>
          <w:rFonts w:ascii="Arial" w:cs="Arial" w:eastAsia="Arial" w:hAnsi="Arial"/>
          <w:sz w:val="21"/>
          <w:szCs w:val="21"/>
          <w:color w:val="5F81AA"/>
        </w:rPr>
        <w:t>($ in millions)</w:t>
      </w:r>
    </w:p>
    <w:p>
      <w:pPr>
        <w:spacing w:after="0" w:line="76" w:lineRule="exact"/>
        <w:rPr>
          <w:sz w:val="20"/>
          <w:szCs w:val="20"/>
          <w:color w:val="auto"/>
        </w:rPr>
      </w:pPr>
    </w:p>
    <w:tbl>
      <w:tblPr>
        <w:tblLayout w:type="fixed"/>
        <w:tblInd w:w="588" w:type="dxa"/>
        <w:tblCellMar>
          <w:top w:w="0" w:type="dxa"/>
          <w:left w:w="0" w:type="dxa"/>
          <w:bottom w:w="0" w:type="dxa"/>
          <w:right w:w="0" w:type="dxa"/>
        </w:tblCellMar>
      </w:tblPr>
      <w:tr>
        <w:trPr>
          <w:trHeight w:val="274"/>
        </w:trPr>
        <w:tc>
          <w:tcPr>
            <w:tcW w:w="2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808080"/>
              </w:rPr>
              <w:t>Interest</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808080"/>
              </w:rPr>
              <w:t>Maturity</w:t>
            </w:r>
          </w:p>
        </w:tc>
        <w:tc>
          <w:tcPr>
            <w:tcW w:w="1540" w:type="dxa"/>
            <w:vAlign w:val="bottom"/>
          </w:tcPr>
          <w:p>
            <w:pPr>
              <w:jc w:val="right"/>
              <w:ind w:right="413"/>
              <w:spacing w:after="0"/>
              <w:rPr>
                <w:sz w:val="20"/>
                <w:szCs w:val="20"/>
                <w:color w:val="auto"/>
              </w:rPr>
            </w:pPr>
            <w:r>
              <w:rPr>
                <w:rFonts w:ascii="Arial" w:cs="Arial" w:eastAsia="Arial" w:hAnsi="Arial"/>
                <w:sz w:val="21"/>
                <w:szCs w:val="21"/>
                <w:b w:val="1"/>
                <w:bCs w:val="1"/>
                <w:color w:val="808080"/>
              </w:rPr>
              <w:t>Total</w:t>
            </w:r>
          </w:p>
        </w:tc>
        <w:tc>
          <w:tcPr>
            <w:tcW w:w="1380" w:type="dxa"/>
            <w:vAlign w:val="bottom"/>
          </w:tcPr>
          <w:p>
            <w:pPr>
              <w:jc w:val="center"/>
              <w:spacing w:after="0"/>
              <w:rPr>
                <w:sz w:val="20"/>
                <w:szCs w:val="20"/>
                <w:color w:val="auto"/>
              </w:rPr>
            </w:pPr>
            <w:r>
              <w:rPr>
                <w:rFonts w:ascii="Arial" w:cs="Arial" w:eastAsia="Arial" w:hAnsi="Arial"/>
                <w:sz w:val="21"/>
                <w:szCs w:val="21"/>
                <w:b w:val="1"/>
                <w:bCs w:val="1"/>
                <w:color w:val="808080"/>
              </w:rPr>
              <w:t>Remaining</w:t>
            </w:r>
          </w:p>
        </w:tc>
        <w:tc>
          <w:tcPr>
            <w:tcW w:w="0" w:type="dxa"/>
            <w:vAlign w:val="bottom"/>
          </w:tcPr>
          <w:p>
            <w:pPr>
              <w:spacing w:after="0"/>
              <w:rPr>
                <w:sz w:val="1"/>
                <w:szCs w:val="1"/>
                <w:color w:val="auto"/>
              </w:rPr>
            </w:pPr>
          </w:p>
        </w:tc>
      </w:tr>
      <w:tr>
        <w:trPr>
          <w:trHeight w:val="283"/>
        </w:trPr>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808080"/>
              </w:rPr>
              <w:t>Rate</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808080"/>
              </w:rPr>
              <w:t>Date</w:t>
            </w:r>
          </w:p>
        </w:tc>
        <w:tc>
          <w:tcPr>
            <w:tcW w:w="1540" w:type="dxa"/>
            <w:vAlign w:val="bottom"/>
          </w:tcPr>
          <w:p>
            <w:pPr>
              <w:jc w:val="right"/>
              <w:ind w:right="33"/>
              <w:spacing w:after="0"/>
              <w:rPr>
                <w:sz w:val="20"/>
                <w:szCs w:val="20"/>
                <w:color w:val="auto"/>
              </w:rPr>
            </w:pPr>
            <w:r>
              <w:rPr>
                <w:rFonts w:ascii="Arial" w:cs="Arial" w:eastAsia="Arial" w:hAnsi="Arial"/>
                <w:sz w:val="21"/>
                <w:szCs w:val="21"/>
                <w:b w:val="1"/>
                <w:bCs w:val="1"/>
                <w:color w:val="808080"/>
              </w:rPr>
              <w:t>Outstanding</w:t>
            </w:r>
          </w:p>
        </w:tc>
        <w:tc>
          <w:tcPr>
            <w:tcW w:w="1380" w:type="dxa"/>
            <w:vAlign w:val="bottom"/>
          </w:tcPr>
          <w:p>
            <w:pPr>
              <w:jc w:val="center"/>
              <w:spacing w:after="0"/>
              <w:rPr>
                <w:sz w:val="20"/>
                <w:szCs w:val="20"/>
                <w:color w:val="auto"/>
              </w:rPr>
            </w:pPr>
            <w:r>
              <w:rPr>
                <w:rFonts w:ascii="Arial" w:cs="Arial" w:eastAsia="Arial" w:hAnsi="Arial"/>
                <w:sz w:val="21"/>
                <w:szCs w:val="21"/>
                <w:b w:val="1"/>
                <w:bCs w:val="1"/>
                <w:color w:val="808080"/>
              </w:rPr>
              <w:t>Available</w:t>
            </w:r>
          </w:p>
        </w:tc>
        <w:tc>
          <w:tcPr>
            <w:tcW w:w="0" w:type="dxa"/>
            <w:vAlign w:val="bottom"/>
          </w:tcPr>
          <w:p>
            <w:pPr>
              <w:spacing w:after="0"/>
              <w:rPr>
                <w:sz w:val="1"/>
                <w:szCs w:val="1"/>
                <w:color w:val="auto"/>
              </w:rPr>
            </w:pPr>
          </w:p>
        </w:tc>
      </w:tr>
      <w:tr>
        <w:trPr>
          <w:trHeight w:val="437"/>
        </w:trPr>
        <w:tc>
          <w:tcPr>
            <w:tcW w:w="2580" w:type="dxa"/>
            <w:vAlign w:val="bottom"/>
          </w:tcPr>
          <w:p>
            <w:pPr>
              <w:spacing w:after="0"/>
              <w:rPr>
                <w:sz w:val="20"/>
                <w:szCs w:val="20"/>
                <w:color w:val="auto"/>
              </w:rPr>
            </w:pPr>
            <w:r>
              <w:rPr>
                <w:rFonts w:ascii="Arial" w:cs="Arial" w:eastAsia="Arial" w:hAnsi="Arial"/>
                <w:sz w:val="21"/>
                <w:szCs w:val="21"/>
                <w:b w:val="1"/>
                <w:bCs w:val="1"/>
                <w:color w:val="auto"/>
              </w:rPr>
              <w:t>Euro</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580" w:type="dxa"/>
            <w:vAlign w:val="bottom"/>
          </w:tcPr>
          <w:p>
            <w:pPr>
              <w:spacing w:after="0" w:line="219" w:lineRule="exact"/>
              <w:rPr>
                <w:sz w:val="20"/>
                <w:szCs w:val="20"/>
                <w:color w:val="auto"/>
              </w:rPr>
            </w:pPr>
            <w:r>
              <w:rPr>
                <w:rFonts w:ascii="Arial" w:cs="Arial" w:eastAsia="Arial" w:hAnsi="Arial"/>
                <w:sz w:val="21"/>
                <w:szCs w:val="21"/>
                <w:b w:val="1"/>
                <w:bCs w:val="1"/>
                <w:color w:val="auto"/>
              </w:rPr>
              <w:t>Notes:</w:t>
            </w:r>
          </w:p>
        </w:tc>
        <w:tc>
          <w:tcPr>
            <w:tcW w:w="780" w:type="dxa"/>
            <w:vAlign w:val="bottom"/>
          </w:tcPr>
          <w:p>
            <w:pPr>
              <w:spacing w:after="0"/>
              <w:rPr>
                <w:sz w:val="19"/>
                <w:szCs w:val="19"/>
                <w:color w:val="auto"/>
              </w:rPr>
            </w:pP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4.86%</w:t>
            </w:r>
          </w:p>
        </w:tc>
        <w:tc>
          <w:tcPr>
            <w:tcW w:w="1280" w:type="dxa"/>
            <w:vAlign w:val="bottom"/>
            <w:vMerge w:val="restart"/>
          </w:tcPr>
          <w:p>
            <w:pPr>
              <w:ind w:left="160"/>
              <w:spacing w:after="0"/>
              <w:rPr>
                <w:sz w:val="20"/>
                <w:szCs w:val="20"/>
                <w:color w:val="auto"/>
              </w:rPr>
            </w:pPr>
            <w:r>
              <w:rPr>
                <w:rFonts w:ascii="Arial" w:cs="Arial" w:eastAsia="Arial" w:hAnsi="Arial"/>
                <w:sz w:val="21"/>
                <w:szCs w:val="21"/>
                <w:b w:val="1"/>
                <w:bCs w:val="1"/>
                <w:color w:val="auto"/>
              </w:rPr>
              <w:t>June</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272</w:t>
            </w:r>
          </w:p>
        </w:tc>
        <w:tc>
          <w:tcPr>
            <w:tcW w:w="1380" w:type="dxa"/>
            <w:vAlign w:val="bottom"/>
            <w:vMerge w:val="restart"/>
          </w:tcPr>
          <w:p>
            <w:pPr>
              <w:jc w:val="center"/>
              <w:ind w:left="673"/>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04"/>
        </w:trPr>
        <w:tc>
          <w:tcPr>
            <w:tcW w:w="2580" w:type="dxa"/>
            <w:vAlign w:val="bottom"/>
          </w:tcPr>
          <w:p>
            <w:pPr>
              <w:ind w:left="140"/>
              <w:spacing w:after="0" w:line="204" w:lineRule="exact"/>
              <w:rPr>
                <w:sz w:val="20"/>
                <w:szCs w:val="20"/>
                <w:color w:val="auto"/>
              </w:rPr>
            </w:pPr>
            <w:r>
              <w:rPr>
                <w:rFonts w:ascii="Arial" w:cs="Arial" w:eastAsia="Arial" w:hAnsi="Arial"/>
                <w:sz w:val="21"/>
                <w:szCs w:val="21"/>
                <w:b w:val="1"/>
                <w:bCs w:val="1"/>
                <w:color w:val="auto"/>
              </w:rPr>
              <w:t>- Euro</w:t>
            </w:r>
          </w:p>
        </w:tc>
        <w:tc>
          <w:tcPr>
            <w:tcW w:w="7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40"/>
              <w:spacing w:after="0" w:line="219" w:lineRule="exact"/>
              <w:rPr>
                <w:sz w:val="20"/>
                <w:szCs w:val="20"/>
                <w:color w:val="auto"/>
              </w:rPr>
            </w:pPr>
            <w:r>
              <w:rPr>
                <w:rFonts w:ascii="Arial" w:cs="Arial" w:eastAsia="Arial" w:hAnsi="Arial"/>
                <w:sz w:val="21"/>
                <w:szCs w:val="21"/>
                <w:b w:val="1"/>
                <w:bCs w:val="1"/>
                <w:color w:val="auto"/>
              </w:rPr>
              <w:t>200M</w:t>
            </w:r>
          </w:p>
        </w:tc>
        <w:tc>
          <w:tcPr>
            <w:tcW w:w="780" w:type="dxa"/>
            <w:vAlign w:val="bottom"/>
          </w:tcPr>
          <w:p>
            <w:pPr>
              <w:spacing w:after="0"/>
              <w:rPr>
                <w:sz w:val="19"/>
                <w:szCs w:val="19"/>
                <w:color w:val="auto"/>
              </w:rPr>
            </w:pP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4.58%</w:t>
            </w:r>
          </w:p>
        </w:tc>
        <w:tc>
          <w:tcPr>
            <w:tcW w:w="1280" w:type="dxa"/>
            <w:vAlign w:val="bottom"/>
          </w:tcPr>
          <w:p>
            <w:pPr>
              <w:ind w:left="160"/>
              <w:spacing w:after="0" w:line="219" w:lineRule="exact"/>
              <w:rPr>
                <w:sz w:val="20"/>
                <w:szCs w:val="20"/>
                <w:color w:val="auto"/>
              </w:rPr>
            </w:pPr>
            <w:r>
              <w:rPr>
                <w:rFonts w:ascii="Arial" w:cs="Arial" w:eastAsia="Arial" w:hAnsi="Arial"/>
                <w:sz w:val="21"/>
                <w:szCs w:val="21"/>
                <w:b w:val="1"/>
                <w:bCs w:val="1"/>
                <w:color w:val="auto"/>
              </w:rPr>
              <w:t>2013</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409</w:t>
            </w:r>
          </w:p>
        </w:tc>
        <w:tc>
          <w:tcPr>
            <w:tcW w:w="1380" w:type="dxa"/>
            <w:vAlign w:val="bottom"/>
            <w:vMerge w:val="restart"/>
          </w:tcPr>
          <w:p>
            <w:pPr>
              <w:jc w:val="center"/>
              <w:ind w:left="673"/>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15"/>
        </w:trPr>
        <w:tc>
          <w:tcPr>
            <w:tcW w:w="2580" w:type="dxa"/>
            <w:vAlign w:val="bottom"/>
          </w:tcPr>
          <w:p>
            <w:pPr>
              <w:ind w:left="140"/>
              <w:spacing w:after="0" w:line="216" w:lineRule="exact"/>
              <w:rPr>
                <w:sz w:val="20"/>
                <w:szCs w:val="20"/>
                <w:color w:val="auto"/>
              </w:rPr>
            </w:pPr>
            <w:r>
              <w:rPr>
                <w:rFonts w:ascii="Arial" w:cs="Arial" w:eastAsia="Arial" w:hAnsi="Arial"/>
                <w:sz w:val="21"/>
                <w:szCs w:val="21"/>
                <w:b w:val="1"/>
                <w:bCs w:val="1"/>
                <w:color w:val="auto"/>
              </w:rPr>
              <w:t>- Euro</w:t>
            </w:r>
          </w:p>
        </w:tc>
        <w:tc>
          <w:tcPr>
            <w:tcW w:w="7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80" w:type="dxa"/>
            <w:vAlign w:val="bottom"/>
          </w:tcPr>
          <w:p>
            <w:pPr>
              <w:ind w:left="160"/>
              <w:spacing w:after="0" w:line="216" w:lineRule="exact"/>
              <w:rPr>
                <w:sz w:val="20"/>
                <w:szCs w:val="20"/>
                <w:color w:val="auto"/>
              </w:rPr>
            </w:pPr>
            <w:r>
              <w:rPr>
                <w:rFonts w:ascii="Arial" w:cs="Arial" w:eastAsia="Arial" w:hAnsi="Arial"/>
                <w:sz w:val="21"/>
                <w:szCs w:val="21"/>
                <w:b w:val="1"/>
                <w:bCs w:val="1"/>
                <w:color w:val="auto"/>
              </w:rPr>
              <w:t>June</w:t>
            </w:r>
          </w:p>
        </w:tc>
        <w:tc>
          <w:tcPr>
            <w:tcW w:w="15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140"/>
              <w:spacing w:after="0" w:line="219" w:lineRule="exact"/>
              <w:rPr>
                <w:sz w:val="20"/>
                <w:szCs w:val="20"/>
                <w:color w:val="auto"/>
              </w:rPr>
            </w:pPr>
            <w:r>
              <w:rPr>
                <w:rFonts w:ascii="Arial" w:cs="Arial" w:eastAsia="Arial" w:hAnsi="Arial"/>
                <w:sz w:val="21"/>
                <w:szCs w:val="21"/>
                <w:b w:val="1"/>
                <w:bCs w:val="1"/>
                <w:color w:val="auto"/>
              </w:rPr>
              <w:t>300M</w:t>
            </w:r>
          </w:p>
        </w:tc>
        <w:tc>
          <w:tcPr>
            <w:tcW w:w="780" w:type="dxa"/>
            <w:vAlign w:val="bottom"/>
          </w:tcPr>
          <w:p>
            <w:pPr>
              <w:ind w:left="240"/>
              <w:spacing w:after="0"/>
              <w:rPr>
                <w:sz w:val="20"/>
                <w:szCs w:val="20"/>
                <w:color w:val="auto"/>
              </w:rPr>
            </w:pPr>
            <w:r>
              <w:rPr>
                <w:rFonts w:ascii="Arial" w:cs="Arial" w:eastAsia="Arial" w:hAnsi="Arial"/>
                <w:sz w:val="14"/>
                <w:szCs w:val="14"/>
                <w:color w:val="auto"/>
              </w:rPr>
              <w:t>(a)</w:t>
            </w:r>
          </w:p>
        </w:tc>
        <w:tc>
          <w:tcPr>
            <w:tcW w:w="1280" w:type="dxa"/>
            <w:vAlign w:val="bottom"/>
            <w:vMerge w:val="restart"/>
          </w:tcPr>
          <w:p>
            <w:pPr>
              <w:jc w:val="center"/>
              <w:ind w:left="133"/>
              <w:spacing w:after="0"/>
              <w:rPr>
                <w:sz w:val="20"/>
                <w:szCs w:val="20"/>
                <w:color w:val="auto"/>
              </w:rPr>
            </w:pPr>
            <w:r>
              <w:rPr>
                <w:rFonts w:ascii="Arial" w:cs="Arial" w:eastAsia="Arial" w:hAnsi="Arial"/>
                <w:sz w:val="21"/>
                <w:szCs w:val="21"/>
                <w:b w:val="1"/>
                <w:bCs w:val="1"/>
                <w:color w:val="auto"/>
              </w:rPr>
              <w:t>2.81%</w:t>
            </w:r>
          </w:p>
        </w:tc>
        <w:tc>
          <w:tcPr>
            <w:tcW w:w="1280" w:type="dxa"/>
            <w:vAlign w:val="bottom"/>
          </w:tcPr>
          <w:p>
            <w:pPr>
              <w:ind w:left="160"/>
              <w:spacing w:after="0" w:line="219" w:lineRule="exact"/>
              <w:rPr>
                <w:sz w:val="20"/>
                <w:szCs w:val="20"/>
                <w:color w:val="auto"/>
              </w:rPr>
            </w:pPr>
            <w:r>
              <w:rPr>
                <w:rFonts w:ascii="Arial" w:cs="Arial" w:eastAsia="Arial" w:hAnsi="Arial"/>
                <w:sz w:val="21"/>
                <w:szCs w:val="21"/>
                <w:b w:val="1"/>
                <w:bCs w:val="1"/>
                <w:color w:val="auto"/>
              </w:rPr>
              <w:t>2012</w:t>
            </w:r>
          </w:p>
        </w:tc>
        <w:tc>
          <w:tcPr>
            <w:tcW w:w="1540" w:type="dxa"/>
            <w:vAlign w:val="bottom"/>
            <w:vMerge w:val="restart"/>
          </w:tcPr>
          <w:p>
            <w:pPr>
              <w:jc w:val="right"/>
              <w:ind w:right="113"/>
              <w:spacing w:after="0"/>
              <w:rPr>
                <w:sz w:val="20"/>
                <w:szCs w:val="20"/>
                <w:color w:val="auto"/>
              </w:rPr>
            </w:pPr>
            <w:r>
              <w:rPr>
                <w:rFonts w:ascii="Arial" w:cs="Arial" w:eastAsia="Arial" w:hAnsi="Arial"/>
                <w:sz w:val="21"/>
                <w:szCs w:val="21"/>
                <w:b w:val="1"/>
                <w:bCs w:val="1"/>
                <w:color w:val="auto"/>
              </w:rPr>
              <w:t>-</w:t>
            </w:r>
          </w:p>
        </w:tc>
        <w:tc>
          <w:tcPr>
            <w:tcW w:w="1380" w:type="dxa"/>
            <w:vAlign w:val="bottom"/>
            <w:vMerge w:val="restart"/>
          </w:tcPr>
          <w:p>
            <w:pPr>
              <w:ind w:left="880"/>
              <w:spacing w:after="0"/>
              <w:rPr>
                <w:sz w:val="20"/>
                <w:szCs w:val="20"/>
                <w:color w:val="auto"/>
              </w:rPr>
            </w:pPr>
            <w:r>
              <w:rPr>
                <w:rFonts w:ascii="Arial" w:cs="Arial" w:eastAsia="Arial" w:hAnsi="Arial"/>
                <w:sz w:val="21"/>
                <w:szCs w:val="21"/>
                <w:b w:val="1"/>
                <w:bCs w:val="1"/>
                <w:color w:val="auto"/>
                <w:w w:val="84"/>
              </w:rPr>
              <w:t>396</w:t>
            </w:r>
            <w:r>
              <w:rPr>
                <w:rFonts w:ascii="Arial" w:cs="Arial" w:eastAsia="Arial" w:hAnsi="Arial"/>
                <w:sz w:val="27"/>
                <w:szCs w:val="27"/>
                <w:color w:val="auto"/>
                <w:w w:val="84"/>
                <w:vertAlign w:val="superscript"/>
              </w:rPr>
              <w:t>(b)</w:t>
            </w:r>
          </w:p>
        </w:tc>
        <w:tc>
          <w:tcPr>
            <w:tcW w:w="0" w:type="dxa"/>
            <w:vAlign w:val="bottom"/>
          </w:tcPr>
          <w:p>
            <w:pPr>
              <w:spacing w:after="0"/>
              <w:rPr>
                <w:sz w:val="1"/>
                <w:szCs w:val="1"/>
                <w:color w:val="auto"/>
              </w:rPr>
            </w:pPr>
          </w:p>
        </w:tc>
      </w:tr>
      <w:tr>
        <w:trPr>
          <w:trHeight w:val="283"/>
        </w:trPr>
        <w:tc>
          <w:tcPr>
            <w:tcW w:w="3360" w:type="dxa"/>
            <w:vAlign w:val="bottom"/>
            <w:gridSpan w:val="2"/>
          </w:tcPr>
          <w:p>
            <w:pPr>
              <w:spacing w:after="0"/>
              <w:rPr>
                <w:sz w:val="20"/>
                <w:szCs w:val="20"/>
                <w:color w:val="auto"/>
              </w:rPr>
            </w:pPr>
            <w:r>
              <w:rPr>
                <w:rFonts w:ascii="Arial" w:cs="Arial" w:eastAsia="Arial" w:hAnsi="Arial"/>
                <w:sz w:val="21"/>
                <w:szCs w:val="21"/>
                <w:b w:val="1"/>
                <w:bCs w:val="1"/>
                <w:color w:val="auto"/>
              </w:rPr>
              <w:t>Revolving Credit Agreement</w:t>
            </w:r>
          </w:p>
        </w:tc>
        <w:tc>
          <w:tcPr>
            <w:tcW w:w="1280" w:type="dxa"/>
            <w:vAlign w:val="bottom"/>
            <w:vMerge w:val="continue"/>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1"/>
                <w:szCs w:val="21"/>
                <w:b w:val="1"/>
                <w:bCs w:val="1"/>
                <w:color w:val="auto"/>
              </w:rPr>
              <w:t>Nov 2012</w:t>
            </w:r>
          </w:p>
        </w:tc>
        <w:tc>
          <w:tcPr>
            <w:tcW w:w="15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580" w:type="dxa"/>
            <w:vAlign w:val="bottom"/>
          </w:tcPr>
          <w:p>
            <w:pPr>
              <w:spacing w:after="0"/>
              <w:rPr>
                <w:sz w:val="20"/>
                <w:szCs w:val="20"/>
                <w:color w:val="auto"/>
              </w:rPr>
            </w:pPr>
            <w:r>
              <w:rPr>
                <w:rFonts w:ascii="Arial" w:cs="Arial" w:eastAsia="Arial" w:hAnsi="Arial"/>
                <w:sz w:val="21"/>
                <w:szCs w:val="21"/>
                <w:b w:val="1"/>
                <w:bCs w:val="1"/>
                <w:color w:val="auto"/>
              </w:rPr>
              <w:t>Uncommitted lines and</w:t>
            </w:r>
          </w:p>
        </w:tc>
        <w:tc>
          <w:tcPr>
            <w:tcW w:w="780" w:type="dxa"/>
            <w:vAlign w:val="bottom"/>
          </w:tcPr>
          <w:p>
            <w:pPr>
              <w:spacing w:after="0"/>
              <w:rPr>
                <w:sz w:val="23"/>
                <w:szCs w:val="23"/>
                <w:color w:val="auto"/>
              </w:rPr>
            </w:pPr>
          </w:p>
        </w:tc>
        <w:tc>
          <w:tcPr>
            <w:tcW w:w="1280" w:type="dxa"/>
            <w:vAlign w:val="bottom"/>
          </w:tcPr>
          <w:p>
            <w:pPr>
              <w:jc w:val="center"/>
              <w:ind w:left="113"/>
              <w:spacing w:after="0"/>
              <w:rPr>
                <w:sz w:val="20"/>
                <w:szCs w:val="20"/>
                <w:color w:val="auto"/>
              </w:rPr>
            </w:pPr>
            <w:r>
              <w:rPr>
                <w:rFonts w:ascii="Arial" w:cs="Arial" w:eastAsia="Arial" w:hAnsi="Arial"/>
                <w:sz w:val="21"/>
                <w:szCs w:val="21"/>
                <w:b w:val="1"/>
                <w:bCs w:val="1"/>
                <w:color w:val="auto"/>
              </w:rPr>
              <w:t>Various</w:t>
            </w:r>
          </w:p>
        </w:tc>
        <w:tc>
          <w:tcPr>
            <w:tcW w:w="1280" w:type="dxa"/>
            <w:vAlign w:val="bottom"/>
          </w:tcPr>
          <w:p>
            <w:pPr>
              <w:jc w:val="center"/>
              <w:spacing w:after="0"/>
              <w:rPr>
                <w:sz w:val="20"/>
                <w:szCs w:val="20"/>
                <w:color w:val="auto"/>
              </w:rPr>
            </w:pPr>
            <w:r>
              <w:rPr>
                <w:rFonts w:ascii="Arial" w:cs="Arial" w:eastAsia="Arial" w:hAnsi="Arial"/>
                <w:sz w:val="21"/>
                <w:szCs w:val="21"/>
                <w:b w:val="1"/>
                <w:bCs w:val="1"/>
                <w:color w:val="auto"/>
              </w:rPr>
              <w:t>Various</w:t>
            </w:r>
          </w:p>
        </w:tc>
        <w:tc>
          <w:tcPr>
            <w:tcW w:w="1540" w:type="dxa"/>
            <w:vAlign w:val="bottom"/>
          </w:tcPr>
          <w:p>
            <w:pPr>
              <w:jc w:val="right"/>
              <w:ind w:right="13"/>
              <w:spacing w:after="0"/>
              <w:rPr>
                <w:sz w:val="20"/>
                <w:szCs w:val="20"/>
                <w:color w:val="auto"/>
              </w:rPr>
            </w:pPr>
            <w:r>
              <w:rPr>
                <w:rFonts w:ascii="Arial" w:cs="Arial" w:eastAsia="Arial" w:hAnsi="Arial"/>
                <w:sz w:val="21"/>
                <w:szCs w:val="21"/>
                <w:b w:val="1"/>
                <w:bCs w:val="1"/>
                <w:color w:val="auto"/>
              </w:rPr>
              <w:t>25</w:t>
            </w:r>
          </w:p>
        </w:tc>
        <w:tc>
          <w:tcPr>
            <w:tcW w:w="1380" w:type="dxa"/>
            <w:vAlign w:val="bottom"/>
          </w:tcPr>
          <w:p>
            <w:pPr>
              <w:jc w:val="center"/>
              <w:ind w:left="633"/>
              <w:spacing w:after="0"/>
              <w:rPr>
                <w:sz w:val="20"/>
                <w:szCs w:val="20"/>
                <w:color w:val="auto"/>
              </w:rPr>
            </w:pPr>
            <w:r>
              <w:rPr>
                <w:rFonts w:ascii="Arial" w:cs="Arial" w:eastAsia="Arial" w:hAnsi="Arial"/>
                <w:sz w:val="21"/>
                <w:szCs w:val="21"/>
                <w:b w:val="1"/>
                <w:bCs w:val="1"/>
                <w:color w:val="auto"/>
              </w:rPr>
              <w:t>374</w:t>
            </w:r>
          </w:p>
        </w:tc>
        <w:tc>
          <w:tcPr>
            <w:tcW w:w="0" w:type="dxa"/>
            <w:vAlign w:val="bottom"/>
          </w:tcPr>
          <w:p>
            <w:pPr>
              <w:spacing w:after="0"/>
              <w:rPr>
                <w:sz w:val="1"/>
                <w:szCs w:val="1"/>
                <w:color w:val="auto"/>
              </w:rPr>
            </w:pPr>
          </w:p>
        </w:tc>
      </w:tr>
      <w:tr>
        <w:trPr>
          <w:trHeight w:val="219"/>
        </w:trPr>
        <w:tc>
          <w:tcPr>
            <w:tcW w:w="2580" w:type="dxa"/>
            <w:vAlign w:val="bottom"/>
          </w:tcPr>
          <w:p>
            <w:pPr>
              <w:spacing w:after="0" w:line="219" w:lineRule="exact"/>
              <w:rPr>
                <w:sz w:val="20"/>
                <w:szCs w:val="20"/>
                <w:color w:val="auto"/>
              </w:rPr>
            </w:pPr>
            <w:r>
              <w:rPr>
                <w:rFonts w:ascii="Arial" w:cs="Arial" w:eastAsia="Arial" w:hAnsi="Arial"/>
                <w:sz w:val="21"/>
                <w:szCs w:val="21"/>
                <w:b w:val="1"/>
                <w:bCs w:val="1"/>
                <w:color w:val="auto"/>
              </w:rPr>
              <w:t>Other</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706</w:t>
            </w:r>
          </w:p>
        </w:tc>
        <w:tc>
          <w:tcPr>
            <w:tcW w:w="1380" w:type="dxa"/>
            <w:vAlign w:val="bottom"/>
            <w:vMerge w:val="restart"/>
          </w:tcPr>
          <w:p>
            <w:pPr>
              <w:jc w:val="center"/>
              <w:ind w:left="613"/>
              <w:spacing w:after="0"/>
              <w:rPr>
                <w:sz w:val="20"/>
                <w:szCs w:val="20"/>
                <w:color w:val="auto"/>
              </w:rPr>
            </w:pPr>
            <w:r>
              <w:rPr>
                <w:rFonts w:ascii="Arial" w:cs="Arial" w:eastAsia="Arial" w:hAnsi="Arial"/>
                <w:sz w:val="21"/>
                <w:szCs w:val="21"/>
                <w:b w:val="1"/>
                <w:bCs w:val="1"/>
                <w:color w:val="auto"/>
                <w:w w:val="96"/>
              </w:rPr>
              <w:t>770</w:t>
            </w:r>
          </w:p>
        </w:tc>
        <w:tc>
          <w:tcPr>
            <w:tcW w:w="0" w:type="dxa"/>
            <w:vAlign w:val="bottom"/>
          </w:tcPr>
          <w:p>
            <w:pPr>
              <w:spacing w:after="0"/>
              <w:rPr>
                <w:sz w:val="1"/>
                <w:szCs w:val="1"/>
                <w:color w:val="auto"/>
              </w:rPr>
            </w:pPr>
          </w:p>
        </w:tc>
      </w:tr>
      <w:tr>
        <w:trPr>
          <w:trHeight w:val="283"/>
        </w:trPr>
        <w:tc>
          <w:tcPr>
            <w:tcW w:w="2580" w:type="dxa"/>
            <w:vAlign w:val="bottom"/>
          </w:tcPr>
          <w:p>
            <w:pPr>
              <w:spacing w:after="0"/>
              <w:rPr>
                <w:sz w:val="20"/>
                <w:szCs w:val="20"/>
                <w:color w:val="auto"/>
              </w:rPr>
            </w:pPr>
            <w:r>
              <w:rPr>
                <w:rFonts w:ascii="Arial" w:cs="Arial" w:eastAsia="Arial" w:hAnsi="Arial"/>
                <w:sz w:val="21"/>
                <w:szCs w:val="21"/>
                <w:b w:val="1"/>
                <w:bCs w:val="1"/>
                <w:color w:val="auto"/>
              </w:rPr>
              <w:t>Total Debt</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48" w:right="1460" w:hanging="248"/>
        <w:spacing w:after="0"/>
        <w:tabs>
          <w:tab w:leader="none" w:pos="24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$400M agreement requires, as of September 30, that we comply with a Debt-to-EBITDA ratio of less than 5.75 to 1 and a fixed charge coverage ratio of greater than 1.25 to 1. As defined in the agreement, we had a Debt-to-EBITDA ratio of 1.85 and a fixed charge coverage ratio of 2.17 as of September 30, 2010.</w:t>
      </w:r>
    </w:p>
    <w:p>
      <w:pPr>
        <w:spacing w:after="0" w:line="180" w:lineRule="exact"/>
        <w:rPr>
          <w:rFonts w:ascii="Arial" w:cs="Arial" w:eastAsia="Arial" w:hAnsi="Arial"/>
          <w:sz w:val="14"/>
          <w:szCs w:val="14"/>
          <w:color w:val="auto"/>
        </w:rPr>
      </w:pPr>
    </w:p>
    <w:p>
      <w:pPr>
        <w:ind w:left="248" w:hanging="237"/>
        <w:spacing w:after="0"/>
        <w:tabs>
          <w:tab w:leader="none" w:pos="248" w:val="left"/>
        </w:tabs>
        <w:numPr>
          <w:ilvl w:val="1"/>
          <w:numId w:val="14"/>
        </w:numPr>
        <w:rPr>
          <w:rFonts w:ascii="Arial" w:cs="Arial" w:eastAsia="Arial" w:hAnsi="Arial"/>
          <w:sz w:val="14"/>
          <w:szCs w:val="14"/>
          <w:color w:val="auto"/>
        </w:rPr>
      </w:pPr>
      <w:r>
        <w:rPr>
          <w:rFonts w:ascii="Arial" w:cs="Arial" w:eastAsia="Arial" w:hAnsi="Arial"/>
          <w:sz w:val="14"/>
          <w:szCs w:val="14"/>
          <w:color w:val="auto"/>
        </w:rPr>
        <w:t>As of September 30, there were $4.0M of standby letters of credit issued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917575</wp:posOffset>
            </wp:positionV>
            <wp:extent cx="727329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128"/>
          </w:cols>
          <w:pgMar w:left="832" w:top="375" w:right="939" w:bottom="1440" w:gutter="0" w:footer="0" w:header="0"/>
        </w:sectPr>
      </w:pPr>
    </w:p>
    <w:bookmarkStart w:id="27" w:name="page28"/>
    <w:bookmarkEnd w:id="27"/>
    <w:tbl>
      <w:tblPr>
        <w:tblLayout w:type="fixed"/>
        <w:tblInd w:w="14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17</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40"/>
          <w:szCs w:val="40"/>
          <w:color w:val="5F81AA"/>
        </w:rPr>
        <w:t>Fourth Quarter Outlook</w:t>
      </w:r>
    </w:p>
    <w:p>
      <w:pPr>
        <w:sectPr>
          <w:pgSz w:w="11900" w:h="16838" w:orient="portrait"/>
          <w:cols w:equalWidth="0" w:num="1">
            <w:col w:w="10020"/>
          </w:cols>
          <w:pgMar w:left="940" w:top="375" w:right="939" w:bottom="1440" w:gutter="0" w:footer="0" w:header="0"/>
        </w:sectPr>
      </w:pPr>
    </w:p>
    <w:p>
      <w:pPr>
        <w:spacing w:after="0" w:line="248" w:lineRule="exact"/>
        <w:rPr>
          <w:sz w:val="20"/>
          <w:szCs w:val="20"/>
          <w:color w:val="auto"/>
        </w:rPr>
      </w:pPr>
    </w:p>
    <w:p>
      <w:pPr>
        <w:spacing w:after="0"/>
        <w:tabs>
          <w:tab w:leader="none" w:pos="3040" w:val="left"/>
        </w:tabs>
        <w:rPr>
          <w:sz w:val="20"/>
          <w:szCs w:val="20"/>
          <w:color w:val="auto"/>
        </w:rPr>
      </w:pPr>
      <w:r>
        <w:rPr>
          <w:rFonts w:ascii="Arial" w:cs="Arial" w:eastAsia="Arial" w:hAnsi="Arial"/>
          <w:sz w:val="34"/>
          <w:szCs w:val="34"/>
          <w:b w:val="1"/>
          <w:bCs w:val="1"/>
          <w:color w:val="D47C18"/>
        </w:rPr>
        <w:t>Revenue</w:t>
      </w:r>
      <w:r>
        <w:rPr>
          <w:sz w:val="20"/>
          <w:szCs w:val="20"/>
          <w:color w:val="auto"/>
        </w:rPr>
        <w:tab/>
      </w:r>
      <w:r>
        <w:rPr>
          <w:rFonts w:ascii="Arial" w:cs="Arial" w:eastAsia="Arial" w:hAnsi="Arial"/>
          <w:sz w:val="61"/>
          <w:szCs w:val="61"/>
          <w:b w:val="1"/>
          <w:bCs w:val="1"/>
          <w:color w:val="auto"/>
          <w:vertAlign w:val="superscript"/>
        </w:rPr>
        <w:t>Total</w:t>
      </w:r>
    </w:p>
    <w:p>
      <w:pPr>
        <w:jc w:val="right"/>
        <w:ind w:right="300"/>
        <w:spacing w:after="0"/>
        <w:rPr>
          <w:sz w:val="20"/>
          <w:szCs w:val="20"/>
          <w:color w:val="auto"/>
        </w:rPr>
      </w:pPr>
      <w:r>
        <w:rPr>
          <w:rFonts w:ascii="Arial" w:cs="Arial" w:eastAsia="Arial" w:hAnsi="Arial"/>
          <w:sz w:val="30"/>
          <w:szCs w:val="30"/>
          <w:b w:val="1"/>
          <w:bCs w:val="1"/>
          <w:color w:val="auto"/>
        </w:rPr>
        <w:t>Americas</w:t>
      </w:r>
    </w:p>
    <w:p>
      <w:pPr>
        <w:spacing w:after="0" w:line="97" w:lineRule="exact"/>
        <w:rPr>
          <w:sz w:val="20"/>
          <w:szCs w:val="20"/>
          <w:color w:val="auto"/>
        </w:rPr>
      </w:pPr>
    </w:p>
    <w:p>
      <w:pPr>
        <w:jc w:val="right"/>
        <w:ind w:right="320"/>
        <w:spacing w:after="0"/>
        <w:rPr>
          <w:sz w:val="20"/>
          <w:szCs w:val="20"/>
          <w:color w:val="auto"/>
        </w:rPr>
      </w:pPr>
      <w:r>
        <w:rPr>
          <w:rFonts w:ascii="Arial" w:cs="Arial" w:eastAsia="Arial" w:hAnsi="Arial"/>
          <w:sz w:val="30"/>
          <w:szCs w:val="30"/>
          <w:b w:val="1"/>
          <w:bCs w:val="1"/>
          <w:color w:val="auto"/>
        </w:rPr>
        <w:t>France</w:t>
      </w:r>
    </w:p>
    <w:p>
      <w:pPr>
        <w:spacing w:after="0" w:line="78" w:lineRule="exact"/>
        <w:rPr>
          <w:sz w:val="20"/>
          <w:szCs w:val="20"/>
          <w:color w:val="auto"/>
        </w:rPr>
      </w:pPr>
    </w:p>
    <w:p>
      <w:pPr>
        <w:jc w:val="right"/>
        <w:ind w:right="300"/>
        <w:spacing w:after="0"/>
        <w:rPr>
          <w:sz w:val="20"/>
          <w:szCs w:val="20"/>
          <w:color w:val="auto"/>
        </w:rPr>
      </w:pPr>
      <w:r>
        <w:rPr>
          <w:rFonts w:ascii="Arial" w:cs="Arial" w:eastAsia="Arial" w:hAnsi="Arial"/>
          <w:sz w:val="30"/>
          <w:szCs w:val="30"/>
          <w:b w:val="1"/>
          <w:bCs w:val="1"/>
          <w:color w:val="auto"/>
        </w:rPr>
        <w:t>EMEA</w:t>
      </w:r>
    </w:p>
    <w:p>
      <w:pPr>
        <w:spacing w:after="0" w:line="101" w:lineRule="exact"/>
        <w:rPr>
          <w:sz w:val="20"/>
          <w:szCs w:val="20"/>
          <w:color w:val="auto"/>
        </w:rPr>
      </w:pPr>
    </w:p>
    <w:p>
      <w:pPr>
        <w:ind w:left="2640"/>
        <w:spacing w:after="0"/>
        <w:rPr>
          <w:sz w:val="20"/>
          <w:szCs w:val="20"/>
          <w:color w:val="auto"/>
        </w:rPr>
      </w:pPr>
      <w:r>
        <w:rPr>
          <w:rFonts w:ascii="Arial" w:cs="Arial" w:eastAsia="Arial" w:hAnsi="Arial"/>
          <w:sz w:val="30"/>
          <w:szCs w:val="30"/>
          <w:b w:val="1"/>
          <w:bCs w:val="1"/>
          <w:color w:val="auto"/>
        </w:rPr>
        <w:t>Asia</w:t>
      </w:r>
    </w:p>
    <w:p>
      <w:pPr>
        <w:spacing w:after="0" w:line="47" w:lineRule="exact"/>
        <w:rPr>
          <w:sz w:val="20"/>
          <w:szCs w:val="20"/>
          <w:color w:val="auto"/>
        </w:rPr>
      </w:pPr>
    </w:p>
    <w:p>
      <w:pPr>
        <w:ind w:left="2020"/>
        <w:spacing w:after="0"/>
        <w:rPr>
          <w:sz w:val="20"/>
          <w:szCs w:val="20"/>
          <w:color w:val="auto"/>
        </w:rPr>
      </w:pPr>
      <w:r>
        <w:rPr>
          <w:rFonts w:ascii="Arial" w:cs="Arial" w:eastAsia="Arial" w:hAnsi="Arial"/>
          <w:sz w:val="30"/>
          <w:szCs w:val="30"/>
          <w:b w:val="1"/>
          <w:bCs w:val="1"/>
          <w:color w:val="auto"/>
        </w:rPr>
        <w:t>RightPacific</w:t>
      </w:r>
    </w:p>
    <w:p>
      <w:pPr>
        <w:ind w:left="1480"/>
        <w:spacing w:after="0" w:line="188" w:lineRule="auto"/>
        <w:rPr>
          <w:sz w:val="20"/>
          <w:szCs w:val="20"/>
          <w:color w:val="auto"/>
        </w:rPr>
      </w:pPr>
      <w:r>
        <w:rPr>
          <w:rFonts w:ascii="Arial" w:cs="Arial" w:eastAsia="Arial" w:hAnsi="Arial"/>
          <w:sz w:val="15"/>
          <w:szCs w:val="15"/>
          <w:b w:val="1"/>
          <w:bCs w:val="1"/>
          <w:color w:val="auto"/>
        </w:rPr>
        <w:t>Management</w:t>
      </w:r>
    </w:p>
    <w:p>
      <w:pPr>
        <w:ind w:left="1580"/>
        <w:spacing w:after="0"/>
        <w:rPr>
          <w:sz w:val="20"/>
          <w:szCs w:val="20"/>
          <w:color w:val="auto"/>
        </w:rPr>
      </w:pPr>
      <w:r>
        <w:rPr>
          <w:rFonts w:ascii="Arial" w:cs="Arial" w:eastAsia="Arial" w:hAnsi="Arial"/>
          <w:sz w:val="30"/>
          <w:szCs w:val="30"/>
          <w:b w:val="1"/>
          <w:bCs w:val="1"/>
          <w:color w:val="auto"/>
        </w:rPr>
        <w:t>Jefferson Wells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34"/>
          <w:szCs w:val="34"/>
          <w:b w:val="1"/>
          <w:bCs w:val="1"/>
          <w:color w:val="D47C18"/>
        </w:rPr>
        <w:t>Gross Profit</w:t>
      </w:r>
    </w:p>
    <w:p>
      <w:pPr>
        <w:ind w:left="1020"/>
        <w:spacing w:after="0" w:line="181" w:lineRule="auto"/>
        <w:rPr>
          <w:sz w:val="20"/>
          <w:szCs w:val="20"/>
          <w:color w:val="auto"/>
        </w:rPr>
      </w:pPr>
      <w:r>
        <w:rPr>
          <w:rFonts w:ascii="Arial" w:cs="Arial" w:eastAsia="Arial" w:hAnsi="Arial"/>
          <w:sz w:val="23"/>
          <w:szCs w:val="23"/>
          <w:b w:val="1"/>
          <w:bCs w:val="1"/>
          <w:color w:val="D47C18"/>
        </w:rPr>
        <w:t>Margin</w:t>
      </w:r>
    </w:p>
    <w:p>
      <w:pPr>
        <w:spacing w:after="0"/>
        <w:rPr>
          <w:sz w:val="20"/>
          <w:szCs w:val="20"/>
          <w:color w:val="auto"/>
        </w:rPr>
      </w:pPr>
      <w:r>
        <w:rPr>
          <w:rFonts w:ascii="Arial" w:cs="Arial" w:eastAsia="Arial" w:hAnsi="Arial"/>
          <w:sz w:val="32"/>
          <w:szCs w:val="32"/>
          <w:b w:val="1"/>
          <w:bCs w:val="1"/>
          <w:color w:val="D47C18"/>
        </w:rPr>
        <w:t xml:space="preserve">Operating Profit Margin </w:t>
      </w:r>
      <w:r>
        <w:rPr>
          <w:rFonts w:ascii="Arial" w:cs="Arial" w:eastAsia="Arial" w:hAnsi="Arial"/>
          <w:sz w:val="22"/>
          <w:szCs w:val="22"/>
          <w:b w:val="1"/>
          <w:bCs w:val="1"/>
          <w:color w:val="D47C18"/>
        </w:rPr>
        <w:t>(a)</w:t>
      </w:r>
    </w:p>
    <w:p>
      <w:pPr>
        <w:spacing w:after="0" w:line="173" w:lineRule="exact"/>
        <w:rPr>
          <w:sz w:val="20"/>
          <w:szCs w:val="20"/>
          <w:color w:val="auto"/>
        </w:rPr>
      </w:pPr>
    </w:p>
    <w:p>
      <w:pPr>
        <w:spacing w:after="0"/>
        <w:rPr>
          <w:sz w:val="20"/>
          <w:szCs w:val="20"/>
          <w:color w:val="auto"/>
        </w:rPr>
      </w:pPr>
      <w:r>
        <w:rPr>
          <w:rFonts w:ascii="Arial" w:cs="Arial" w:eastAsia="Arial" w:hAnsi="Arial"/>
          <w:sz w:val="34"/>
          <w:szCs w:val="34"/>
          <w:b w:val="1"/>
          <w:bCs w:val="1"/>
          <w:color w:val="D47C18"/>
        </w:rPr>
        <w:t>Tax Rate</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34"/>
          <w:szCs w:val="34"/>
          <w:b w:val="1"/>
          <w:bCs w:val="1"/>
          <w:color w:val="D47C18"/>
        </w:rPr>
        <w:t xml:space="preserve">EPS </w:t>
      </w:r>
      <w:r>
        <w:rPr>
          <w:rFonts w:ascii="Arial" w:cs="Arial" w:eastAsia="Arial" w:hAnsi="Arial"/>
          <w:sz w:val="46"/>
          <w:szCs w:val="46"/>
          <w:b w:val="1"/>
          <w:bCs w:val="1"/>
          <w:color w:val="D47C18"/>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4"/>
        </w:trPr>
        <w:tc>
          <w:tcPr>
            <w:tcW w:w="1700" w:type="dxa"/>
            <w:vAlign w:val="bottom"/>
          </w:tcPr>
          <w:p>
            <w:pPr>
              <w:ind w:left="440"/>
              <w:spacing w:after="0"/>
              <w:rPr>
                <w:sz w:val="20"/>
                <w:szCs w:val="20"/>
                <w:color w:val="auto"/>
              </w:rPr>
            </w:pPr>
            <w:r>
              <w:rPr>
                <w:rFonts w:ascii="Arial" w:cs="Arial" w:eastAsia="Arial" w:hAnsi="Arial"/>
                <w:sz w:val="30"/>
                <w:szCs w:val="30"/>
                <w:color w:val="auto"/>
              </w:rPr>
              <w:t>Up 16-</w:t>
            </w:r>
          </w:p>
        </w:tc>
        <w:tc>
          <w:tcPr>
            <w:tcW w:w="2760" w:type="dxa"/>
            <w:vAlign w:val="bottom"/>
          </w:tcPr>
          <w:p>
            <w:pPr>
              <w:jc w:val="center"/>
              <w:ind w:right="203"/>
              <w:spacing w:after="0"/>
              <w:rPr>
                <w:sz w:val="20"/>
                <w:szCs w:val="20"/>
                <w:color w:val="auto"/>
              </w:rPr>
            </w:pPr>
            <w:r>
              <w:rPr>
                <w:rFonts w:ascii="Arial" w:cs="Arial" w:eastAsia="Arial" w:hAnsi="Arial"/>
                <w:sz w:val="30"/>
                <w:szCs w:val="30"/>
                <w:color w:val="auto"/>
              </w:rPr>
              <w:t>(Up 19-21%</w:t>
            </w:r>
          </w:p>
        </w:tc>
        <w:tc>
          <w:tcPr>
            <w:tcW w:w="0" w:type="dxa"/>
            <w:vAlign w:val="bottom"/>
          </w:tcPr>
          <w:p>
            <w:pPr>
              <w:spacing w:after="0"/>
              <w:rPr>
                <w:sz w:val="1"/>
                <w:szCs w:val="1"/>
                <w:color w:val="auto"/>
              </w:rPr>
            </w:pPr>
          </w:p>
        </w:tc>
      </w:tr>
      <w:tr>
        <w:trPr>
          <w:trHeight w:val="299"/>
        </w:trPr>
        <w:tc>
          <w:tcPr>
            <w:tcW w:w="1700" w:type="dxa"/>
            <w:vAlign w:val="bottom"/>
          </w:tcPr>
          <w:p>
            <w:pPr>
              <w:ind w:left="500"/>
              <w:spacing w:after="0" w:line="298" w:lineRule="exact"/>
              <w:rPr>
                <w:sz w:val="20"/>
                <w:szCs w:val="20"/>
                <w:color w:val="auto"/>
              </w:rPr>
            </w:pPr>
            <w:r>
              <w:rPr>
                <w:rFonts w:ascii="Arial" w:cs="Arial" w:eastAsia="Arial" w:hAnsi="Arial"/>
                <w:sz w:val="30"/>
                <w:szCs w:val="30"/>
                <w:color w:val="auto"/>
              </w:rPr>
              <w:t>18%</w:t>
            </w:r>
          </w:p>
        </w:tc>
        <w:tc>
          <w:tcPr>
            <w:tcW w:w="2760" w:type="dxa"/>
            <w:vAlign w:val="bottom"/>
          </w:tcPr>
          <w:p>
            <w:pPr>
              <w:jc w:val="center"/>
              <w:ind w:right="203"/>
              <w:spacing w:after="0" w:line="298"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284"/>
        </w:trPr>
        <w:tc>
          <w:tcPr>
            <w:tcW w:w="1700" w:type="dxa"/>
            <w:vAlign w:val="bottom"/>
          </w:tcPr>
          <w:p>
            <w:pPr>
              <w:ind w:left="120"/>
              <w:spacing w:after="0" w:line="284" w:lineRule="exact"/>
              <w:rPr>
                <w:sz w:val="20"/>
                <w:szCs w:val="20"/>
                <w:color w:val="auto"/>
              </w:rPr>
            </w:pPr>
            <w:r>
              <w:rPr>
                <w:rFonts w:ascii="Arial" w:cs="Arial" w:eastAsia="Arial" w:hAnsi="Arial"/>
                <w:sz w:val="30"/>
                <w:szCs w:val="30"/>
                <w:color w:val="auto"/>
              </w:rPr>
              <w:t>Up 48-50%</w:t>
            </w:r>
          </w:p>
        </w:tc>
        <w:tc>
          <w:tcPr>
            <w:tcW w:w="2760" w:type="dxa"/>
            <w:vAlign w:val="bottom"/>
          </w:tcPr>
          <w:p>
            <w:pPr>
              <w:jc w:val="center"/>
              <w:ind w:right="263"/>
              <w:spacing w:after="0" w:line="284" w:lineRule="exact"/>
              <w:rPr>
                <w:sz w:val="20"/>
                <w:szCs w:val="20"/>
                <w:color w:val="auto"/>
              </w:rPr>
            </w:pPr>
            <w:r>
              <w:rPr>
                <w:rFonts w:ascii="Arial" w:cs="Arial" w:eastAsia="Arial" w:hAnsi="Arial"/>
                <w:sz w:val="30"/>
                <w:szCs w:val="30"/>
                <w:color w:val="auto"/>
              </w:rPr>
              <w:t>(Up 47-49% CC)</w:t>
            </w:r>
          </w:p>
        </w:tc>
        <w:tc>
          <w:tcPr>
            <w:tcW w:w="0" w:type="dxa"/>
            <w:vAlign w:val="bottom"/>
          </w:tcPr>
          <w:p>
            <w:pPr>
              <w:spacing w:after="0"/>
              <w:rPr>
                <w:sz w:val="1"/>
                <w:szCs w:val="1"/>
                <w:color w:val="auto"/>
              </w:rPr>
            </w:pPr>
          </w:p>
        </w:tc>
      </w:tr>
      <w:tr>
        <w:trPr>
          <w:trHeight w:val="368"/>
        </w:trPr>
        <w:tc>
          <w:tcPr>
            <w:tcW w:w="4460" w:type="dxa"/>
            <w:vAlign w:val="bottom"/>
            <w:gridSpan w:val="2"/>
          </w:tcPr>
          <w:p>
            <w:pPr>
              <w:ind w:left="120"/>
              <w:spacing w:after="0"/>
              <w:rPr>
                <w:sz w:val="20"/>
                <w:szCs w:val="20"/>
                <w:color w:val="auto"/>
              </w:rPr>
            </w:pPr>
            <w:r>
              <w:rPr>
                <w:rFonts w:ascii="Arial" w:cs="Arial" w:eastAsia="Arial" w:hAnsi="Arial"/>
                <w:sz w:val="30"/>
                <w:szCs w:val="30"/>
                <w:color w:val="auto"/>
              </w:rPr>
              <w:t>Up 8-10% (Up 15-17% CC)</w:t>
            </w:r>
          </w:p>
        </w:tc>
        <w:tc>
          <w:tcPr>
            <w:tcW w:w="0" w:type="dxa"/>
            <w:vAlign w:val="bottom"/>
          </w:tcPr>
          <w:p>
            <w:pPr>
              <w:spacing w:after="0"/>
              <w:rPr>
                <w:sz w:val="1"/>
                <w:szCs w:val="1"/>
                <w:color w:val="auto"/>
              </w:rPr>
            </w:pPr>
          </w:p>
        </w:tc>
      </w:tr>
      <w:tr>
        <w:trPr>
          <w:trHeight w:val="410"/>
        </w:trPr>
        <w:tc>
          <w:tcPr>
            <w:tcW w:w="1700" w:type="dxa"/>
            <w:vAlign w:val="bottom"/>
          </w:tcPr>
          <w:p>
            <w:pPr>
              <w:ind w:left="120"/>
              <w:spacing w:after="0"/>
              <w:rPr>
                <w:sz w:val="20"/>
                <w:szCs w:val="20"/>
                <w:color w:val="auto"/>
              </w:rPr>
            </w:pPr>
            <w:r>
              <w:rPr>
                <w:rFonts w:ascii="Arial" w:cs="Arial" w:eastAsia="Arial" w:hAnsi="Arial"/>
                <w:sz w:val="30"/>
                <w:szCs w:val="30"/>
                <w:color w:val="auto"/>
              </w:rPr>
              <w:t>Up 12-14%</w:t>
            </w:r>
          </w:p>
        </w:tc>
        <w:tc>
          <w:tcPr>
            <w:tcW w:w="2760" w:type="dxa"/>
            <w:vAlign w:val="bottom"/>
          </w:tcPr>
          <w:p>
            <w:pPr>
              <w:jc w:val="center"/>
              <w:ind w:right="323"/>
              <w:spacing w:after="0"/>
              <w:rPr>
                <w:sz w:val="20"/>
                <w:szCs w:val="20"/>
                <w:color w:val="auto"/>
              </w:rPr>
            </w:pPr>
            <w:r>
              <w:rPr>
                <w:rFonts w:ascii="Arial" w:cs="Arial" w:eastAsia="Arial" w:hAnsi="Arial"/>
                <w:sz w:val="30"/>
                <w:szCs w:val="30"/>
                <w:color w:val="auto"/>
              </w:rPr>
              <w:t>(Up 16-18%</w:t>
            </w:r>
          </w:p>
        </w:tc>
        <w:tc>
          <w:tcPr>
            <w:tcW w:w="0" w:type="dxa"/>
            <w:vAlign w:val="bottom"/>
          </w:tcPr>
          <w:p>
            <w:pPr>
              <w:spacing w:after="0"/>
              <w:rPr>
                <w:sz w:val="1"/>
                <w:szCs w:val="1"/>
                <w:color w:val="auto"/>
              </w:rPr>
            </w:pPr>
          </w:p>
        </w:tc>
      </w:tr>
      <w:tr>
        <w:trPr>
          <w:trHeight w:val="276"/>
        </w:trPr>
        <w:tc>
          <w:tcPr>
            <w:tcW w:w="1700" w:type="dxa"/>
            <w:vAlign w:val="bottom"/>
            <w:vMerge w:val="restart"/>
          </w:tcPr>
          <w:p>
            <w:pPr>
              <w:ind w:left="120"/>
              <w:spacing w:after="0"/>
              <w:rPr>
                <w:sz w:val="20"/>
                <w:szCs w:val="20"/>
                <w:color w:val="auto"/>
              </w:rPr>
            </w:pPr>
            <w:r>
              <w:rPr>
                <w:rFonts w:ascii="Arial" w:cs="Arial" w:eastAsia="Arial" w:hAnsi="Arial"/>
                <w:sz w:val="30"/>
                <w:szCs w:val="30"/>
                <w:color w:val="auto"/>
              </w:rPr>
              <w:t>Up 19-21%</w:t>
            </w:r>
          </w:p>
        </w:tc>
        <w:tc>
          <w:tcPr>
            <w:tcW w:w="2760" w:type="dxa"/>
            <w:vAlign w:val="bottom"/>
          </w:tcPr>
          <w:p>
            <w:pPr>
              <w:jc w:val="center"/>
              <w:ind w:right="323"/>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59"/>
        </w:trPr>
        <w:tc>
          <w:tcPr>
            <w:tcW w:w="1700" w:type="dxa"/>
            <w:vAlign w:val="bottom"/>
            <w:vMerge w:val="continue"/>
          </w:tcPr>
          <w:p>
            <w:pPr>
              <w:spacing w:after="0"/>
              <w:rPr>
                <w:sz w:val="13"/>
                <w:szCs w:val="13"/>
                <w:color w:val="auto"/>
              </w:rPr>
            </w:pPr>
          </w:p>
        </w:tc>
        <w:tc>
          <w:tcPr>
            <w:tcW w:w="2760" w:type="dxa"/>
            <w:vAlign w:val="bottom"/>
          </w:tcPr>
          <w:p>
            <w:pPr>
              <w:jc w:val="center"/>
              <w:ind w:right="203"/>
              <w:spacing w:after="0" w:line="158" w:lineRule="exact"/>
              <w:rPr>
                <w:sz w:val="20"/>
                <w:szCs w:val="20"/>
                <w:color w:val="auto"/>
              </w:rPr>
            </w:pPr>
            <w:r>
              <w:rPr>
                <w:rFonts w:ascii="Arial" w:cs="Arial" w:eastAsia="Arial" w:hAnsi="Arial"/>
                <w:sz w:val="18"/>
                <w:szCs w:val="18"/>
                <w:color w:val="auto"/>
              </w:rPr>
              <w:t>(Up 14-16%</w:t>
            </w:r>
          </w:p>
        </w:tc>
        <w:tc>
          <w:tcPr>
            <w:tcW w:w="0" w:type="dxa"/>
            <w:vAlign w:val="bottom"/>
          </w:tcPr>
          <w:p>
            <w:pPr>
              <w:spacing w:after="0"/>
              <w:rPr>
                <w:sz w:val="1"/>
                <w:szCs w:val="1"/>
                <w:color w:val="auto"/>
              </w:rPr>
            </w:pPr>
          </w:p>
        </w:tc>
      </w:tr>
      <w:tr>
        <w:trPr>
          <w:trHeight w:val="276"/>
        </w:trPr>
        <w:tc>
          <w:tcPr>
            <w:tcW w:w="1700" w:type="dxa"/>
            <w:vAlign w:val="bottom"/>
            <w:vMerge w:val="restart"/>
          </w:tcPr>
          <w:p>
            <w:pPr>
              <w:ind w:left="160"/>
              <w:spacing w:after="0"/>
              <w:rPr>
                <w:sz w:val="20"/>
                <w:szCs w:val="20"/>
                <w:color w:val="auto"/>
              </w:rPr>
            </w:pPr>
            <w:r>
              <w:rPr>
                <w:rFonts w:ascii="Arial" w:cs="Arial" w:eastAsia="Arial" w:hAnsi="Arial"/>
                <w:sz w:val="30"/>
                <w:szCs w:val="30"/>
                <w:color w:val="auto"/>
              </w:rPr>
              <w:t>Down 33-</w:t>
            </w:r>
          </w:p>
        </w:tc>
        <w:tc>
          <w:tcPr>
            <w:tcW w:w="2760" w:type="dxa"/>
            <w:vAlign w:val="bottom"/>
          </w:tcPr>
          <w:p>
            <w:pPr>
              <w:jc w:val="center"/>
              <w:ind w:right="203"/>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36"/>
        </w:trPr>
        <w:tc>
          <w:tcPr>
            <w:tcW w:w="1700" w:type="dxa"/>
            <w:vAlign w:val="bottom"/>
            <w:vMerge w:val="continue"/>
          </w:tcPr>
          <w:p>
            <w:pPr>
              <w:spacing w:after="0"/>
              <w:rPr>
                <w:sz w:val="11"/>
                <w:szCs w:val="11"/>
                <w:color w:val="auto"/>
              </w:rPr>
            </w:pPr>
          </w:p>
        </w:tc>
        <w:tc>
          <w:tcPr>
            <w:tcW w:w="2760" w:type="dxa"/>
            <w:vAlign w:val="bottom"/>
          </w:tcPr>
          <w:p>
            <w:pPr>
              <w:jc w:val="center"/>
              <w:ind w:left="603"/>
              <w:spacing w:after="0" w:line="136" w:lineRule="exact"/>
              <w:rPr>
                <w:sz w:val="20"/>
                <w:szCs w:val="20"/>
                <w:color w:val="auto"/>
              </w:rPr>
            </w:pPr>
            <w:r>
              <w:rPr>
                <w:rFonts w:ascii="Arial" w:cs="Arial" w:eastAsia="Arial" w:hAnsi="Arial"/>
                <w:sz w:val="15"/>
                <w:szCs w:val="15"/>
                <w:color w:val="auto"/>
              </w:rPr>
              <w:t>(Down 31-33%</w:t>
            </w:r>
          </w:p>
        </w:tc>
        <w:tc>
          <w:tcPr>
            <w:tcW w:w="0" w:type="dxa"/>
            <w:vAlign w:val="bottom"/>
          </w:tcPr>
          <w:p>
            <w:pPr>
              <w:spacing w:after="0"/>
              <w:rPr>
                <w:sz w:val="1"/>
                <w:szCs w:val="1"/>
                <w:color w:val="auto"/>
              </w:rPr>
            </w:pPr>
          </w:p>
        </w:tc>
      </w:tr>
      <w:tr>
        <w:trPr>
          <w:trHeight w:val="276"/>
        </w:trPr>
        <w:tc>
          <w:tcPr>
            <w:tcW w:w="1700" w:type="dxa"/>
            <w:vAlign w:val="bottom"/>
          </w:tcPr>
          <w:p>
            <w:pPr>
              <w:spacing w:after="0" w:line="275" w:lineRule="exact"/>
              <w:rPr>
                <w:sz w:val="20"/>
                <w:szCs w:val="20"/>
                <w:color w:val="auto"/>
              </w:rPr>
            </w:pPr>
            <w:r>
              <w:rPr>
                <w:rFonts w:ascii="Arial" w:cs="Arial" w:eastAsia="Arial" w:hAnsi="Arial"/>
                <w:sz w:val="30"/>
                <w:szCs w:val="30"/>
                <w:color w:val="auto"/>
              </w:rPr>
              <w:t>35%</w:t>
            </w:r>
          </w:p>
        </w:tc>
        <w:tc>
          <w:tcPr>
            <w:tcW w:w="2760" w:type="dxa"/>
            <w:vAlign w:val="bottom"/>
          </w:tcPr>
          <w:p>
            <w:pPr>
              <w:jc w:val="center"/>
              <w:ind w:left="603"/>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81"/>
        </w:trPr>
        <w:tc>
          <w:tcPr>
            <w:tcW w:w="1700" w:type="dxa"/>
            <w:vAlign w:val="bottom"/>
          </w:tcPr>
          <w:p>
            <w:pPr>
              <w:ind w:left="400"/>
              <w:spacing w:after="0" w:line="182" w:lineRule="exact"/>
              <w:rPr>
                <w:sz w:val="20"/>
                <w:szCs w:val="20"/>
                <w:color w:val="auto"/>
              </w:rPr>
            </w:pPr>
            <w:r>
              <w:rPr>
                <w:rFonts w:ascii="Arial" w:cs="Arial" w:eastAsia="Arial" w:hAnsi="Arial"/>
                <w:sz w:val="21"/>
                <w:szCs w:val="21"/>
                <w:color w:val="auto"/>
              </w:rPr>
              <w:t>Up 0-</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80"/>
        <w:spacing w:after="0" w:line="188" w:lineRule="auto"/>
        <w:rPr>
          <w:sz w:val="20"/>
          <w:szCs w:val="20"/>
          <w:color w:val="auto"/>
        </w:rPr>
      </w:pPr>
      <w:r>
        <w:rPr>
          <w:rFonts w:ascii="Arial" w:cs="Arial" w:eastAsia="Arial" w:hAnsi="Arial"/>
          <w:sz w:val="19"/>
          <w:szCs w:val="19"/>
          <w:color w:val="auto"/>
        </w:rPr>
        <w:t>2%</w:t>
      </w:r>
    </w:p>
    <w:p>
      <w:pPr>
        <w:ind w:left="200"/>
        <w:spacing w:after="0"/>
        <w:rPr>
          <w:sz w:val="20"/>
          <w:szCs w:val="20"/>
          <w:color w:val="auto"/>
        </w:rPr>
      </w:pPr>
      <w:r>
        <w:rPr>
          <w:rFonts w:ascii="Arial" w:cs="Arial" w:eastAsia="Arial" w:hAnsi="Arial"/>
          <w:sz w:val="30"/>
          <w:szCs w:val="30"/>
          <w:color w:val="auto"/>
        </w:rPr>
        <w:t>17.0-17.2%</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30"/>
          <w:szCs w:val="30"/>
          <w:color w:val="auto"/>
        </w:rPr>
        <w:t>2.0-</w:t>
      </w:r>
    </w:p>
    <w:p>
      <w:pPr>
        <w:ind w:left="500"/>
        <w:spacing w:after="0" w:line="184" w:lineRule="auto"/>
        <w:rPr>
          <w:sz w:val="20"/>
          <w:szCs w:val="20"/>
          <w:color w:val="auto"/>
        </w:rPr>
      </w:pPr>
      <w:r>
        <w:rPr>
          <w:rFonts w:ascii="Arial" w:cs="Arial" w:eastAsia="Arial" w:hAnsi="Arial"/>
          <w:sz w:val="23"/>
          <w:szCs w:val="23"/>
          <w:color w:val="auto"/>
        </w:rPr>
        <w:t>2.2%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30"/>
          <w:szCs w:val="30"/>
          <w:color w:val="auto"/>
        </w:rPr>
        <w:t>51%</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30"/>
          <w:szCs w:val="30"/>
          <w:color w:val="auto"/>
        </w:rPr>
        <w:t>$0.54-$0.62 (Neg. $.02 Currency)</w:t>
      </w:r>
    </w:p>
    <w:p>
      <w:pPr>
        <w:spacing w:after="0" w:line="382" w:lineRule="exact"/>
        <w:rPr>
          <w:sz w:val="20"/>
          <w:szCs w:val="20"/>
          <w:color w:val="auto"/>
        </w:rPr>
      </w:pPr>
    </w:p>
    <w:p>
      <w:pPr>
        <w:sectPr>
          <w:pgSz w:w="11900" w:h="16838" w:orient="portrait"/>
          <w:cols w:equalWidth="0" w:num="2">
            <w:col w:w="4100" w:space="120"/>
            <w:col w:w="5800"/>
          </w:cols>
          <w:pgMar w:left="940" w:top="375" w:right="939" w:bottom="1440" w:gutter="0" w:footer="0" w:header="0"/>
          <w:type w:val="continuous"/>
        </w:sectPr>
      </w:pPr>
    </w:p>
    <w:p>
      <w:pPr>
        <w:spacing w:after="0" w:line="35" w:lineRule="exact"/>
        <w:rPr>
          <w:sz w:val="20"/>
          <w:szCs w:val="20"/>
          <w:color w:val="auto"/>
        </w:rPr>
      </w:pPr>
    </w:p>
    <w:p>
      <w:pPr>
        <w:ind w:left="240" w:hanging="188"/>
        <w:spacing w:after="0"/>
        <w:tabs>
          <w:tab w:leader="none" w:pos="24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Excludes anticipated reorganization charges of $20M-$25M ($0.15-$0.20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492760</wp:posOffset>
            </wp:positionV>
            <wp:extent cx="727329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940" w:top="375" w:right="939" w:bottom="1440" w:gutter="0" w:footer="0" w:header="0"/>
          <w:type w:val="continuous"/>
        </w:sectPr>
      </w:pPr>
    </w:p>
    <w:bookmarkStart w:id="28" w:name="page29"/>
    <w:bookmarkEnd w:id="28"/>
    <w:tbl>
      <w:tblPr>
        <w:tblLayout w:type="fixed"/>
        <w:tblInd w:w="940" w:type="dxa"/>
        <w:tblCellMar>
          <w:top w:w="0" w:type="dxa"/>
          <w:left w:w="0" w:type="dxa"/>
          <w:bottom w:w="0" w:type="dxa"/>
          <w:right w:w="0" w:type="dxa"/>
        </w:tblCellMar>
      </w:tblPr>
      <w:tr>
        <w:trPr>
          <w:trHeight w:val="333"/>
        </w:trPr>
        <w:tc>
          <w:tcPr>
            <w:tcW w:w="5480" w:type="dxa"/>
            <w:vAlign w:val="bottom"/>
          </w:tcPr>
          <w:p>
            <w:pPr>
              <w:spacing w:after="0"/>
              <w:rPr>
                <w:sz w:val="20"/>
                <w:szCs w:val="20"/>
                <w:color w:val="auto"/>
              </w:rPr>
            </w:pPr>
            <w:r>
              <w:rPr>
                <w:rFonts w:ascii="Arial" w:cs="Arial" w:eastAsia="Arial" w:hAnsi="Arial"/>
                <w:sz w:val="21"/>
                <w:szCs w:val="21"/>
                <w:color w:val="FFFFFF"/>
              </w:rPr>
              <w:t>Manpower Inc. 2010 3</w:t>
            </w:r>
            <w:r>
              <w:rPr>
                <w:rFonts w:ascii="Arial" w:cs="Arial" w:eastAsia="Arial" w:hAnsi="Arial"/>
                <w:sz w:val="29"/>
                <w:szCs w:val="29"/>
                <w:color w:val="FFFFFF"/>
                <w:vertAlign w:val="superscript"/>
              </w:rPr>
              <w:t>rd</w:t>
            </w:r>
            <w:r>
              <w:rPr>
                <w:rFonts w:ascii="Arial" w:cs="Arial" w:eastAsia="Arial" w:hAnsi="Arial"/>
                <w:sz w:val="21"/>
                <w:szCs w:val="21"/>
                <w:color w:val="FFFFFF"/>
              </w:rPr>
              <w:t xml:space="preserve"> Quarter Results</w:t>
            </w:r>
          </w:p>
        </w:tc>
        <w:tc>
          <w:tcPr>
            <w:tcW w:w="2600" w:type="dxa"/>
            <w:vAlign w:val="bottom"/>
          </w:tcPr>
          <w:p>
            <w:pPr>
              <w:ind w:left="1680"/>
              <w:spacing w:after="0"/>
              <w:rPr>
                <w:sz w:val="20"/>
                <w:szCs w:val="20"/>
                <w:color w:val="auto"/>
              </w:rPr>
            </w:pPr>
            <w:r>
              <w:rPr>
                <w:rFonts w:ascii="Arial" w:cs="Arial" w:eastAsia="Arial" w:hAnsi="Arial"/>
                <w:sz w:val="17"/>
                <w:szCs w:val="17"/>
                <w:color w:val="FFFFFF"/>
              </w:rPr>
              <w:t>October</w:t>
            </w:r>
          </w:p>
        </w:tc>
        <w:tc>
          <w:tcPr>
            <w:tcW w:w="500" w:type="dxa"/>
            <w:vAlign w:val="bottom"/>
          </w:tcPr>
          <w:p>
            <w:pPr>
              <w:jc w:val="right"/>
              <w:spacing w:after="0"/>
              <w:rPr>
                <w:sz w:val="20"/>
                <w:szCs w:val="20"/>
                <w:color w:val="auto"/>
              </w:rPr>
            </w:pPr>
            <w:r>
              <w:rPr>
                <w:rFonts w:ascii="Arial" w:cs="Arial" w:eastAsia="Arial" w:hAnsi="Arial"/>
                <w:sz w:val="17"/>
                <w:szCs w:val="17"/>
                <w:color w:val="FFFFFF"/>
              </w:rPr>
              <w:t>18</w:t>
            </w:r>
          </w:p>
        </w:tc>
      </w:tr>
      <w:tr>
        <w:trPr>
          <w:trHeight w:val="202"/>
        </w:trPr>
        <w:tc>
          <w:tcPr>
            <w:tcW w:w="5480" w:type="dxa"/>
            <w:vAlign w:val="bottom"/>
          </w:tcPr>
          <w:p>
            <w:pPr>
              <w:spacing w:after="0"/>
              <w:rPr>
                <w:sz w:val="17"/>
                <w:szCs w:val="17"/>
                <w:color w:val="auto"/>
              </w:rPr>
            </w:pPr>
          </w:p>
        </w:tc>
        <w:tc>
          <w:tcPr>
            <w:tcW w:w="2600" w:type="dxa"/>
            <w:vAlign w:val="bottom"/>
          </w:tcPr>
          <w:p>
            <w:pPr>
              <w:ind w:left="1680"/>
              <w:spacing w:after="0"/>
              <w:rPr>
                <w:sz w:val="20"/>
                <w:szCs w:val="20"/>
                <w:color w:val="auto"/>
              </w:rPr>
            </w:pPr>
            <w:r>
              <w:rPr>
                <w:rFonts w:ascii="Arial" w:cs="Arial" w:eastAsia="Arial" w:hAnsi="Arial"/>
                <w:sz w:val="17"/>
                <w:szCs w:val="17"/>
                <w:color w:val="FFFFFF"/>
              </w:rPr>
              <w:t>2010</w:t>
            </w:r>
          </w:p>
        </w:tc>
        <w:tc>
          <w:tcPr>
            <w:tcW w:w="5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0"/>
        <w:spacing w:after="0"/>
        <w:rPr>
          <w:sz w:val="20"/>
          <w:szCs w:val="20"/>
          <w:color w:val="auto"/>
        </w:rPr>
      </w:pPr>
      <w:r>
        <w:rPr>
          <w:rFonts w:ascii="Arial" w:cs="Arial" w:eastAsia="Arial" w:hAnsi="Arial"/>
          <w:sz w:val="61"/>
          <w:szCs w:val="61"/>
          <w:color w:val="auto"/>
        </w:rPr>
        <w:t>Questions?</w:t>
      </w:r>
    </w:p>
    <w:p>
      <w:pPr>
        <w:ind w:left="4420"/>
        <w:spacing w:after="0"/>
        <w:rPr>
          <w:sz w:val="20"/>
          <w:szCs w:val="20"/>
          <w:color w:val="auto"/>
        </w:rPr>
      </w:pPr>
      <w:r>
        <w:rPr>
          <w:rFonts w:ascii="Arial" w:cs="Arial" w:eastAsia="Arial" w:hAnsi="Arial"/>
          <w:sz w:val="91"/>
          <w:szCs w:val="91"/>
          <w:color w:val="auto"/>
        </w:rPr>
        <w:t>Answers</w:t>
      </w:r>
    </w:p>
    <w:p>
      <w:pPr>
        <w:sectPr>
          <w:pgSz w:w="11900" w:h="16838" w:orient="portrait"/>
          <w:cols w:equalWidth="0" w:num="1">
            <w:col w:w="9520"/>
          </w:cols>
          <w:pgMar w:left="1440" w:top="375" w:right="9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lvl w:ilvl="1">
      <w:lvlJc w:val="left"/>
      <w:lvlText w:val="(%2)"/>
      <w:numFmt w:val="decimal"/>
      <w:start w:val="56"/>
    </w:lvl>
    <w:lvl w:ilvl="2">
      <w:lvlJc w:val="left"/>
      <w:lvlText w:val="%3"/>
      <w:numFmt w:val="decimal"/>
      <w:start w:val="1"/>
    </w:lvl>
  </w:abstractNum>
  <w:abstractNum w:abstractNumId="9">
    <w:nsid w:val="140E0F76"/>
    <w:multiLevelType w:val="hybridMultilevel"/>
    <w:lvl w:ilvl="0">
      <w:lvlJc w:val="left"/>
      <w:lvlText w:val="(%1)"/>
      <w:numFmt w:val="decimal"/>
      <w:start w:val="42"/>
    </w:lvl>
    <w:lvl w:ilvl="1">
      <w:lvlJc w:val="left"/>
      <w:lvlText w:val="(%2)"/>
      <w:numFmt w:val="decimal"/>
      <w:start w:val="98"/>
    </w:lvl>
    <w:lvl w:ilvl="2">
      <w:lvlJc w:val="left"/>
      <w:lvlText w:val="(%3)"/>
      <w:numFmt w:val="decimal"/>
      <w:start w:val="19"/>
    </w:lvl>
  </w:abstractNum>
  <w:abstractNum w:abstractNumId="10">
    <w:nsid w:val="3352255A"/>
    <w:multiLevelType w:val="hybridMultilevel"/>
    <w:lvl w:ilvl="0">
      <w:lvlJc w:val="left"/>
      <w:lvlText w:val="(%1)"/>
      <w:numFmt w:val="decimal"/>
      <w:start w:val="261"/>
    </w:lvl>
  </w:abstractNum>
  <w:abstractNum w:abstractNumId="11">
    <w:nsid w:val="109CF92E"/>
    <w:multiLevelType w:val="hybridMultilevel"/>
    <w:lvl w:ilvl="0">
      <w:lvlJc w:val="left"/>
      <w:lvlText w:val="%1"/>
      <w:numFmt w:val="decimal"/>
      <w:start w:val="1"/>
    </w:lvl>
    <w:lvl w:ilvl="1">
      <w:lvlJc w:val="left"/>
      <w:lvlText w:val="(%2)"/>
      <w:numFmt w:val="decimal"/>
      <w:start w:val="11"/>
    </w:lvl>
  </w:abstractNum>
  <w:abstractNum w:abstractNumId="12">
    <w:nsid w:val="DED7263"/>
    <w:multiLevelType w:val="hybridMultilevel"/>
    <w:lvl w:ilvl="0">
      <w:lvlJc w:val="left"/>
      <w:lvlText w:val="(%1)"/>
      <w:numFmt w:val="decimal"/>
      <w:start w:val="416"/>
    </w:lvl>
    <w:lvl w:ilvl="1">
      <w:lvlJc w:val="left"/>
      <w:lvlText w:val="%2"/>
      <w:numFmt w:val="decimal"/>
      <w:start w:val="1"/>
    </w:lvl>
  </w:abstractNum>
  <w:abstractNum w:abstractNumId="13">
    <w:nsid w:val="7FDCC233"/>
    <w:multiLevelType w:val="hybridMultilevel"/>
    <w:lvl w:ilvl="0">
      <w:lvlJc w:val="left"/>
      <w:lvlText w:val="(%1)"/>
      <w:numFmt w:val="lowerLetter"/>
      <w:start w:val="1"/>
    </w:lvl>
    <w:lvl w:ilvl="1">
      <w:lvlJc w:val="left"/>
      <w:lvlText w:val="(%2)"/>
      <w:numFmt w:val="lowerLetter"/>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2019-12-10T08:59:43Z</dcterms:created>
  <dcterms:modified xsi:type="dcterms:W3CDTF">2019-12-10T08:59:43Z</dcterms:modified>
</cp:coreProperties>
</file>