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22, 2010</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800" w:type="dxa"/>
            <w:vAlign w:val="bottom"/>
            <w:gridSpan w:val="2"/>
          </w:tcPr>
          <w:p>
            <w:pPr>
              <w:ind w:left="1280"/>
              <w:spacing w:after="0"/>
              <w:rPr>
                <w:sz w:val="20"/>
                <w:szCs w:val="20"/>
                <w:color w:val="auto"/>
              </w:rPr>
            </w:pPr>
            <w:r>
              <w:rPr>
                <w:rFonts w:ascii="Arial" w:cs="Arial" w:eastAsia="Arial" w:hAnsi="Arial"/>
                <w:sz w:val="18"/>
                <w:szCs w:val="18"/>
                <w:color w:val="auto"/>
              </w:rPr>
              <w:t>Wisconsin</w:t>
            </w:r>
          </w:p>
        </w:tc>
        <w:tc>
          <w:tcPr>
            <w:tcW w:w="3060" w:type="dxa"/>
            <w:vAlign w:val="bottom"/>
            <w:gridSpan w:val="2"/>
          </w:tcPr>
          <w:p>
            <w:pPr>
              <w:jc w:val="center"/>
              <w:ind w:left="690"/>
              <w:spacing w:after="0"/>
              <w:rPr>
                <w:sz w:val="20"/>
                <w:szCs w:val="20"/>
                <w:color w:val="auto"/>
              </w:rPr>
            </w:pPr>
            <w:r>
              <w:rPr>
                <w:rFonts w:ascii="Arial" w:cs="Arial" w:eastAsia="Arial" w:hAnsi="Arial"/>
                <w:sz w:val="18"/>
                <w:szCs w:val="18"/>
                <w:color w:val="auto"/>
                <w:w w:val="90"/>
              </w:rPr>
              <w:t>1-10686</w:t>
            </w:r>
          </w:p>
        </w:tc>
        <w:tc>
          <w:tcPr>
            <w:tcW w:w="4560" w:type="dxa"/>
            <w:vAlign w:val="bottom"/>
            <w:gridSpan w:val="2"/>
          </w:tcPr>
          <w:p>
            <w:pPr>
              <w:jc w:val="right"/>
              <w:ind w:right="1190"/>
              <w:spacing w:after="0"/>
              <w:rPr>
                <w:sz w:val="20"/>
                <w:szCs w:val="20"/>
                <w:color w:val="auto"/>
              </w:rPr>
            </w:pPr>
            <w:r>
              <w:rPr>
                <w:rFonts w:ascii="Arial" w:cs="Arial" w:eastAsia="Arial" w:hAnsi="Arial"/>
                <w:sz w:val="18"/>
                <w:szCs w:val="18"/>
                <w:color w:val="auto"/>
              </w:rPr>
              <w:t>39-1672779</w:t>
            </w:r>
          </w:p>
        </w:tc>
      </w:tr>
      <w:tr>
        <w:trPr>
          <w:trHeight w:val="202"/>
        </w:trPr>
        <w:tc>
          <w:tcPr>
            <w:tcW w:w="3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14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of incorporation)</w:t>
            </w:r>
          </w:p>
        </w:tc>
        <w:tc>
          <w:tcPr>
            <w:tcW w:w="78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114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38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100 Manpower Place</w:t>
            </w: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7"/>
        </w:trPr>
        <w:tc>
          <w:tcPr>
            <w:tcW w:w="38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Milwaukee, Wisconsin</w:t>
            </w:r>
          </w:p>
        </w:tc>
        <w:tc>
          <w:tcPr>
            <w:tcW w:w="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560" w:type="dxa"/>
            <w:vAlign w:val="bottom"/>
            <w:gridSpan w:val="2"/>
          </w:tcPr>
          <w:p>
            <w:pPr>
              <w:jc w:val="right"/>
              <w:ind w:right="1390"/>
              <w:spacing w:after="0"/>
              <w:rPr>
                <w:sz w:val="20"/>
                <w:szCs w:val="20"/>
                <w:color w:val="auto"/>
              </w:rPr>
            </w:pPr>
            <w:r>
              <w:rPr>
                <w:rFonts w:ascii="Arial" w:cs="Arial" w:eastAsia="Arial" w:hAnsi="Arial"/>
                <w:sz w:val="18"/>
                <w:szCs w:val="18"/>
                <w:color w:val="auto"/>
              </w:rPr>
              <w:t>53212</w:t>
            </w:r>
          </w:p>
        </w:tc>
      </w:tr>
      <w:tr>
        <w:trPr>
          <w:trHeight w:val="230"/>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661"/>
        </w:trPr>
        <w:tc>
          <w:tcPr>
            <w:tcW w:w="3800" w:type="dxa"/>
            <w:vAlign w:val="bottom"/>
            <w:gridSpan w:val="2"/>
          </w:tcPr>
          <w:p>
            <w:pPr>
              <w:spacing w:after="0"/>
              <w:rPr>
                <w:sz w:val="20"/>
                <w:szCs w:val="20"/>
                <w:color w:val="auto"/>
              </w:rPr>
            </w:pPr>
            <w:r>
              <w:rPr>
                <w:rFonts w:ascii="Arial" w:cs="Arial" w:eastAsia="Arial" w:hAnsi="Arial"/>
                <w:sz w:val="18"/>
                <w:szCs w:val="18"/>
                <w:color w:val="auto"/>
                <w:w w:val="90"/>
              </w:rPr>
              <w:t>Registrant’s telephone number, including area code:</w:t>
            </w:r>
          </w:p>
        </w:tc>
        <w:tc>
          <w:tcPr>
            <w:tcW w:w="3060" w:type="dxa"/>
            <w:vAlign w:val="bottom"/>
            <w:gridSpan w:val="2"/>
          </w:tcPr>
          <w:p>
            <w:pPr>
              <w:jc w:val="right"/>
              <w:ind w:right="1770"/>
              <w:spacing w:after="0"/>
              <w:rPr>
                <w:sz w:val="20"/>
                <w:szCs w:val="20"/>
                <w:color w:val="auto"/>
              </w:rPr>
            </w:pPr>
            <w:r>
              <w:rPr>
                <w:rFonts w:ascii="Arial" w:cs="Arial" w:eastAsia="Arial" w:hAnsi="Arial"/>
                <w:sz w:val="18"/>
                <w:szCs w:val="18"/>
                <w:color w:val="auto"/>
                <w:w w:val="95"/>
              </w:rPr>
              <w:t>(414) 961-1000</w:t>
            </w:r>
          </w:p>
        </w:tc>
        <w:tc>
          <w:tcPr>
            <w:tcW w:w="11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300" w:right="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Manpower Inc. and Barbara Beck, Executive Vice President, President - EMEA, have mutually agreed that her employment with the Company will end effective March 1, 2011. She and the Company have entered into an agreement containing the terms of her departure.</w:t>
      </w:r>
    </w:p>
    <w:p>
      <w:pPr>
        <w:spacing w:after="0" w:line="19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Under the agreement, Ms. Beck will remain employed in her current position until March 1, 2011, to assist with the transition of her responsibilities. In connection with her departure at that time, she will be entitled to receive the payments and benefits owed to her under the previously existing severance agreement between Ms. Beck and the Company. She also will be entitled to receive any payments or benefits to which she is entitled under other Company compensatory plans.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Among other such rights, Ms. Beck has an accrued benefit under the Company’s frozen Performance Based Deferred Compensation Plan, that is payable to her upon her termination of employment if such termination qualifies as her retirement under the Plan. The Plan has been amended to provide that payment also will be made upon early retirement and giving the Committee the discretion to designate any termination of employment as an early retirement. The Committee has made this determination with respect to Ms. Beck’s termination. In addition, Ms. Beck holds Performance Share Units granted to her in 2010 under which she will earn a right to receive a number of shares of Company common stock based on achievement of a financial goal for 2011, subject to a condition that the Company achieve a specified threshold financial goal for 2011, and a condition that she must remain employed until at least December 31, 2011 to receive the shares. Under the separation agreement, the requirement that Ms. Beck’s employment must continue until December 31, 2011 in order to receive the shares has been eliminated. Lastly, certain elements of the tax equalization program relating to her prior overseas assignment in the U.K. will be discontinued and Ms. Beck will be released from any obligation to transfer to the Company any amounts related to tax refunds previously received by her pursuant to the program.</w:t>
      </w:r>
    </w:p>
    <w:p>
      <w:pPr>
        <w:spacing w:after="0" w:line="2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foregoing is a summary of the separation agreement and is qualified in its entirety by reference to the separation agreement that is filed as Exhibit 10.1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32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6760" w:type="dxa"/>
            <w:vAlign w:val="bottom"/>
          </w:tcPr>
          <w:p>
            <w:pPr>
              <w:spacing w:after="0"/>
              <w:rPr>
                <w:sz w:val="18"/>
                <w:szCs w:val="18"/>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320" w:type="dxa"/>
            <w:vAlign w:val="bottom"/>
          </w:tcPr>
          <w:p>
            <w:pPr>
              <w:spacing w:after="0"/>
              <w:rPr>
                <w:sz w:val="22"/>
                <w:szCs w:val="22"/>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0"/>
              </w:rPr>
              <w:t>Employment Separation Agreement dated December 22, 2010, between Manpower Inc. and Barbara Beck</w:t>
            </w: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Dated: December 28, 2010</w:t>
            </w:r>
          </w:p>
        </w:tc>
        <w:tc>
          <w:tcPr>
            <w:tcW w:w="3880" w:type="dxa"/>
            <w:vAlign w:val="bottom"/>
            <w:gridSpan w:val="2"/>
          </w:tcPr>
          <w:p>
            <w:pPr>
              <w:spacing w:after="0"/>
              <w:rPr>
                <w:sz w:val="20"/>
                <w:szCs w:val="20"/>
                <w:color w:val="auto"/>
              </w:rPr>
            </w:pPr>
            <w:r>
              <w:rPr>
                <w:rFonts w:ascii="Arial" w:cs="Arial" w:eastAsia="Arial" w:hAnsi="Arial"/>
                <w:sz w:val="18"/>
                <w:szCs w:val="18"/>
                <w:color w:val="auto"/>
              </w:rPr>
              <w:t>MANPOWER INC.</w:t>
            </w:r>
          </w:p>
        </w:tc>
      </w:tr>
      <w:tr>
        <w:trPr>
          <w:trHeight w:val="405"/>
        </w:trPr>
        <w:tc>
          <w:tcPr>
            <w:tcW w:w="584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By: /s/ Kenneth C. Hunt</w:t>
            </w:r>
          </w:p>
        </w:tc>
        <w:tc>
          <w:tcPr>
            <w:tcW w:w="2080" w:type="dxa"/>
            <w:vAlign w:val="bottom"/>
          </w:tcPr>
          <w:p>
            <w:pPr>
              <w:spacing w:after="0"/>
              <w:rPr>
                <w:sz w:val="24"/>
                <w:szCs w:val="24"/>
                <w:color w:val="auto"/>
              </w:rPr>
            </w:pPr>
          </w:p>
        </w:tc>
      </w:tr>
      <w:tr>
        <w:trPr>
          <w:trHeight w:val="250"/>
        </w:trPr>
        <w:tc>
          <w:tcPr>
            <w:tcW w:w="58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Kenneth C. Hunt</w:t>
            </w:r>
          </w:p>
        </w:tc>
      </w:tr>
      <w:tr>
        <w:trPr>
          <w:trHeight w:val="243"/>
        </w:trPr>
        <w:tc>
          <w:tcPr>
            <w:tcW w:w="58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60" w:type="dxa"/>
            <w:vAlign w:val="bottom"/>
          </w:tcPr>
          <w:p>
            <w:pPr>
              <w:ind w:left="19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30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24"/>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w w:val="90"/>
              </w:rPr>
              <w:t>Employment Separation Agreement dated December 22, 2010, between Manpower Inc. and Barbara Beck</w:t>
            </w:r>
          </w:p>
        </w:tc>
      </w:tr>
    </w:tbl>
    <w:p>
      <w:pPr>
        <w:sectPr>
          <w:pgSz w:w="11900" w:h="16838" w:orient="portrait"/>
          <w:cols w:equalWidth="0" w:num="1">
            <w:col w:w="11360"/>
          </w:cols>
          <w:pgMar w:left="240" w:top="513"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SEPARATION AGREEMENT</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Separation Agreement (the “Agreement”) is made and entered into as of this 22nd day of December, 2010 between Barbara Beck (“Executive”) and Manpower Inc. (“Manpower”) (collectively, the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Executive has been employed by Manpower since 2002 and currently holds the position of Executive Vice President, President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EMEA;</w:t>
      </w:r>
    </w:p>
    <w:p>
      <w:pPr>
        <w:spacing w:after="0" w:line="23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WHEREAS, Executive has announced her resignation, effective March 1, 2011 (the “Date of Termination”), from such position and Executive and Manpower have agreed that Executive’s employment with Manpower shall terminate effective on the Date of Termination; and</w:t>
      </w:r>
    </w:p>
    <w:p>
      <w:pPr>
        <w:spacing w:after="0" w:line="19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WHEREAS, the Parties believe it is in their best interests to make provision for certain aspects of the transition period between the date of this Agreement and the Date of Termination and certain aspects of the benefits to which Executive shall be entitled in connection with her termination of employment.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and the mutual covenants hereinafter set forth, the parties agree as follows:</w:t>
      </w:r>
    </w:p>
    <w:p>
      <w:pPr>
        <w:spacing w:after="0" w:line="252" w:lineRule="exact"/>
        <w:rPr>
          <w:sz w:val="20"/>
          <w:szCs w:val="20"/>
          <w:color w:val="auto"/>
        </w:rPr>
      </w:pPr>
    </w:p>
    <w:p>
      <w:pPr>
        <w:ind w:right="20" w:firstLine="656"/>
        <w:spacing w:after="0" w:line="255"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Resignation</w:t>
      </w:r>
      <w:r>
        <w:rPr>
          <w:rFonts w:ascii="Arial" w:cs="Arial" w:eastAsia="Arial" w:hAnsi="Arial"/>
          <w:sz w:val="18"/>
          <w:szCs w:val="18"/>
          <w:color w:val="auto"/>
        </w:rPr>
        <w:t>. Executive agrees that she shall resign from her position as Executive Vice President, President, EMEA and all other positions and offices she may hold with any such entity (including all director, officer and employee positions), effective on the Date of Termination. During the period from the date of this Agreement through the Date of Termination (the “Transition Period”), Executive will continue to serve in her capacity as Executive Vice President, President - EMEA for Manpower and shall perform such duties as may be assigned to her from time to time by Manpower’s Chief Executive Officer. Except as otherwise provided in this Agreement, effect ive on the Date of Termination, Executive will no longer hold any director, officer or employee positions with Manpower or its subsidiaries or affiliates.</w:t>
      </w:r>
    </w:p>
    <w:p>
      <w:pPr>
        <w:spacing w:after="0" w:line="220" w:lineRule="exact"/>
        <w:rPr>
          <w:rFonts w:ascii="Arial" w:cs="Arial" w:eastAsia="Arial" w:hAnsi="Arial"/>
          <w:sz w:val="18"/>
          <w:szCs w:val="18"/>
          <w:color w:val="auto"/>
        </w:rPr>
      </w:pPr>
    </w:p>
    <w:p>
      <w:pPr>
        <w:ind w:right="40" w:firstLine="656"/>
        <w:spacing w:after="0" w:line="264"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Except as otherwise provided herein, Executive is entitled to compensation and benefits (i) under Section 2(c)(ii) of that certain letter agreement between Executive and Manpower dated effective November 10, 2009 (the “Letter Agreement”) in accordance with the terms of such Letter Agreement and (ii) the additional consideration described below.</w:t>
      </w:r>
    </w:p>
    <w:p>
      <w:pPr>
        <w:spacing w:after="0" w:line="208" w:lineRule="exact"/>
        <w:rPr>
          <w:rFonts w:ascii="Arial" w:cs="Arial" w:eastAsia="Arial" w:hAnsi="Arial"/>
          <w:sz w:val="18"/>
          <w:szCs w:val="18"/>
          <w:color w:val="auto"/>
        </w:rPr>
      </w:pPr>
    </w:p>
    <w:p>
      <w:pPr>
        <w:ind w:left="660" w:right="180" w:firstLine="645"/>
        <w:spacing w:after="0" w:line="264" w:lineRule="auto"/>
        <w:tabs>
          <w:tab w:leader="none" w:pos="200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Pro Rata 2011 Bonus</w:t>
      </w:r>
      <w:r>
        <w:rPr>
          <w:rFonts w:ascii="Arial" w:cs="Arial" w:eastAsia="Arial" w:hAnsi="Arial"/>
          <w:sz w:val="18"/>
          <w:szCs w:val="18"/>
          <w:color w:val="auto"/>
        </w:rPr>
        <w:t>. Manpower shall pay Executive a bonus for fiscal 2011 in the amount of $57,500, provided, however, that Executive shall not be entitled to any bonus described in Section 2(c)(ii)(C) of the Letter Agreement. This pro rata 2011 bonus shall be paid to Executive on or before March 15, 2011.</w:t>
      </w:r>
    </w:p>
    <w:p>
      <w:pPr>
        <w:spacing w:after="0" w:line="208" w:lineRule="exact"/>
        <w:rPr>
          <w:rFonts w:ascii="Arial" w:cs="Arial" w:eastAsia="Arial" w:hAnsi="Arial"/>
          <w:sz w:val="18"/>
          <w:szCs w:val="18"/>
          <w:color w:val="auto"/>
        </w:rPr>
      </w:pPr>
    </w:p>
    <w:p>
      <w:pPr>
        <w:ind w:left="660" w:firstLine="645"/>
        <w:spacing w:after="0" w:line="257" w:lineRule="auto"/>
        <w:tabs>
          <w:tab w:leader="none" w:pos="2013"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Nonqualified Performance-Based Deferred Compensation Plan</w:t>
      </w:r>
      <w:r>
        <w:rPr>
          <w:rFonts w:ascii="Arial" w:cs="Arial" w:eastAsia="Arial" w:hAnsi="Arial"/>
          <w:sz w:val="18"/>
          <w:szCs w:val="18"/>
          <w:color w:val="auto"/>
        </w:rPr>
        <w:t>. Upon the Date of Termination, Executive shall become vested in her Account in the Manpower Inc. Amended and Restated Senior Management Performance-Based Deferred Compensation Plan (the “PBDC Plan”) pursuant to the Executive Compensation and Human Resources Committee’s determination to treat her separation as an “early retirement.” The balance of such Account shall be paid to Executive in accordance with the distribution election made by Executive pursuant to PBDC Plan, in a lump sum on September 2, 2011.</w:t>
      </w:r>
    </w:p>
    <w:p>
      <w:pPr>
        <w:spacing w:after="0" w:line="215" w:lineRule="exact"/>
        <w:rPr>
          <w:rFonts w:ascii="Arial" w:cs="Arial" w:eastAsia="Arial" w:hAnsi="Arial"/>
          <w:sz w:val="18"/>
          <w:szCs w:val="18"/>
          <w:color w:val="auto"/>
        </w:rPr>
      </w:pPr>
    </w:p>
    <w:p>
      <w:pPr>
        <w:ind w:left="660" w:right="100" w:firstLine="645"/>
        <w:spacing w:after="0" w:line="279" w:lineRule="auto"/>
        <w:tabs>
          <w:tab w:leader="none" w:pos="2003"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Performance Share Units</w:t>
      </w:r>
      <w:r>
        <w:rPr>
          <w:rFonts w:ascii="Arial" w:cs="Arial" w:eastAsia="Arial" w:hAnsi="Arial"/>
          <w:sz w:val="17"/>
          <w:szCs w:val="17"/>
          <w:color w:val="auto"/>
        </w:rPr>
        <w:t>. Executive shall be entitled to receive the number of shares that would have been deliverable to Executive under the Performance Share Unit Agreement between Executive and Manpower dated as of February 18, 2010 (the “2010 PSU Agreement”) if Executive had remained an employee of Manpower through December 31, 2011, payable at the same time and under the same terms as specified under the 2010 PSU Agreement as if Executive did remain an employee of Manpower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660" w:right="40" w:firstLine="645"/>
        <w:spacing w:after="0" w:line="257" w:lineRule="auto"/>
        <w:tabs>
          <w:tab w:leader="none" w:pos="2013"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Outstanding Equalization Payments</w:t>
      </w:r>
      <w:r>
        <w:rPr>
          <w:rFonts w:ascii="Arial" w:cs="Arial" w:eastAsia="Arial" w:hAnsi="Arial"/>
          <w:sz w:val="18"/>
          <w:szCs w:val="18"/>
          <w:color w:val="auto"/>
        </w:rPr>
        <w:t>. In resolution of any prior disagreement between the Parties regarding Executive’s obligation to refund monies under Manpower’s equalization program, Manpower agrees that Executive shall not be required to refund to Manpower the value of any tax benefits realized by Executive (either in the form of tax refunds or reductions in taxes) attributable to prior tax payments made by Manpower on Executive’s behalf under the equalization program that Manpower provided Executive during her assignment for Manpower under that letter from Manpower to Executive dated December 20, 2005.</w:t>
      </w:r>
    </w:p>
    <w:p>
      <w:pPr>
        <w:spacing w:after="0" w:line="215" w:lineRule="exact"/>
        <w:rPr>
          <w:rFonts w:ascii="Arial" w:cs="Arial" w:eastAsia="Arial" w:hAnsi="Arial"/>
          <w:sz w:val="18"/>
          <w:szCs w:val="18"/>
          <w:color w:val="auto"/>
        </w:rPr>
      </w:pPr>
    </w:p>
    <w:p>
      <w:pPr>
        <w:ind w:firstLine="8"/>
        <w:spacing w:after="0" w:line="297" w:lineRule="auto"/>
        <w:tabs>
          <w:tab w:leader="none" w:pos="63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Releases</w:t>
      </w:r>
      <w:r>
        <w:rPr>
          <w:rFonts w:ascii="Arial" w:cs="Arial" w:eastAsia="Arial" w:hAnsi="Arial"/>
          <w:sz w:val="16"/>
          <w:szCs w:val="16"/>
          <w:color w:val="auto"/>
        </w:rPr>
        <w:t xml:space="preserve">. In consideration of the benefits provided to Executive under this Agreement and under the Letter Agreement, Executive agrees to sign and return the General Release of Claims (“Release”)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incorporated herein; provided, however, that Executive acknowledges and agrees that she may not sign the Release until the Date of Termination. Executive acknowledges and agrees that if she fails to sign and return the Release to Manpower or chooses to revoke her acceptance of the Release as specified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this Agreement shall not become effective and shall be null and void. Manpower also agrees to sign and return the General Release of Claims which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incorporated herein.</w:t>
      </w:r>
    </w:p>
    <w:p>
      <w:pPr>
        <w:spacing w:after="0" w:line="185" w:lineRule="exact"/>
        <w:rPr>
          <w:rFonts w:ascii="Arial" w:cs="Arial" w:eastAsia="Arial" w:hAnsi="Arial"/>
          <w:sz w:val="16"/>
          <w:szCs w:val="16"/>
          <w:color w:val="auto"/>
        </w:rPr>
      </w:pPr>
    </w:p>
    <w:p>
      <w:pPr>
        <w:ind w:right="260" w:firstLine="656"/>
        <w:spacing w:after="0" w:line="259" w:lineRule="auto"/>
        <w:tabs>
          <w:tab w:leader="none" w:pos="127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hereto, their respective legal representatives and assigns and to any Successor to Manpower; provided, however, that Executive may not assign her performance hereunder. As used herein, the term “Successor” shall include any person, firm, corporation or other business entity which at any time, by any form of business transaction, acquires all or substantially all of the business or assets of Manpower.</w:t>
      </w:r>
    </w:p>
    <w:p>
      <w:pPr>
        <w:spacing w:after="0" w:line="213" w:lineRule="exact"/>
        <w:rPr>
          <w:rFonts w:ascii="Arial" w:cs="Arial" w:eastAsia="Arial" w:hAnsi="Arial"/>
          <w:sz w:val="18"/>
          <w:szCs w:val="18"/>
          <w:color w:val="auto"/>
        </w:rPr>
      </w:pPr>
    </w:p>
    <w:p>
      <w:pPr>
        <w:ind w:right="20" w:firstLine="656"/>
        <w:spacing w:after="0" w:line="257" w:lineRule="auto"/>
        <w:tabs>
          <w:tab w:leader="none" w:pos="127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Agreement supersedes any and all previous agreement and understandings between the Parties relating to Executive’s employment by Manpower or the termination of such employment, except for (i) the Letter Agreement; (ii) Section 11 of the letter from Manpower to Executive, dated December 20, 2005, regarding Executive’s assignment for Manpower; and (iii) Section 5 of the subsequent letter from Manpower to Executive, effective April 1, 2008, regarding Executive’s employment relocation, and any such previous agreement or understanding shall, as of the date of this Agreement, have no further force or effect.</w:t>
      </w:r>
    </w:p>
    <w:p>
      <w:pPr>
        <w:spacing w:after="0" w:line="215" w:lineRule="exact"/>
        <w:rPr>
          <w:rFonts w:ascii="Arial" w:cs="Arial" w:eastAsia="Arial" w:hAnsi="Arial"/>
          <w:sz w:val="18"/>
          <w:szCs w:val="18"/>
          <w:color w:val="auto"/>
        </w:rPr>
      </w:pPr>
    </w:p>
    <w:p>
      <w:pPr>
        <w:ind w:right="240" w:firstLine="656"/>
        <w:spacing w:after="0" w:line="277" w:lineRule="auto"/>
        <w:tabs>
          <w:tab w:leader="none" w:pos="127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Wisconsin applicable to agreements made and to be performed in that state.</w:t>
      </w:r>
    </w:p>
    <w:p>
      <w:pPr>
        <w:spacing w:after="0" w:line="197" w:lineRule="exact"/>
        <w:rPr>
          <w:rFonts w:ascii="Arial" w:cs="Arial" w:eastAsia="Arial" w:hAnsi="Arial"/>
          <w:sz w:val="18"/>
          <w:szCs w:val="18"/>
          <w:color w:val="auto"/>
        </w:rPr>
      </w:pPr>
    </w:p>
    <w:p>
      <w:pPr>
        <w:ind w:right="280" w:firstLine="656"/>
        <w:spacing w:after="0" w:line="277" w:lineRule="auto"/>
        <w:tabs>
          <w:tab w:leader="none" w:pos="1278"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Kenneth C. Hunt</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BARBARA BECK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Barbara J.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951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Barbara J.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Release of Claims</w:t>
      </w:r>
    </w:p>
    <w:p>
      <w:pPr>
        <w:spacing w:after="0" w:line="200" w:lineRule="exact"/>
        <w:rPr>
          <w:sz w:val="20"/>
          <w:szCs w:val="20"/>
          <w:color w:val="auto"/>
        </w:rPr>
      </w:pPr>
    </w:p>
    <w:p>
      <w:pPr>
        <w:spacing w:after="0" w:line="29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This General Release of Claims (“Release”) is being executed and delivered in connection with your termination of employment with Manpower Inc. and its subsidiaries following your resignation. Please refer to that certain letter agreement between you and Manpower Inc. dated November 10, 2009 (“Letter Agreement”) and the Separation Agreement between you and Manpower Inc. dated December 22nd, 2010 (the “Separation Agreement”), which both provide for specified payments to be made and benefits to be provided to you upon your termination of employment and that you will have no right to receive these payments and benefits (the “Severance Benefits,” as further detailed in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attached hereto) unless you accept the following release and do not revoke such acceptance in the manner described below.</w:t>
      </w:r>
    </w:p>
    <w:p>
      <w:pPr>
        <w:spacing w:after="0" w:line="220"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General Release of Claims</w:t>
      </w:r>
      <w:r>
        <w:rPr>
          <w:rFonts w:ascii="Arial" w:cs="Arial" w:eastAsia="Arial" w:hAnsi="Arial"/>
          <w:sz w:val="18"/>
          <w:szCs w:val="18"/>
          <w:color w:val="auto"/>
        </w:rPr>
        <w:t>.</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Pursuant to the Letter Agreement and Separation Agreement, in consideration of the Severance Benefits, and subject to Paragraph 2 below, you hereby irrevocably and unconditionally release, waive, and fully and forever discharge Manpower Inc. and its direct and indirect subsidiaries (the “Manpower Group”) and their past and current agents, officers, directors, members, partners, stockholders, and employees and their respective successors and assigns (collectively, the “Manpower Released Parties”) and each of them from and against any and all causes of action, claims, liabilities, obligations, covenants, rights, demands and damages of any nature whatsoever, whether known or unknown, anticipated or unanticipated, relating to or arising out of any agreement, act, omission, occurrence, transaction or matter up to and i ncluding the date you sign this document, including, without limitation, any and all claims relating to or arising out of your employment by the Manpower Group, throughout the course of your employment, and the termination of your employment.</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Without limiting the generality of the foregoing, this release applies to any and all claims, causes of action, demands or liabilities which you had or now have:</w:t>
      </w:r>
    </w:p>
    <w:p>
      <w:pPr>
        <w:spacing w:after="0" w:line="197" w:lineRule="exact"/>
        <w:rPr>
          <w:sz w:val="20"/>
          <w:szCs w:val="20"/>
          <w:color w:val="auto"/>
        </w:rPr>
      </w:pPr>
    </w:p>
    <w:p>
      <w:pPr>
        <w:jc w:val="both"/>
        <w:ind w:left="1300" w:hanging="285"/>
        <w:spacing w:after="0" w:line="25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or pursuant to Title VII of the Civil Rights Act of 1964, as amended, the Civil Rights Act of 1991, the Americans With Disabilities Act, the state and federal Family and Medical Leave Acts, the Age Discrimination in Employment Act, the Employee Retirement Income Security Act, 42 U.S.C. §§ 1981, 1983 and 1985, the Rehabilitation Act of 1973, Executive Orders 11246 and 11375, the Wisconsin Fair Employment Act, as amended, or any other statute, rule, regulation, or executive order in any applicable foreign country precluding discrimination in employment;</w:t>
      </w:r>
    </w:p>
    <w:p>
      <w:pPr>
        <w:spacing w:after="0" w:line="215" w:lineRule="exact"/>
        <w:rPr>
          <w:rFonts w:ascii="Arial" w:cs="Arial" w:eastAsia="Arial" w:hAnsi="Arial"/>
          <w:sz w:val="18"/>
          <w:szCs w:val="18"/>
          <w:color w:val="auto"/>
        </w:rPr>
      </w:pPr>
    </w:p>
    <w:p>
      <w:pPr>
        <w:ind w:left="1300" w:hanging="29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or pursuant to any statute, rule, regulation, or executive order regarding wages or other remuneration in the United States and any applicable foreign country;</w:t>
      </w:r>
    </w:p>
    <w:p>
      <w:pPr>
        <w:spacing w:after="0" w:line="197" w:lineRule="exact"/>
        <w:rPr>
          <w:rFonts w:ascii="Arial" w:cs="Arial" w:eastAsia="Arial" w:hAnsi="Arial"/>
          <w:sz w:val="18"/>
          <w:szCs w:val="18"/>
          <w:color w:val="auto"/>
        </w:rPr>
      </w:pPr>
    </w:p>
    <w:p>
      <w:pPr>
        <w:ind w:left="1300" w:hanging="28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Concerning your employment with the Manpower Group;</w:t>
      </w:r>
    </w:p>
    <w:p>
      <w:pPr>
        <w:spacing w:after="0" w:line="252" w:lineRule="exact"/>
        <w:rPr>
          <w:rFonts w:ascii="Arial" w:cs="Arial" w:eastAsia="Arial" w:hAnsi="Arial"/>
          <w:sz w:val="18"/>
          <w:szCs w:val="18"/>
          <w:color w:val="auto"/>
        </w:rPr>
      </w:pPr>
    </w:p>
    <w:p>
      <w:pPr>
        <w:ind w:left="1300" w:hanging="29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wrongful termination of employment;</w:t>
      </w:r>
    </w:p>
    <w:p>
      <w:pPr>
        <w:spacing w:after="0" w:line="252" w:lineRule="exact"/>
        <w:rPr>
          <w:rFonts w:ascii="Arial" w:cs="Arial" w:eastAsia="Arial" w:hAnsi="Arial"/>
          <w:sz w:val="18"/>
          <w:szCs w:val="18"/>
          <w:color w:val="auto"/>
        </w:rPr>
      </w:pPr>
    </w:p>
    <w:p>
      <w:pPr>
        <w:ind w:left="1300" w:hanging="28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breach of contract whether express or implied;</w:t>
      </w:r>
    </w:p>
    <w:p>
      <w:pPr>
        <w:spacing w:after="0" w:line="252" w:lineRule="exact"/>
        <w:rPr>
          <w:rFonts w:ascii="Arial" w:cs="Arial" w:eastAsia="Arial" w:hAnsi="Arial"/>
          <w:sz w:val="18"/>
          <w:szCs w:val="18"/>
          <w:color w:val="auto"/>
        </w:rPr>
      </w:pPr>
    </w:p>
    <w:p>
      <w:pPr>
        <w:ind w:left="1300" w:hanging="265"/>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libel, slander, defamation, damage to reputation, intentional or negligent infliction of emotional distress or other tortious conduct; and</w:t>
      </w:r>
    </w:p>
    <w:p>
      <w:pPr>
        <w:spacing w:after="0" w:line="275" w:lineRule="exact"/>
        <w:rPr>
          <w:rFonts w:ascii="Arial" w:cs="Arial" w:eastAsia="Arial" w:hAnsi="Arial"/>
          <w:sz w:val="16"/>
          <w:szCs w:val="16"/>
          <w:color w:val="auto"/>
        </w:rPr>
      </w:pPr>
    </w:p>
    <w:p>
      <w:pPr>
        <w:ind w:left="1300" w:hanging="29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Regarding any right which you might have to current or further employment with the Manpower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Claims to Which Release Applies</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release contained at Paragraph 1, above, applies both to claims which are now known or are later discovered, and which arise under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However, this Release does not apply to:</w:t>
      </w:r>
    </w:p>
    <w:p>
      <w:pPr>
        <w:spacing w:after="0" w:line="238" w:lineRule="exact"/>
        <w:rPr>
          <w:sz w:val="20"/>
          <w:szCs w:val="20"/>
          <w:color w:val="auto"/>
        </w:rPr>
      </w:pPr>
    </w:p>
    <w:p>
      <w:pPr>
        <w:ind w:left="1300" w:right="1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Any vested rights you have or obligations of the Manpower Group under any Manpower Group benefit plan (including, but not limited to, those vested rights detailed in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attached hereto);</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obligations of the Manpower Group under the Letter Agreement;</w:t>
      </w:r>
    </w:p>
    <w:p>
      <w:pPr>
        <w:spacing w:after="0" w:line="252" w:lineRule="exact"/>
        <w:rPr>
          <w:rFonts w:ascii="Arial" w:cs="Arial" w:eastAsia="Arial" w:hAnsi="Arial"/>
          <w:sz w:val="18"/>
          <w:szCs w:val="18"/>
          <w:color w:val="auto"/>
        </w:rPr>
      </w:pPr>
    </w:p>
    <w:p>
      <w:pPr>
        <w:ind w:left="1300" w:right="5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obligations of the Manpower Group under either Section 11 of the letter from Manpower Inc. to you, dated December 20, 2005, regarding your assignment for Manpower Inc. or Section 5 of the subsequent letter from Manpower to you, effective April 1, 2008, regarding your employment relocation;</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claims you may have to indemnification as an officer, director or employee under the Articles of Incorporation or By-Laws</w:t>
      </w:r>
    </w:p>
    <w:p>
      <w:pPr>
        <w:spacing w:after="0" w:line="23" w:lineRule="exact"/>
        <w:rPr>
          <w:rFonts w:ascii="Arial" w:cs="Arial" w:eastAsia="Arial" w:hAnsi="Arial"/>
          <w:sz w:val="18"/>
          <w:szCs w:val="18"/>
          <w:color w:val="auto"/>
        </w:rPr>
      </w:pPr>
    </w:p>
    <w:p>
      <w:pPr>
        <w:ind w:left="1300" w:right="400"/>
        <w:spacing w:after="0" w:line="261" w:lineRule="auto"/>
        <w:rPr>
          <w:rFonts w:ascii="Arial" w:cs="Arial" w:eastAsia="Arial" w:hAnsi="Arial"/>
          <w:sz w:val="18"/>
          <w:szCs w:val="18"/>
          <w:color w:val="auto"/>
        </w:rPr>
      </w:pPr>
      <w:r>
        <w:rPr>
          <w:rFonts w:ascii="Arial" w:cs="Arial" w:eastAsia="Arial" w:hAnsi="Arial"/>
          <w:sz w:val="18"/>
          <w:szCs w:val="18"/>
          <w:color w:val="auto"/>
        </w:rPr>
        <w:t>of Manpower Inc. or any of its direct or indirect subsidiaries or any insurance policies of Manpower Inc. or any of its direct or indirect subsidiaries; or</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claims which may not, as a matter of law, be released.</w:t>
      </w:r>
    </w:p>
    <w:p>
      <w:pPr>
        <w:spacing w:after="0" w:line="252" w:lineRule="exact"/>
        <w:rPr>
          <w:rFonts w:ascii="Arial" w:cs="Arial" w:eastAsia="Arial" w:hAnsi="Arial"/>
          <w:sz w:val="18"/>
          <w:szCs w:val="18"/>
          <w:color w:val="auto"/>
        </w:rPr>
      </w:pPr>
    </w:p>
    <w:p>
      <w:pPr>
        <w:ind w:left="660" w:hanging="22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The Terms “Claims” and “Release” Are Construed Broadly</w:t>
      </w:r>
      <w:r>
        <w:rPr>
          <w:rFonts w:ascii="Arial" w:cs="Arial" w:eastAsia="Arial" w:hAnsi="Arial"/>
          <w:sz w:val="18"/>
          <w:szCs w:val="18"/>
          <w:color w:val="auto"/>
        </w:rPr>
        <w:t>.</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used in this Release, the term “claims” shall be construed broadly and shall be read to include, for example, the terms “rights,” “causes of action” (whether arising in law or equity), “damages,” “demands,” “obligations,” “grievances” and “liabilities” of any kind or character. Similarly, the term “release” shall be construed broadly and shall be read to include, for example, the terms “discharge” and “waive.”</w:t>
      </w:r>
    </w:p>
    <w:p>
      <w:pPr>
        <w:spacing w:after="0" w:line="208" w:lineRule="exact"/>
        <w:rPr>
          <w:sz w:val="20"/>
          <w:szCs w:val="20"/>
          <w:color w:val="auto"/>
        </w:rPr>
      </w:pPr>
    </w:p>
    <w:p>
      <w:pPr>
        <w:ind w:left="660" w:hanging="22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Manpower Group Release</w:t>
      </w:r>
      <w:r>
        <w:rPr>
          <w:rFonts w:ascii="Arial" w:cs="Arial" w:eastAsia="Arial" w:hAnsi="Arial"/>
          <w:sz w:val="18"/>
          <w:szCs w:val="18"/>
          <w:color w:val="auto"/>
        </w:rPr>
        <w:t>.</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Manpower Inc., on its own behalf and on behalf of any Manpower Group affiliate for whom you have provided services (the “Releasing Parties”) hereby releases you from any and all claims they may now have against you. This Paragraph 4 however, does not apply to or adversely affect any claims against you which allege or involve the following: (a) your willful failure to deal fairly with the Releasing Parties in connection with a matter in which you have or had a material conflict of interest; (b) a violation of criminal law, unless you had reasonable cause to believe that your conduct was lawful or no reasonable cause to believe that your conduct was unlawful; (c) a transaction from which you derived an improper personal profit; (d) your willful misconduct; or (e) your material breach of any of Sections 3-6 or 9 of the Letter Agreement.</w:t>
      </w:r>
    </w:p>
    <w:p>
      <w:pPr>
        <w:spacing w:after="0" w:line="205" w:lineRule="exact"/>
        <w:rPr>
          <w:sz w:val="20"/>
          <w:szCs w:val="20"/>
          <w:color w:val="auto"/>
        </w:rPr>
      </w:pPr>
    </w:p>
    <w:p>
      <w:pPr>
        <w:ind w:left="660" w:hanging="22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Release Binding on Employee and Related Parties</w:t>
      </w:r>
      <w:r>
        <w:rPr>
          <w:rFonts w:ascii="Arial" w:cs="Arial" w:eastAsia="Arial" w:hAnsi="Arial"/>
          <w:sz w:val="18"/>
          <w:szCs w:val="18"/>
          <w:color w:val="auto"/>
        </w:rPr>
        <w:t>.</w:t>
      </w:r>
    </w:p>
    <w:p>
      <w:pPr>
        <w:spacing w:after="0" w:line="25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You acknowledge and agree that this Release shall be binding upon you and your agents, attorneys, personal representatives, executors, administrators, heirs, beneficiaries, successors, and assigns.</w:t>
      </w:r>
    </w:p>
    <w:p>
      <w:pPr>
        <w:spacing w:after="0" w:line="197" w:lineRule="exact"/>
        <w:rPr>
          <w:sz w:val="20"/>
          <w:szCs w:val="20"/>
          <w:color w:val="auto"/>
        </w:rPr>
      </w:pPr>
    </w:p>
    <w:p>
      <w:pPr>
        <w:ind w:left="660" w:hanging="22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All Representations in Documents</w:t>
      </w:r>
      <w:r>
        <w:rPr>
          <w:rFonts w:ascii="Arial" w:cs="Arial" w:eastAsia="Arial" w:hAnsi="Arial"/>
          <w:sz w:val="18"/>
          <w:szCs w:val="18"/>
          <w:color w:val="auto"/>
        </w:rPr>
        <w:t>.</w:t>
      </w:r>
    </w:p>
    <w:p>
      <w:pPr>
        <w:spacing w:after="0" w:line="25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entering into this Release, you acknowledge and agree that you have not relied on any verbal or written representations by any representative of the Manpower Group other than those explicitly set forth in this Release. You agree that you are not entitled to any severance benefits except those described in the Letter Agreement and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 w:name="page7"/>
    <w:bookmarkEnd w:id="6"/>
    <w:p>
      <w:pPr>
        <w:ind w:left="660" w:hanging="229"/>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Acceptance Procedures; Opportunity to Consider this Release; Consultation with Attorney</w:t>
      </w:r>
      <w:r>
        <w:rPr>
          <w:rFonts w:ascii="Arial" w:cs="Arial" w:eastAsia="Arial" w:hAnsi="Arial"/>
          <w:sz w:val="18"/>
          <w:szCs w:val="18"/>
          <w:color w:val="auto"/>
        </w:rPr>
        <w:t>.</w:t>
      </w:r>
    </w:p>
    <w:p>
      <w:pPr>
        <w:spacing w:after="0" w:line="25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Manpower Group wishes to ensure that you voluntarily agree to the terms contained in this Release and do so only after you fully understand them. Accordingly, the following procedures shall apply:</w:t>
      </w:r>
    </w:p>
    <w:p>
      <w:pPr>
        <w:spacing w:after="0" w:line="197" w:lineRule="exact"/>
        <w:rPr>
          <w:sz w:val="20"/>
          <w:szCs w:val="20"/>
          <w:color w:val="auto"/>
        </w:rPr>
      </w:pPr>
    </w:p>
    <w:p>
      <w:pPr>
        <w:jc w:val="both"/>
        <w:ind w:left="1300" w:hanging="285"/>
        <w:spacing w:after="0" w:line="30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You agree and acknowledge that you have read this Release, understand its contents, and may agree to the terms of this Release by signing and dating it and returning the signed and dated Release, via mail, overnight delivery or hand delivery, so that it is received by Kenneth Hunt, Senior Vice President, General Counsel, Manpower Inc., 100 Manpower Place, Milwaukee, WI 53212, </w:t>
      </w:r>
      <w:r>
        <w:rPr>
          <w:rFonts w:ascii="Arial" w:cs="Arial" w:eastAsia="Arial" w:hAnsi="Arial"/>
          <w:sz w:val="16"/>
          <w:szCs w:val="16"/>
          <w:u w:val="single" w:color="auto"/>
          <w:color w:val="auto"/>
        </w:rPr>
        <w:t>on or before 5:00 p.m. Central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Time 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March 7, 2011,</w:t>
      </w:r>
      <w:r>
        <w:rPr>
          <w:rFonts w:ascii="Arial" w:cs="Arial" w:eastAsia="Arial" w:hAnsi="Arial"/>
          <w:sz w:val="16"/>
          <w:szCs w:val="16"/>
          <w:color w:val="auto"/>
        </w:rPr>
        <w:t xml:space="preserve"> which you acknowledge is more than the 21 calendar days following your receipt of this Release;</w:t>
      </w:r>
    </w:p>
    <w:p>
      <w:pPr>
        <w:spacing w:after="0" w:line="181" w:lineRule="exact"/>
        <w:rPr>
          <w:rFonts w:ascii="Arial" w:cs="Arial" w:eastAsia="Arial" w:hAnsi="Arial"/>
          <w:sz w:val="16"/>
          <w:szCs w:val="16"/>
          <w:color w:val="auto"/>
        </w:rPr>
      </w:pPr>
    </w:p>
    <w:p>
      <w:pPr>
        <w:ind w:left="1300" w:hanging="29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agree and acknowledge that you have been advised to consult with an attorney prior to signing this Release;</w:t>
      </w:r>
    </w:p>
    <w:p>
      <w:pPr>
        <w:spacing w:after="0" w:line="252" w:lineRule="exact"/>
        <w:rPr>
          <w:rFonts w:ascii="Arial" w:cs="Arial" w:eastAsia="Arial" w:hAnsi="Arial"/>
          <w:sz w:val="18"/>
          <w:szCs w:val="18"/>
          <w:color w:val="auto"/>
        </w:rPr>
      </w:pPr>
    </w:p>
    <w:p>
      <w:pPr>
        <w:ind w:left="1300" w:hanging="28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understand that this Release, at Paragraph 1, above, includes a final general release, including a release of all claims under the Age Discrimination in Employment Act;</w:t>
      </w:r>
    </w:p>
    <w:p>
      <w:pPr>
        <w:spacing w:after="0" w:line="197" w:lineRule="exact"/>
        <w:rPr>
          <w:rFonts w:ascii="Arial" w:cs="Arial" w:eastAsia="Arial" w:hAnsi="Arial"/>
          <w:sz w:val="18"/>
          <w:szCs w:val="18"/>
          <w:color w:val="auto"/>
        </w:rPr>
      </w:pPr>
    </w:p>
    <w:p>
      <w:pPr>
        <w:jc w:val="both"/>
        <w:ind w:left="1300" w:hanging="295"/>
        <w:spacing w:after="0" w:line="306"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understand that you have seven (7) calendar days after signing this Release within which to revoke your acceptance of it (“Revocation Period”). Such revocation will not be effective unless written notice of the revocation is, via mail, overnight delivery or hand delivery, directed to and received by Kenneth Hunt, Senior Vice President – Global Human Resources, Manpower Inc., 100 Manpower Place, Milwaukee, WI 53212, on or before 5:00 p.m. Central Time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work day following the expiration of the Revocation Period;</w:t>
      </w:r>
    </w:p>
    <w:p>
      <w:pPr>
        <w:spacing w:after="0" w:line="81" w:lineRule="exact"/>
        <w:rPr>
          <w:rFonts w:ascii="Arial" w:cs="Arial" w:eastAsia="Arial" w:hAnsi="Arial"/>
          <w:sz w:val="16"/>
          <w:szCs w:val="16"/>
          <w:color w:val="auto"/>
        </w:rPr>
      </w:pPr>
    </w:p>
    <w:p>
      <w:pPr>
        <w:jc w:val="both"/>
        <w:ind w:left="1300" w:hanging="285"/>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Release will not be binding or enforceable unless you have signed and delivered it as provided in Paragraph 7(a), above, and have chosen not to exercise your revocation rights, as described in Paragraph 7(d), above. If you give timely notice of your intention to revoke your acceptance of the terms set forth in this Release, this Release shall become null and void, and all rights and claims of the parties which would have existed, but for the acceptance of this Release’s terms, shall be restored; and</w:t>
      </w:r>
    </w:p>
    <w:p>
      <w:pPr>
        <w:spacing w:after="0" w:line="213" w:lineRule="exact"/>
        <w:rPr>
          <w:rFonts w:ascii="Arial" w:cs="Arial" w:eastAsia="Arial" w:hAnsi="Arial"/>
          <w:sz w:val="18"/>
          <w:szCs w:val="18"/>
          <w:color w:val="auto"/>
        </w:rPr>
      </w:pPr>
    </w:p>
    <w:p>
      <w:pPr>
        <w:ind w:left="1300" w:right="20" w:hanging="26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represent and warrant that, in the event you choose to accept the terms of this Release, the date appearing above your name on the last page of this document shall be the actual date on which you have signed and accepted the Release.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It is understood that you will not be entitled to the Severance Benefits unless and until this Release becomes binding and enforceable against you.</w:t>
      </w:r>
    </w:p>
    <w:p>
      <w:pPr>
        <w:spacing w:after="0" w:line="264" w:lineRule="exact"/>
        <w:rPr>
          <w:sz w:val="20"/>
          <w:szCs w:val="20"/>
          <w:color w:val="auto"/>
        </w:rPr>
      </w:pPr>
    </w:p>
    <w:p>
      <w:pPr>
        <w:ind w:left="660" w:hanging="229"/>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acknowledge and agree that you have entered into this Release knowingly and voluntarily and understand that its terms are binding on you.</w:t>
      </w:r>
    </w:p>
    <w:p>
      <w:pPr>
        <w:spacing w:after="0" w:line="264" w:lineRule="exact"/>
        <w:rPr>
          <w:sz w:val="20"/>
          <w:szCs w:val="20"/>
          <w:color w:val="auto"/>
        </w:rPr>
      </w:pPr>
    </w:p>
    <w:p>
      <w:pPr>
        <w:ind w:left="660" w:hanging="229"/>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Partial Invalidity of Release</w:t>
      </w:r>
      <w:r>
        <w:rPr>
          <w:rFonts w:ascii="Arial" w:cs="Arial" w:eastAsia="Arial" w:hAnsi="Arial"/>
          <w:sz w:val="18"/>
          <w:szCs w:val="18"/>
          <w:color w:val="auto"/>
        </w:rPr>
        <w:t>.</w:t>
      </w:r>
    </w:p>
    <w:p>
      <w:pPr>
        <w:spacing w:after="0" w:line="25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If any part of this Release is held to be unenforceable, invalid or void, then the balance of this Release shall nonetheless remain in full force and effect to the extent permitted by law.</w:t>
      </w:r>
    </w:p>
    <w:p>
      <w:pPr>
        <w:spacing w:after="0" w:line="197" w:lineRule="exact"/>
        <w:rPr>
          <w:sz w:val="20"/>
          <w:szCs w:val="20"/>
          <w:color w:val="auto"/>
        </w:rPr>
      </w:pPr>
    </w:p>
    <w:p>
      <w:pPr>
        <w:ind w:left="660" w:hanging="31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headings and subheadings in this Release are inserted for convenience and reference only and are not to be used in construing the Release.</w:t>
      </w:r>
    </w:p>
    <w:p>
      <w:pPr>
        <w:spacing w:after="0" w:line="264" w:lineRule="exact"/>
        <w:rPr>
          <w:sz w:val="20"/>
          <w:szCs w:val="20"/>
          <w:color w:val="auto"/>
        </w:rPr>
      </w:pPr>
    </w:p>
    <w:p>
      <w:pPr>
        <w:ind w:left="660" w:hanging="31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w:t>
      </w:r>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laws of the State of Wisconsin, United States of America, will apply in connection with any dispute or proceeding concerning this Release, without regard to its conflicts of laws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ind w:left="660" w:hanging="31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Nothing contained in this Release should be construed as an admission of wrongdoing or liability on the part of the Manpower Group.</w:t>
      </w:r>
    </w:p>
    <w:p>
      <w:pPr>
        <w:spacing w:after="0" w:line="252" w:lineRule="exact"/>
        <w:rPr>
          <w:sz w:val="20"/>
          <w:szCs w:val="20"/>
          <w:color w:val="auto"/>
        </w:rPr>
      </w:pPr>
    </w:p>
    <w:p>
      <w:pPr>
        <w:ind w:left="660" w:hanging="31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Release may be executed in counterpart originals, and the counterpart originals together shall constitute the original of this Agreement. Facsimile signatures shall be acceptable as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EXECUTED THIS _____________ DAY OF MARCH,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15951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Barbara J. Beck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3722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Kenneth C. Hunt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Received: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u w:val="single" w:color="auto"/>
          <w:color w:val="auto"/>
        </w:rPr>
        <w:t>Annex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Benefits Under Letter Agreement</w:t>
      </w:r>
    </w:p>
    <w:p>
      <w:pPr>
        <w:spacing w:after="0" w:line="252" w:lineRule="exact"/>
        <w:rPr>
          <w:sz w:val="20"/>
          <w:szCs w:val="20"/>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Severance benefits under Section 2(c)(ii)(D) of the Letter Agreement – a total of $805,000, payable on or before March 30, 2011.</w:t>
      </w:r>
    </w:p>
    <w:p>
      <w:pPr>
        <w:spacing w:after="0" w:line="252" w:lineRule="exact"/>
        <w:rPr>
          <w:rFonts w:ascii="Arial" w:cs="Arial" w:eastAsia="Arial" w:hAnsi="Arial"/>
          <w:sz w:val="18"/>
          <w:szCs w:val="18"/>
          <w:color w:val="auto"/>
        </w:rPr>
      </w:pPr>
    </w:p>
    <w:p>
      <w:pPr>
        <w:jc w:val="both"/>
        <w:ind w:left="660" w:hanging="139"/>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Medical and dental - provided you timely elect COBRA coverage, continued coverage for 12 months from the Date of Termination at the same cost as while you were employed, reduced to the extent comparable benefits are actually received by you or your dependents during such time period, as provided in Section 2(c)(ii)(E) of the Letter Agreement.</w:t>
      </w:r>
    </w:p>
    <w:p>
      <w:pPr>
        <w:spacing w:after="0" w:line="208"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Outplacement services under Section 2(c)(ii)(F) of the Letter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Benefits Under Separation Agreement</w:t>
      </w:r>
    </w:p>
    <w:p>
      <w:pPr>
        <w:spacing w:after="0" w:line="252" w:lineRule="exact"/>
        <w:rPr>
          <w:sz w:val="20"/>
          <w:szCs w:val="20"/>
          <w:color w:val="auto"/>
        </w:rPr>
      </w:pPr>
    </w:p>
    <w:p>
      <w:pPr>
        <w:ind w:left="660" w:hanging="139"/>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 rata 2011 bonus payment of $57,500, payable on or before March 15, 2011.</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Amended and Restated Senior Management Performance-Based Deferred Compensation Plan Account balance of $464,608 as of December 31, 2010, as adjusted for interest, payable on September 2, 2011.</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share units payable in accordance with your Performance Share Unit Agreement dated as of February 18, 2010, as if you had remained an employee of Manpower through December 31,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Vested Benefits under Manpower Group Benefit Plans</w:t>
      </w:r>
    </w:p>
    <w:p>
      <w:pPr>
        <w:spacing w:after="0" w:line="252" w:lineRule="exact"/>
        <w:rPr>
          <w:sz w:val="20"/>
          <w:szCs w:val="20"/>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Options – exercisable as provided in the 2003 Equity Incentive Plan and any relevant stock option agreements.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Nonqualified Savings Plan – benefits payable as provided in the plan, six months following the date of your termination of employment.</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1."/>
      <w:numFmt w:val="decimal"/>
      <w:start w:val="1"/>
    </w:lvl>
    <w:lvl w:ilvl="1">
      <w:lvlJc w:val="left"/>
      <w:lvlText w:val="(%2)"/>
      <w:numFmt w:val="lowerLetter"/>
      <w:start w:val="1"/>
    </w:lvl>
  </w:abstractNum>
  <w:abstractNum w:abstractNumId="3">
    <w:nsid w:val="DED72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4">
    <w:nsid w:val="7FDCC233"/>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1"/>
    </w:lvl>
    <w:lvl w:ilvl="1">
      <w:lvlJc w:val="left"/>
      <w:lvlText w:val="(%2)"/>
      <w:numFmt w:val="lowerLetter"/>
      <w:start w:val="1"/>
    </w:lvl>
  </w:abstractNum>
  <w:abstractNum w:abstractNumId="9">
    <w:nsid w:val="25E45D32"/>
    <w:multiLevelType w:val="hybridMultilevel"/>
    <w:lvl w:ilvl="0">
      <w:lvlJc w:val="left"/>
      <w:lvlText w:val="%1."/>
      <w:numFmt w:val="decimal"/>
      <w:start w:val="3"/>
    </w:lvl>
    <w:lvl w:ilvl="1">
      <w:lvlJc w:val="left"/>
      <w:lvlText w:val="%2"/>
      <w:numFmt w:val="lowerLetter"/>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5"/>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1."/>
      <w:numFmt w:val="decimal"/>
      <w:start w:val="7"/>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decimal"/>
      <w:start w:val="8"/>
    </w:lvl>
  </w:abstractNum>
  <w:abstractNum w:abstractNumId="16">
    <w:nsid w:val="436C6125"/>
    <w:multiLevelType w:val="hybridMultilevel"/>
    <w:lvl w:ilvl="0">
      <w:lvlJc w:val="left"/>
      <w:lvlText w:val="%1."/>
      <w:numFmt w:val="decimal"/>
      <w:start w:val="9"/>
    </w:lvl>
  </w:abstractNum>
  <w:abstractNum w:abstractNumId="17">
    <w:nsid w:val="628C895D"/>
    <w:multiLevelType w:val="hybridMultilevel"/>
    <w:lvl w:ilvl="0">
      <w:lvlJc w:val="left"/>
      <w:lvlText w:val="%1."/>
      <w:numFmt w:val="decimal"/>
      <w:start w:val="10"/>
    </w:lvl>
  </w:abstractNum>
  <w:abstractNum w:abstractNumId="18">
    <w:nsid w:val="333AB105"/>
    <w:multiLevelType w:val="hybridMultilevel"/>
    <w:lvl w:ilvl="0">
      <w:lvlJc w:val="left"/>
      <w:lvlText w:val="%1."/>
      <w:numFmt w:val="decimal"/>
      <w:start w:val="11"/>
    </w:lvl>
  </w:abstractNum>
  <w:abstractNum w:abstractNumId="19">
    <w:nsid w:val="721DA317"/>
    <w:multiLevelType w:val="hybridMultilevel"/>
    <w:lvl w:ilvl="0">
      <w:lvlJc w:val="left"/>
      <w:lvlText w:val="%1."/>
      <w:numFmt w:val="decimal"/>
      <w:start w:val="12"/>
    </w:lvl>
  </w:abstractNum>
  <w:abstractNum w:abstractNumId="20">
    <w:nsid w:val="2443A858"/>
    <w:multiLevelType w:val="hybridMultilevel"/>
    <w:lvl w:ilvl="0">
      <w:lvlJc w:val="left"/>
      <w:lvlText w:val="%1."/>
      <w:numFmt w:val="decimal"/>
      <w:start w:val="13"/>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2019-12-10T09:17:37Z</dcterms:created>
  <dcterms:modified xsi:type="dcterms:W3CDTF">2019-12-10T09:17:37Z</dcterms:modified>
</cp:coreProperties>
</file>