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ilename1.htm"/>
      <w:bookmarkStart w:id="1" w:name="ksfilename1"/>
      <w:bookmarkEnd w:id="0"/>
      <w:bookmarkEnd w:id="1"/>
      <w:r>
        <w:rPr/>
        <w:t> </w:t>
      </w:r>
    </w:p>
    <w:p>
      <w:pPr>
        <w:pStyle w:val="TextBody"/>
        <w:bidi w:val="0"/>
        <w:jc w:val="left"/>
        <w:rPr/>
      </w:pPr>
      <w:r>
        <w:rPr/>
        <w:drawing>
          <wp:inline distT="0" distB="0" distL="0" distR="0">
            <wp:extent cx="2333625"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33625" cy="438150"/>
                    </a:xfrm>
                    <a:prstGeom prst="rect">
                      <a:avLst/>
                    </a:prstGeom>
                  </pic:spPr>
                </pic:pic>
              </a:graphicData>
            </a:graphic>
          </wp:inline>
        </w:drawing>
      </w: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ManpowerGroup</w:t>
      </w:r>
    </w:p>
    <w:p>
      <w:pPr>
        <w:pStyle w:val="TextBody"/>
        <w:bidi w:val="0"/>
        <w:jc w:val="left"/>
        <w:rPr>
          <w:rFonts w:ascii="Times New Roman" w:hAnsi="Times New Roman"/>
          <w:color w:val="000000"/>
          <w:sz w:val="20"/>
        </w:rPr>
      </w:pPr>
      <w:r>
        <w:rPr>
          <w:rFonts w:ascii="Times New Roman" w:hAnsi="Times New Roman"/>
          <w:color w:val="000000"/>
          <w:sz w:val="20"/>
        </w:rPr>
        <w:t>100 Manpower Place</w:t>
      </w:r>
    </w:p>
    <w:p>
      <w:pPr>
        <w:pStyle w:val="TextBody"/>
        <w:bidi w:val="0"/>
        <w:jc w:val="left"/>
        <w:rPr>
          <w:rFonts w:ascii="Times New Roman" w:hAnsi="Times New Roman"/>
          <w:color w:val="000000"/>
          <w:sz w:val="20"/>
        </w:rPr>
      </w:pPr>
      <w:r>
        <w:rPr>
          <w:rFonts w:ascii="Times New Roman" w:hAnsi="Times New Roman"/>
          <w:color w:val="000000"/>
          <w:sz w:val="20"/>
        </w:rPr>
        <w:t xml:space="preserve">Milwaukee, Wisconsin </w:t>
      </w:r>
    </w:p>
    <w:p>
      <w:pPr>
        <w:pStyle w:val="TextBody"/>
        <w:bidi w:val="0"/>
        <w:jc w:val="left"/>
        <w:rPr>
          <w:rFonts w:ascii="Times New Roman" w:hAnsi="Times New Roman"/>
          <w:color w:val="000000"/>
          <w:sz w:val="20"/>
        </w:rPr>
      </w:pPr>
      <w:r>
        <w:rPr>
          <w:rFonts w:ascii="Times New Roman" w:hAnsi="Times New Roman"/>
          <w:color w:val="000000"/>
          <w:sz w:val="20"/>
        </w:rPr>
        <w:t>53212 USA</w:t>
      </w:r>
    </w:p>
    <w:p>
      <w:pPr>
        <w:pStyle w:val="TextBody"/>
        <w:bidi w:val="0"/>
        <w:jc w:val="left"/>
        <w:rPr>
          <w:rFonts w:ascii="Times New Roman" w:hAnsi="Times New Roman"/>
          <w:color w:val="000000"/>
          <w:sz w:val="20"/>
        </w:rPr>
      </w:pPr>
      <w:r>
        <w:rPr>
          <w:rFonts w:ascii="Times New Roman" w:hAnsi="Times New Roman"/>
          <w:color w:val="000000"/>
          <w:sz w:val="20"/>
        </w:rPr>
        <w:t>T: +1 414 961 1000</w:t>
      </w:r>
    </w:p>
    <w:p>
      <w:pPr>
        <w:pStyle w:val="TextBody"/>
        <w:bidi w:val="0"/>
        <w:jc w:val="left"/>
        <w:rPr>
          <w:rFonts w:ascii="Times New Roman" w:hAnsi="Times New Roman"/>
          <w:color w:val="000000"/>
          <w:sz w:val="20"/>
        </w:rPr>
      </w:pPr>
      <w:r>
        <w:rPr>
          <w:rFonts w:ascii="Times New Roman" w:hAnsi="Times New Roman"/>
          <w:color w:val="000000"/>
          <w:sz w:val="20"/>
        </w:rPr>
        <w:t>F: +1 414 906 7875</w:t>
      </w:r>
    </w:p>
    <w:p>
      <w:pPr>
        <w:pStyle w:val="TextBody"/>
        <w:bidi w:val="0"/>
        <w:jc w:val="left"/>
        <w:rPr>
          <w:rFonts w:ascii="Times New Roman" w:hAnsi="Times New Roman"/>
          <w:color w:val="000000"/>
          <w:sz w:val="20"/>
        </w:rPr>
      </w:pPr>
      <w:r>
        <w:rPr>
          <w:rFonts w:ascii="Times New Roman" w:hAnsi="Times New Roman"/>
          <w:color w:val="000000"/>
          <w:sz w:val="20"/>
        </w:rPr>
        <w:t>www.manpowergroup.com</w:t>
      </w:r>
    </w:p>
    <w:p>
      <w:pPr>
        <w:pStyle w:val="TextBody"/>
        <w:bidi w:val="0"/>
        <w:spacing w:before="8" w:after="283"/>
        <w:jc w:val="left"/>
        <w:rPr/>
      </w:pPr>
      <w:r>
        <w:rPr/>
        <w:t> </w:t>
      </w:r>
    </w:p>
    <w:p>
      <w:pPr>
        <w:pStyle w:val="TextBody"/>
        <w:bidi w:val="0"/>
        <w:spacing w:before="90" w:after="283"/>
        <w:jc w:val="left"/>
        <w:rPr>
          <w:rFonts w:ascii="Times New Roman" w:hAnsi="Times New Roman"/>
          <w:color w:val="000000"/>
          <w:sz w:val="24"/>
        </w:rPr>
      </w:pPr>
      <w:r>
        <w:rPr>
          <w:rFonts w:ascii="Times New Roman" w:hAnsi="Times New Roman"/>
          <w:color w:val="000000"/>
          <w:sz w:val="24"/>
        </w:rPr>
        <w:t>December 29, 2023</w:t>
      </w:r>
    </w:p>
    <w:p>
      <w:pPr>
        <w:pStyle w:val="TextBody"/>
        <w:bidi w:val="0"/>
        <w:spacing w:before="10" w:after="283"/>
        <w:jc w:val="left"/>
        <w:rPr/>
      </w:pPr>
      <w:r>
        <w:rPr/>
        <w:t> </w:t>
      </w:r>
    </w:p>
    <w:p>
      <w:pPr>
        <w:pStyle w:val="TextBody"/>
        <w:bidi w:val="0"/>
        <w:spacing w:before="42" w:after="283"/>
        <w:jc w:val="left"/>
        <w:rPr>
          <w:rFonts w:ascii="Times New Roman" w:hAnsi="Times New Roman"/>
          <w:color w:val="000000"/>
          <w:sz w:val="24"/>
        </w:rPr>
      </w:pPr>
      <w:r>
        <w:rPr>
          <w:rFonts w:ascii="Times New Roman" w:hAnsi="Times New Roman"/>
          <w:color w:val="000000"/>
          <w:sz w:val="24"/>
        </w:rPr>
        <w:t>Robert Shapiro and Abe Friedman</w:t>
        <w:br/>
        <w:t>U.S. Securities and Exchange Commission</w:t>
        <w:br/>
        <w:t>Division of Corporation Finance</w:t>
        <w:br/>
        <w:t>Office of Trade and Services</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100 F. Street, N.E.</w:t>
      </w:r>
    </w:p>
    <w:p>
      <w:pPr>
        <w:pStyle w:val="TextBody"/>
        <w:bidi w:val="0"/>
        <w:spacing w:before="42" w:after="283"/>
        <w:jc w:val="left"/>
        <w:rPr>
          <w:rFonts w:ascii="Times New Roman" w:hAnsi="Times New Roman"/>
          <w:color w:val="000000"/>
          <w:sz w:val="24"/>
        </w:rPr>
      </w:pPr>
      <w:r>
        <w:rPr>
          <w:rFonts w:ascii="Times New Roman" w:hAnsi="Times New Roman"/>
          <w:color w:val="000000"/>
          <w:sz w:val="24"/>
        </w:rPr>
        <w:t>Washington, D.C. 20549</w:t>
      </w:r>
    </w:p>
    <w:p>
      <w:pPr>
        <w:pStyle w:val="TextBody"/>
        <w:bidi w:val="0"/>
        <w:spacing w:before="4" w:after="283"/>
        <w:jc w:val="left"/>
        <w:rPr/>
      </w:pPr>
      <w:r>
        <w:rPr/>
        <w:t> </w:t>
      </w:r>
    </w:p>
    <w:p>
      <w:pPr>
        <w:pStyle w:val="TextBody"/>
        <w:bidi w:val="0"/>
        <w:spacing w:before="1" w:after="283"/>
        <w:jc w:val="left"/>
        <w:rPr>
          <w:rFonts w:ascii="Times New Roman" w:hAnsi="Times New Roman"/>
          <w:b/>
          <w:color w:val="000000"/>
          <w:sz w:val="24"/>
        </w:rPr>
      </w:pPr>
      <w:r>
        <w:rPr>
          <w:rFonts w:ascii="Times New Roman" w:hAnsi="Times New Roman"/>
          <w:b/>
          <w:color w:val="000000"/>
          <w:sz w:val="24"/>
        </w:rPr>
        <w:t>Re: ManpowerGroup Inc.</w:t>
      </w:r>
    </w:p>
    <w:p>
      <w:pPr>
        <w:pStyle w:val="TextBody"/>
        <w:bidi w:val="0"/>
        <w:spacing w:before="42" w:after="283"/>
        <w:jc w:val="left"/>
        <w:rPr>
          <w:rFonts w:ascii="Times New Roman" w:hAnsi="Times New Roman"/>
          <w:b/>
          <w:color w:val="000000"/>
          <w:sz w:val="24"/>
        </w:rPr>
      </w:pPr>
      <w:r>
        <w:rPr>
          <w:rFonts w:ascii="Times New Roman" w:hAnsi="Times New Roman"/>
          <w:b/>
          <w:color w:val="000000"/>
          <w:sz w:val="24"/>
        </w:rPr>
        <w:t>Form 10-K for Fiscal Year Ended December 31, 2022 Form 8-K furnished October 19, 2023</w:t>
      </w:r>
    </w:p>
    <w:p>
      <w:pPr>
        <w:pStyle w:val="TextBody"/>
        <w:bidi w:val="0"/>
        <w:spacing w:before="1" w:after="283"/>
        <w:jc w:val="left"/>
        <w:rPr>
          <w:rFonts w:ascii="Times New Roman" w:hAnsi="Times New Roman"/>
          <w:b/>
          <w:color w:val="000000"/>
          <w:sz w:val="24"/>
        </w:rPr>
      </w:pPr>
      <w:r>
        <w:rPr>
          <w:rFonts w:ascii="Times New Roman" w:hAnsi="Times New Roman"/>
          <w:b/>
          <w:color w:val="000000"/>
          <w:sz w:val="24"/>
        </w:rPr>
        <w:t>File No. 001-10686</w:t>
      </w:r>
    </w:p>
    <w:p>
      <w:pPr>
        <w:pStyle w:val="TextBody"/>
        <w:bidi w:val="0"/>
        <w:spacing w:before="216" w:after="283"/>
        <w:jc w:val="left"/>
        <w:rPr>
          <w:rFonts w:ascii="Times New Roman" w:hAnsi="Times New Roman"/>
          <w:color w:val="000000"/>
          <w:sz w:val="24"/>
        </w:rPr>
      </w:pPr>
      <w:r>
        <w:rPr>
          <w:rFonts w:ascii="Times New Roman" w:hAnsi="Times New Roman"/>
          <w:color w:val="000000"/>
          <w:sz w:val="24"/>
        </w:rPr>
        <w:t>Dear Robert Shapiro and Abe Friedman:</w:t>
      </w:r>
    </w:p>
    <w:p>
      <w:pPr>
        <w:pStyle w:val="TextBody"/>
        <w:bidi w:val="0"/>
        <w:spacing w:before="216" w:after="283"/>
        <w:jc w:val="both"/>
        <w:rPr>
          <w:rFonts w:ascii="Times New Roman" w:hAnsi="Times New Roman"/>
          <w:color w:val="000000"/>
          <w:sz w:val="24"/>
        </w:rPr>
      </w:pPr>
      <w:r>
        <w:rPr>
          <w:rFonts w:ascii="Times New Roman" w:hAnsi="Times New Roman"/>
          <w:color w:val="000000"/>
          <w:sz w:val="24"/>
        </w:rPr>
        <w:t>On behalf of ManpowerGroup Inc., we are providing the following response to the comments set forth in the comment letter from the Staff of the Securities and Exchange Commission (the “Staff”) to John McGinnis, dated December 19, 2023. For your convenience, we have recited the comment from the staff in bold type and have followed it with the Company’s response thereto.</w:t>
      </w:r>
    </w:p>
    <w:p>
      <w:pPr>
        <w:pStyle w:val="TextBody"/>
        <w:bidi w:val="0"/>
        <w:spacing w:before="4" w:after="283"/>
        <w:jc w:val="left"/>
        <w:rPr/>
      </w:pPr>
      <w:r>
        <w:rPr/>
        <w:t> </w:t>
      </w:r>
    </w:p>
    <w:p>
      <w:pPr>
        <w:pStyle w:val="TextBody"/>
        <w:bidi w:val="0"/>
        <w:spacing w:before="216" w:after="283"/>
        <w:jc w:val="both"/>
        <w:rPr>
          <w:rFonts w:ascii="Times New Roman" w:hAnsi="Times New Roman"/>
          <w:color w:val="000000"/>
          <w:sz w:val="24"/>
          <w:u w:val="single"/>
        </w:rPr>
      </w:pPr>
      <w:r>
        <w:rPr>
          <w:rFonts w:ascii="Times New Roman" w:hAnsi="Times New Roman"/>
          <w:color w:val="000000"/>
          <w:sz w:val="24"/>
          <w:u w:val="single"/>
        </w:rPr>
        <w:t>Form 10-K for Fiscal Year Ended December 31, 2022</w:t>
      </w:r>
    </w:p>
    <w:p>
      <w:pPr>
        <w:pStyle w:val="TextBody"/>
        <w:bidi w:val="0"/>
        <w:spacing w:before="216" w:after="240"/>
        <w:jc w:val="left"/>
        <w:rPr>
          <w:rFonts w:ascii="Times New Roman" w:hAnsi="Times New Roman"/>
          <w:sz w:val="20"/>
        </w:rPr>
      </w:pPr>
      <w:r>
        <w:rPr>
          <w:rFonts w:ascii="Times New Roman" w:hAnsi="Times New Roman"/>
          <w:color w:val="000000"/>
          <w:sz w:val="24"/>
          <w:u w:val="single"/>
        </w:rPr>
        <w:t>Item 7. Management's Discussion and Analysis</w:t>
      </w:r>
      <w:r>
        <w:rPr>
          <w:rFonts w:ascii="Times New Roman" w:hAnsi="Times New Roman"/>
          <w:color w:val="000000"/>
          <w:sz w:val="20"/>
        </w:rPr>
        <w:t xml:space="preserve"> </w:t>
      </w:r>
      <w:r>
        <w:rPr>
          <w:rFonts w:ascii="Times New Roman" w:hAnsi="Times New Roman"/>
          <w:color w:val="000000"/>
          <w:sz w:val="24"/>
        </w:rPr>
        <w:br/>
      </w:r>
      <w:r>
        <w:rPr>
          <w:rFonts w:ascii="Times New Roman" w:hAnsi="Times New Roman"/>
          <w:color w:val="000000"/>
          <w:sz w:val="24"/>
          <w:u w:val="single"/>
        </w:rPr>
        <w:t>Consolidated Results - 2022 compared to 2021</w:t>
      </w:r>
      <w:r>
        <w:rPr>
          <w:rFonts w:ascii="Times New Roman" w:hAnsi="Times New Roman"/>
          <w:color w:val="000000"/>
          <w:sz w:val="20"/>
        </w:rPr>
        <w:t xml:space="preserve"> </w:t>
      </w:r>
      <w:r>
        <w:rPr>
          <w:rFonts w:ascii="Times New Roman" w:hAnsi="Times New Roman"/>
          <w:color w:val="000000"/>
          <w:sz w:val="24"/>
        </w:rPr>
        <w:br/>
      </w:r>
      <w:r>
        <w:rPr>
          <w:rFonts w:ascii="Times New Roman" w:hAnsi="Times New Roman"/>
          <w:color w:val="000000"/>
          <w:sz w:val="24"/>
          <w:u w:val="single"/>
        </w:rPr>
        <w:t>Segment Results, page 37</w:t>
      </w:r>
    </w:p>
    <w:p>
      <w:pPr>
        <w:pStyle w:val="TextBody"/>
        <w:bidi w:val="0"/>
        <w:spacing w:before="76"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76" w:after="240"/>
        <w:jc w:val="both"/>
        <w:rPr>
          <w:rFonts w:ascii="Times New Roman" w:hAnsi="Times New Roman"/>
          <w:b/>
          <w:color w:val="000000"/>
          <w:sz w:val="24"/>
        </w:rPr>
      </w:pPr>
      <w:r>
        <w:rPr>
          <w:rFonts w:ascii="Times New Roman" w:hAnsi="Times New Roman"/>
          <w:b/>
          <w:color w:val="000000"/>
          <w:sz w:val="24"/>
        </w:rPr>
        <w:t xml:space="preserve">Please revise to provide quantification of factors to which changes are attributed in absolute dollar amounts, to the extent providing such quantification would provide meaningful analysis of your year over year results. For example, your discussions of revenue and gross profit for your Americas segment discusses multiple factors without quantification that would allow users to understand the impact of each material factor. Also, certain discussions do not appear to discuss or quantify all material factors that impacted your year over year results. Specifically, when discussing you Northern Europe results, you attribute your OUP margin decrease to the loss on sale of your Russia business partially offset by the increase in gross profit margin. Your discussion focuses on the decreased OUP margin without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6" w:after="240"/>
        <w:jc w:val="both"/>
        <w:rPr/>
      </w:pPr>
      <w:r>
        <w:rPr>
          <w:rFonts w:ascii="Times New Roman" w:hAnsi="Times New Roman"/>
          <w:b/>
          <w:color w:val="000000"/>
          <w:sz w:val="24"/>
        </w:rPr>
        <w:t>quantified discussion on what caused your Northern Europe Operating Unit Profit ("Organic Constant Currency Variance") to decrease by 22.3%. Refer to Item 303 of Regulation S-K.</w:t>
      </w:r>
      <w:r>
        <w:rPr>
          <w:color w:val="000000"/>
        </w:rPr>
        <w:t xml:space="preserve"> </w:t>
      </w:r>
    </w:p>
    <w:p>
      <w:pPr>
        <w:pStyle w:val="TextBody"/>
        <w:bidi w:val="0"/>
        <w:spacing w:before="68" w:after="283"/>
        <w:jc w:val="left"/>
        <w:rPr>
          <w:rFonts w:ascii="Times New Roman" w:hAnsi="Times New Roman"/>
          <w:color w:val="000000"/>
          <w:sz w:val="24"/>
          <w:u w:val="single"/>
        </w:rPr>
      </w:pPr>
      <w:r>
        <w:rPr>
          <w:rFonts w:ascii="Times New Roman" w:hAnsi="Times New Roman"/>
          <w:color w:val="000000"/>
          <w:sz w:val="24"/>
          <w:u w:val="single"/>
        </w:rPr>
        <w:t>Response</w:t>
      </w:r>
    </w:p>
    <w:p>
      <w:pPr>
        <w:pStyle w:val="TextBody"/>
        <w:bidi w:val="0"/>
        <w:spacing w:before="68" w:after="283"/>
        <w:jc w:val="left"/>
        <w:rPr/>
      </w:pPr>
      <w:r>
        <w:rPr/>
        <w:t> </w:t>
      </w:r>
    </w:p>
    <w:p>
      <w:pPr>
        <w:pStyle w:val="TextBody"/>
        <w:bidi w:val="0"/>
        <w:jc w:val="left"/>
        <w:rPr>
          <w:rFonts w:ascii="Times New Roman" w:hAnsi="Times New Roman"/>
          <w:sz w:val="20"/>
        </w:rPr>
      </w:pPr>
      <w:r>
        <w:rPr>
          <w:rFonts w:ascii="Times New Roman" w:hAnsi="Times New Roman"/>
          <w:color w:val="000000"/>
          <w:sz w:val="24"/>
        </w:rPr>
        <w:t>We respectfully acknowledge the Staff’s comment and advise that in future filings, we will expand applicable disclosures to provide quantification of all material factors to which period-over-period results changes are attributed in absolute dollars, to the extent such quantification provides meaningful analysis.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following is an example of our intended future disclosure based on an illustrative revision of the actual disclosure in our Form 10-K for the year ended December 31, 2022:</w:t>
      </w:r>
    </w:p>
    <w:p>
      <w:pPr>
        <w:pStyle w:val="TextBody"/>
        <w:bidi w:val="0"/>
        <w:jc w:val="left"/>
        <w:rPr/>
      </w:pPr>
      <w:r>
        <w:rPr/>
        <w:t> </w:t>
      </w:r>
    </w:p>
    <w:p>
      <w:pPr>
        <w:pStyle w:val="TextBody"/>
        <w:bidi w:val="0"/>
        <w:spacing w:before="200" w:after="283"/>
        <w:jc w:val="both"/>
        <w:rPr>
          <w:rFonts w:ascii="Times New Roman" w:hAnsi="Times New Roman"/>
          <w:i/>
          <w:color w:val="000000"/>
          <w:sz w:val="24"/>
        </w:rPr>
      </w:pPr>
      <w:r>
        <w:rPr>
          <w:rFonts w:ascii="Times New Roman" w:hAnsi="Times New Roman"/>
          <w:i/>
          <w:color w:val="000000"/>
          <w:sz w:val="24"/>
        </w:rPr>
        <w:t>Americas</w:t>
      </w:r>
    </w:p>
    <w:p>
      <w:pPr>
        <w:pStyle w:val="TextBody"/>
        <w:bidi w:val="0"/>
        <w:spacing w:before="200" w:after="283"/>
        <w:jc w:val="both"/>
        <w:rPr>
          <w:rFonts w:ascii="Times New Roman" w:hAnsi="Times New Roman"/>
          <w:sz w:val="20"/>
        </w:rPr>
      </w:pPr>
      <w:r>
        <w:rPr>
          <w:rFonts w:ascii="Times New Roman" w:hAnsi="Times New Roman"/>
          <w:color w:val="000000"/>
          <w:sz w:val="24"/>
        </w:rPr>
        <w:t xml:space="preserve">In the Americas, revenues from services increased 15.8% (18.1% in constant currency and 4.5% in organic constant currency) in 2022 compared to 2021. In the United States, revenues from services increased 27.6% (6.5% on an organic basis) in 2022 compared to 2021, primarily driven by increased demand </w:t>
      </w:r>
      <w:r>
        <w:rPr>
          <w:rFonts w:ascii="Times New Roman" w:hAnsi="Times New Roman"/>
          <w:color w:val="000000"/>
          <w:sz w:val="24"/>
          <w:u w:val="single"/>
        </w:rPr>
        <w:t>of $584.0 million</w:t>
      </w:r>
      <w:r>
        <w:rPr>
          <w:rFonts w:ascii="Times New Roman" w:hAnsi="Times New Roman"/>
          <w:color w:val="000000"/>
          <w:sz w:val="20"/>
        </w:rPr>
        <w:t xml:space="preserve"> </w:t>
      </w:r>
      <w:r>
        <w:rPr>
          <w:rFonts w:ascii="Times New Roman" w:hAnsi="Times New Roman"/>
          <w:color w:val="000000"/>
          <w:sz w:val="24"/>
        </w:rPr>
        <w:t xml:space="preserve">for our Experis staffing/interim services including the significant </w:t>
      </w:r>
      <w:r>
        <w:rPr>
          <w:rFonts w:ascii="Times New Roman" w:hAnsi="Times New Roman"/>
          <w:color w:val="000000"/>
          <w:sz w:val="24"/>
          <w:u w:val="single"/>
        </w:rPr>
        <w:t>increased</w:t>
      </w:r>
      <w:r>
        <w:rPr>
          <w:rFonts w:ascii="Times New Roman" w:hAnsi="Times New Roman"/>
          <w:color w:val="000000"/>
          <w:sz w:val="20"/>
        </w:rPr>
        <w:t xml:space="preserve"> </w:t>
      </w:r>
      <w:r>
        <w:rPr>
          <w:rFonts w:ascii="Times New Roman" w:hAnsi="Times New Roman"/>
          <w:color w:val="000000"/>
          <w:sz w:val="24"/>
        </w:rPr>
        <w:t xml:space="preserve">contribution to revenues from our Experis acquisition </w:t>
      </w:r>
      <w:r>
        <w:rPr>
          <w:rFonts w:ascii="Times New Roman" w:hAnsi="Times New Roman"/>
          <w:color w:val="000000"/>
          <w:sz w:val="24"/>
          <w:u w:val="single"/>
        </w:rPr>
        <w:t>of $564.5 million</w:t>
      </w:r>
      <w:r>
        <w:rPr>
          <w:rFonts w:ascii="Times New Roman" w:hAnsi="Times New Roman"/>
          <w:color w:val="000000"/>
          <w:sz w:val="20"/>
        </w:rPr>
        <w:t xml:space="preserve"> </w:t>
      </w:r>
      <w:r>
        <w:rPr>
          <w:rFonts w:ascii="Times New Roman" w:hAnsi="Times New Roman"/>
          <w:color w:val="000000"/>
          <w:sz w:val="24"/>
        </w:rPr>
        <w:t xml:space="preserve">and increased demand in our permanent recruitment business </w:t>
      </w:r>
      <w:r>
        <w:rPr>
          <w:rFonts w:ascii="Times New Roman" w:hAnsi="Times New Roman"/>
          <w:color w:val="000000"/>
          <w:sz w:val="24"/>
          <w:u w:val="single"/>
        </w:rPr>
        <w:t>of $61.3 million, or</w:t>
      </w:r>
      <w:r>
        <w:rPr>
          <w:rFonts w:ascii="Times New Roman" w:hAnsi="Times New Roman"/>
          <w:color w:val="000000"/>
          <w:sz w:val="20"/>
        </w:rPr>
        <w:t xml:space="preserve"> </w:t>
      </w:r>
      <w:r>
        <w:rPr>
          <w:rFonts w:ascii="Times New Roman" w:hAnsi="Times New Roman"/>
          <w:color w:val="000000"/>
          <w:sz w:val="24"/>
        </w:rPr>
        <w:t>41.6% (34.3% on an organic basis). In Other Americas, revenues from services decreased -5.5% (increase of 0.9% in constant currency) in 2022 compared to 2021 primarily due to</w:t>
      </w:r>
      <w:r>
        <w:rPr>
          <w:rFonts w:ascii="Times New Roman" w:hAnsi="Times New Roman"/>
          <w:color w:val="000000"/>
          <w:sz w:val="20"/>
          <w:u w:val="single"/>
        </w:rPr>
        <w:t xml:space="preserve"> </w:t>
      </w:r>
      <w:r>
        <w:rPr>
          <w:rFonts w:ascii="Times New Roman" w:hAnsi="Times New Roman"/>
          <w:color w:val="000000"/>
          <w:sz w:val="24"/>
          <w:u w:val="single"/>
        </w:rPr>
        <w:t>a modest decrease in</w:t>
      </w:r>
      <w:r>
        <w:rPr>
          <w:rFonts w:ascii="Times New Roman" w:hAnsi="Times New Roman"/>
          <w:color w:val="000000"/>
          <w:sz w:val="20"/>
        </w:rPr>
        <w:t xml:space="preserve"> </w:t>
      </w:r>
      <w:r>
        <w:rPr>
          <w:rFonts w:ascii="Times New Roman" w:hAnsi="Times New Roman"/>
          <w:color w:val="000000"/>
          <w:sz w:val="24"/>
        </w:rPr>
        <w:t xml:space="preserve">demand for our staffing/interim services and the unfavorable impact of currency exchange rates </w:t>
      </w:r>
      <w:r>
        <w:rPr>
          <w:rFonts w:ascii="Times New Roman" w:hAnsi="Times New Roman"/>
          <w:color w:val="000000"/>
          <w:sz w:val="24"/>
          <w:u w:val="single"/>
        </w:rPr>
        <w:t>of $98.4 million</w:t>
      </w:r>
      <w:r>
        <w:rPr>
          <w:rFonts w:ascii="Times New Roman" w:hAnsi="Times New Roman"/>
          <w:color w:val="000000"/>
          <w:sz w:val="24"/>
        </w:rPr>
        <w:t xml:space="preserve">, partially offset by increased demand in our permanent recruitment business of </w:t>
      </w:r>
      <w:r>
        <w:rPr>
          <w:rFonts w:ascii="Times New Roman" w:hAnsi="Times New Roman"/>
          <w:color w:val="000000"/>
          <w:sz w:val="24"/>
          <w:u w:val="single"/>
        </w:rPr>
        <w:t>$16.0 million</w:t>
      </w:r>
      <w:r>
        <w:rPr>
          <w:rFonts w:ascii="Times New Roman" w:hAnsi="Times New Roman"/>
          <w:color w:val="000000"/>
          <w:sz w:val="24"/>
        </w:rPr>
        <w:t xml:space="preserve">. This decline was driven by a decrease in Mexico of </w:t>
      </w:r>
      <w:r>
        <w:rPr>
          <w:rFonts w:ascii="Times New Roman" w:hAnsi="Times New Roman"/>
          <w:color w:val="000000"/>
          <w:sz w:val="24"/>
          <w:u w:val="single"/>
        </w:rPr>
        <w:t>$181.2 million</w:t>
      </w:r>
      <w:r>
        <w:rPr>
          <w:rFonts w:ascii="Times New Roman" w:hAnsi="Times New Roman"/>
          <w:color w:val="000000"/>
          <w:sz w:val="24"/>
        </w:rPr>
        <w:t>, or -46.9% (-47.4% in constant currency), primarily due to labor legislation implemented in the third quarter of 2021.The decline was partially offset by increases in Canada, Argentina, Colombia, Peru and Brazil of 3.4%, 21.9%, 3.9%, 5.2% and 8.1%, respectively (7.2%, 64.5%, 17.5%, 4.0% and 3.3%, respectively, in constant currency). The increase in Argentina is primarily due to inflation.</w:t>
      </w:r>
    </w:p>
    <w:p>
      <w:pPr>
        <w:pStyle w:val="TextBody"/>
        <w:bidi w:val="0"/>
        <w:spacing w:before="200" w:after="283"/>
        <w:jc w:val="both"/>
        <w:rPr>
          <w:rFonts w:ascii="Times New Roman" w:hAnsi="Times New Roman"/>
          <w:sz w:val="20"/>
        </w:rPr>
      </w:pPr>
      <w:r>
        <w:rPr>
          <w:rFonts w:ascii="Times New Roman" w:hAnsi="Times New Roman"/>
          <w:color w:val="000000"/>
          <w:sz w:val="24"/>
        </w:rPr>
        <w:t xml:space="preserve">Gross profit margin increased </w:t>
      </w:r>
      <w:r>
        <w:rPr>
          <w:rFonts w:ascii="Times New Roman" w:hAnsi="Times New Roman"/>
          <w:color w:val="000000"/>
          <w:sz w:val="24"/>
          <w:u w:val="single"/>
        </w:rPr>
        <w:t>180 basis points</w:t>
      </w:r>
      <w:r>
        <w:rPr>
          <w:rFonts w:ascii="Times New Roman" w:hAnsi="Times New Roman"/>
          <w:color w:val="000000"/>
          <w:sz w:val="20"/>
        </w:rPr>
        <w:t xml:space="preserve"> </w:t>
      </w:r>
      <w:r>
        <w:rPr>
          <w:rFonts w:ascii="Times New Roman" w:hAnsi="Times New Roman"/>
          <w:color w:val="000000"/>
          <w:sz w:val="24"/>
        </w:rPr>
        <w:t xml:space="preserve">in 2022 compared to 2021 primarily due to the increased demand in our permanent recruitment business </w:t>
      </w:r>
      <w:r>
        <w:rPr>
          <w:rFonts w:ascii="Times New Roman" w:hAnsi="Times New Roman"/>
          <w:color w:val="000000"/>
          <w:sz w:val="24"/>
          <w:u w:val="single"/>
        </w:rPr>
        <w:t>which contributed 70 basis points to the increase</w:t>
      </w:r>
      <w:r>
        <w:rPr>
          <w:rFonts w:ascii="Times New Roman" w:hAnsi="Times New Roman"/>
          <w:color w:val="000000"/>
          <w:sz w:val="24"/>
        </w:rPr>
        <w:t xml:space="preserve">, improvement in the staffing/interim margin </w:t>
      </w:r>
      <w:r>
        <w:rPr>
          <w:rFonts w:ascii="Times New Roman" w:hAnsi="Times New Roman"/>
          <w:color w:val="000000"/>
          <w:sz w:val="24"/>
          <w:u w:val="single"/>
        </w:rPr>
        <w:t>which contributed 30 basis points to the increase</w:t>
      </w:r>
      <w:r>
        <w:rPr>
          <w:rFonts w:ascii="Times New Roman" w:hAnsi="Times New Roman"/>
          <w:color w:val="000000"/>
          <w:sz w:val="24"/>
        </w:rPr>
        <w:t xml:space="preserve">, the Experis acquisition </w:t>
      </w:r>
      <w:r>
        <w:rPr>
          <w:rFonts w:ascii="Times New Roman" w:hAnsi="Times New Roman"/>
          <w:color w:val="000000"/>
          <w:sz w:val="24"/>
          <w:u w:val="single"/>
        </w:rPr>
        <w:t>which contributed 30 basis points to the increase</w:t>
      </w:r>
      <w:r>
        <w:rPr>
          <w:rFonts w:ascii="Times New Roman" w:hAnsi="Times New Roman"/>
          <w:color w:val="000000"/>
          <w:sz w:val="20"/>
        </w:rPr>
        <w:t xml:space="preserve"> </w:t>
      </w:r>
      <w:r>
        <w:rPr>
          <w:rFonts w:ascii="Times New Roman" w:hAnsi="Times New Roman"/>
          <w:color w:val="000000"/>
          <w:sz w:val="24"/>
        </w:rPr>
        <w:t xml:space="preserve">and increases in revenues from our higher-margin professional staffing and Talent Solutions offerings in the United States </w:t>
      </w:r>
      <w:r>
        <w:rPr>
          <w:rFonts w:ascii="Times New Roman" w:hAnsi="Times New Roman"/>
          <w:color w:val="000000"/>
          <w:sz w:val="24"/>
          <w:u w:val="single"/>
        </w:rPr>
        <w:t>which contributed a combined 50 basis points to the increase</w:t>
      </w:r>
      <w:r>
        <w:rPr>
          <w:rFonts w:ascii="Times New Roman" w:hAnsi="Times New Roman"/>
          <w:color w:val="000000"/>
          <w:sz w:val="24"/>
        </w:rPr>
        <w:t>.</w:t>
      </w:r>
    </w:p>
    <w:p>
      <w:pPr>
        <w:pStyle w:val="TextBody"/>
        <w:bidi w:val="0"/>
        <w:spacing w:before="200" w:after="283"/>
        <w:jc w:val="both"/>
        <w:rPr>
          <w:rFonts w:ascii="Times New Roman" w:hAnsi="Times New Roman"/>
          <w:sz w:val="20"/>
        </w:rPr>
      </w:pPr>
      <w:r>
        <w:rPr>
          <w:rFonts w:ascii="Times New Roman" w:hAnsi="Times New Roman"/>
          <w:color w:val="000000"/>
          <w:sz w:val="24"/>
        </w:rPr>
        <w:t xml:space="preserve">In 2022, selling and administrative expenses increased 20.3% (21.4% in constant currency and 11.5% in organic constant currency). This was primarily due to </w:t>
      </w:r>
      <w:r>
        <w:rPr>
          <w:rFonts w:ascii="Times New Roman" w:hAnsi="Times New Roman"/>
          <w:color w:val="000000"/>
          <w:sz w:val="24"/>
          <w:u w:val="single"/>
        </w:rPr>
        <w:t>$75.8 million in additional SG&amp;A incurred by the operations of</w:t>
      </w:r>
      <w:r>
        <w:rPr>
          <w:rFonts w:ascii="Times New Roman" w:hAnsi="Times New Roman"/>
          <w:color w:val="000000"/>
          <w:sz w:val="20"/>
        </w:rPr>
        <w:t xml:space="preserve"> </w:t>
      </w:r>
      <w:r>
        <w:rPr>
          <w:rFonts w:ascii="Times New Roman" w:hAnsi="Times New Roman"/>
          <w:color w:val="000000"/>
          <w:sz w:val="24"/>
        </w:rPr>
        <w:t xml:space="preserve">the Experis acquisition and a </w:t>
      </w:r>
      <w:r>
        <w:rPr>
          <w:rFonts w:ascii="Times New Roman" w:hAnsi="Times New Roman"/>
          <w:color w:val="000000"/>
          <w:sz w:val="24"/>
          <w:u w:val="single"/>
        </w:rPr>
        <w:t>$74.2 million</w:t>
      </w:r>
      <w:r>
        <w:rPr>
          <w:rFonts w:ascii="Times New Roman" w:hAnsi="Times New Roman"/>
          <w:color w:val="000000"/>
          <w:sz w:val="20"/>
        </w:rPr>
        <w:t xml:space="preserve"> </w:t>
      </w:r>
      <w:r>
        <w:rPr>
          <w:rFonts w:ascii="Times New Roman" w:hAnsi="Times New Roman"/>
          <w:color w:val="000000"/>
          <w:sz w:val="24"/>
        </w:rPr>
        <w:t xml:space="preserve">increase in salary-related costs due to higher headcount as we invested in incremental recruiters and sales talent based on increased market activity. The increases were partially offset by the decrease in restructuring costs to $1.0 million in 2022 compared to $5.2 million in 2021 </w:t>
      </w:r>
      <w:r>
        <w:rPr>
          <w:rFonts w:ascii="Times New Roman" w:hAnsi="Times New Roman"/>
          <w:color w:val="000000"/>
          <w:sz w:val="24"/>
          <w:u w:val="single"/>
        </w:rPr>
        <w:t>in Other Americas</w:t>
      </w:r>
      <w:r>
        <w:rPr>
          <w:rFonts w:ascii="Times New Roman" w:hAnsi="Times New Roman"/>
          <w:color w:val="000000"/>
          <w:sz w:val="24"/>
        </w:rPr>
        <w:t>, and a decrease in Experis acquisition and integration costs of $14.7 million in 2022 compared to Experis acquisition and integration costs of $18.8 million in 2021.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4"/>
          <w:u w:val="single"/>
        </w:rPr>
        <w:t>Operating Unit Profit (“OUP”) increased 44.8% (47.7% in constant currency). This increase was primarily due to increased profitability in the United States business of $83.2 million, which includes the increased demand for our permanent recruitment business as well as the Experis acquisition as noted above, partially offset by the unfavorable impact of currency exchange rates of $5.6 million.</w:t>
      </w:r>
      <w:r>
        <w:rPr>
          <w:rFonts w:ascii="Times New Roman" w:hAnsi="Times New Roman"/>
          <w:color w:val="000000"/>
          <w:sz w:val="20"/>
        </w:rPr>
        <w:t xml:space="preserve"> </w:t>
      </w:r>
      <w:r>
        <w:rPr>
          <w:rFonts w:ascii="Times New Roman" w:hAnsi="Times New Roman"/>
          <w:color w:val="000000"/>
          <w:sz w:val="24"/>
        </w:rPr>
        <w:t xml:space="preserve">OUP margin in the Americas was 5.7% and 4.6% for 2022 and 2021, respectively. In the United States, OUP margin increased to 6.3% in 2022 from 5.0% in 2021 </w:t>
      </w:r>
      <w:r>
        <w:rPr>
          <w:rFonts w:ascii="Times New Roman" w:hAnsi="Times New Roman"/>
          <w:color w:val="000000"/>
          <w:sz w:val="24"/>
          <w:u w:val="single"/>
        </w:rPr>
        <w:t>primarily due to the factors noted above</w:t>
      </w:r>
      <w:r>
        <w:rPr>
          <w:rFonts w:ascii="Times New Roman" w:hAnsi="Times New Roman"/>
          <w:color w:val="000000"/>
          <w:sz w:val="24"/>
        </w:rPr>
        <w:t xml:space="preserve">, including increased demand in our permanent recruitment business, the Experis acquisition, increased operating leverage, an increase in the gross profit margin due to a favorable business mix and a decrease in Experis acquisition and integration costs incurred in 2022 compared to 2021, partially offset by an increase in salary-related costs due to higher headcount. Other Americas OUP margin increased to 4.4% in 2022 from 3.9% in 2021 primarily due to the gross profit margin improvement and a decrease in restructuring costs, </w:t>
      </w:r>
      <w:r>
        <w:rPr>
          <w:rFonts w:ascii="Times New Roman" w:hAnsi="Times New Roman"/>
          <w:color w:val="000000"/>
          <w:sz w:val="24"/>
          <w:u w:val="single"/>
        </w:rPr>
        <w:t>as noted above.</w:t>
      </w:r>
    </w:p>
    <w:p>
      <w:pPr>
        <w:pStyle w:val="TextBody"/>
        <w:bidi w:val="0"/>
        <w:spacing w:before="200" w:after="283"/>
        <w:jc w:val="both"/>
        <w:rPr>
          <w:rFonts w:ascii="Times New Roman" w:hAnsi="Times New Roman"/>
          <w:i/>
          <w:color w:val="000000"/>
          <w:sz w:val="24"/>
        </w:rPr>
      </w:pPr>
      <w:r>
        <w:rPr>
          <w:rFonts w:ascii="Times New Roman" w:hAnsi="Times New Roman"/>
          <w:i/>
          <w:color w:val="000000"/>
          <w:sz w:val="24"/>
        </w:rPr>
        <w:t>Northern Europe</w:t>
      </w:r>
    </w:p>
    <w:p>
      <w:pPr>
        <w:pStyle w:val="TextBody"/>
        <w:bidi w:val="0"/>
        <w:spacing w:before="200" w:after="283"/>
        <w:jc w:val="both"/>
        <w:rPr>
          <w:rFonts w:ascii="Times New Roman" w:hAnsi="Times New Roman"/>
          <w:sz w:val="20"/>
        </w:rPr>
      </w:pPr>
      <w:r>
        <w:rPr>
          <w:rFonts w:ascii="Times New Roman" w:hAnsi="Times New Roman"/>
          <w:color w:val="000000"/>
          <w:sz w:val="24"/>
        </w:rPr>
        <w:t xml:space="preserve">In Northern Europe, which includes operations in the United Kingdom, the Nordics, Germany, the Netherlands and Belgium (comprising 37%, 24%, 13%, 10%, and 7%, respectively, of Northern Europe’s revenues), revenues from services decreased -13.3% (-2.5% in constant currency and 0.0% in organic constant currency) in 2022 compared to 2021. We experienced revenue decreases in the United Kingdom </w:t>
      </w:r>
      <w:r>
        <w:rPr>
          <w:rFonts w:ascii="Times New Roman" w:hAnsi="Times New Roman"/>
          <w:color w:val="000000"/>
          <w:sz w:val="24"/>
          <w:u w:val="single"/>
        </w:rPr>
        <w:t>of $241.0 million</w:t>
      </w:r>
      <w:r>
        <w:rPr>
          <w:rFonts w:ascii="Times New Roman" w:hAnsi="Times New Roman"/>
          <w:color w:val="000000"/>
          <w:sz w:val="24"/>
        </w:rPr>
        <w:t xml:space="preserve">, the Nordics </w:t>
      </w:r>
      <w:r>
        <w:rPr>
          <w:rFonts w:ascii="Times New Roman" w:hAnsi="Times New Roman"/>
          <w:color w:val="000000"/>
          <w:sz w:val="24"/>
          <w:u w:val="single"/>
        </w:rPr>
        <w:t>of $51.1 million</w:t>
      </w:r>
      <w:r>
        <w:rPr>
          <w:rFonts w:ascii="Times New Roman" w:hAnsi="Times New Roman"/>
          <w:color w:val="000000"/>
          <w:sz w:val="24"/>
        </w:rPr>
        <w:t xml:space="preserve">, Germany </w:t>
      </w:r>
      <w:r>
        <w:rPr>
          <w:rFonts w:ascii="Times New Roman" w:hAnsi="Times New Roman"/>
          <w:color w:val="000000"/>
          <w:sz w:val="24"/>
          <w:u w:val="single"/>
        </w:rPr>
        <w:t>of $117.1 million</w:t>
      </w:r>
      <w:r>
        <w:rPr>
          <w:rFonts w:ascii="Times New Roman" w:hAnsi="Times New Roman"/>
          <w:color w:val="000000"/>
          <w:sz w:val="24"/>
        </w:rPr>
        <w:t xml:space="preserve">, the Netherlands </w:t>
      </w:r>
      <w:r>
        <w:rPr>
          <w:rFonts w:ascii="Times New Roman" w:hAnsi="Times New Roman"/>
          <w:color w:val="000000"/>
          <w:sz w:val="24"/>
          <w:u w:val="single"/>
        </w:rPr>
        <w:t>of $74.9 million</w:t>
      </w:r>
      <w:r>
        <w:rPr>
          <w:rFonts w:ascii="Times New Roman" w:hAnsi="Times New Roman"/>
          <w:color w:val="000000"/>
          <w:sz w:val="20"/>
        </w:rPr>
        <w:t xml:space="preserve"> </w:t>
      </w:r>
      <w:r>
        <w:rPr>
          <w:rFonts w:ascii="Times New Roman" w:hAnsi="Times New Roman"/>
          <w:color w:val="000000"/>
          <w:sz w:val="24"/>
        </w:rPr>
        <w:t xml:space="preserve">and Belgium </w:t>
      </w:r>
      <w:r>
        <w:rPr>
          <w:rFonts w:ascii="Times New Roman" w:hAnsi="Times New Roman"/>
          <w:color w:val="000000"/>
          <w:sz w:val="24"/>
          <w:u w:val="single"/>
        </w:rPr>
        <w:t>of $29.1 million, which represented revenue decreases of</w:t>
      </w:r>
      <w:r>
        <w:rPr>
          <w:rFonts w:ascii="Times New Roman" w:hAnsi="Times New Roman"/>
          <w:color w:val="000000"/>
          <w:sz w:val="20"/>
        </w:rPr>
        <w:t xml:space="preserve"> </w:t>
      </w:r>
      <w:r>
        <w:rPr>
          <w:rFonts w:ascii="Times New Roman" w:hAnsi="Times New Roman"/>
          <w:color w:val="000000"/>
          <w:sz w:val="24"/>
        </w:rPr>
        <w:t xml:space="preserve">-13.9%, -5.1%, -18.0%, -15.7% and -8.8%, respectively (-4.3%, +8.6%, -8.0%, -5.5% and +2.6%, respectively, in constant currency). The revenue decreases in Northern Europe were primarily due to the unfavorable impact of changes in currency exchange rates </w:t>
      </w:r>
      <w:r>
        <w:rPr>
          <w:rFonts w:ascii="Times New Roman" w:hAnsi="Times New Roman"/>
          <w:color w:val="000000"/>
          <w:sz w:val="24"/>
          <w:u w:val="single"/>
        </w:rPr>
        <w:t>which negatively impacted revenues by $507.2 million</w:t>
      </w:r>
      <w:r>
        <w:rPr>
          <w:rFonts w:ascii="Times New Roman" w:hAnsi="Times New Roman"/>
          <w:color w:val="000000"/>
          <w:sz w:val="20"/>
        </w:rPr>
        <w:t xml:space="preserve"> </w:t>
      </w:r>
      <w:r>
        <w:rPr>
          <w:rFonts w:ascii="Times New Roman" w:hAnsi="Times New Roman"/>
          <w:color w:val="000000"/>
          <w:sz w:val="24"/>
        </w:rPr>
        <w:t xml:space="preserve">and the decreased demand for our staffing/interim services </w:t>
      </w:r>
      <w:r>
        <w:rPr>
          <w:rFonts w:ascii="Times New Roman" w:hAnsi="Times New Roman"/>
          <w:color w:val="000000"/>
          <w:sz w:val="24"/>
          <w:u w:val="single"/>
        </w:rPr>
        <w:t>of $185.0 million</w:t>
      </w:r>
      <w:r>
        <w:rPr>
          <w:rFonts w:ascii="Times New Roman" w:hAnsi="Times New Roman"/>
          <w:color w:val="000000"/>
          <w:sz w:val="24"/>
        </w:rPr>
        <w:t xml:space="preserve">, partially offset by the increased demand in the permanent recruitment business </w:t>
      </w:r>
      <w:r>
        <w:rPr>
          <w:rFonts w:ascii="Times New Roman" w:hAnsi="Times New Roman"/>
          <w:color w:val="000000"/>
          <w:sz w:val="24"/>
          <w:u w:val="single"/>
        </w:rPr>
        <w:t>of $52.9 million</w:t>
      </w:r>
      <w:r>
        <w:rPr>
          <w:rFonts w:ascii="Times New Roman" w:hAnsi="Times New Roman"/>
          <w:color w:val="000000"/>
          <w:sz w:val="24"/>
        </w:rPr>
        <w:t>.</w:t>
      </w:r>
    </w:p>
    <w:p>
      <w:pPr>
        <w:pStyle w:val="TextBody"/>
        <w:bidi w:val="0"/>
        <w:spacing w:before="200" w:after="283"/>
        <w:jc w:val="both"/>
        <w:rPr>
          <w:rFonts w:ascii="Times New Roman" w:hAnsi="Times New Roman"/>
          <w:sz w:val="20"/>
        </w:rPr>
      </w:pPr>
      <w:r>
        <w:rPr>
          <w:rFonts w:ascii="Times New Roman" w:hAnsi="Times New Roman"/>
          <w:color w:val="000000"/>
          <w:sz w:val="24"/>
        </w:rPr>
        <w:t xml:space="preserve">Gross profit margin increased </w:t>
      </w:r>
      <w:r>
        <w:rPr>
          <w:rFonts w:ascii="Times New Roman" w:hAnsi="Times New Roman"/>
          <w:color w:val="000000"/>
          <w:sz w:val="24"/>
          <w:u w:val="single"/>
        </w:rPr>
        <w:t>160 basis points</w:t>
      </w:r>
      <w:r>
        <w:rPr>
          <w:rFonts w:ascii="Times New Roman" w:hAnsi="Times New Roman"/>
          <w:color w:val="000000"/>
          <w:sz w:val="20"/>
        </w:rPr>
        <w:t xml:space="preserve"> </w:t>
      </w:r>
      <w:r>
        <w:rPr>
          <w:rFonts w:ascii="Times New Roman" w:hAnsi="Times New Roman"/>
          <w:color w:val="000000"/>
          <w:sz w:val="24"/>
        </w:rPr>
        <w:t xml:space="preserve">in 2022 compared to 2021 due to the increases in staffing/interim margin </w:t>
      </w:r>
      <w:r>
        <w:rPr>
          <w:rFonts w:ascii="Times New Roman" w:hAnsi="Times New Roman"/>
          <w:color w:val="000000"/>
          <w:sz w:val="24"/>
          <w:u w:val="single"/>
        </w:rPr>
        <w:t>which contributed 60 basis points to the increase</w:t>
      </w:r>
      <w:r>
        <w:rPr>
          <w:rFonts w:ascii="Times New Roman" w:hAnsi="Times New Roman"/>
          <w:color w:val="000000"/>
          <w:sz w:val="24"/>
        </w:rPr>
        <w:t xml:space="preserve">, the increased demand in our permanent recruitment business </w:t>
      </w:r>
      <w:r>
        <w:rPr>
          <w:rFonts w:ascii="Times New Roman" w:hAnsi="Times New Roman"/>
          <w:color w:val="000000"/>
          <w:sz w:val="24"/>
          <w:u w:val="single"/>
        </w:rPr>
        <w:t>which contributed 90 basis points to the increase</w:t>
      </w:r>
      <w:r>
        <w:rPr>
          <w:rFonts w:ascii="Times New Roman" w:hAnsi="Times New Roman"/>
          <w:color w:val="000000"/>
          <w:sz w:val="20"/>
        </w:rPr>
        <w:t xml:space="preserve"> </w:t>
      </w:r>
      <w:r>
        <w:rPr>
          <w:rFonts w:ascii="Times New Roman" w:hAnsi="Times New Roman"/>
          <w:color w:val="000000"/>
          <w:sz w:val="24"/>
        </w:rPr>
        <w:t xml:space="preserve">and the underlying business mix </w:t>
      </w:r>
      <w:r>
        <w:rPr>
          <w:rFonts w:ascii="Times New Roman" w:hAnsi="Times New Roman"/>
          <w:color w:val="000000"/>
          <w:sz w:val="24"/>
          <w:u w:val="single"/>
        </w:rPr>
        <w:t>which contributed 10 basis points to the increase</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4"/>
        </w:rPr>
        <w:t xml:space="preserve">Selling and administrative expenses decreased -1.1% (increase of 11.3% in constant currency) in 2022 compared to 2021. The decreases are primarily due to the </w:t>
      </w:r>
      <w:r>
        <w:rPr>
          <w:rFonts w:ascii="Times New Roman" w:hAnsi="Times New Roman"/>
          <w:color w:val="000000"/>
          <w:sz w:val="24"/>
          <w:u w:val="single"/>
        </w:rPr>
        <w:t>$82.8 million</w:t>
      </w:r>
      <w:r>
        <w:rPr>
          <w:rFonts w:ascii="Times New Roman" w:hAnsi="Times New Roman"/>
          <w:color w:val="000000"/>
          <w:sz w:val="20"/>
        </w:rPr>
        <w:t xml:space="preserve"> </w:t>
      </w:r>
      <w:r>
        <w:rPr>
          <w:rFonts w:ascii="Times New Roman" w:hAnsi="Times New Roman"/>
          <w:color w:val="000000"/>
          <w:sz w:val="24"/>
        </w:rPr>
        <w:t xml:space="preserve">favorable impact of changes in currency exchange rates, partially offset by a </w:t>
      </w:r>
      <w:r>
        <w:rPr>
          <w:rFonts w:ascii="Times New Roman" w:hAnsi="Times New Roman"/>
          <w:color w:val="000000"/>
          <w:sz w:val="24"/>
          <w:u w:val="single"/>
        </w:rPr>
        <w:t>$70.9 million</w:t>
      </w:r>
      <w:r>
        <w:rPr>
          <w:rFonts w:ascii="Times New Roman" w:hAnsi="Times New Roman"/>
          <w:color w:val="000000"/>
          <w:sz w:val="20"/>
        </w:rPr>
        <w:t xml:space="preserve"> </w:t>
      </w:r>
      <w:r>
        <w:rPr>
          <w:rFonts w:ascii="Times New Roman" w:hAnsi="Times New Roman"/>
          <w:color w:val="000000"/>
          <w:sz w:val="24"/>
        </w:rPr>
        <w:t xml:space="preserve">increase in salary-related costs </w:t>
      </w:r>
      <w:r>
        <w:rPr>
          <w:rFonts w:ascii="Times New Roman" w:hAnsi="Times New Roman"/>
          <w:color w:val="000000"/>
          <w:sz w:val="24"/>
          <w:u w:val="single"/>
        </w:rPr>
        <w:t>primarily</w:t>
      </w:r>
      <w:r>
        <w:rPr>
          <w:rFonts w:ascii="Times New Roman" w:hAnsi="Times New Roman"/>
          <w:color w:val="000000"/>
          <w:sz w:val="20"/>
        </w:rPr>
        <w:t xml:space="preserve"> </w:t>
      </w:r>
      <w:r>
        <w:rPr>
          <w:rFonts w:ascii="Times New Roman" w:hAnsi="Times New Roman"/>
          <w:color w:val="000000"/>
          <w:sz w:val="24"/>
        </w:rPr>
        <w:t>due to higher headcount.</w:t>
      </w:r>
    </w:p>
    <w:p>
      <w:pPr>
        <w:pStyle w:val="TextBody"/>
        <w:bidi w:val="0"/>
        <w:spacing w:before="200" w:after="283"/>
        <w:jc w:val="both"/>
        <w:rPr>
          <w:rFonts w:ascii="Times New Roman" w:hAnsi="Times New Roman"/>
          <w:sz w:val="20"/>
        </w:rPr>
      </w:pPr>
      <w:r>
        <w:rPr>
          <w:rFonts w:ascii="Times New Roman" w:hAnsi="Times New Roman"/>
          <w:color w:val="000000"/>
          <w:sz w:val="24"/>
          <w:u w:val="single"/>
        </w:rPr>
        <w:t>OUP in Northern Europe decreased -37.4% (-26.2% in constant currency), which represents</w:t>
      </w:r>
      <w:r>
        <w:rPr>
          <w:rFonts w:ascii="Times New Roman" w:hAnsi="Times New Roman"/>
          <w:color w:val="000000"/>
          <w:sz w:val="20"/>
        </w:rPr>
        <w:t xml:space="preserve"> </w:t>
      </w:r>
      <w:r>
        <w:rPr>
          <w:rFonts w:ascii="Times New Roman" w:hAnsi="Times New Roman"/>
          <w:color w:val="000000"/>
          <w:sz w:val="24"/>
        </w:rPr>
        <w:t>a 1.0% OUP margin, a decrease from 1.5% in 2021. This OUP decrease was primarily driven by</w:t>
      </w:r>
      <w:r>
        <w:rPr>
          <w:rFonts w:ascii="Times New Roman" w:hAnsi="Times New Roman"/>
          <w:color w:val="000000"/>
          <w:sz w:val="20"/>
          <w:u w:val="single"/>
        </w:rPr>
        <w:t xml:space="preserve"> </w:t>
      </w:r>
      <w:r>
        <w:rPr>
          <w:rFonts w:ascii="Times New Roman" w:hAnsi="Times New Roman"/>
          <w:color w:val="000000"/>
          <w:sz w:val="24"/>
          <w:u w:val="single"/>
        </w:rPr>
        <w:t>a decrease in profitability in our bench model countries, notably Germany, Nordics and Netherlands, which experienced decreases of $9.5 million, $10.1 million and $2.4 million, respectively</w:t>
      </w:r>
      <w:r>
        <w:rPr>
          <w:rFonts w:ascii="Times New Roman" w:hAnsi="Times New Roman"/>
          <w:color w:val="000000"/>
          <w:sz w:val="24"/>
        </w:rPr>
        <w:t xml:space="preserve">, and the loss on the sale of our Russia business of </w:t>
      </w:r>
      <w:r>
        <w:rPr>
          <w:rFonts w:ascii="Times New Roman" w:hAnsi="Times New Roman"/>
          <w:color w:val="000000"/>
          <w:sz w:val="24"/>
          <w:u w:val="single"/>
        </w:rPr>
        <w:t>$8.0 million</w:t>
      </w:r>
      <w:r>
        <w:rPr>
          <w:rFonts w:ascii="Times New Roman" w:hAnsi="Times New Roman"/>
          <w:color w:val="000000"/>
          <w:sz w:val="24"/>
        </w:rPr>
        <w:t xml:space="preserve">, partially offset by the increase in gross profit margin </w:t>
      </w:r>
      <w:r>
        <w:rPr>
          <w:rFonts w:ascii="Times New Roman" w:hAnsi="Times New Roman"/>
          <w:color w:val="000000"/>
          <w:sz w:val="24"/>
          <w:u w:val="single"/>
        </w:rPr>
        <w:t>as noted above.</w:t>
      </w:r>
    </w:p>
    <w:p>
      <w:pPr>
        <w:pStyle w:val="TextBody"/>
        <w:bidi w:val="0"/>
        <w:spacing w:before="200" w:after="283"/>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6" w:after="283"/>
        <w:jc w:val="left"/>
        <w:rPr>
          <w:rFonts w:ascii="Times New Roman" w:hAnsi="Times New Roman"/>
          <w:color w:val="000000"/>
          <w:sz w:val="24"/>
          <w:u w:val="single"/>
        </w:rPr>
      </w:pPr>
      <w:r>
        <w:rPr>
          <w:rFonts w:ascii="Times New Roman" w:hAnsi="Times New Roman"/>
          <w:color w:val="000000"/>
          <w:sz w:val="24"/>
          <w:u w:val="single"/>
        </w:rPr>
        <w:t>Form 8-K furnished October 19, 2023</w:t>
      </w:r>
    </w:p>
    <w:p>
      <w:pPr>
        <w:pStyle w:val="TextBody"/>
        <w:bidi w:val="0"/>
        <w:spacing w:before="76" w:after="283"/>
        <w:jc w:val="left"/>
        <w:rPr/>
      </w:pPr>
      <w:r>
        <w:rPr/>
        <w:t> </w:t>
      </w:r>
    </w:p>
    <w:p>
      <w:pPr>
        <w:pStyle w:val="TextBody"/>
        <w:bidi w:val="0"/>
        <w:spacing w:before="68" w:after="283"/>
        <w:jc w:val="left"/>
        <w:rPr>
          <w:rFonts w:ascii="Times New Roman" w:hAnsi="Times New Roman"/>
          <w:color w:val="000000"/>
          <w:sz w:val="24"/>
          <w:u w:val="single"/>
        </w:rPr>
      </w:pPr>
      <w:r>
        <w:rPr>
          <w:rFonts w:ascii="Times New Roman" w:hAnsi="Times New Roman"/>
          <w:color w:val="000000"/>
          <w:sz w:val="24"/>
          <w:u w:val="single"/>
        </w:rPr>
        <w:t>Exhibit 99.1, page 1</w:t>
      </w:r>
    </w:p>
    <w:p>
      <w:pPr>
        <w:pStyle w:val="TextBody"/>
        <w:bidi w:val="0"/>
        <w:spacing w:before="9"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w:t>
      </w:r>
    </w:p>
    <w:p>
      <w:pPr>
        <w:pStyle w:val="TextBody"/>
        <w:bidi w:val="0"/>
        <w:jc w:val="both"/>
        <w:rPr>
          <w:rFonts w:ascii="Times New Roman" w:hAnsi="Times New Roman"/>
          <w:b/>
          <w:color w:val="000000"/>
          <w:sz w:val="24"/>
        </w:rPr>
      </w:pPr>
      <w:r>
        <w:rPr>
          <w:rFonts w:ascii="Times New Roman" w:hAnsi="Times New Roman"/>
          <w:b/>
          <w:color w:val="000000"/>
          <w:sz w:val="24"/>
        </w:rPr>
        <w:t>You present a non-GAAP measure of Free Cash Flow in the initial bullet points of your earnings release. Please revise to include the disclosures required by Item 10(e)(1)(i) of Regulation S-K.</w:t>
      </w:r>
    </w:p>
    <w:p>
      <w:pPr>
        <w:pStyle w:val="TextBody"/>
        <w:bidi w:val="0"/>
        <w:jc w:val="both"/>
        <w:rPr/>
      </w:pPr>
      <w:r>
        <w:rPr/>
        <w:t> </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Response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We respectfully acknowledge the Staff’s comment and we advise that in future filings that contain non-GAAP measures, including current reports on Form 8-K filed or furnished with the Commission, we will include the disclosures required by Item 10(e)(1)(i) of Regulation S-K.</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Please do not hesitate to call me at 414-906-7977 or Donald Mondano, Senior Vice President, Global Controller and Treasurer at 414-906-7119 with any questions or further comments you may have regarding this filing or if you wish to discuss the above response.</w:t>
      </w:r>
    </w:p>
    <w:p>
      <w:pPr>
        <w:pStyle w:val="TextBody"/>
        <w:bidi w:val="0"/>
        <w:jc w:val="left"/>
        <w:rPr/>
      </w:pPr>
      <w:r>
        <w:rPr/>
        <w:t> </w:t>
      </w:r>
    </w:p>
    <w:p>
      <w:pPr>
        <w:pStyle w:val="TextBody"/>
        <w:bidi w:val="0"/>
        <w:spacing w:before="172" w:after="283"/>
        <w:jc w:val="left"/>
        <w:rPr>
          <w:rFonts w:ascii="Times New Roman" w:hAnsi="Times New Roman"/>
          <w:color w:val="000000"/>
          <w:sz w:val="24"/>
        </w:rPr>
      </w:pPr>
      <w:r>
        <w:rPr>
          <w:rFonts w:ascii="Times New Roman" w:hAnsi="Times New Roman"/>
          <w:color w:val="000000"/>
          <w:sz w:val="24"/>
        </w:rPr>
        <w:t>Sincerely,</w:t>
      </w:r>
    </w:p>
    <w:p>
      <w:pPr>
        <w:pStyle w:val="TextBody"/>
        <w:bidi w:val="0"/>
        <w:spacing w:before="172" w:after="283"/>
        <w:jc w:val="left"/>
        <w:rPr/>
      </w:pPr>
      <w:r>
        <w:rPr/>
        <w:t> </w:t>
      </w:r>
    </w:p>
    <w:p>
      <w:pPr>
        <w:pStyle w:val="TextBody"/>
        <w:bidi w:val="0"/>
        <w:spacing w:before="172" w:after="283"/>
        <w:jc w:val="left"/>
        <w:rPr>
          <w:rFonts w:ascii="Times New Roman" w:hAnsi="Times New Roman"/>
          <w:sz w:val="20"/>
        </w:rPr>
      </w:pPr>
      <w:r>
        <w:rPr>
          <w:rFonts w:ascii="Times New Roman" w:hAnsi="Times New Roman"/>
          <w:color w:val="000000"/>
          <w:sz w:val="24"/>
        </w:rPr>
        <w:t>John T. McGinnis</w:t>
        <w:br/>
        <w:t>Executive Vice President and</w:t>
        <w:br/>
        <w:t>Chief Financial Officer</w:t>
      </w:r>
      <w:r>
        <w:rPr>
          <w:rFonts w:ascii="Times New Roman" w:hAnsi="Times New Roman"/>
          <w:color w:val="000000"/>
          <w:sz w:val="20"/>
        </w:rPr>
        <w:t xml:space="preserve"> </w:t>
      </w:r>
    </w:p>
    <w:p>
      <w:pPr>
        <w:pStyle w:val="TextBody"/>
        <w:bidi w:val="0"/>
        <w:spacing w:before="172" w:after="283"/>
        <w:jc w:val="left"/>
        <w:rPr/>
      </w:pPr>
      <w:r>
        <w:rPr/>
        <w:t> </w:t>
      </w:r>
    </w:p>
    <w:p>
      <w:pPr>
        <w:pStyle w:val="TextBody"/>
        <w:bidi w:val="0"/>
        <w:spacing w:before="172" w:after="283"/>
        <w:jc w:val="left"/>
        <w:rPr>
          <w:rFonts w:ascii="Times New Roman" w:hAnsi="Times New Roman"/>
          <w:color w:val="000000"/>
          <w:sz w:val="24"/>
        </w:rPr>
      </w:pPr>
      <w:r>
        <w:rPr>
          <w:rFonts w:ascii="Times New Roman" w:hAnsi="Times New Roman"/>
          <w:color w:val="000000"/>
          <w:sz w:val="24"/>
        </w:rPr>
        <w:t>cc: Richard Buchband, Senior Vice President, General Counsel and Secretary</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1456</Words>
  <Characters>8121</Characters>
  <CharactersWithSpaces>9570</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