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SCHEDULE 13G. INFORMATION TO BE INCLUDED IN STATEMENTS FILED PURSUANT TO 13D-1(B) AND AMENDMENTS THERETO FILED PURSUANT TO 13D-2(B)</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MANPOWER INC.</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56418H100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 [ ]</w:t>
      </w:r>
    </w:p>
    <w:p>
      <w:pPr>
        <w:spacing w:after="0" w:line="210" w:lineRule="exact"/>
        <w:rPr>
          <w:sz w:val="24"/>
          <w:szCs w:val="24"/>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56418H100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4320" w:hanging="836"/>
        <w:spacing w:after="0" w:line="238" w:lineRule="auto"/>
        <w:tabs>
          <w:tab w:leader="none" w:pos="43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320" w:hanging="836"/>
        <w:spacing w:after="0" w:line="238" w:lineRule="auto"/>
        <w:tabs>
          <w:tab w:leader="none" w:pos="43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ORGANIZED UNDER THE BUSINESS CORPORATIONS ACT (ONTARIO), IN THE COUNTRY OF CANADA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spacing w:after="0"/>
              <w:rPr>
                <w:sz w:val="17"/>
                <w:szCs w:val="17"/>
                <w:color w:val="auto"/>
              </w:rPr>
            </w:pP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4,474,300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000" w:type="dxa"/>
            <w:vAlign w:val="bottom"/>
          </w:tcPr>
          <w:p>
            <w:pPr>
              <w:spacing w:after="0"/>
              <w:rPr>
                <w:sz w:val="17"/>
                <w:szCs w:val="17"/>
                <w:color w:val="auto"/>
              </w:rPr>
            </w:pP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4,474,300</w:t>
            </w:r>
          </w:p>
        </w:tc>
      </w:tr>
    </w:tbl>
    <w:p>
      <w:pPr>
        <w:spacing w:after="0" w:line="4" w:lineRule="exact"/>
        <w:rPr>
          <w:sz w:val="20"/>
          <w:szCs w:val="20"/>
          <w:color w:val="auto"/>
        </w:rPr>
      </w:pPr>
    </w:p>
    <w:p>
      <w:pPr>
        <w:ind w:left="4320" w:right="3359" w:hanging="836"/>
        <w:spacing w:after="0" w:line="235" w:lineRule="auto"/>
        <w:tabs>
          <w:tab w:leader="none" w:pos="43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8" w:lineRule="exact"/>
        <w:rPr>
          <w:rFonts w:ascii="Courier New" w:cs="Courier New" w:eastAsia="Courier New" w:hAnsi="Courier New"/>
          <w:sz w:val="18"/>
          <w:szCs w:val="18"/>
          <w:color w:val="auto"/>
        </w:rPr>
      </w:pPr>
    </w:p>
    <w:p>
      <w:pPr>
        <w:ind w:left="960" w:right="293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4,474,300</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960"/>
        <w:spacing w:after="0"/>
        <w:tabs>
          <w:tab w:leader="none" w:pos="346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960" w:right="4099" w:hanging="952"/>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4.98%</w:t>
      </w:r>
    </w:p>
    <w:p>
      <w:pPr>
        <w:spacing w:after="0" w:line="208" w:lineRule="exact"/>
        <w:rPr>
          <w:rFonts w:ascii="Courier New" w:cs="Courier New" w:eastAsia="Courier New" w:hAnsi="Courier New"/>
          <w:sz w:val="18"/>
          <w:szCs w:val="18"/>
          <w:color w:val="auto"/>
        </w:rPr>
      </w:pPr>
    </w:p>
    <w:p>
      <w:pPr>
        <w:ind w:left="960" w:right="4739" w:hanging="952"/>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919"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5301 NORTH IRONWOOD ROAD</w:t>
      </w:r>
    </w:p>
    <w:p>
      <w:pPr>
        <w:ind w:left="1480"/>
        <w:spacing w:after="0" w:line="238" w:lineRule="auto"/>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AIM Funds Management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5140 Yonge Street</w:t>
      </w:r>
    </w:p>
    <w:p>
      <w:pPr>
        <w:ind w:left="1380"/>
        <w:spacing w:after="0" w:line="238" w:lineRule="auto"/>
        <w:rPr>
          <w:sz w:val="20"/>
          <w:szCs w:val="20"/>
          <w:color w:val="auto"/>
        </w:rPr>
      </w:pPr>
      <w:r>
        <w:rPr>
          <w:rFonts w:ascii="Courier New" w:cs="Courier New" w:eastAsia="Courier New" w:hAnsi="Courier New"/>
          <w:sz w:val="18"/>
          <w:szCs w:val="18"/>
          <w:color w:val="auto"/>
        </w:rPr>
        <w:t>Suite 900</w:t>
      </w:r>
    </w:p>
    <w:p>
      <w:pPr>
        <w:ind w:left="1380"/>
        <w:spacing w:after="0"/>
        <w:tabs>
          <w:tab w:leader="none" w:pos="3260" w:val="left"/>
        </w:tabs>
        <w:rPr>
          <w:sz w:val="20"/>
          <w:szCs w:val="20"/>
          <w:color w:val="auto"/>
        </w:rPr>
      </w:pPr>
      <w:r>
        <w:rPr>
          <w:rFonts w:ascii="Courier New" w:cs="Courier New" w:eastAsia="Courier New" w:hAnsi="Courier New"/>
          <w:sz w:val="18"/>
          <w:szCs w:val="18"/>
          <w:color w:val="auto"/>
        </w:rPr>
        <w:t>Toronto, Ontario</w:t>
      </w:r>
      <w:r>
        <w:rPr>
          <w:sz w:val="20"/>
          <w:szCs w:val="20"/>
          <w:color w:val="auto"/>
        </w:rPr>
        <w:tab/>
      </w:r>
      <w:r>
        <w:rPr>
          <w:rFonts w:ascii="Courier New" w:cs="Courier New" w:eastAsia="Courier New" w:hAnsi="Courier New"/>
          <w:sz w:val="16"/>
          <w:szCs w:val="16"/>
          <w:color w:val="auto"/>
        </w:rPr>
        <w:t>M2N 6X7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Organized under the laws of ONTARIO</w:t>
      </w:r>
    </w:p>
    <w:p>
      <w:pPr>
        <w:spacing w:after="0" w:line="201" w:lineRule="exact"/>
        <w:rPr>
          <w:sz w:val="20"/>
          <w:szCs w:val="20"/>
          <w:color w:val="auto"/>
        </w:rPr>
      </w:pPr>
    </w:p>
    <w:p>
      <w:pPr>
        <w:jc w:val="center"/>
        <w:ind w:right="5999"/>
        <w:spacing w:after="0"/>
        <w:tabs>
          <w:tab w:leader="none" w:pos="20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SHARES</w:t>
      </w:r>
    </w:p>
    <w:p>
      <w:pPr>
        <w:spacing w:after="0" w:line="201" w:lineRule="exact"/>
        <w:rPr>
          <w:sz w:val="20"/>
          <w:szCs w:val="20"/>
          <w:color w:val="auto"/>
        </w:rPr>
      </w:pPr>
    </w:p>
    <w:p>
      <w:pPr>
        <w:spacing w:after="0"/>
        <w:tabs>
          <w:tab w:leader="none" w:pos="1260" w:val="left"/>
          <w:tab w:leader="none" w:pos="2940" w:val="left"/>
        </w:tabs>
        <w:rPr>
          <w:sz w:val="20"/>
          <w:szCs w:val="20"/>
          <w:color w:val="auto"/>
        </w:rPr>
      </w:pPr>
      <w:r>
        <w:rPr>
          <w:rFonts w:ascii="Courier New" w:cs="Courier New" w:eastAsia="Courier New" w:hAnsi="Courier New"/>
          <w:sz w:val="18"/>
          <w:szCs w:val="18"/>
          <w:color w:val="auto"/>
        </w:rPr>
        <w:t>ITEM 2 (e)</w:t>
        <w:tab/>
        <w:t>CUSIP NUMBER:</w:t>
      </w:r>
      <w:r>
        <w:rPr>
          <w:sz w:val="20"/>
          <w:szCs w:val="20"/>
          <w:color w:val="auto"/>
        </w:rPr>
        <w:tab/>
      </w:r>
      <w:r>
        <w:rPr>
          <w:rFonts w:ascii="Courier New" w:cs="Courier New" w:eastAsia="Courier New" w:hAnsi="Courier New"/>
          <w:sz w:val="16"/>
          <w:szCs w:val="16"/>
          <w:color w:val="auto"/>
        </w:rPr>
        <w:t>56418H100</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128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1060" w:right="2519" w:hanging="1052"/>
        <w:spacing w:after="0" w:line="235" w:lineRule="auto"/>
        <w:tabs>
          <w:tab w:leader="none" w:pos="5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060" w:right="2319" w:hanging="1052"/>
        <w:spacing w:after="0" w:line="235" w:lineRule="auto"/>
        <w:tabs>
          <w:tab w:leader="none" w:pos="5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060" w:right="1879" w:hanging="1052"/>
        <w:spacing w:after="0" w:line="236" w:lineRule="auto"/>
        <w:tabs>
          <w:tab w:leader="none" w:pos="5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provisions of Employee Retirement Income Security Act of 1974 or Endowment Fund; see Rule 13d-1(b)(1)(ii)(F).</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4" w:lineRule="exact"/>
        <w:rPr>
          <w:rFonts w:ascii="Courier New" w:cs="Courier New" w:eastAsia="Courier New" w:hAnsi="Courier New"/>
          <w:sz w:val="18"/>
          <w:szCs w:val="18"/>
          <w:color w:val="auto"/>
        </w:rPr>
      </w:pPr>
    </w:p>
    <w:p>
      <w:pPr>
        <w:ind w:left="1060" w:right="2519" w:hanging="1052"/>
        <w:spacing w:after="0" w:line="235" w:lineRule="auto"/>
        <w:tabs>
          <w:tab w:leader="none" w:pos="5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060" w:right="1999" w:hanging="1052"/>
        <w:spacing w:after="0" w:line="236" w:lineRule="auto"/>
        <w:tabs>
          <w:tab w:leader="none" w:pos="5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4 (a) - (c) OWNERSHIP: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information in items 1 and 5-11 on the cover page (p 2) of this statement on Schedule 13G is hereby incorporated by reference.</w:t>
      </w:r>
    </w:p>
    <w:p>
      <w:pPr>
        <w:sectPr>
          <w:pgSz w:w="11900" w:h="16838" w:orient="portrait"/>
          <w:cols w:equalWidth="0" w:num="1">
            <w:col w:w="10219"/>
          </w:cols>
          <w:pgMar w:left="240" w:top="919" w:right="1440" w:bottom="1440" w:gutter="0" w:footer="0" w:header="0"/>
        </w:sectPr>
      </w:pPr>
    </w:p>
    <w:p>
      <w:pPr>
        <w:spacing w:after="0" w:line="208"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Not Applicable.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5820" w:space="720"/>
            <w:col w:w="3679"/>
          </w:cols>
          <w:pgMar w:left="240" w:top="919" w:right="1440" w:bottom="1440" w:gutter="0" w:footer="0" w:header="0"/>
          <w:type w:val="continuous"/>
        </w:sectPr>
      </w:pPr>
    </w:p>
    <w:p>
      <w:pPr>
        <w:spacing w:after="0" w:line="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line="208" w:lineRule="exact"/>
        <w:rPr>
          <w:sz w:val="20"/>
          <w:szCs w:val="20"/>
          <w:color w:val="auto"/>
        </w:rPr>
      </w:pPr>
    </w:p>
    <w:p>
      <w:pPr>
        <w:ind w:left="1060" w:right="1999" w:hanging="1052"/>
        <w:spacing w:after="0" w:line="268"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SUBSIDIARIES WHICH ACQUIRED THE SECURITY BEING REPORTED ON BY THE PARENT HOLDING COMPANY:</w:t>
      </w:r>
    </w:p>
    <w:p>
      <w:pPr>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A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type w:val="continuous"/>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2004</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Susan J. Han</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Susan J. Han,</w:t>
      </w:r>
    </w:p>
    <w:p>
      <w:pPr>
        <w:spacing w:after="0" w:line="4" w:lineRule="exact"/>
        <w:rPr>
          <w:rFonts w:ascii="Courier New" w:cs="Courier New" w:eastAsia="Courier New" w:hAnsi="Courier New"/>
          <w:sz w:val="18"/>
          <w:szCs w:val="18"/>
          <w:color w:val="auto"/>
        </w:rPr>
      </w:pPr>
    </w:p>
    <w:p>
      <w:pPr>
        <w:ind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Senior Vice President &amp; General Counsel AIM Funds Management Inc.</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2019-12-11T21:34:29Z</dcterms:created>
  <dcterms:modified xsi:type="dcterms:W3CDTF">2019-12-11T21:34:29Z</dcterms:modified>
</cp:coreProperties>
</file>