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318135</wp:posOffset>
            </wp:positionH>
            <wp:positionV relativeFrom="page">
              <wp:posOffset>165100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207645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230505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223520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5940" w:type="dxa"/>
            <w:vAlign w:val="bottom"/>
            <w:gridSpan w:val="3"/>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147"/>
        </w:trPr>
        <w:tc>
          <w:tcPr>
            <w:tcW w:w="5940" w:type="dxa"/>
            <w:vAlign w:val="bottom"/>
            <w:gridSpan w:val="3"/>
          </w:tcPr>
          <w:p>
            <w:pPr>
              <w:jc w:val="center"/>
              <w:ind w:right="348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6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5940" w:type="dxa"/>
            <w:vAlign w:val="bottom"/>
            <w:gridSpan w:val="3"/>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594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100 Manpower Place</w:t>
            </w:r>
          </w:p>
        </w:tc>
        <w:tc>
          <w:tcPr>
            <w:tcW w:w="1340" w:type="dxa"/>
            <w:vAlign w:val="bottom"/>
          </w:tcPr>
          <w:p>
            <w:pPr>
              <w:spacing w:after="0"/>
              <w:rPr>
                <w:sz w:val="24"/>
                <w:szCs w:val="24"/>
                <w:color w:val="auto"/>
              </w:rPr>
            </w:pPr>
          </w:p>
        </w:tc>
      </w:tr>
      <w:tr>
        <w:trPr>
          <w:trHeight w:val="225"/>
        </w:trPr>
        <w:tc>
          <w:tcPr>
            <w:tcW w:w="5940" w:type="dxa"/>
            <w:vAlign w:val="bottom"/>
            <w:gridSpan w:val="3"/>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Milwaukee, Wisconsin</w:t>
            </w:r>
          </w:p>
        </w:tc>
        <w:tc>
          <w:tcPr>
            <w:tcW w:w="134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187"/>
        </w:trPr>
        <w:tc>
          <w:tcPr>
            <w:tcW w:w="5940" w:type="dxa"/>
            <w:vAlign w:val="bottom"/>
            <w:gridSpan w:val="3"/>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2"/>
        </w:trPr>
        <w:tc>
          <w:tcPr>
            <w:tcW w:w="278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6"/>
        </w:trPr>
        <w:tc>
          <w:tcPr>
            <w:tcW w:w="5940" w:type="dxa"/>
            <w:vAlign w:val="bottom"/>
            <w:gridSpan w:val="3"/>
          </w:tcPr>
          <w:p>
            <w:pPr>
              <w:jc w:val="center"/>
              <w:ind w:left="1819"/>
              <w:spacing w:after="0"/>
              <w:rPr>
                <w:sz w:val="20"/>
                <w:szCs w:val="20"/>
                <w:color w:val="auto"/>
              </w:rPr>
            </w:pPr>
            <w:r>
              <w:rPr>
                <w:rFonts w:ascii="Times New Roman" w:cs="Times New Roman" w:eastAsia="Times New Roman" w:hAnsi="Times New Roman"/>
                <w:sz w:val="18"/>
                <w:szCs w:val="18"/>
                <w:b w:val="1"/>
                <w:bCs w:val="1"/>
                <w:color w:val="auto"/>
                <w:w w:val="98"/>
              </w:rPr>
              <w:t>Equity Incentive Plan of ManpowerGroup Inc.</w:t>
            </w:r>
          </w:p>
        </w:tc>
        <w:tc>
          <w:tcPr>
            <w:tcW w:w="1340" w:type="dxa"/>
            <w:vAlign w:val="bottom"/>
          </w:tcPr>
          <w:p>
            <w:pPr>
              <w:spacing w:after="0"/>
              <w:rPr>
                <w:sz w:val="24"/>
                <w:szCs w:val="24"/>
                <w:color w:val="auto"/>
              </w:rPr>
            </w:pPr>
          </w:p>
        </w:tc>
      </w:tr>
      <w:tr>
        <w:trPr>
          <w:trHeight w:val="187"/>
        </w:trPr>
        <w:tc>
          <w:tcPr>
            <w:tcW w:w="2780" w:type="dxa"/>
            <w:vAlign w:val="bottom"/>
          </w:tcPr>
          <w:p>
            <w:pPr>
              <w:spacing w:after="0"/>
              <w:rPr>
                <w:sz w:val="16"/>
                <w:szCs w:val="16"/>
                <w:color w:val="auto"/>
              </w:rPr>
            </w:pPr>
          </w:p>
        </w:tc>
        <w:tc>
          <w:tcPr>
            <w:tcW w:w="31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(Full title of plan)</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210820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Michelle S. Nettles</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People and Legal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Milwaukee, Wisconsin 53212</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(414) 961-1000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Dennis F. Connolly</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Godfrey &amp; Kahn, S.C.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833 East Michigan Street, Suite 1800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Milwaukee, WI 53202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(414) 273-3500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333" w:right="55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INCORPORATION OF CERTAIN INFORMATION BY REFERENCE</w:t>
      </w:r>
    </w:p>
    <w:p>
      <w:pPr>
        <w:spacing w:after="0" w:line="224"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This Registration Statement is being filed by ManpowerGroup Inc. (the “Registrant”) pursuant to General Instruction E to Form S-8 under the Securities Act. The information included and incorporated by reference in the registration statements on Form S-8 filed by the Registrant (Registration Nos. 333-174305, 333-195833, and 333-238801) pursuant to the Securities Act on May 18, 2011, May 9, 2014, and May 29, 2020, respectively, are incorporated by reference into this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1" w:lineRule="exact"/>
        <w:rPr>
          <w:sz w:val="20"/>
          <w:szCs w:val="20"/>
          <w:color w:val="auto"/>
        </w:rPr>
      </w:pPr>
    </w:p>
    <w:p>
      <w:pPr>
        <w:ind w:left="760" w:right="100" w:hanging="774"/>
        <w:spacing w:after="0" w:line="277" w:lineRule="auto"/>
        <w:tabs>
          <w:tab w:leader="none" w:pos="7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Equity Incentive Plan of ManpowerGroup Inc. (incorporated by reference to </w:t>
      </w:r>
      <w:hyperlink r:id="rId19">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the Registrant’s Current Report on </w:t>
      </w:r>
      <w:hyperlink r:id="rId20">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xml:space="preserve"> filed on May 8, 2026)</w:t>
      </w:r>
    </w:p>
    <w:p>
      <w:pPr>
        <w:spacing w:after="0" w:line="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Godfrey &amp; Kahn, S.C.</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Godfrey &amp; Kahn, S.C. (included in Exhibit 5.1)</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Deloitte &amp; Touche LLP</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Powers of Attorney</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ectPr>
          <w:pgSz w:w="11900" w:h="16838" w:orient="portrait"/>
          <w:cols w:equalWidth="0" w:num="1">
            <w:col w:w="10720"/>
          </w:cols>
          <w:pgMar w:left="500" w:top="264" w:right="6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May 12, 2026.</w:t>
      </w:r>
    </w:p>
    <w:p>
      <w:pPr>
        <w:spacing w:after="0" w:line="19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Michelle S. Nettles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Michelle S. Nettles</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Executive Vice President, Chief People and Legal</w:t>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Officer</w:t>
      </w:r>
    </w:p>
    <w:p>
      <w:pPr>
        <w:spacing w:after="0" w:line="30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Act of 1933, the registration statement has been signed by the following persons in the capacities and on the date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040" w:type="dxa"/>
            <w:vAlign w:val="bottom"/>
            <w:vMerge w:val="restart"/>
          </w:tcPr>
          <w:p>
            <w:pPr>
              <w:jc w:val="right"/>
              <w:ind w:right="2391"/>
              <w:spacing w:after="0"/>
              <w:rPr>
                <w:sz w:val="20"/>
                <w:szCs w:val="20"/>
                <w:color w:val="auto"/>
              </w:rPr>
            </w:pPr>
            <w:r>
              <w:rPr>
                <w:rFonts w:ascii="Times New Roman" w:cs="Times New Roman" w:eastAsia="Times New Roman" w:hAnsi="Times New Roman"/>
                <w:sz w:val="18"/>
                <w:szCs w:val="18"/>
                <w:color w:val="auto"/>
              </w:rPr>
              <w:t>Prising</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7"/>
        </w:trPr>
        <w:tc>
          <w:tcPr>
            <w:tcW w:w="600" w:type="dxa"/>
            <w:vAlign w:val="bottom"/>
            <w:tcBorders>
              <w:bottom w:val="single" w:sz="8" w:color="auto"/>
            </w:tcBorders>
            <w:gridSpan w:val="4"/>
          </w:tcPr>
          <w:p>
            <w:pPr>
              <w:spacing w:after="0" w:line="187" w:lineRule="exact"/>
              <w:rPr>
                <w:sz w:val="20"/>
                <w:szCs w:val="20"/>
                <w:color w:val="auto"/>
              </w:rPr>
            </w:pPr>
            <w:r>
              <w:rPr>
                <w:rFonts w:ascii="Times New Roman" w:cs="Times New Roman" w:eastAsia="Times New Roman" w:hAnsi="Times New Roman"/>
                <w:sz w:val="18"/>
                <w:szCs w:val="18"/>
                <w:color w:val="auto"/>
                <w:w w:val="94"/>
              </w:rPr>
              <w:t>/s/ Jonas</w:t>
            </w:r>
          </w:p>
        </w:tc>
        <w:tc>
          <w:tcPr>
            <w:tcW w:w="3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Chief Executive Officer and a Director</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Jonas Prising</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John T. McGinnis</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John T. McGinnis</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Eric Rozek</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and Global Controller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Eric Rozek</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3040" w:type="dxa"/>
            <w:vAlign w:val="bottom"/>
            <w:tcBorders>
              <w:bottom w:val="single" w:sz="8" w:color="auto"/>
            </w:tcBorders>
          </w:tcPr>
          <w:p>
            <w:pPr>
              <w:jc w:val="right"/>
              <w:ind w:right="2751"/>
              <w:spacing w:after="0"/>
              <w:rPr>
                <w:sz w:val="20"/>
                <w:szCs w:val="20"/>
                <w:color w:val="auto"/>
              </w:rPr>
            </w:pPr>
            <w:r>
              <w:rPr>
                <w:rFonts w:ascii="Times New Roman" w:cs="Times New Roman" w:eastAsia="Times New Roman" w:hAnsi="Times New Roman"/>
                <w:sz w:val="18"/>
                <w:szCs w:val="18"/>
                <w:color w:val="auto"/>
              </w:rPr>
              <w:t>*</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Jean-Philippe Courtois</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John F. Ferraro</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William P. Gipson</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Julie M. Howard</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Ulice Payne, Jr.</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Muriel Pénicaud</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3040" w:type="dxa"/>
            <w:vAlign w:val="bottom"/>
            <w:tcBorders>
              <w:bottom w:val="single" w:sz="8" w:color="auto"/>
            </w:tcBorders>
          </w:tcPr>
          <w:p>
            <w:pPr>
              <w:jc w:val="right"/>
              <w:ind w:right="2751"/>
              <w:spacing w:after="0"/>
              <w:rPr>
                <w:sz w:val="20"/>
                <w:szCs w:val="20"/>
                <w:color w:val="auto"/>
              </w:rPr>
            </w:pPr>
            <w:r>
              <w:rPr>
                <w:rFonts w:ascii="Times New Roman" w:cs="Times New Roman" w:eastAsia="Times New Roman" w:hAnsi="Times New Roman"/>
                <w:sz w:val="18"/>
                <w:szCs w:val="18"/>
                <w:color w:val="auto"/>
              </w:rPr>
              <w:t>*</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Paul Read</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640" w:type="dxa"/>
            <w:vAlign w:val="bottom"/>
            <w:tcBorders>
              <w:bottom w:val="single" w:sz="8" w:color="auto"/>
            </w:tcBorders>
            <w:gridSpan w:val="5"/>
          </w:tcPr>
          <w:p>
            <w:pPr>
              <w:jc w:val="right"/>
              <w:ind w:right="2751"/>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12, 2026</w:t>
            </w:r>
          </w:p>
        </w:tc>
        <w:tc>
          <w:tcPr>
            <w:tcW w:w="0" w:type="dxa"/>
            <w:vAlign w:val="bottom"/>
          </w:tcPr>
          <w:p>
            <w:pPr>
              <w:spacing w:after="0"/>
              <w:rPr>
                <w:sz w:val="1"/>
                <w:szCs w:val="1"/>
                <w:color w:val="auto"/>
              </w:rPr>
            </w:pPr>
          </w:p>
        </w:tc>
      </w:tr>
      <w:tr>
        <w:trPr>
          <w:trHeight w:val="226"/>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Elizabeth P. Sartain</w:t>
            </w: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500" w:top="264" w:right="499" w:bottom="1440" w:gutter="0" w:footer="0" w:header="0"/>
        </w:sectPr>
      </w:pPr>
    </w:p>
    <w:bookmarkStart w:id="3" w:name="page4"/>
    <w:bookmarkEnd w:id="3"/>
    <w:p>
      <w:pPr>
        <w:ind w:left="6"/>
        <w:spacing w:after="0"/>
        <w:tabs>
          <w:tab w:leader="none" w:pos="166" w:val="left"/>
          <w:tab w:leader="none" w:pos="346" w:val="left"/>
          <w:tab w:leader="none" w:pos="506" w:val="left"/>
          <w:tab w:leader="none" w:pos="686" w:val="left"/>
          <w:tab w:leader="none" w:pos="3826" w:val="left"/>
          <w:tab w:leader="none" w:pos="9766"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w:t>
        <w:tab/>
        <w:t> </w:t>
        <w:tab/>
        <w:t> </w:t>
        <w:tab/>
        <w:t> </w:t>
        <w:tab/>
        <w:t>*</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06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By: /s/ Michelle S. Nettles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15875</wp:posOffset>
            </wp:positionV>
            <wp:extent cx="253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18"/>
          <w:szCs w:val="18"/>
          <w:color w:val="auto"/>
        </w:rPr>
        <w:t>Michelle S. Nettles</w:t>
      </w:r>
    </w:p>
    <w:p>
      <w:pPr>
        <w:spacing w:after="0" w:line="26"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18"/>
          <w:szCs w:val="18"/>
          <w:color w:val="auto"/>
        </w:rPr>
        <w:t>Attorney-in-Fact*</w:t>
      </w:r>
    </w:p>
    <w:p>
      <w:pPr>
        <w:spacing w:after="0" w:line="228" w:lineRule="exact"/>
        <w:rPr>
          <w:sz w:val="20"/>
          <w:szCs w:val="20"/>
          <w:color w:val="auto"/>
        </w:rPr>
      </w:pPr>
    </w:p>
    <w:p>
      <w:pPr>
        <w:ind w:left="426" w:hanging="426"/>
        <w:spacing w:after="0"/>
        <w:tabs>
          <w:tab w:leader="none" w:pos="4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authority granted by powers of attorney, copies of which are filed herewith.</w:t>
      </w:r>
    </w:p>
    <w:p>
      <w:pPr>
        <w:sectPr>
          <w:pgSz w:w="11900" w:h="16838" w:orient="portrait"/>
          <w:cols w:equalWidth="0" w:num="1">
            <w:col w:w="10786"/>
          </w:cols>
          <w:pgMar w:left="494" w:top="268"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226504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265045" cy="262890"/>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171450</wp:posOffset>
            </wp:positionV>
            <wp:extent cx="1840865" cy="695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840865" cy="69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Manpower Place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We have acted as your counsel in connection with the issuance by ManpowerGroup Inc., a Wisconsin corporation (the “Company”), of up to 1,100,000 additional shares of common stock, $0.01 par value (the “Shares”), pursuant to the Equity Incentive Plan of ManpowerGroup Inc. (the “Plan”), as described in the Company’s prospectus dated as of the date hereof (the “Prospectus”) relating to the Company’s Registration Statement on Form S-8, to be filed with the Securities and Exchange Commission on May 12, 2026 (the “Registration Statement”).</w:t>
      </w:r>
    </w:p>
    <w:p>
      <w:pPr>
        <w:spacing w:after="0" w:line="182"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We have examined: (a) the Plan, the Prospectus and the Registration Statement, (b) the Company’s Amended and Restated Articles of Incorporation and Amended and Restated By-Laws, each as amended to date, (c) certain resolutions of the Company’s Board of Directors, and (d) such other proceedings, documents and records as we have deemed necessary to enable us to render this opinion.</w:t>
      </w:r>
    </w:p>
    <w:p>
      <w:pPr>
        <w:spacing w:after="0" w:line="177" w:lineRule="exact"/>
        <w:rPr>
          <w:sz w:val="20"/>
          <w:szCs w:val="20"/>
          <w:color w:val="auto"/>
        </w:rPr>
      </w:pPr>
    </w:p>
    <w:p>
      <w:pPr>
        <w:ind w:right="260" w:firstLine="436"/>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in accordance with the terms of the Plan, will be validly issued, fully paid and nonassessable.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w:t>
      </w:r>
    </w:p>
    <w:p>
      <w:pPr>
        <w:spacing w:after="0" w:line="2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/s/ Godfrey &amp; Kahn, S.C.</w:t>
      </w:r>
    </w:p>
    <w:p>
      <w:pPr>
        <w:spacing w:after="0" w:line="22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GODFREY &amp; KAHN,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109220</wp:posOffset>
            </wp:positionV>
            <wp:extent cx="3681095" cy="220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681095" cy="22034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23, 2026, relating to the financial statements of ManpowerGroup, Inc. and the effectiveness of ManpowerGroup, Inc.’s internal control over financial reporting, appearing in the Annual Report on Form 10-K of ManpowerGroup,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ectPr>
          <w:pgSz w:w="11900" w:h="16838" w:orient="portrait"/>
          <w:cols w:equalWidth="0" w:num="1">
            <w:col w:w="10900"/>
          </w:cols>
          <w:pgMar w:left="500" w:top="117"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POWERS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 for the Equity Incentive Plan)</w:t>
      </w:r>
    </w:p>
    <w:p>
      <w:pPr>
        <w:spacing w:after="0" w:line="202"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Each of the undersigned directors of ManpowerGroup Inc. (the “Company”) hereby constitutes and appoints Michelle S. Nettles and Dale Johnson,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the Company’s Registration Statement on Form S-8 relating to the Equity Incentive Plan, as amended, and to file the same, with all exhibits thereto, other documents in connection therewith, and any amendments to any of the foregoing, including post-effective amendments and/or supplements to said Form S-8,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WITNESS WHEREOF, the undersigned have each executed this Power of Attorney, on one or more counterparts, as of the 8th day of May,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 Jean-Philippe Courtois</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John F. Ferraro</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Jean-Philippe Courtois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F. Ferraro</w:t>
            </w:r>
          </w:p>
        </w:tc>
        <w:tc>
          <w:tcPr>
            <w:tcW w:w="320" w:type="dxa"/>
            <w:vAlign w:val="bottom"/>
          </w:tcPr>
          <w:p>
            <w:pPr>
              <w:spacing w:after="0"/>
              <w:rPr>
                <w:sz w:val="19"/>
                <w:szCs w:val="19"/>
                <w:color w:val="auto"/>
              </w:rPr>
            </w:pPr>
          </w:p>
        </w:tc>
      </w:tr>
      <w:tr>
        <w:trPr>
          <w:trHeight w:val="42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 William P. Gipson</w:t>
            </w:r>
          </w:p>
        </w:tc>
        <w:tc>
          <w:tcPr>
            <w:tcW w:w="500" w:type="dxa"/>
            <w:vAlign w:val="bottom"/>
          </w:tcPr>
          <w:p>
            <w:pPr>
              <w:spacing w:after="0"/>
              <w:rPr>
                <w:sz w:val="24"/>
                <w:szCs w:val="24"/>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Julie M. Howard</w:t>
            </w:r>
          </w:p>
        </w:tc>
        <w:tc>
          <w:tcPr>
            <w:tcW w:w="320" w:type="dxa"/>
            <w:vAlign w:val="bottom"/>
          </w:tcPr>
          <w:p>
            <w:pPr>
              <w:spacing w:after="0"/>
              <w:rPr>
                <w:sz w:val="24"/>
                <w:szCs w:val="24"/>
                <w:color w:val="auto"/>
              </w:rPr>
            </w:pPr>
          </w:p>
        </w:tc>
      </w:tr>
      <w:tr>
        <w:trPr>
          <w:trHeight w:val="2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P. Gipson</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Julie M. Howard</w:t>
            </w:r>
          </w:p>
        </w:tc>
        <w:tc>
          <w:tcPr>
            <w:tcW w:w="320" w:type="dxa"/>
            <w:vAlign w:val="bottom"/>
          </w:tcPr>
          <w:p>
            <w:pPr>
              <w:spacing w:after="0"/>
              <w:rPr>
                <w:sz w:val="19"/>
                <w:szCs w:val="19"/>
                <w:color w:val="auto"/>
              </w:rPr>
            </w:pPr>
          </w:p>
        </w:tc>
      </w:tr>
      <w:tr>
        <w:trPr>
          <w:trHeight w:val="42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 Ulice Payne, Jr.</w:t>
            </w:r>
          </w:p>
        </w:tc>
        <w:tc>
          <w:tcPr>
            <w:tcW w:w="500" w:type="dxa"/>
            <w:vAlign w:val="bottom"/>
          </w:tcPr>
          <w:p>
            <w:pPr>
              <w:spacing w:after="0"/>
              <w:rPr>
                <w:sz w:val="24"/>
                <w:szCs w:val="24"/>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Muriel Pénicaud</w:t>
            </w:r>
          </w:p>
        </w:tc>
        <w:tc>
          <w:tcPr>
            <w:tcW w:w="320" w:type="dxa"/>
            <w:vAlign w:val="bottom"/>
          </w:tcPr>
          <w:p>
            <w:pPr>
              <w:spacing w:after="0"/>
              <w:rPr>
                <w:sz w:val="24"/>
                <w:szCs w:val="24"/>
                <w:color w:val="auto"/>
              </w:rPr>
            </w:pPr>
          </w:p>
        </w:tc>
      </w:tr>
      <w:tr>
        <w:trPr>
          <w:trHeight w:val="2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Ulice Payne, Jr.</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Muriel Pénicaud</w:t>
            </w:r>
          </w:p>
        </w:tc>
        <w:tc>
          <w:tcPr>
            <w:tcW w:w="320" w:type="dxa"/>
            <w:vAlign w:val="bottom"/>
          </w:tcPr>
          <w:p>
            <w:pPr>
              <w:spacing w:after="0"/>
              <w:rPr>
                <w:sz w:val="19"/>
                <w:szCs w:val="19"/>
                <w:color w:val="auto"/>
              </w:rPr>
            </w:pPr>
          </w:p>
        </w:tc>
      </w:tr>
      <w:tr>
        <w:trPr>
          <w:trHeight w:val="42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 Jonas Prising</w:t>
            </w:r>
          </w:p>
        </w:tc>
        <w:tc>
          <w:tcPr>
            <w:tcW w:w="500" w:type="dxa"/>
            <w:vAlign w:val="bottom"/>
          </w:tcPr>
          <w:p>
            <w:pPr>
              <w:spacing w:after="0"/>
              <w:rPr>
                <w:sz w:val="24"/>
                <w:szCs w:val="24"/>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Paul Read</w:t>
            </w:r>
          </w:p>
        </w:tc>
        <w:tc>
          <w:tcPr>
            <w:tcW w:w="320" w:type="dxa"/>
            <w:vAlign w:val="bottom"/>
          </w:tcPr>
          <w:p>
            <w:pPr>
              <w:spacing w:after="0"/>
              <w:rPr>
                <w:sz w:val="24"/>
                <w:szCs w:val="24"/>
                <w:color w:val="auto"/>
              </w:rPr>
            </w:pPr>
          </w:p>
        </w:tc>
      </w:tr>
      <w:tr>
        <w:trPr>
          <w:trHeight w:val="2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Jonas Prising</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Read</w:t>
            </w:r>
          </w:p>
        </w:tc>
        <w:tc>
          <w:tcPr>
            <w:tcW w:w="320" w:type="dxa"/>
            <w:vAlign w:val="bottom"/>
          </w:tcPr>
          <w:p>
            <w:pPr>
              <w:spacing w:after="0"/>
              <w:rPr>
                <w:sz w:val="19"/>
                <w:szCs w:val="19"/>
                <w:color w:val="auto"/>
              </w:rPr>
            </w:pPr>
          </w:p>
        </w:tc>
      </w:tr>
      <w:tr>
        <w:trPr>
          <w:trHeight w:val="42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 Elizabeth P. Sartain</w:t>
            </w:r>
          </w:p>
        </w:tc>
        <w:tc>
          <w:tcPr>
            <w:tcW w:w="500" w:type="dxa"/>
            <w:vAlign w:val="bottom"/>
          </w:tcPr>
          <w:p>
            <w:pPr>
              <w:spacing w:after="0"/>
              <w:rPr>
                <w:sz w:val="24"/>
                <w:szCs w:val="24"/>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Michael J. Van Handel</w:t>
            </w:r>
          </w:p>
        </w:tc>
        <w:tc>
          <w:tcPr>
            <w:tcW w:w="320" w:type="dxa"/>
            <w:vAlign w:val="bottom"/>
          </w:tcPr>
          <w:p>
            <w:pPr>
              <w:spacing w:after="0"/>
              <w:rPr>
                <w:sz w:val="24"/>
                <w:szCs w:val="24"/>
                <w:color w:val="auto"/>
              </w:rPr>
            </w:pPr>
          </w:p>
        </w:tc>
      </w:tr>
      <w:tr>
        <w:trPr>
          <w:trHeight w:val="2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Elizabeth P. Sartain</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 Van Handel</w:t>
            </w:r>
          </w:p>
        </w:tc>
        <w:tc>
          <w:tcPr>
            <w:tcW w:w="320" w:type="dxa"/>
            <w:vAlign w:val="bottom"/>
          </w:tcPr>
          <w:p>
            <w:pPr>
              <w:spacing w:after="0"/>
              <w:rPr>
                <w:sz w:val="19"/>
                <w:szCs w:val="19"/>
                <w:color w:val="auto"/>
              </w:rPr>
            </w:pPr>
          </w:p>
        </w:tc>
      </w:tr>
    </w:tbl>
    <w:p>
      <w:pPr>
        <w:sectPr>
          <w:pgSz w:w="11900" w:h="16838" w:orient="portrait"/>
          <w:cols w:equalWidth="0" w:num="1">
            <w:col w:w="10900"/>
          </w:cols>
          <w:pgMar w:left="500" w:top="117" w:right="49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740"/>
        <w:spacing w:after="0"/>
        <w:rPr>
          <w:sz w:val="20"/>
          <w:szCs w:val="20"/>
          <w:color w:val="auto"/>
        </w:rPr>
      </w:pPr>
      <w:r>
        <w:rPr>
          <w:rFonts w:ascii="Arial" w:cs="Arial" w:eastAsia="Arial" w:hAnsi="Arial"/>
          <w:sz w:val="36"/>
          <w:szCs w:val="36"/>
          <w:b w:val="1"/>
          <w:bCs w:val="1"/>
          <w:color w:val="auto"/>
        </w:rPr>
        <w:t>ManpowerGroup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1,100,000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$ 29.64</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$ 4,502.61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32,604,000.00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$ 4,502.61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32,604,000.00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$ 4,502.61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60" w:hanging="225"/>
        <w:spacing w:after="0" w:line="235" w:lineRule="auto"/>
        <w:tabs>
          <w:tab w:leader="none" w:pos="800" w:val="left"/>
        </w:tabs>
        <w:numPr>
          <w:ilvl w:val="0"/>
          <w:numId w:val="2"/>
        </w:numPr>
        <w:rPr>
          <w:rFonts w:ascii="Arial" w:cs="Arial" w:eastAsia="Arial" w:hAnsi="Arial"/>
          <w:sz w:val="27"/>
          <w:szCs w:val="27"/>
          <w:color w:val="auto"/>
          <w:vertAlign w:val="superscript"/>
        </w:rPr>
      </w:pPr>
      <w:r>
        <w:rPr>
          <w:rFonts w:ascii="Arial" w:cs="Arial" w:eastAsia="Arial" w:hAnsi="Arial"/>
          <w:sz w:val="21"/>
          <w:szCs w:val="21"/>
          <w:color w:val="auto"/>
        </w:rPr>
        <w:t>(1) In addition to the shares set forth in this table, pursuant to Rule 416 under the Securities Act of 1933, as amended (the "Securities Act"), the amount to be registered includes an indeterminate number of shares of common stock, $0.01 par value (the "Common Stock") of ManpowerGroup Inc. (the "Registrant") that may become issuable as a result of stock dividends, stock splits or similar transactions, as provided in the Equity Incentive Plan of ManpowerGroup Inc. (2) The registration fee was calculated pursuant to Rule 457(c) under the Securities Act, based on the average of the high and low price per share of the Common Stock on the New York Stock Exchange on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80645</wp:posOffset>
            </wp:positionV>
            <wp:extent cx="6387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png"/><Relationship Id="rId19" Type="http://schemas.openxmlformats.org/officeDocument/2006/relationships/hyperlink" Target="http://www.sec.gov/Archives/edgar/data/871763/000119312526214945/man-ex10_1.htm" TargetMode="External"/><Relationship Id="rId20" Type="http://schemas.openxmlformats.org/officeDocument/2006/relationships/hyperlink" Target="http://www.sec.gov/Archives/edgar/data/871763/000119312526214945/man-20260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2026-05-12T15:33:39Z</dcterms:created>
  <dcterms:modified xsi:type="dcterms:W3CDTF">2026-05-12T15:33:39Z</dcterms:modified>
</cp:coreProperties>
</file>