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570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70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882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Hall Patricia Hemingway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01/01/2023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01/01/2023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01/01/2023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-2825115</wp:posOffset>
            </wp:positionV>
            <wp:extent cx="29210" cy="2830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3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24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will vest in quarterly installments on the last day of each calendar quarter during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2022.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2024 or within 30 days after the reporting person's termination of service as a director, except as otherwise provided in the Terms and Conditions.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2025 or within 30 days after the reporting person's termination of service as a director, except as otherwise provided in the Terms and Conditions.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2027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3652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137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88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178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2023-01-04T16:21:24Z</dcterms:created>
  <dcterms:modified xsi:type="dcterms:W3CDTF">2023-01-04T16:21:24Z</dcterms:modified>
</cp:coreProperties>
</file>