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40" w:type="dxa"/>
            <w:vAlign w:val="bottom"/>
            <w:vMerge w:val="restart"/>
          </w:tcPr>
          <w:p>
            <w:pPr>
              <w:jc w:val="center"/>
              <w:ind w:right="316"/>
              <w:spacing w:after="0" w:line="143"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6"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23495</wp:posOffset>
            </wp:positionV>
            <wp:extent cx="7325995" cy="4408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40817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520"/>
            <w:col w:w="8740"/>
          </w:cols>
          <w:pgMar w:left="240" w:top="217"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STEVENSON DENNIS</w:t>
        </w:r>
      </w:hyperlink>
    </w:p>
    <w:p>
      <w:pPr>
        <w:spacing w:after="0" w:line="28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LITTLE TUFTON HOUSE</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DEAN TRENCH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MANPOWER INC /WI/</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12/30/2005</w:t>
      </w:r>
    </w:p>
    <w:p>
      <w:pPr>
        <w:spacing w:after="0" w:line="20" w:lineRule="exact"/>
        <w:rPr>
          <w:sz w:val="24"/>
          <w:szCs w:val="24"/>
          <w:color w:val="auto"/>
        </w:rPr>
      </w:pPr>
      <w:r>
        <w:rPr>
          <w:sz w:val="24"/>
          <w:szCs w:val="24"/>
          <w:color w:val="auto"/>
        </w:rPr>
        <w:br w:type="column"/>
      </w:r>
    </w:p>
    <w:p>
      <w:pPr>
        <w:ind w:left="2" w:right="760" w:hanging="2"/>
        <w:spacing w:after="0" w:line="261"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41" w:val="left"/>
          <w:tab w:leader="none" w:pos="2161"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2"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6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4" w:lineRule="exact"/>
        <w:rPr>
          <w:sz w:val="24"/>
          <w:szCs w:val="24"/>
          <w:color w:val="auto"/>
        </w:rPr>
      </w:pPr>
    </w:p>
    <w:p>
      <w:pPr>
        <w:sectPr>
          <w:pgSz w:w="11900" w:h="16838" w:orient="portrait"/>
          <w:cols w:equalWidth="0" w:num="3">
            <w:col w:w="3340" w:space="720"/>
            <w:col w:w="3258" w:space="720"/>
            <w:col w:w="3482"/>
          </w:cols>
          <w:pgMar w:left="240" w:top="217"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37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9"/>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gridSpan w:val="7"/>
            <w:vMerge w:val="continue"/>
          </w:tcPr>
          <w:p>
            <w:pPr>
              <w:spacing w:after="0"/>
              <w:rPr>
                <w:sz w:val="13"/>
                <w:szCs w:val="13"/>
                <w:color w:val="auto"/>
              </w:rPr>
            </w:pPr>
          </w:p>
        </w:tc>
        <w:tc>
          <w:tcPr>
            <w:tcW w:w="38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20" w:type="dxa"/>
            <w:vAlign w:val="bottom"/>
            <w:gridSpan w:val="6"/>
            <w:vMerge w:val="restart"/>
          </w:tcPr>
          <w:p>
            <w:pPr>
              <w:ind w:left="5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LONDON U.K.   X0</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SW1P 3HB</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20" w:type="dxa"/>
            <w:vAlign w:val="bottom"/>
            <w:gridSpan w:val="6"/>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gridSpan w:val="2"/>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700"/>
              <w:spacing w:after="0"/>
              <w:rPr>
                <w:sz w:val="20"/>
                <w:szCs w:val="20"/>
                <w:color w:val="auto"/>
              </w:rPr>
            </w:pPr>
            <w:r>
              <w:rPr>
                <w:rFonts w:ascii="Arial" w:cs="Arial" w:eastAsia="Arial" w:hAnsi="Arial"/>
                <w:sz w:val="13"/>
                <w:szCs w:val="13"/>
                <w:color w:val="auto"/>
              </w:rPr>
              <w:t>(State)</w:t>
            </w:r>
          </w:p>
        </w:tc>
        <w:tc>
          <w:tcPr>
            <w:tcW w:w="1120" w:type="dxa"/>
            <w:vAlign w:val="bottom"/>
          </w:tcPr>
          <w:p>
            <w:pPr>
              <w:ind w:left="1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660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3"/>
          </w:tcPr>
          <w:p>
            <w:pPr>
              <w:ind w:left="10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gridSpan w:val="3"/>
          </w:tcPr>
          <w:p>
            <w:pPr>
              <w:ind w:left="1020"/>
              <w:spacing w:after="0" w:line="124"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1"/>
              </w:rPr>
              <w:t>Transaction</w:t>
            </w:r>
          </w:p>
        </w:tc>
        <w:tc>
          <w:tcPr>
            <w:tcW w:w="2100" w:type="dxa"/>
            <w:vAlign w:val="bottom"/>
            <w:gridSpan w:val="4"/>
          </w:tcPr>
          <w:p>
            <w:pPr>
              <w:ind w:left="14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3"/>
          </w:tcPr>
          <w:p>
            <w:pPr>
              <w:ind w:left="10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vMerge w:val="restart"/>
          </w:tcPr>
          <w:p>
            <w:pPr>
              <w:ind w:left="360"/>
              <w:spacing w:after="0"/>
              <w:rPr>
                <w:sz w:val="20"/>
                <w:szCs w:val="20"/>
                <w:color w:val="auto"/>
              </w:rPr>
            </w:pPr>
            <w:r>
              <w:rPr>
                <w:rFonts w:ascii="Arial" w:cs="Arial" w:eastAsia="Arial" w:hAnsi="Arial"/>
                <w:sz w:val="12"/>
                <w:szCs w:val="12"/>
                <w:b w:val="1"/>
                <w:bCs w:val="1"/>
                <w:color w:val="auto"/>
                <w:w w:val="93"/>
              </w:rPr>
              <w:t>(A) 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2"/>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920" w:type="dxa"/>
            <w:vAlign w:val="bottom"/>
            <w:gridSpan w:val="11"/>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 (A) or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 of (D)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4 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12/30/2005</w:t>
            </w:r>
          </w:p>
        </w:tc>
        <w:tc>
          <w:tcPr>
            <w:tcW w:w="1120" w:type="dxa"/>
            <w:vAlign w:val="bottom"/>
          </w:tcPr>
          <w:p>
            <w:pPr>
              <w:spacing w:after="0"/>
              <w:rPr>
                <w:sz w:val="21"/>
                <w:szCs w:val="21"/>
                <w:color w:val="auto"/>
              </w:rPr>
            </w:pPr>
          </w:p>
        </w:tc>
        <w:tc>
          <w:tcPr>
            <w:tcW w:w="860" w:type="dxa"/>
            <w:vAlign w:val="bottom"/>
            <w:gridSpan w:val="2"/>
          </w:tcPr>
          <w:p>
            <w:pPr>
              <w:ind w:left="120"/>
              <w:spacing w:after="0" w:line="245"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3"/>
                <w:szCs w:val="13"/>
                <w:color w:val="0000FF"/>
                <w:w w:val="95"/>
              </w:rPr>
              <w:t>232.8872</w:t>
            </w:r>
            <w:r>
              <w:rPr>
                <w:rFonts w:ascii="Times New Roman" w:cs="Times New Roman" w:eastAsia="Times New Roman" w:hAnsi="Times New Roman"/>
                <w:sz w:val="21"/>
                <w:szCs w:val="21"/>
                <w:color w:val="008000"/>
                <w:w w:val="95"/>
                <w:vertAlign w:val="superscript"/>
              </w:rPr>
              <w:t>(3)</w:t>
            </w:r>
          </w:p>
        </w:tc>
        <w:tc>
          <w:tcPr>
            <w:tcW w:w="30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0000FF"/>
                <w:w w:val="97"/>
              </w:rPr>
              <w:t>232.8872</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43.5475</w:t>
            </w:r>
            <w:r>
              <w:rPr>
                <w:rFonts w:ascii="Times New Roman" w:cs="Times New Roman" w:eastAsia="Times New Roman" w:hAnsi="Times New Roman"/>
                <w:sz w:val="21"/>
                <w:szCs w:val="21"/>
                <w:color w:val="008000"/>
                <w:w w:val="96"/>
                <w:vertAlign w:val="superscript"/>
              </w:rPr>
              <w:t>(4)</w:t>
            </w:r>
          </w:p>
        </w:tc>
        <w:tc>
          <w:tcPr>
            <w:tcW w:w="92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0000FF"/>
              </w:rPr>
              <w:t>534.2861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01/01/2006</w:t>
            </w:r>
          </w:p>
        </w:tc>
        <w:tc>
          <w:tcPr>
            <w:tcW w:w="1120" w:type="dxa"/>
            <w:vAlign w:val="bottom"/>
          </w:tcPr>
          <w:p>
            <w:pPr>
              <w:spacing w:after="0"/>
              <w:rPr>
                <w:sz w:val="15"/>
                <w:szCs w:val="15"/>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76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color w:val="0000FF"/>
              </w:rPr>
              <w:t>2,516</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2,516</w:t>
            </w:r>
          </w:p>
        </w:tc>
        <w:tc>
          <w:tcPr>
            <w:tcW w:w="60" w:type="dxa"/>
            <w:vAlign w:val="bottom"/>
          </w:tcPr>
          <w:p>
            <w:pPr>
              <w:spacing w:after="0"/>
              <w:rPr>
                <w:sz w:val="15"/>
                <w:szCs w:val="15"/>
                <w:color w:val="auto"/>
              </w:rPr>
            </w:pPr>
          </w:p>
        </w:tc>
        <w:tc>
          <w:tcPr>
            <w:tcW w:w="680" w:type="dxa"/>
            <w:vAlign w:val="bottom"/>
            <w:vMerge w:val="restart"/>
          </w:tcPr>
          <w:p>
            <w:pPr>
              <w:jc w:val="center"/>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46.5</w:t>
            </w:r>
            <w:r>
              <w:rPr>
                <w:rFonts w:ascii="Times New Roman" w:cs="Times New Roman" w:eastAsia="Times New Roman" w:hAnsi="Times New Roman"/>
                <w:sz w:val="21"/>
                <w:szCs w:val="21"/>
                <w:color w:val="008000"/>
                <w:vertAlign w:val="superscript"/>
              </w:rPr>
              <w:t>(7)</w:t>
            </w:r>
          </w:p>
        </w:tc>
        <w:tc>
          <w:tcPr>
            <w:tcW w:w="92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3"/>
                <w:szCs w:val="13"/>
                <w:color w:val="0000FF"/>
              </w:rPr>
              <w:t>2,516</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2003 Equity Incentive Plan of Manpower Inc. (the "Plan") and the Terms and Conditions Regarding the Grant of Awards to Non-Employee Directors under the Plan (the "Terms and Conditions") in lieu of 100% of the Retainer (as defined in the Terms and Conditions) and dividends.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229.6343 shares of deferred stock in lieu of the Retainer plus 3.2529 shares of deferred stock in lieu of dividends.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will vest in quarterly installments on the last day of each calendar quarter during 2006 and will be settled in shares of Manpower common stock on a 1 for 1 basis on the earlier of January 1, 2009 or within 30 days after the reporting person's termination of service as a director, except as otherwise provided in the Terms and Conditions (Amended and Restated Effective January 1, 2006).</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deferred stock under the Plan and the Terms and Conditions (Amended and Restated Effective January 1, 2006).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2005.</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Michael J. VanHandel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369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to Power of Attorney previously  01/04/2006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193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29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2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58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2019-12-16T07:40:53Z</dcterms:created>
  <dcterms:modified xsi:type="dcterms:W3CDTF">2019-12-16T07:40:53Z</dcterms:modified>
</cp:coreProperties>
</file>