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ManpowerGroup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56418H100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Capital World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95-1411037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6,643,322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6,643,322</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6,643,322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12.2%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right="754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ManpowerGroup Inc.</w:t>
      </w:r>
    </w:p>
    <w:p>
      <w:pPr>
        <w:spacing w:after="0" w:line="12" w:lineRule="exact"/>
        <w:rPr>
          <w:rFonts w:ascii="Arial" w:cs="Arial" w:eastAsia="Arial" w:hAnsi="Arial"/>
          <w:sz w:val="19"/>
          <w:szCs w:val="19"/>
          <w:b w:val="1"/>
          <w:bCs w:val="1"/>
          <w:color w:val="auto"/>
        </w:rPr>
      </w:pPr>
    </w:p>
    <w:p>
      <w:pPr>
        <w:ind w:left="1620" w:right="5000" w:hanging="707"/>
        <w:spacing w:after="0" w:line="334" w:lineRule="auto"/>
        <w:tabs>
          <w:tab w:leader="none" w:pos="16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100 Manpower Place, Milwaukee, WI 53212-4030</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jc w:val="both"/>
        <w:ind w:left="1620" w:right="73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Capital World Investors</w:t>
      </w:r>
    </w:p>
    <w:p>
      <w:pPr>
        <w:spacing w:after="0" w:line="12" w:lineRule="exact"/>
        <w:rPr>
          <w:rFonts w:ascii="Arial" w:cs="Arial" w:eastAsia="Arial" w:hAnsi="Arial"/>
          <w:sz w:val="19"/>
          <w:szCs w:val="19"/>
          <w:b w:val="1"/>
          <w:bCs w:val="1"/>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Principal Business Office or, if None, Residence</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333 SOUTH HOPE STREET, 55TH FLOOR, LOS ANGELES, CALIFORNIA 90071</w:t>
      </w:r>
    </w:p>
    <w:p>
      <w:pPr>
        <w:spacing w:after="0" w:line="10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N/A</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56418H100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6,643,322 **</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12.2%</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6,643,322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6,643,322</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right="100"/>
        <w:spacing w:after="0" w:line="287" w:lineRule="auto"/>
        <w:rPr>
          <w:sz w:val="20"/>
          <w:szCs w:val="20"/>
          <w:color w:val="auto"/>
        </w:rPr>
      </w:pPr>
      <w:r>
        <w:rPr>
          <w:rFonts w:ascii="Arial" w:cs="Arial" w:eastAsia="Arial" w:hAnsi="Arial"/>
          <w:sz w:val="19"/>
          <w:szCs w:val="19"/>
          <w:color w:val="auto"/>
        </w:rPr>
        <w:t>**Capital World Investors ("CWI") is a division of Capital Research and Management Company ("CRMC"), as well as its investment management subsidiaries and affiliates Capital Bank and Trust Company, Capital International, Inc., Capital International Limited, Capital International Sarl, Capital International K.K., and Capital Group Private Client Services, Inc. (together with CRMC, the "investment management entities"). CWI's divisions of each of the investment management entities</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440"/>
        <w:spacing w:after="0" w:line="274" w:lineRule="auto"/>
        <w:rPr>
          <w:sz w:val="20"/>
          <w:szCs w:val="20"/>
          <w:color w:val="auto"/>
        </w:rPr>
      </w:pPr>
      <w:r>
        <w:rPr>
          <w:rFonts w:ascii="Arial" w:cs="Arial" w:eastAsia="Arial" w:hAnsi="Arial"/>
          <w:sz w:val="21"/>
          <w:szCs w:val="21"/>
          <w:color w:val="auto"/>
        </w:rPr>
        <w:t>collectively provide investment management services under the name "Capital World Investors." CWI is deemed to be the beneficial owner of 6,643,322 shares or 12.2% of the 54,239,893 shares believed to be outstanding.</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Income Fund of America</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ind w:left="38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02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Capital World Investors</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Erik A. Vayntrub</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Erik A. Vayntrub</w:t>
      </w:r>
    </w:p>
    <w:p>
      <w:pPr>
        <w:spacing w:after="0" w:line="44" w:lineRule="exact"/>
        <w:rPr>
          <w:sz w:val="20"/>
          <w:szCs w:val="20"/>
          <w:color w:val="auto"/>
        </w:rPr>
      </w:pPr>
    </w:p>
    <w:p>
      <w:pPr>
        <w:ind w:left="600"/>
        <w:spacing w:after="0" w:line="250" w:lineRule="auto"/>
        <w:rPr>
          <w:sz w:val="20"/>
          <w:szCs w:val="20"/>
          <w:color w:val="auto"/>
        </w:rPr>
      </w:pPr>
      <w:r>
        <w:rPr>
          <w:rFonts w:ascii="Arial" w:cs="Arial" w:eastAsia="Arial" w:hAnsi="Arial"/>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2022-02-12T02:23:31Z</dcterms:created>
  <dcterms:modified xsi:type="dcterms:W3CDTF">2022-02-12T02:23:31Z</dcterms:modified>
</cp:coreProperties>
</file>