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628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2876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BOLLAND MARC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MANPOWER INC /WI/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MANPOWER INC.</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12/31/2009</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jc w:val="center"/>
              <w:ind w:right="152"/>
              <w:spacing w:after="0"/>
              <w:rPr>
                <w:sz w:val="20"/>
                <w:szCs w:val="20"/>
                <w:color w:val="auto"/>
              </w:rPr>
            </w:pPr>
            <w:r>
              <w:rPr>
                <w:rFonts w:ascii="Arial" w:cs="Arial" w:eastAsia="Arial" w:hAnsi="Arial"/>
                <w:sz w:val="14"/>
                <w:szCs w:val="14"/>
                <w:color w:val="auto"/>
                <w:w w:val="95"/>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gridSpan w:val="10"/>
          </w:tcPr>
          <w:p>
            <w:pPr>
              <w:ind w:left="2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MILWAUKEE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w w:val="86"/>
              </w:rPr>
              <w:t>WI</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53212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160"/>
              <w:spacing w:after="0" w:line="152"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08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0000FF"/>
              </w:rPr>
              <w:t>12/31/2009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0000FF"/>
              </w:rPr>
              <w:t>221</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3"/>
          </w:tcPr>
          <w:p>
            <w:pPr>
              <w:jc w:val="center"/>
              <w:ind w:left="26"/>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55.33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5,793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0000FF"/>
              </w:rPr>
              <w:t>01/01/2010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0000FF"/>
                <w:w w:val="96"/>
              </w:rPr>
              <w:t>M</w:t>
            </w:r>
          </w:p>
        </w:tc>
        <w:tc>
          <w:tcPr>
            <w:tcW w:w="74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0000FF"/>
                <w:w w:val="98"/>
              </w:rPr>
              <w:t>1,391</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008000"/>
                <w:w w:val="93"/>
              </w:rPr>
              <w:t>(9)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7,184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8"/>
                <w:szCs w:val="18"/>
                <w:color w:val="0000FF"/>
              </w:rPr>
              <w:t>01/01/2010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20"/>
              <w:spacing w:after="0"/>
              <w:rPr>
                <w:sz w:val="20"/>
                <w:szCs w:val="20"/>
                <w:color w:val="auto"/>
              </w:rPr>
            </w:pPr>
            <w:r>
              <w:rPr>
                <w:rFonts w:ascii="Times New Roman" w:cs="Times New Roman" w:eastAsia="Times New Roman" w:hAnsi="Times New Roman"/>
                <w:sz w:val="27"/>
                <w:szCs w:val="27"/>
                <w:color w:val="0000FF"/>
                <w:w w:val="92"/>
                <w:vertAlign w:val="subscript"/>
              </w:rPr>
              <w:t>A</w:t>
            </w:r>
            <w:r>
              <w:rPr>
                <w:rFonts w:ascii="Times New Roman" w:cs="Times New Roman" w:eastAsia="Times New Roman" w:hAnsi="Times New Roman"/>
                <w:sz w:val="11"/>
                <w:szCs w:val="11"/>
                <w:color w:val="008000"/>
                <w:w w:val="92"/>
              </w:rPr>
              <w:t>(1)</w:t>
            </w:r>
          </w:p>
        </w:tc>
        <w:tc>
          <w:tcPr>
            <w:tcW w:w="74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8"/>
                <w:szCs w:val="18"/>
                <w:color w:val="0000FF"/>
                <w:w w:val="98"/>
              </w:rPr>
              <w:t>1,832</w:t>
            </w:r>
          </w:p>
        </w:tc>
        <w:tc>
          <w:tcPr>
            <w:tcW w:w="6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54.58</w:t>
            </w:r>
            <w:r>
              <w:rPr>
                <w:rFonts w:ascii="Times New Roman" w:cs="Times New Roman" w:eastAsia="Times New Roman" w:hAnsi="Times New Roman"/>
                <w:sz w:val="22"/>
                <w:szCs w:val="22"/>
                <w:color w:val="008000"/>
                <w:w w:val="91"/>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0"/>
              </w:rPr>
              <w:t>9,016</w:t>
            </w:r>
            <w:r>
              <w:rPr>
                <w:rFonts w:ascii="Times New Roman" w:cs="Times New Roman" w:eastAsia="Times New Roman" w:hAnsi="Times New Roman"/>
                <w:sz w:val="22"/>
                <w:szCs w:val="22"/>
                <w:color w:val="008000"/>
                <w:w w:val="90"/>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center"/>
              <w:ind w:left="3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700" w:type="dxa"/>
            <w:vAlign w:val="bottom"/>
            <w:gridSpan w:val="15"/>
          </w:tcPr>
          <w:p>
            <w:pPr>
              <w:jc w:val="center"/>
              <w:ind w:left="4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jc w:val="center"/>
              <w:ind w:left="121"/>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jc w:val="center"/>
              <w:ind w:right="195"/>
              <w:spacing w:after="0"/>
              <w:rPr>
                <w:sz w:val="20"/>
                <w:szCs w:val="20"/>
                <w:color w:val="auto"/>
              </w:rPr>
            </w:pPr>
            <w:r>
              <w:rPr>
                <w:rFonts w:ascii="Times New Roman" w:cs="Times New Roman" w:eastAsia="Times New Roman" w:hAnsi="Times New Roman"/>
                <w:sz w:val="27"/>
                <w:szCs w:val="27"/>
                <w:color w:val="0000FF"/>
                <w:w w:val="84"/>
                <w:vertAlign w:val="subscript"/>
              </w:rPr>
              <w:t>A</w:t>
            </w:r>
            <w:r>
              <w:rPr>
                <w:rFonts w:ascii="Times New Roman" w:cs="Times New Roman" w:eastAsia="Times New Roman" w:hAnsi="Times New Roman"/>
                <w:sz w:val="11"/>
                <w:szCs w:val="11"/>
                <w:color w:val="008000"/>
                <w:w w:val="84"/>
              </w:rPr>
              <w:t>(5)</w:t>
            </w:r>
          </w:p>
        </w:tc>
        <w:tc>
          <w:tcPr>
            <w:tcW w:w="22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0000FF"/>
              </w:rPr>
              <w:t>20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60" w:type="dxa"/>
            <w:vAlign w:val="bottom"/>
          </w:tcPr>
          <w:p>
            <w:pPr>
              <w:spacing w:after="0"/>
              <w:rPr>
                <w:sz w:val="16"/>
                <w:szCs w:val="16"/>
                <w:color w:val="auto"/>
              </w:rPr>
            </w:pPr>
          </w:p>
        </w:tc>
        <w:tc>
          <w:tcPr>
            <w:tcW w:w="740" w:type="dxa"/>
            <w:vAlign w:val="bottom"/>
            <w:gridSpan w:val="2"/>
            <w:vMerge w:val="restart"/>
          </w:tcPr>
          <w:p>
            <w:pPr>
              <w:jc w:val="center"/>
              <w:ind w:right="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46.29</w:t>
            </w:r>
            <w:r>
              <w:rPr>
                <w:rFonts w:ascii="Times New Roman" w:cs="Times New Roman" w:eastAsia="Times New Roman" w:hAnsi="Times New Roman"/>
                <w:sz w:val="22"/>
                <w:szCs w:val="22"/>
                <w:color w:val="008000"/>
                <w:w w:val="94"/>
                <w:vertAlign w:val="superscript"/>
              </w:rPr>
              <w:t>(6)</w:t>
            </w:r>
          </w:p>
        </w:tc>
        <w:tc>
          <w:tcPr>
            <w:tcW w:w="600" w:type="dxa"/>
            <w:vAlign w:val="bottom"/>
            <w:vMerge w:val="restart"/>
          </w:tcPr>
          <w:p>
            <w:pPr>
              <w:jc w:val="center"/>
              <w:ind w:left="157"/>
              <w:spacing w:after="0"/>
              <w:rPr>
                <w:sz w:val="20"/>
                <w:szCs w:val="20"/>
                <w:color w:val="auto"/>
              </w:rPr>
            </w:pPr>
            <w:r>
              <w:rPr>
                <w:rFonts w:ascii="Times New Roman" w:cs="Times New Roman" w:eastAsia="Times New Roman" w:hAnsi="Times New Roman"/>
                <w:sz w:val="14"/>
                <w:szCs w:val="14"/>
                <w:color w:val="0000FF"/>
                <w:w w:val="95"/>
              </w:rPr>
              <w:t>1,272</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jc w:val="center"/>
              <w:ind w:left="121"/>
              <w:spacing w:after="0"/>
              <w:rPr>
                <w:sz w:val="20"/>
                <w:szCs w:val="20"/>
                <w:color w:val="auto"/>
              </w:rPr>
            </w:pPr>
            <w:r>
              <w:rPr>
                <w:rFonts w:ascii="Times New Roman" w:cs="Times New Roman" w:eastAsia="Times New Roman" w:hAnsi="Times New Roman"/>
                <w:sz w:val="11"/>
                <w:szCs w:val="11"/>
                <w:color w:val="008000"/>
                <w:w w:val="93"/>
              </w:rPr>
              <w:t>(7)</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jc w:val="center"/>
              <w:ind w:right="195"/>
              <w:spacing w:after="0"/>
              <w:rPr>
                <w:sz w:val="20"/>
                <w:szCs w:val="20"/>
                <w:color w:val="auto"/>
              </w:rPr>
            </w:pPr>
            <w:r>
              <w:rPr>
                <w:rFonts w:ascii="Times New Roman" w:cs="Times New Roman" w:eastAsia="Times New Roman" w:hAnsi="Times New Roman"/>
                <w:sz w:val="27"/>
                <w:szCs w:val="27"/>
                <w:color w:val="0000FF"/>
                <w:w w:val="84"/>
                <w:vertAlign w:val="subscript"/>
              </w:rPr>
              <w:t>A</w:t>
            </w:r>
            <w:r>
              <w:rPr>
                <w:rFonts w:ascii="Times New Roman" w:cs="Times New Roman" w:eastAsia="Times New Roman" w:hAnsi="Times New Roman"/>
                <w:sz w:val="11"/>
                <w:szCs w:val="11"/>
                <w:color w:val="008000"/>
                <w:w w:val="84"/>
              </w:rPr>
              <w:t>(5)</w:t>
            </w:r>
          </w:p>
        </w:tc>
        <w:tc>
          <w:tcPr>
            <w:tcW w:w="220" w:type="dxa"/>
            <w:vAlign w:val="bottom"/>
          </w:tcPr>
          <w:p>
            <w:pPr>
              <w:spacing w:after="0"/>
              <w:rPr>
                <w:sz w:val="16"/>
                <w:szCs w:val="16"/>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11</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11</w:t>
            </w:r>
          </w:p>
        </w:tc>
        <w:tc>
          <w:tcPr>
            <w:tcW w:w="60" w:type="dxa"/>
            <w:vAlign w:val="bottom"/>
          </w:tcPr>
          <w:p>
            <w:pPr>
              <w:spacing w:after="0"/>
              <w:rPr>
                <w:sz w:val="16"/>
                <w:szCs w:val="16"/>
                <w:color w:val="auto"/>
              </w:rPr>
            </w:pPr>
          </w:p>
        </w:tc>
        <w:tc>
          <w:tcPr>
            <w:tcW w:w="740" w:type="dxa"/>
            <w:vAlign w:val="bottom"/>
            <w:gridSpan w:val="2"/>
            <w:vMerge w:val="restart"/>
          </w:tcPr>
          <w:p>
            <w:pPr>
              <w:jc w:val="center"/>
              <w:ind w:right="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46.29</w:t>
            </w:r>
            <w:r>
              <w:rPr>
                <w:rFonts w:ascii="Times New Roman" w:cs="Times New Roman" w:eastAsia="Times New Roman" w:hAnsi="Times New Roman"/>
                <w:sz w:val="22"/>
                <w:szCs w:val="22"/>
                <w:color w:val="008000"/>
                <w:w w:val="94"/>
                <w:vertAlign w:val="superscript"/>
              </w:rPr>
              <w:t>(6)</w:t>
            </w:r>
          </w:p>
        </w:tc>
        <w:tc>
          <w:tcPr>
            <w:tcW w:w="600" w:type="dxa"/>
            <w:vAlign w:val="bottom"/>
            <w:vMerge w:val="restart"/>
          </w:tcPr>
          <w:p>
            <w:pPr>
              <w:jc w:val="center"/>
              <w:ind w:left="157"/>
              <w:spacing w:after="0"/>
              <w:rPr>
                <w:sz w:val="20"/>
                <w:szCs w:val="20"/>
                <w:color w:val="auto"/>
              </w:rPr>
            </w:pPr>
            <w:r>
              <w:rPr>
                <w:rFonts w:ascii="Times New Roman" w:cs="Times New Roman" w:eastAsia="Times New Roman" w:hAnsi="Times New Roman"/>
                <w:sz w:val="14"/>
                <w:szCs w:val="14"/>
                <w:color w:val="0000FF"/>
              </w:rPr>
              <w:t>725</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jc w:val="center"/>
              <w:ind w:left="121"/>
              <w:spacing w:after="0"/>
              <w:rPr>
                <w:sz w:val="20"/>
                <w:szCs w:val="20"/>
                <w:color w:val="auto"/>
              </w:rPr>
            </w:pPr>
            <w:r>
              <w:rPr>
                <w:rFonts w:ascii="Times New Roman" w:cs="Times New Roman" w:eastAsia="Times New Roman" w:hAnsi="Times New Roman"/>
                <w:sz w:val="11"/>
                <w:szCs w:val="11"/>
                <w:color w:val="008000"/>
                <w:w w:val="93"/>
              </w:rPr>
              <w:t>(8)</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jc w:val="center"/>
              <w:ind w:right="195"/>
              <w:spacing w:after="0"/>
              <w:rPr>
                <w:sz w:val="20"/>
                <w:szCs w:val="20"/>
                <w:color w:val="auto"/>
              </w:rPr>
            </w:pPr>
            <w:r>
              <w:rPr>
                <w:rFonts w:ascii="Times New Roman" w:cs="Times New Roman" w:eastAsia="Times New Roman" w:hAnsi="Times New Roman"/>
                <w:sz w:val="27"/>
                <w:szCs w:val="27"/>
                <w:color w:val="0000FF"/>
                <w:w w:val="84"/>
                <w:vertAlign w:val="subscript"/>
              </w:rPr>
              <w:t>A</w:t>
            </w:r>
            <w:r>
              <w:rPr>
                <w:rFonts w:ascii="Times New Roman" w:cs="Times New Roman" w:eastAsia="Times New Roman" w:hAnsi="Times New Roman"/>
                <w:sz w:val="11"/>
                <w:szCs w:val="11"/>
                <w:color w:val="008000"/>
                <w:w w:val="84"/>
              </w:rPr>
              <w:t>(5)</w:t>
            </w:r>
          </w:p>
        </w:tc>
        <w:tc>
          <w:tcPr>
            <w:tcW w:w="22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0000FF"/>
              </w:rPr>
              <w:t>22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60" w:type="dxa"/>
            <w:vAlign w:val="bottom"/>
          </w:tcPr>
          <w:p>
            <w:pPr>
              <w:spacing w:after="0"/>
              <w:rPr>
                <w:sz w:val="16"/>
                <w:szCs w:val="16"/>
                <w:color w:val="auto"/>
              </w:rPr>
            </w:pPr>
          </w:p>
        </w:tc>
        <w:tc>
          <w:tcPr>
            <w:tcW w:w="740" w:type="dxa"/>
            <w:vAlign w:val="bottom"/>
            <w:gridSpan w:val="2"/>
            <w:vMerge w:val="restart"/>
          </w:tcPr>
          <w:p>
            <w:pPr>
              <w:jc w:val="center"/>
              <w:ind w:right="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46.29</w:t>
            </w:r>
            <w:r>
              <w:rPr>
                <w:rFonts w:ascii="Times New Roman" w:cs="Times New Roman" w:eastAsia="Times New Roman" w:hAnsi="Times New Roman"/>
                <w:sz w:val="22"/>
                <w:szCs w:val="22"/>
                <w:color w:val="008000"/>
                <w:w w:val="94"/>
                <w:vertAlign w:val="superscript"/>
              </w:rPr>
              <w:t>(6)</w:t>
            </w:r>
          </w:p>
        </w:tc>
        <w:tc>
          <w:tcPr>
            <w:tcW w:w="600" w:type="dxa"/>
            <w:vAlign w:val="bottom"/>
            <w:vMerge w:val="restart"/>
          </w:tcPr>
          <w:p>
            <w:pPr>
              <w:jc w:val="center"/>
              <w:ind w:left="157"/>
              <w:spacing w:after="0"/>
              <w:rPr>
                <w:sz w:val="20"/>
                <w:szCs w:val="20"/>
                <w:color w:val="auto"/>
              </w:rPr>
            </w:pPr>
            <w:r>
              <w:rPr>
                <w:rFonts w:ascii="Times New Roman" w:cs="Times New Roman" w:eastAsia="Times New Roman" w:hAnsi="Times New Roman"/>
                <w:sz w:val="14"/>
                <w:szCs w:val="14"/>
                <w:color w:val="0000FF"/>
                <w:w w:val="95"/>
              </w:rPr>
              <w:t>1,391</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jc w:val="center"/>
              <w:ind w:left="121"/>
              <w:spacing w:after="0"/>
              <w:rPr>
                <w:sz w:val="20"/>
                <w:szCs w:val="20"/>
                <w:color w:val="auto"/>
              </w:rPr>
            </w:pPr>
            <w:r>
              <w:rPr>
                <w:rFonts w:ascii="Times New Roman" w:cs="Times New Roman" w:eastAsia="Times New Roman" w:hAnsi="Times New Roman"/>
                <w:sz w:val="11"/>
                <w:szCs w:val="11"/>
                <w:color w:val="008000"/>
                <w:w w:val="93"/>
              </w:rPr>
              <w:t>(9)</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jc w:val="center"/>
              <w:ind w:right="175"/>
              <w:spacing w:after="0"/>
              <w:rPr>
                <w:sz w:val="20"/>
                <w:szCs w:val="20"/>
                <w:color w:val="auto"/>
              </w:rPr>
            </w:pPr>
            <w:r>
              <w:rPr>
                <w:rFonts w:ascii="Times New Roman" w:cs="Times New Roman" w:eastAsia="Times New Roman" w:hAnsi="Times New Roman"/>
                <w:sz w:val="14"/>
                <w:szCs w:val="14"/>
                <w:color w:val="0000FF"/>
                <w:w w:val="96"/>
              </w:rPr>
              <w:t>M</w:t>
            </w:r>
          </w:p>
        </w:tc>
        <w:tc>
          <w:tcPr>
            <w:tcW w:w="22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0000FF"/>
              </w:rPr>
              <w:t>1,391</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01/01/2010</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3"/>
              </w:rPr>
              <w:t>01/01/2010</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1,391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center"/>
              <w:ind w:right="192"/>
              <w:spacing w:after="0"/>
              <w:rPr>
                <w:sz w:val="20"/>
                <w:szCs w:val="20"/>
                <w:color w:val="auto"/>
              </w:rPr>
            </w:pPr>
            <w:r>
              <w:rPr>
                <w:rFonts w:ascii="Times New Roman" w:cs="Times New Roman" w:eastAsia="Times New Roman" w:hAnsi="Times New Roman"/>
                <w:sz w:val="11"/>
                <w:szCs w:val="11"/>
                <w:color w:val="008000"/>
                <w:w w:val="93"/>
              </w:rPr>
              <w:t>(9)</w:t>
            </w:r>
          </w:p>
        </w:tc>
        <w:tc>
          <w:tcPr>
            <w:tcW w:w="600" w:type="dxa"/>
            <w:vAlign w:val="bottom"/>
            <w:vMerge w:val="restart"/>
          </w:tcPr>
          <w:p>
            <w:pPr>
              <w:jc w:val="center"/>
              <w:ind w:left="157"/>
              <w:spacing w:after="0"/>
              <w:rPr>
                <w:sz w:val="20"/>
                <w:szCs w:val="20"/>
                <w:color w:val="auto"/>
              </w:rPr>
            </w:pPr>
            <w:r>
              <w:rPr>
                <w:rFonts w:ascii="Times New Roman" w:cs="Times New Roman" w:eastAsia="Times New Roman" w:hAnsi="Times New Roman"/>
                <w:sz w:val="14"/>
                <w:szCs w:val="14"/>
                <w:color w:val="0000FF"/>
                <w:w w:val="85"/>
              </w:rPr>
              <w:t>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jc w:val="center"/>
              <w:ind w:left="101"/>
              <w:spacing w:after="0"/>
              <w:rPr>
                <w:sz w:val="20"/>
                <w:szCs w:val="20"/>
                <w:color w:val="auto"/>
              </w:rPr>
            </w:pPr>
            <w:r>
              <w:rPr>
                <w:rFonts w:ascii="Times New Roman" w:cs="Times New Roman" w:eastAsia="Times New Roman" w:hAnsi="Times New Roman"/>
                <w:sz w:val="11"/>
                <w:szCs w:val="11"/>
                <w:color w:val="008000"/>
                <w:w w:val="97"/>
              </w:rPr>
              <w:t>(10)</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jc w:val="center"/>
              <w:ind w:right="195"/>
              <w:spacing w:after="0"/>
              <w:rPr>
                <w:sz w:val="20"/>
                <w:szCs w:val="20"/>
                <w:color w:val="auto"/>
              </w:rPr>
            </w:pPr>
            <w:r>
              <w:rPr>
                <w:rFonts w:ascii="Times New Roman" w:cs="Times New Roman" w:eastAsia="Times New Roman" w:hAnsi="Times New Roman"/>
                <w:sz w:val="27"/>
                <w:szCs w:val="27"/>
                <w:color w:val="0000FF"/>
                <w:w w:val="84"/>
                <w:vertAlign w:val="subscript"/>
              </w:rPr>
              <w:t>A</w:t>
            </w:r>
            <w:r>
              <w:rPr>
                <w:rFonts w:ascii="Times New Roman" w:cs="Times New Roman" w:eastAsia="Times New Roman" w:hAnsi="Times New Roman"/>
                <w:sz w:val="11"/>
                <w:szCs w:val="11"/>
                <w:color w:val="008000"/>
                <w:w w:val="84"/>
              </w:rPr>
              <w:t>(5)</w:t>
            </w:r>
          </w:p>
        </w:tc>
        <w:tc>
          <w:tcPr>
            <w:tcW w:w="22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0000FF"/>
              </w:rPr>
              <w:t>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(10)</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c>
          <w:tcPr>
            <w:tcW w:w="60" w:type="dxa"/>
            <w:vAlign w:val="bottom"/>
          </w:tcPr>
          <w:p>
            <w:pPr>
              <w:spacing w:after="0"/>
              <w:rPr>
                <w:sz w:val="16"/>
                <w:szCs w:val="16"/>
                <w:color w:val="auto"/>
              </w:rPr>
            </w:pPr>
          </w:p>
        </w:tc>
        <w:tc>
          <w:tcPr>
            <w:tcW w:w="740" w:type="dxa"/>
            <w:vAlign w:val="bottom"/>
            <w:gridSpan w:val="2"/>
            <w:vMerge w:val="restart"/>
          </w:tcPr>
          <w:p>
            <w:pPr>
              <w:jc w:val="center"/>
              <w:ind w:right="9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46.29</w:t>
            </w:r>
            <w:r>
              <w:rPr>
                <w:rFonts w:ascii="Times New Roman" w:cs="Times New Roman" w:eastAsia="Times New Roman" w:hAnsi="Times New Roman"/>
                <w:sz w:val="22"/>
                <w:szCs w:val="22"/>
                <w:color w:val="008000"/>
                <w:w w:val="94"/>
                <w:vertAlign w:val="superscript"/>
              </w:rPr>
              <w:t>(6)</w:t>
            </w:r>
          </w:p>
        </w:tc>
        <w:tc>
          <w:tcPr>
            <w:tcW w:w="600" w:type="dxa"/>
            <w:vAlign w:val="bottom"/>
            <w:vMerge w:val="restart"/>
          </w:tcPr>
          <w:p>
            <w:pPr>
              <w:jc w:val="center"/>
              <w:ind w:left="157"/>
              <w:spacing w:after="0"/>
              <w:rPr>
                <w:sz w:val="20"/>
                <w:szCs w:val="20"/>
                <w:color w:val="auto"/>
              </w:rPr>
            </w:pPr>
            <w:r>
              <w:rPr>
                <w:rFonts w:ascii="Times New Roman" w:cs="Times New Roman" w:eastAsia="Times New Roman" w:hAnsi="Times New Roman"/>
                <w:sz w:val="14"/>
                <w:szCs w:val="14"/>
                <w:color w:val="0000FF"/>
              </w:rPr>
              <w:t>862</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Annual grant of restricted stock under the 2003 Equity Incentive Plan of Manpower Inc. (the "Plan") and the Terms and Conditions Regarding the Grant of Awards to Non-Employee Directors under the Plan (Amended and Restated Effective January 1, 2008) (the "Terms and Conditions") .</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the Market Price (as defined in the Plan) on the last trading day of 2009.</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of restricted stock will vest in quarterly installments on the last day of each calendar quarter during 2010.</w:t>
      </w:r>
    </w:p>
    <w:p>
      <w:pPr>
        <w:spacing w:after="0" w:line="41" w:lineRule="exact"/>
        <w:rPr>
          <w:rFonts w:ascii="Times New Roman" w:cs="Times New Roman" w:eastAsia="Times New Roman" w:hAnsi="Times New Roman"/>
          <w:sz w:val="14"/>
          <w:szCs w:val="14"/>
          <w:color w:val="008000"/>
        </w:rPr>
      </w:pPr>
    </w:p>
    <w:p>
      <w:pPr>
        <w:ind w:left="40" w:right="5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of deferred stock are fully vested on the date of grant and will be settled in shares of Manpower common stock on a 1 for 1 basis on the earlier of January 1, 2012 or within 30 days after the reporting person's termination of service as a director, except as provided in the Terms and Conditions.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Receipt of deferred stock under the Plan and the Terms and Conditions in lieu of dividends.</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the Average Trading Price (as defined in the Terms and Conditions).</w:t>
      </w:r>
    </w:p>
    <w:p>
      <w:pPr>
        <w:spacing w:after="0" w:line="41" w:lineRule="exact"/>
        <w:rPr>
          <w:rFonts w:ascii="Times New Roman" w:cs="Times New Roman" w:eastAsia="Times New Roman" w:hAnsi="Times New Roman"/>
          <w:sz w:val="14"/>
          <w:szCs w:val="14"/>
          <w:color w:val="008000"/>
        </w:rPr>
      </w:pPr>
    </w:p>
    <w:p>
      <w:pPr>
        <w:ind w:left="40" w:right="2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27" w:lineRule="exact"/>
        <w:rPr>
          <w:rFonts w:ascii="Times New Roman" w:cs="Times New Roman" w:eastAsia="Times New Roman" w:hAnsi="Times New Roman"/>
          <w:sz w:val="14"/>
          <w:szCs w:val="14"/>
          <w:color w:val="008000"/>
        </w:rPr>
      </w:pPr>
    </w:p>
    <w:p>
      <w:pPr>
        <w:ind w:left="40" w:right="5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of deferred stock are fully vested on the date of grant and will be settled in shares of Manpower common stock on a 1 for 1 basis on the earlier of January 1, 2010 or within 30 days after the reporting person's termination of service as a director, except as otherwise provided in the Terms and Conditions.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Settlement of shares of deferred stock in shares of Manpower common stock on a 1 for 1 basis.</w:t>
      </w:r>
    </w:p>
    <w:p>
      <w:pPr>
        <w:spacing w:after="0" w:line="41" w:lineRule="exact"/>
        <w:rPr>
          <w:rFonts w:ascii="Times New Roman" w:cs="Times New Roman" w:eastAsia="Times New Roman" w:hAnsi="Times New Roman"/>
          <w:sz w:val="14"/>
          <w:szCs w:val="14"/>
          <w:color w:val="008000"/>
        </w:rPr>
      </w:pPr>
    </w:p>
    <w:p>
      <w:pPr>
        <w:ind w:left="40" w:right="480" w:firstLine="9"/>
        <w:spacing w:after="0" w:line="241" w:lineRule="auto"/>
        <w:tabs>
          <w:tab w:leader="none" w:pos="243"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of deferred stock are fully vested on the date of grant and will be settled in shares of Manpower common stock on a 1 for 1 basis on the earlier of January 1, 2011 or within 30 days after the reporting person's termination of service as a director, except as otherwise provided in the Terms and Conditions.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Power of Attorney filed</w:t>
      </w:r>
      <w:r>
        <w:rPr>
          <w:sz w:val="20"/>
          <w:szCs w:val="20"/>
          <w:color w:val="auto"/>
        </w:rPr>
        <w:tab/>
      </w:r>
      <w:r>
        <w:rPr>
          <w:rFonts w:ascii="Times New Roman" w:cs="Times New Roman" w:eastAsia="Times New Roman" w:hAnsi="Times New Roman"/>
          <w:sz w:val="16"/>
          <w:szCs w:val="16"/>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ectPr>
          <w:pgSz w:w="11900" w:h="16838" w:orient="portrait"/>
          <w:cols w:equalWidth="0" w:num="1">
            <w:col w:w="11520"/>
          </w:cols>
          <w:pgMar w:left="240" w:top="220" w:right="139" w:bottom="0" w:gutter="0" w:footer="0" w:header="0"/>
          <w:type w:val="continuous"/>
        </w:sectPr>
      </w:pPr>
    </w:p>
    <w:p>
      <w:pPr>
        <w:spacing w:after="0" w:line="4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520"/>
          </w:cols>
          <w:pgMar w:left="240" w:top="220"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1" w:right="1299" w:bottom="1440" w:gutter="0" w:footer="0" w:header="0"/>
        </w:sectPr>
      </w:pPr>
    </w:p>
    <w:bookmarkStart w:id="2" w:name="page3"/>
    <w:bookmarkEnd w:id="2"/>
    <w:p>
      <w:pPr>
        <w:jc w:val="center"/>
        <w:ind w:right="177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30" w:lineRule="exact"/>
        <w:rPr>
          <w:sz w:val="20"/>
          <w:szCs w:val="20"/>
          <w:color w:val="auto"/>
        </w:rPr>
      </w:pPr>
    </w:p>
    <w:p>
      <w:pPr>
        <w:jc w:val="center"/>
        <w:ind w:right="1779"/>
        <w:spacing w:after="0"/>
        <w:rPr>
          <w:sz w:val="20"/>
          <w:szCs w:val="20"/>
          <w:color w:val="auto"/>
        </w:rPr>
      </w:pPr>
      <w:r>
        <w:rPr>
          <w:rFonts w:ascii="Times New Roman" w:cs="Times New Roman" w:eastAsia="Times New Roman" w:hAnsi="Times New Roman"/>
          <w:sz w:val="25"/>
          <w:szCs w:val="25"/>
          <w:b w:val="1"/>
          <w:bCs w:val="1"/>
          <w:color w:val="auto"/>
        </w:rPr>
        <w:t>For Executing Forms 3, 4 and 5 and 144</w:t>
      </w:r>
    </w:p>
    <w:p>
      <w:pPr>
        <w:spacing w:after="0" w:line="207" w:lineRule="exact"/>
        <w:rPr>
          <w:sz w:val="20"/>
          <w:szCs w:val="20"/>
          <w:color w:val="auto"/>
        </w:rPr>
      </w:pPr>
    </w:p>
    <w:p>
      <w:pPr>
        <w:ind w:right="2299" w:firstLine="648"/>
        <w:spacing w:after="0" w:line="244" w:lineRule="auto"/>
        <w:rPr>
          <w:sz w:val="20"/>
          <w:szCs w:val="20"/>
          <w:color w:val="auto"/>
        </w:rPr>
      </w:pPr>
      <w:r>
        <w:rPr>
          <w:rFonts w:ascii="Times New Roman" w:cs="Times New Roman" w:eastAsia="Times New Roman" w:hAnsi="Times New Roman"/>
          <w:sz w:val="22"/>
          <w:szCs w:val="22"/>
          <w:color w:val="auto"/>
        </w:rPr>
        <w:t>Know all by these present, that the undersigned constitutes and appoints each of Jeffrey A. Joerres, Michael J. Van Handel and Kenneth C. Hunt, signing singly, his true and lawful attorney-in-fact to:</w:t>
      </w:r>
    </w:p>
    <w:p>
      <w:pPr>
        <w:spacing w:after="0" w:line="241" w:lineRule="exact"/>
        <w:rPr>
          <w:sz w:val="20"/>
          <w:szCs w:val="20"/>
          <w:color w:val="auto"/>
        </w:rPr>
      </w:pPr>
    </w:p>
    <w:p>
      <w:pPr>
        <w:ind w:left="1300" w:right="1879" w:hanging="603"/>
        <w:spacing w:after="0" w:line="282" w:lineRule="auto"/>
        <w:tabs>
          <w:tab w:leader="none" w:pos="1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88" w:lineRule="exact"/>
        <w:rPr>
          <w:rFonts w:ascii="Times New Roman" w:cs="Times New Roman" w:eastAsia="Times New Roman" w:hAnsi="Times New Roman"/>
          <w:sz w:val="21"/>
          <w:szCs w:val="21"/>
          <w:color w:val="auto"/>
        </w:rPr>
      </w:pPr>
    </w:p>
    <w:p>
      <w:pPr>
        <w:ind w:left="1300" w:right="1979" w:hanging="603"/>
        <w:spacing w:after="0" w:line="258"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notices on Form 144 in accordance with Rule 144 under the Securities Act of 1933;</w:t>
      </w:r>
    </w:p>
    <w:p>
      <w:pPr>
        <w:spacing w:after="0" w:line="212" w:lineRule="exact"/>
        <w:rPr>
          <w:rFonts w:ascii="Times New Roman" w:cs="Times New Roman" w:eastAsia="Times New Roman" w:hAnsi="Times New Roman"/>
          <w:sz w:val="22"/>
          <w:szCs w:val="22"/>
          <w:color w:val="auto"/>
        </w:rPr>
      </w:pPr>
    </w:p>
    <w:p>
      <w:pPr>
        <w:ind w:left="1300" w:right="1819" w:hanging="603"/>
        <w:spacing w:after="0" w:line="255" w:lineRule="auto"/>
        <w:tabs>
          <w:tab w:leader="none" w:pos="1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216" w:lineRule="exact"/>
        <w:rPr>
          <w:rFonts w:ascii="Times New Roman" w:cs="Times New Roman" w:eastAsia="Times New Roman" w:hAnsi="Times New Roman"/>
          <w:sz w:val="21"/>
          <w:szCs w:val="21"/>
          <w:color w:val="auto"/>
        </w:rPr>
      </w:pPr>
    </w:p>
    <w:p>
      <w:pPr>
        <w:ind w:left="1300" w:right="2139" w:hanging="603"/>
        <w:spacing w:after="0" w:line="249" w:lineRule="auto"/>
        <w:tabs>
          <w:tab w:leader="none" w:pos="1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12" w:lineRule="exact"/>
        <w:rPr>
          <w:sz w:val="20"/>
          <w:szCs w:val="20"/>
          <w:color w:val="auto"/>
        </w:rPr>
      </w:pPr>
    </w:p>
    <w:p>
      <w:pPr>
        <w:ind w:right="1819" w:firstLine="648"/>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205" w:lineRule="exact"/>
        <w:rPr>
          <w:sz w:val="20"/>
          <w:szCs w:val="20"/>
          <w:color w:val="auto"/>
        </w:rPr>
      </w:pPr>
    </w:p>
    <w:p>
      <w:pPr>
        <w:ind w:right="227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8th day of April, 2009.</w:t>
      </w:r>
    </w:p>
    <w:p>
      <w:pPr>
        <w:spacing w:after="0" w:line="200" w:lineRule="exact"/>
        <w:rPr>
          <w:sz w:val="20"/>
          <w:szCs w:val="20"/>
          <w:color w:val="auto"/>
        </w:rPr>
      </w:pPr>
    </w:p>
    <w:p>
      <w:pPr>
        <w:spacing w:after="0" w:line="2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-13970</wp:posOffset>
            </wp:positionV>
            <wp:extent cx="2244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4472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Marc J. Bolland</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9926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2019-12-16T06:38:54Z</dcterms:created>
  <dcterms:modified xsi:type="dcterms:W3CDTF">2019-12-16T06:38:54Z</dcterms:modified>
</cp:coreProperties>
</file>