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 July 20, 2018</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MANPOWERGROUP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jc w:val="center"/>
              <w:ind w:right="46"/>
              <w:spacing w:after="0"/>
              <w:rPr>
                <w:sz w:val="20"/>
                <w:szCs w:val="20"/>
                <w:color w:val="auto"/>
              </w:rPr>
            </w:pPr>
            <w:r>
              <w:rPr>
                <w:rFonts w:ascii="Arial" w:cs="Arial" w:eastAsia="Arial" w:hAnsi="Arial"/>
                <w:sz w:val="15"/>
                <w:szCs w:val="15"/>
                <w:b w:val="1"/>
                <w:bCs w:val="1"/>
                <w:color w:val="auto"/>
                <w:w w:val="85"/>
              </w:rPr>
              <w:t>Wisconsin</w:t>
            </w:r>
          </w:p>
        </w:tc>
        <w:tc>
          <w:tcPr>
            <w:tcW w:w="2920" w:type="dxa"/>
            <w:vAlign w:val="bottom"/>
          </w:tcPr>
          <w:p>
            <w:pPr>
              <w:jc w:val="right"/>
              <w:ind w:right="1186"/>
              <w:spacing w:after="0"/>
              <w:rPr>
                <w:sz w:val="20"/>
                <w:szCs w:val="20"/>
                <w:color w:val="auto"/>
              </w:rPr>
            </w:pPr>
            <w:r>
              <w:rPr>
                <w:rFonts w:ascii="Arial" w:cs="Arial" w:eastAsia="Arial" w:hAnsi="Arial"/>
                <w:sz w:val="15"/>
                <w:szCs w:val="15"/>
                <w:b w:val="1"/>
                <w:bCs w:val="1"/>
                <w:color w:val="auto"/>
              </w:rPr>
              <w:t>1-10686</w:t>
            </w:r>
          </w:p>
        </w:tc>
        <w:tc>
          <w:tcPr>
            <w:tcW w:w="3700" w:type="dxa"/>
            <w:vAlign w:val="bottom"/>
          </w:tcPr>
          <w:p>
            <w:pPr>
              <w:jc w:val="right"/>
              <w:ind w:right="1406"/>
              <w:spacing w:after="0"/>
              <w:rPr>
                <w:sz w:val="20"/>
                <w:szCs w:val="20"/>
                <w:color w:val="auto"/>
              </w:rPr>
            </w:pPr>
            <w:r>
              <w:rPr>
                <w:rFonts w:ascii="Arial" w:cs="Arial" w:eastAsia="Arial" w:hAnsi="Arial"/>
                <w:sz w:val="15"/>
                <w:szCs w:val="15"/>
                <w:b w:val="1"/>
                <w:bCs w:val="1"/>
                <w:color w:val="auto"/>
              </w:rPr>
              <w:t>39-1672779</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(State or other jurisdiction of incorporation)</w:t>
            </w:r>
          </w:p>
        </w:tc>
        <w:tc>
          <w:tcPr>
            <w:tcW w:w="2920" w:type="dxa"/>
            <w:vAlign w:val="bottom"/>
          </w:tcPr>
          <w:p>
            <w:pPr>
              <w:jc w:val="center"/>
              <w:ind w:right="6"/>
              <w:spacing w:after="0"/>
              <w:rPr>
                <w:sz w:val="20"/>
                <w:szCs w:val="20"/>
                <w:color w:val="auto"/>
              </w:rPr>
            </w:pPr>
            <w:r>
              <w:rPr>
                <w:rFonts w:ascii="Arial" w:cs="Arial" w:eastAsia="Arial" w:hAnsi="Arial"/>
                <w:sz w:val="15"/>
                <w:szCs w:val="15"/>
                <w:b w:val="1"/>
                <w:bCs w:val="1"/>
                <w:color w:val="auto"/>
                <w:w w:val="90"/>
              </w:rPr>
              <w:t>(Commission File Number)</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w w:val="91"/>
              </w:rPr>
              <w:t>(IRS Employer Identification No.)</w:t>
            </w:r>
          </w:p>
        </w:tc>
      </w:tr>
      <w:tr>
        <w:trPr>
          <w:trHeight w:val="688"/>
        </w:trPr>
        <w:tc>
          <w:tcPr>
            <w:tcW w:w="4840" w:type="dxa"/>
            <w:vAlign w:val="bottom"/>
          </w:tcPr>
          <w:p>
            <w:pPr>
              <w:jc w:val="center"/>
              <w:ind w:left="1166"/>
              <w:spacing w:after="0"/>
              <w:rPr>
                <w:sz w:val="20"/>
                <w:szCs w:val="20"/>
                <w:color w:val="auto"/>
              </w:rPr>
            </w:pPr>
            <w:r>
              <w:rPr>
                <w:rFonts w:ascii="Arial" w:cs="Arial" w:eastAsia="Arial" w:hAnsi="Arial"/>
                <w:sz w:val="15"/>
                <w:szCs w:val="15"/>
                <w:b w:val="1"/>
                <w:bCs w:val="1"/>
                <w:color w:val="auto"/>
                <w:w w:val="89"/>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2"/>
        </w:trPr>
        <w:tc>
          <w:tcPr>
            <w:tcW w:w="4840" w:type="dxa"/>
            <w:vAlign w:val="bottom"/>
          </w:tcPr>
          <w:p>
            <w:pPr>
              <w:jc w:val="center"/>
              <w:ind w:left="1186"/>
              <w:spacing w:after="0"/>
              <w:rPr>
                <w:sz w:val="20"/>
                <w:szCs w:val="20"/>
                <w:color w:val="auto"/>
              </w:rPr>
            </w:pPr>
            <w:r>
              <w:rPr>
                <w:rFonts w:ascii="Arial" w:cs="Arial" w:eastAsia="Arial" w:hAnsi="Arial"/>
                <w:sz w:val="15"/>
                <w:szCs w:val="15"/>
                <w:b w:val="1"/>
                <w:bCs w:val="1"/>
                <w:color w:val="auto"/>
                <w:w w:val="89"/>
              </w:rPr>
              <w:t>Milwaukee, Wisconsin</w:t>
            </w:r>
          </w:p>
        </w:tc>
        <w:tc>
          <w:tcPr>
            <w:tcW w:w="2920" w:type="dxa"/>
            <w:vAlign w:val="bottom"/>
          </w:tcPr>
          <w:p>
            <w:pPr>
              <w:spacing w:after="0"/>
              <w:rPr>
                <w:sz w:val="19"/>
                <w:szCs w:val="19"/>
                <w:color w:val="auto"/>
              </w:rPr>
            </w:pPr>
          </w:p>
        </w:tc>
        <w:tc>
          <w:tcPr>
            <w:tcW w:w="3700" w:type="dxa"/>
            <w:vAlign w:val="bottom"/>
          </w:tcPr>
          <w:p>
            <w:pPr>
              <w:jc w:val="right"/>
              <w:ind w:right="2426"/>
              <w:spacing w:after="0"/>
              <w:rPr>
                <w:sz w:val="20"/>
                <w:szCs w:val="20"/>
                <w:color w:val="auto"/>
              </w:rPr>
            </w:pPr>
            <w:r>
              <w:rPr>
                <w:rFonts w:ascii="Arial" w:cs="Arial" w:eastAsia="Arial" w:hAnsi="Arial"/>
                <w:sz w:val="15"/>
                <w:szCs w:val="15"/>
                <w:b w:val="1"/>
                <w:bCs w:val="1"/>
                <w:color w:val="auto"/>
              </w:rPr>
              <w:t>53212</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left="1166"/>
              <w:spacing w:after="0"/>
              <w:rPr>
                <w:sz w:val="20"/>
                <w:szCs w:val="20"/>
                <w:color w:val="auto"/>
              </w:rPr>
            </w:pPr>
            <w:r>
              <w:rPr>
                <w:rFonts w:ascii="Arial" w:cs="Arial" w:eastAsia="Arial" w:hAnsi="Arial"/>
                <w:sz w:val="15"/>
                <w:szCs w:val="15"/>
                <w:b w:val="1"/>
                <w:bCs w:val="1"/>
                <w:color w:val="auto"/>
                <w:w w:val="87"/>
              </w:rPr>
              <w:t>(Address of principal executive offices)</w:t>
            </w:r>
          </w:p>
        </w:tc>
        <w:tc>
          <w:tcPr>
            <w:tcW w:w="2920" w:type="dxa"/>
            <w:vAlign w:val="bottom"/>
          </w:tcPr>
          <w:p>
            <w:pPr>
              <w:spacing w:after="0"/>
              <w:rPr>
                <w:sz w:val="16"/>
                <w:szCs w:val="16"/>
                <w:color w:val="auto"/>
              </w:rPr>
            </w:pPr>
          </w:p>
        </w:tc>
        <w:tc>
          <w:tcPr>
            <w:tcW w:w="3700" w:type="dxa"/>
            <w:vAlign w:val="bottom"/>
          </w:tcPr>
          <w:p>
            <w:pPr>
              <w:jc w:val="center"/>
              <w:ind w:right="1606"/>
              <w:spacing w:after="0"/>
              <w:rPr>
                <w:sz w:val="20"/>
                <w:szCs w:val="20"/>
                <w:color w:val="auto"/>
              </w:rPr>
            </w:pPr>
            <w:r>
              <w:rPr>
                <w:rFonts w:ascii="Arial" w:cs="Arial" w:eastAsia="Arial" w:hAnsi="Arial"/>
                <w:sz w:val="15"/>
                <w:szCs w:val="15"/>
                <w:b w:val="1"/>
                <w:bCs w:val="1"/>
                <w:color w:val="auto"/>
                <w:w w:val="94"/>
              </w:rPr>
              <w:t>(Zip Code)</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6" w:lineRule="exact"/>
        <w:rPr>
          <w:sz w:val="24"/>
          <w:szCs w:val="24"/>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38" w:lineRule="exact"/>
        <w:rPr>
          <w:sz w:val="24"/>
          <w:szCs w:val="24"/>
          <w:color w:val="auto"/>
        </w:rPr>
      </w:pPr>
    </w:p>
    <w:p>
      <w:pPr>
        <w:ind w:right="260"/>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10" w:lineRule="exact"/>
        <w:rPr>
          <w:sz w:val="24"/>
          <w:szCs w:val="24"/>
          <w:color w:val="auto"/>
        </w:rPr>
      </w:pPr>
    </w:p>
    <w:p>
      <w:pPr>
        <w:ind w:right="50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460"/>
          </w:cols>
          <w:pgMar w:left="220" w:top="937" w:right="2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On July 20, 2018, we issued a press release announcing our results of operations for the three month and six month periods ended June 30, 2018. A copy of the press release is attached hereto as Exhibit 99.1 and is incorporated herein by reference.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Item 9.01.</w:t>
            </w:r>
          </w:p>
        </w:tc>
        <w:tc>
          <w:tcPr>
            <w:tcW w:w="10360" w:type="dxa"/>
            <w:vAlign w:val="bottom"/>
            <w:gridSpan w:val="4"/>
          </w:tcPr>
          <w:p>
            <w:pPr>
              <w:ind w:left="360"/>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tc>
      </w:tr>
      <w:tr>
        <w:trPr>
          <w:trHeight w:val="488"/>
        </w:trPr>
        <w:tc>
          <w:tcPr>
            <w:tcW w:w="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12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Arial" w:cs="Arial" w:eastAsia="Arial" w:hAnsi="Arial"/>
                <w:sz w:val="15"/>
                <w:szCs w:val="15"/>
                <w:color w:val="0000FF"/>
                <w:w w:val="75"/>
              </w:rPr>
            </w:pPr>
            <w:hyperlink w:anchor="page5">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1</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140" w:type="dxa"/>
            <w:vAlign w:val="bottom"/>
            <w:gridSpan w:val="3"/>
          </w:tcPr>
          <w:p>
            <w:pPr>
              <w:spacing w:after="0" w:line="158" w:lineRule="exact"/>
              <w:rPr>
                <w:rFonts w:ascii="Arial" w:cs="Arial" w:eastAsia="Arial" w:hAnsi="Arial"/>
                <w:sz w:val="15"/>
                <w:szCs w:val="15"/>
                <w:color w:val="0000FF"/>
              </w:rPr>
            </w:pPr>
            <w:hyperlink w:anchor="page5">
              <w:r>
                <w:rPr>
                  <w:rFonts w:ascii="Arial" w:cs="Arial" w:eastAsia="Arial" w:hAnsi="Arial"/>
                  <w:sz w:val="15"/>
                  <w:szCs w:val="15"/>
                  <w:color w:val="0000FF"/>
                </w:rPr>
                <w:t>Press Release dated July 20, 2018</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Arial" w:cs="Arial" w:eastAsia="Arial" w:hAnsi="Arial"/>
                <w:sz w:val="15"/>
                <w:szCs w:val="15"/>
                <w:color w:val="0000FF"/>
                <w:w w:val="75"/>
              </w:rPr>
            </w:pPr>
            <w:hyperlink w:anchor="page13">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2</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140" w:type="dxa"/>
            <w:vAlign w:val="bottom"/>
            <w:gridSpan w:val="3"/>
          </w:tcPr>
          <w:p>
            <w:pPr>
              <w:spacing w:after="0"/>
              <w:rPr>
                <w:rFonts w:ascii="Arial" w:cs="Arial" w:eastAsia="Arial" w:hAnsi="Arial"/>
                <w:sz w:val="15"/>
                <w:szCs w:val="15"/>
                <w:color w:val="0000FF"/>
              </w:rPr>
            </w:pPr>
            <w:hyperlink w:anchor="page13">
              <w:r>
                <w:rPr>
                  <w:rFonts w:ascii="Arial" w:cs="Arial" w:eastAsia="Arial" w:hAnsi="Arial"/>
                  <w:sz w:val="15"/>
                  <w:szCs w:val="15"/>
                  <w:color w:val="0000FF"/>
                </w:rPr>
                <w:t>Presentation materials for July 20, 2018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ectPr>
          <w:pgSz w:w="11900" w:h="16838" w:orient="portrait"/>
          <w:cols w:equalWidth="0" w:num="1">
            <w:col w:w="11460"/>
          </w:cols>
          <w:pgMar w:left="220" w:top="680"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MANPOWERGROUP INC.</w:t>
      </w:r>
    </w:p>
    <w:p>
      <w:pPr>
        <w:spacing w:after="0" w:line="271" w:lineRule="exact"/>
        <w:rPr>
          <w:sz w:val="20"/>
          <w:szCs w:val="20"/>
          <w:color w:val="auto"/>
        </w:rPr>
      </w:pPr>
    </w:p>
    <w:p>
      <w:pPr>
        <w:spacing w:after="0"/>
        <w:tabs>
          <w:tab w:leader="none" w:pos="3680" w:val="left"/>
          <w:tab w:leader="none" w:pos="4340" w:val="left"/>
        </w:tabs>
        <w:rPr>
          <w:sz w:val="20"/>
          <w:szCs w:val="20"/>
          <w:color w:val="auto"/>
        </w:rPr>
      </w:pPr>
      <w:r>
        <w:rPr>
          <w:rFonts w:ascii="Arial" w:cs="Arial" w:eastAsia="Arial" w:hAnsi="Arial"/>
          <w:sz w:val="15"/>
          <w:szCs w:val="15"/>
          <w:color w:val="auto"/>
        </w:rPr>
        <w:t>Dated: July 20, 2018</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24130</wp:posOffset>
            </wp:positionV>
            <wp:extent cx="1958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John T. McGinnis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Executive Vice President and</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360"/>
          </w:cols>
          <w:pgMar w:left="260" w:top="85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120" w:type="dxa"/>
            <w:vAlign w:val="bottom"/>
            <w:gridSpan w:val="2"/>
          </w:tcPr>
          <w:p>
            <w:pPr>
              <w:ind w:left="820"/>
              <w:spacing w:after="0"/>
              <w:rPr>
                <w:sz w:val="20"/>
                <w:szCs w:val="20"/>
                <w:color w:val="auto"/>
              </w:rPr>
            </w:pPr>
            <w:r>
              <w:rPr>
                <w:rFonts w:ascii="Arial" w:cs="Arial" w:eastAsia="Arial" w:hAnsi="Arial"/>
                <w:sz w:val="15"/>
                <w:szCs w:val="15"/>
                <w:b w:val="1"/>
                <w:bCs w:val="1"/>
                <w:color w:val="auto"/>
              </w:rPr>
              <w:t>EXHIBIT INDEX</w:t>
            </w:r>
          </w:p>
        </w:tc>
      </w:tr>
      <w:tr>
        <w:trPr>
          <w:trHeight w:val="488"/>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9140" w:type="dxa"/>
            <w:vAlign w:val="bottom"/>
            <w:gridSpan w:val="3"/>
          </w:tcPr>
          <w:p>
            <w:pPr>
              <w:spacing w:after="0"/>
              <w:rPr>
                <w:sz w:val="20"/>
                <w:szCs w:val="20"/>
                <w:color w:val="auto"/>
              </w:rPr>
            </w:pPr>
            <w:r>
              <w:rPr>
                <w:rFonts w:ascii="Arial" w:cs="Arial" w:eastAsia="Arial" w:hAnsi="Arial"/>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Arial" w:cs="Arial" w:eastAsia="Arial" w:hAnsi="Arial"/>
                <w:sz w:val="15"/>
                <w:szCs w:val="15"/>
                <w:color w:val="0000FF"/>
                <w:w w:val="75"/>
              </w:rPr>
            </w:pPr>
            <w:hyperlink w:anchor="page5">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1</w:t>
              </w:r>
            </w:hyperlink>
          </w:p>
        </w:tc>
        <w:tc>
          <w:tcPr>
            <w:tcW w:w="2040" w:type="dxa"/>
            <w:vAlign w:val="bottom"/>
          </w:tcPr>
          <w:p>
            <w:pPr>
              <w:spacing w:after="0"/>
              <w:rPr>
                <w:sz w:val="13"/>
                <w:szCs w:val="13"/>
                <w:color w:val="auto"/>
              </w:rPr>
            </w:pPr>
          </w:p>
        </w:tc>
        <w:tc>
          <w:tcPr>
            <w:tcW w:w="9140" w:type="dxa"/>
            <w:vAlign w:val="bottom"/>
            <w:gridSpan w:val="3"/>
          </w:tcPr>
          <w:p>
            <w:pPr>
              <w:spacing w:after="0" w:line="158" w:lineRule="exact"/>
              <w:rPr>
                <w:rFonts w:ascii="Arial" w:cs="Arial" w:eastAsia="Arial" w:hAnsi="Arial"/>
                <w:sz w:val="15"/>
                <w:szCs w:val="15"/>
                <w:color w:val="0000FF"/>
              </w:rPr>
            </w:pPr>
            <w:hyperlink w:anchor="page5">
              <w:r>
                <w:rPr>
                  <w:rFonts w:ascii="Arial" w:cs="Arial" w:eastAsia="Arial" w:hAnsi="Arial"/>
                  <w:sz w:val="15"/>
                  <w:szCs w:val="15"/>
                  <w:color w:val="0000FF"/>
                </w:rPr>
                <w:t>Press Release dated July 20, 2018</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Arial" w:cs="Arial" w:eastAsia="Arial" w:hAnsi="Arial"/>
                <w:sz w:val="15"/>
                <w:szCs w:val="15"/>
                <w:color w:val="0000FF"/>
                <w:w w:val="75"/>
              </w:rPr>
            </w:pPr>
            <w:hyperlink w:anchor="page13">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2</w:t>
              </w:r>
            </w:hyperlink>
          </w:p>
        </w:tc>
        <w:tc>
          <w:tcPr>
            <w:tcW w:w="2040" w:type="dxa"/>
            <w:vAlign w:val="bottom"/>
          </w:tcPr>
          <w:p>
            <w:pPr>
              <w:spacing w:after="0"/>
              <w:rPr>
                <w:sz w:val="17"/>
                <w:szCs w:val="17"/>
                <w:color w:val="auto"/>
              </w:rPr>
            </w:pPr>
          </w:p>
        </w:tc>
        <w:tc>
          <w:tcPr>
            <w:tcW w:w="9140" w:type="dxa"/>
            <w:vAlign w:val="bottom"/>
            <w:gridSpan w:val="3"/>
          </w:tcPr>
          <w:p>
            <w:pPr>
              <w:spacing w:after="0"/>
              <w:rPr>
                <w:rFonts w:ascii="Arial" w:cs="Arial" w:eastAsia="Arial" w:hAnsi="Arial"/>
                <w:sz w:val="15"/>
                <w:szCs w:val="15"/>
                <w:color w:val="0000FF"/>
              </w:rPr>
            </w:pPr>
            <w:hyperlink w:anchor="page13">
              <w:r>
                <w:rPr>
                  <w:rFonts w:ascii="Arial" w:cs="Arial" w:eastAsia="Arial" w:hAnsi="Arial"/>
                  <w:sz w:val="15"/>
                  <w:szCs w:val="15"/>
                  <w:color w:val="0000FF"/>
                </w:rPr>
                <w:t>Presentation materials for July 20, 2018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ectPr>
          <w:pgSz w:w="11900" w:h="16838" w:orient="portrait"/>
          <w:cols w:equalWidth="0" w:num="1">
            <w:col w:w="11460"/>
          </w:cols>
          <w:pgMar w:left="220" w:top="85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993140" cy="542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3140" cy="54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tabs>
          <w:tab w:leader="none" w:pos="30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Jack McGinnis</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+1.414.906.7977</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u w:val="single" w:color="auto"/>
          <w:color w:val="0000FF"/>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Reports 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Quarter and First Half 2018 Results</w:t>
      </w:r>
    </w:p>
    <w:p>
      <w:pPr>
        <w:spacing w:after="0" w:line="162" w:lineRule="exact"/>
        <w:rPr>
          <w:sz w:val="20"/>
          <w:szCs w:val="20"/>
          <w:color w:val="auto"/>
        </w:rPr>
      </w:pPr>
    </w:p>
    <w:p>
      <w:pPr>
        <w:ind w:right="420"/>
        <w:spacing w:after="0" w:line="382" w:lineRule="auto"/>
        <w:rPr>
          <w:sz w:val="20"/>
          <w:szCs w:val="20"/>
          <w:color w:val="auto"/>
        </w:rPr>
      </w:pPr>
      <w:r>
        <w:rPr>
          <w:rFonts w:ascii="Arial" w:cs="Arial" w:eastAsia="Arial" w:hAnsi="Arial"/>
          <w:sz w:val="16"/>
          <w:szCs w:val="16"/>
          <w:b w:val="1"/>
          <w:bCs w:val="1"/>
          <w:color w:val="auto"/>
        </w:rPr>
        <w:t xml:space="preserve">MILWAUKEE, July 20, 2018 -- </w:t>
      </w:r>
      <w:r>
        <w:rPr>
          <w:rFonts w:ascii="Arial" w:cs="Arial" w:eastAsia="Arial" w:hAnsi="Arial"/>
          <w:sz w:val="16"/>
          <w:szCs w:val="16"/>
          <w:color w:val="auto"/>
        </w:rPr>
        <w:t>ManpowerGroup (NYSE: MAN) today reported that net earnings for the three months ended June 30, 2018 were $143.4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or $2.17 per diluted share compared to net earnings of $117.0 million, or $1.72 per diluted share in the prior year period. Revenues for the second quarter were $5.7 billion, an increase of 9% from the prior year period.</w:t>
      </w:r>
    </w:p>
    <w:p>
      <w:pPr>
        <w:spacing w:after="0" w:line="229" w:lineRule="exact"/>
        <w:rPr>
          <w:sz w:val="20"/>
          <w:szCs w:val="20"/>
          <w:color w:val="auto"/>
        </w:rPr>
      </w:pPr>
    </w:p>
    <w:p>
      <w:pPr>
        <w:ind w:right="200"/>
        <w:spacing w:after="0" w:line="376" w:lineRule="auto"/>
        <w:rPr>
          <w:sz w:val="20"/>
          <w:szCs w:val="20"/>
          <w:color w:val="auto"/>
        </w:rPr>
      </w:pPr>
      <w:r>
        <w:rPr>
          <w:rFonts w:ascii="Arial" w:cs="Arial" w:eastAsia="Arial" w:hAnsi="Arial"/>
          <w:sz w:val="16"/>
          <w:szCs w:val="16"/>
          <w:color w:val="auto"/>
        </w:rPr>
        <w:t>The current year quarter included restructuring costs which reduced earnings per share by 18 cents. Included in the prior year quarter are restructuring costs which reduced earnings per share by 10 cents.</w:t>
      </w:r>
    </w:p>
    <w:p>
      <w:pPr>
        <w:spacing w:after="0" w:line="233" w:lineRule="exact"/>
        <w:rPr>
          <w:sz w:val="20"/>
          <w:szCs w:val="20"/>
          <w:color w:val="auto"/>
        </w:rPr>
      </w:pPr>
    </w:p>
    <w:p>
      <w:pPr>
        <w:ind w:right="40"/>
        <w:spacing w:after="0" w:line="369" w:lineRule="auto"/>
        <w:rPr>
          <w:sz w:val="20"/>
          <w:szCs w:val="20"/>
          <w:color w:val="auto"/>
        </w:rPr>
      </w:pPr>
      <w:r>
        <w:rPr>
          <w:rFonts w:ascii="Arial" w:cs="Arial" w:eastAsia="Arial" w:hAnsi="Arial"/>
          <w:sz w:val="16"/>
          <w:szCs w:val="16"/>
          <w:color w:val="auto"/>
        </w:rPr>
        <w:t>Financial results in the quarter were also impacted by stronger foreign currencies relative to the U.S. dollar compared to the prior year period. On a constant currency basis, revenues increased 4% and earnings per share increased 21%. Earnings per share in the quarter were positively impacted 9 cents by changes in foreign currencies compared to the prior year, or 10 cents excluding the restructuring costs.</w:t>
      </w:r>
    </w:p>
    <w:p>
      <w:pPr>
        <w:spacing w:after="0" w:line="50" w:lineRule="exact"/>
        <w:rPr>
          <w:sz w:val="20"/>
          <w:szCs w:val="20"/>
          <w:color w:val="auto"/>
        </w:rPr>
      </w:pPr>
    </w:p>
    <w:p>
      <w:pPr>
        <w:jc w:val="both"/>
        <w:ind w:right="340"/>
        <w:spacing w:after="0" w:line="376" w:lineRule="auto"/>
        <w:rPr>
          <w:sz w:val="20"/>
          <w:szCs w:val="20"/>
          <w:color w:val="auto"/>
        </w:rPr>
      </w:pPr>
      <w:r>
        <w:rPr>
          <w:rFonts w:ascii="Arial" w:cs="Arial" w:eastAsia="Arial" w:hAnsi="Arial"/>
          <w:sz w:val="16"/>
          <w:szCs w:val="16"/>
          <w:color w:val="auto"/>
        </w:rPr>
        <w:t>ManpowerGroup Chairman &amp; CEO Jonas Prising said, “Our solid second quarter results contributed to a good first half of 2018. Demand for our innovative workforce solutions remains strong and with our market leading global footprint this environment should provide us with opportunities for profitable growth”.</w:t>
      </w:r>
    </w:p>
    <w:p>
      <w:pPr>
        <w:spacing w:after="0" w:line="111" w:lineRule="exact"/>
        <w:rPr>
          <w:sz w:val="20"/>
          <w:szCs w:val="20"/>
          <w:color w:val="auto"/>
        </w:rPr>
      </w:pPr>
    </w:p>
    <w:p>
      <w:pPr>
        <w:ind w:right="200"/>
        <w:spacing w:after="0" w:line="376" w:lineRule="auto"/>
        <w:rPr>
          <w:sz w:val="20"/>
          <w:szCs w:val="20"/>
          <w:color w:val="auto"/>
        </w:rPr>
      </w:pPr>
      <w:r>
        <w:rPr>
          <w:rFonts w:ascii="Arial" w:cs="Arial" w:eastAsia="Arial" w:hAnsi="Arial"/>
          <w:sz w:val="16"/>
          <w:szCs w:val="16"/>
          <w:color w:val="auto"/>
        </w:rPr>
        <w:t>“We anticipate the third quarter diluted earnings per share to be in the range of $2.37 to $2.45, which includes an estimated unfavorable currency impact of 5 cents,” Prising stated.</w:t>
      </w:r>
    </w:p>
    <w:p>
      <w:pPr>
        <w:spacing w:after="0" w:line="45" w:lineRule="exact"/>
        <w:rPr>
          <w:sz w:val="20"/>
          <w:szCs w:val="20"/>
          <w:color w:val="auto"/>
        </w:rPr>
      </w:pPr>
    </w:p>
    <w:p>
      <w:pPr>
        <w:ind w:right="160"/>
        <w:spacing w:after="0" w:line="376" w:lineRule="auto"/>
        <w:rPr>
          <w:sz w:val="20"/>
          <w:szCs w:val="20"/>
          <w:color w:val="auto"/>
        </w:rPr>
      </w:pPr>
      <w:r>
        <w:rPr>
          <w:rFonts w:ascii="Arial" w:cs="Arial" w:eastAsia="Arial" w:hAnsi="Arial"/>
          <w:sz w:val="16"/>
          <w:szCs w:val="16"/>
          <w:color w:val="auto"/>
        </w:rPr>
        <w:t>Net earnings for the six months ended June 30, 2018 were $240.4 million, or $3.62 per diluted share compared to net earnings of $191.4 million, or $2.80 per diluted share in the prior year. The year to date period included restructuring costs which reduced earnings per share by 45 cents. The prior</w:t>
      </w:r>
    </w:p>
    <w:p>
      <w:pPr>
        <w:sectPr>
          <w:pgSz w:w="11900" w:h="16838" w:orient="portrait"/>
          <w:cols w:equalWidth="0" w:num="1">
            <w:col w:w="11460"/>
          </w:cols>
          <w:pgMar w:left="220" w:top="502" w:right="219" w:bottom="1440" w:gutter="0" w:footer="0" w:header="0"/>
        </w:sectPr>
      </w:pPr>
    </w:p>
    <w:bookmarkStart w:id="5" w:name="page6"/>
    <w:bookmarkEnd w:id="5"/>
    <w:p>
      <w:pPr>
        <w:ind w:right="160"/>
        <w:spacing w:after="0" w:line="366" w:lineRule="auto"/>
        <w:rPr>
          <w:sz w:val="20"/>
          <w:szCs w:val="20"/>
          <w:color w:val="auto"/>
        </w:rPr>
      </w:pPr>
      <w:r>
        <w:rPr>
          <w:rFonts w:ascii="Arial" w:cs="Arial" w:eastAsia="Arial" w:hAnsi="Arial"/>
          <w:sz w:val="16"/>
          <w:szCs w:val="16"/>
          <w:color w:val="auto"/>
        </w:rPr>
        <w:t>year to date period included restructuring costs which reduced earnings per share by 41 cents and discrete income tax benefits which increased earnings per share by 19 cents. Revenues for the six-month period were $11.2 billion, an increase of 13% from the prior year or an increase of 5% in constant currency. Earnings per share for the six-month period were positively impacted 23 cents by changes in foreign currencies compared to the prior year, or 27 cents excluding the restructuring costs.</w:t>
      </w:r>
    </w:p>
    <w:p>
      <w:pPr>
        <w:spacing w:after="0" w:line="242" w:lineRule="exact"/>
        <w:rPr>
          <w:sz w:val="20"/>
          <w:szCs w:val="20"/>
          <w:color w:val="auto"/>
        </w:rPr>
      </w:pPr>
    </w:p>
    <w:p>
      <w:pPr>
        <w:jc w:val="both"/>
        <w:ind w:right="180"/>
        <w:spacing w:after="0" w:line="369" w:lineRule="auto"/>
        <w:rPr>
          <w:sz w:val="20"/>
          <w:szCs w:val="20"/>
          <w:color w:val="auto"/>
        </w:rPr>
      </w:pPr>
      <w:r>
        <w:rPr>
          <w:rFonts w:ascii="Arial" w:cs="Arial" w:eastAsia="Arial" w:hAnsi="Arial"/>
          <w:sz w:val="16"/>
          <w:szCs w:val="16"/>
          <w:color w:val="auto"/>
        </w:rPr>
        <w:t xml:space="preserve">In conjunction with its second quarter earnings release, ManpowerGroup will broadcast its conference call live over the Internet on July 20, 2018 at 7:30 a.m. CDT (8:30 a.m. EDT). Interested parties are invited to listen to the webcast and view the presentation by logging on to </w:t>
      </w:r>
      <w:r>
        <w:rPr>
          <w:rFonts w:ascii="Arial" w:cs="Arial" w:eastAsia="Arial" w:hAnsi="Arial"/>
          <w:sz w:val="16"/>
          <w:szCs w:val="16"/>
          <w:u w:val="single" w:color="auto"/>
          <w:color w:val="0000FF"/>
        </w:rPr>
        <w:t>http://investor.manpowergroup.com/</w:t>
      </w:r>
      <w:r>
        <w:rPr>
          <w:rFonts w:ascii="Arial" w:cs="Arial" w:eastAsia="Arial" w:hAnsi="Arial"/>
          <w:sz w:val="16"/>
          <w:szCs w:val="16"/>
          <w:color w:val="auto"/>
        </w:rPr>
        <w:t xml:space="preserve"> in the section titled “Investor Relations.”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0000FF"/>
        </w:rPr>
        <w:t>http://investor.manpowergroup.com/</w:t>
      </w:r>
      <w:r>
        <w:rPr>
          <w:rFonts w:ascii="Arial" w:cs="Arial" w:eastAsia="Arial" w:hAnsi="Arial"/>
          <w:sz w:val="16"/>
          <w:szCs w:val="16"/>
          <w:color w:val="auto"/>
        </w:rPr>
        <w:t xml:space="preserve"> .</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ManpowerGroup</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t>
      </w:r>
      <w:r>
        <w:rPr>
          <w:rFonts w:ascii="Arial" w:cs="Arial" w:eastAsia="Arial" w:hAnsi="Arial"/>
          <w:sz w:val="15"/>
          <w:szCs w:val="15"/>
          <w:u w:val="single" w:color="auto"/>
          <w:color w:val="0000FF"/>
        </w:rPr>
        <w:t>www.manpowergroup.com</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2017, which information is incorporated herein by reference.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ectPr>
          <w:pgSz w:w="11900" w:h="16838" w:orient="portrait"/>
          <w:cols w:equalWidth="0" w:num="1">
            <w:col w:w="11460"/>
          </w:cols>
          <w:pgMar w:left="220" w:top="558"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Results of Operations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4"/>
          </w:tcPr>
          <w:p>
            <w:pPr>
              <w:jc w:val="center"/>
              <w:ind w:right="626"/>
              <w:spacing w:after="0"/>
              <w:rPr>
                <w:sz w:val="20"/>
                <w:szCs w:val="20"/>
                <w:color w:val="auto"/>
              </w:rPr>
            </w:pPr>
            <w:r>
              <w:rPr>
                <w:rFonts w:ascii="Arial" w:cs="Arial" w:eastAsia="Arial" w:hAnsi="Arial"/>
                <w:sz w:val="15"/>
                <w:szCs w:val="15"/>
                <w:b w:val="1"/>
                <w:bCs w:val="1"/>
                <w:color w:val="auto"/>
                <w:w w:val="90"/>
              </w:rPr>
              <w:t>Three Months Ended June 30</w:t>
            </w:r>
          </w:p>
        </w:tc>
        <w:tc>
          <w:tcPr>
            <w:tcW w:w="104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4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826"/>
              <w:spacing w:after="0"/>
              <w:rPr>
                <w:sz w:val="20"/>
                <w:szCs w:val="20"/>
                <w:color w:val="auto"/>
              </w:rPr>
            </w:pPr>
            <w:r>
              <w:rPr>
                <w:rFonts w:ascii="Arial" w:cs="Arial" w:eastAsia="Arial" w:hAnsi="Arial"/>
                <w:sz w:val="15"/>
                <w:szCs w:val="15"/>
                <w:b w:val="1"/>
                <w:bCs w:val="1"/>
                <w:color w:val="auto"/>
                <w:w w:val="98"/>
              </w:rPr>
              <w:t>Amount</w:t>
            </w:r>
          </w:p>
        </w:tc>
        <w:tc>
          <w:tcPr>
            <w:tcW w:w="1040" w:type="dxa"/>
            <w:vAlign w:val="bottom"/>
          </w:tcPr>
          <w:p>
            <w:pPr>
              <w:jc w:val="right"/>
              <w:ind w:right="326"/>
              <w:spacing w:after="0"/>
              <w:rPr>
                <w:sz w:val="20"/>
                <w:szCs w:val="20"/>
                <w:color w:val="auto"/>
              </w:rPr>
            </w:pPr>
            <w:r>
              <w:rPr>
                <w:rFonts w:ascii="Arial" w:cs="Arial" w:eastAsia="Arial" w:hAnsi="Arial"/>
                <w:sz w:val="15"/>
                <w:szCs w:val="15"/>
                <w:b w:val="1"/>
                <w:bCs w:val="1"/>
                <w:color w:val="auto"/>
                <w:w w:val="95"/>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ind w:right="806"/>
              <w:spacing w:after="0"/>
              <w:rPr>
                <w:sz w:val="20"/>
                <w:szCs w:val="20"/>
                <w:color w:val="auto"/>
              </w:rPr>
            </w:pPr>
            <w:r>
              <w:rPr>
                <w:rFonts w:ascii="Arial" w:cs="Arial" w:eastAsia="Arial" w:hAnsi="Arial"/>
                <w:sz w:val="15"/>
                <w:szCs w:val="15"/>
                <w:b w:val="1"/>
                <w:bCs w:val="1"/>
                <w:color w:val="auto"/>
                <w:w w:val="88"/>
              </w:rPr>
              <w:t>Reported</w:t>
            </w:r>
          </w:p>
        </w:tc>
        <w:tc>
          <w:tcPr>
            <w:tcW w:w="1040" w:type="dxa"/>
            <w:vAlign w:val="bottom"/>
          </w:tcPr>
          <w:p>
            <w:pPr>
              <w:jc w:val="right"/>
              <w:ind w:right="326"/>
              <w:spacing w:after="0"/>
              <w:rPr>
                <w:sz w:val="20"/>
                <w:szCs w:val="20"/>
                <w:color w:val="auto"/>
              </w:rPr>
            </w:pPr>
            <w:r>
              <w:rPr>
                <w:rFonts w:ascii="Arial" w:cs="Arial" w:eastAsia="Arial" w:hAnsi="Arial"/>
                <w:sz w:val="15"/>
                <w:szCs w:val="15"/>
                <w:b w:val="1"/>
                <w:bCs w:val="1"/>
                <w:color w:val="auto"/>
                <w:w w:val="94"/>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left="706"/>
              <w:spacing w:after="0"/>
              <w:rPr>
                <w:sz w:val="20"/>
                <w:szCs w:val="20"/>
                <w:color w:val="auto"/>
              </w:rPr>
            </w:pPr>
            <w:r>
              <w:rPr>
                <w:rFonts w:ascii="Arial" w:cs="Arial" w:eastAsia="Arial" w:hAnsi="Arial"/>
                <w:sz w:val="15"/>
                <w:szCs w:val="15"/>
                <w:color w:val="auto"/>
                <w:w w:val="91"/>
              </w:rPr>
              <w:t>(Unaudited)</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 (a)</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5,656.9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5,174.8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9.3 %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4,734.2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4,313.1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9.8 %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4.8%</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922.7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861.7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7.1 %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and administrative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666.5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7.2 %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3.0%</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195.2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6.7 %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-4.4 %</w:t>
            </w:r>
          </w:p>
        </w:tc>
        <w:tc>
          <w:tcPr>
            <w:tcW w:w="104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197.8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184.2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7.4 %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-19.1 %</w:t>
            </w:r>
          </w:p>
        </w:tc>
        <w:tc>
          <w:tcPr>
            <w:tcW w:w="104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earnings</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143.4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117.0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22.6 %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earnings per share - basic</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25.3 %</w:t>
            </w:r>
          </w:p>
        </w:tc>
        <w:tc>
          <w:tcPr>
            <w:tcW w:w="104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earnings per share - diluted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26.2 %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Weighted average shares - basic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-2.5 %</w:t>
            </w:r>
          </w:p>
        </w:tc>
        <w:tc>
          <w:tcPr>
            <w:tcW w:w="104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 diluted</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66.1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68.0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-2.8 %</w:t>
            </w:r>
          </w:p>
        </w:tc>
        <w:tc>
          <w:tcPr>
            <w:tcW w:w="1040" w:type="dxa"/>
            <w:vAlign w:val="bottom"/>
            <w:tcBorders>
              <w:bottom w:val="single" w:sz="8" w:color="CCEEFF"/>
            </w:tcBorders>
            <w:shd w:val="clear" w:color="auto" w:fill="CCEEFF"/>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 w:right="80"/>
        <w:spacing w:after="0" w:line="346" w:lineRule="auto"/>
        <w:tabs>
          <w:tab w:leader="none" w:pos="221"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$6.2 million and $5.8 million for the three months ended June 30, 2018 and 2017, respectively. These fees are primarily based on revenues generated by the franchise offices, which were $273.9 million and $247.3 million for the three months ended June 30, 2018 and 2017, respectively.</w:t>
      </w:r>
    </w:p>
    <w:p>
      <w:pPr>
        <w:sectPr>
          <w:pgSz w:w="11900" w:h="16838" w:orient="portrait"/>
          <w:cols w:equalWidth="0" w:num="1">
            <w:col w:w="11260"/>
          </w:cols>
          <w:pgMar w:left="420" w:top="636"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Operating Unit Results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606"/>
              <w:spacing w:after="0"/>
              <w:rPr>
                <w:sz w:val="20"/>
                <w:szCs w:val="20"/>
                <w:color w:val="auto"/>
              </w:rPr>
            </w:pPr>
            <w:r>
              <w:rPr>
                <w:rFonts w:ascii="Arial" w:cs="Arial" w:eastAsia="Arial" w:hAnsi="Arial"/>
                <w:sz w:val="15"/>
                <w:szCs w:val="15"/>
                <w:b w:val="1"/>
                <w:bCs w:val="1"/>
                <w:color w:val="auto"/>
                <w:w w:val="90"/>
              </w:rPr>
              <w:t>Three Months Ended June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Arial" w:cs="Arial" w:eastAsia="Arial" w:hAnsi="Arial"/>
                <w:sz w:val="15"/>
                <w:szCs w:val="15"/>
                <w:b w:val="1"/>
                <w:bCs w:val="1"/>
                <w:color w:val="auto"/>
                <w:w w:val="95"/>
              </w:rPr>
              <w:t>Amount</w:t>
            </w:r>
          </w:p>
        </w:tc>
        <w:tc>
          <w:tcPr>
            <w:tcW w:w="1060" w:type="dxa"/>
            <w:vAlign w:val="bottom"/>
          </w:tcPr>
          <w:p>
            <w:pPr>
              <w:jc w:val="right"/>
              <w:ind w:right="366"/>
              <w:spacing w:after="0"/>
              <w:rPr>
                <w:sz w:val="20"/>
                <w:szCs w:val="20"/>
                <w:color w:val="auto"/>
              </w:rPr>
            </w:pPr>
            <w:r>
              <w:rPr>
                <w:rFonts w:ascii="Arial" w:cs="Arial" w:eastAsia="Arial" w:hAnsi="Arial"/>
                <w:sz w:val="15"/>
                <w:szCs w:val="15"/>
                <w:b w:val="1"/>
                <w:bCs w:val="1"/>
                <w:color w:val="auto"/>
                <w:w w:val="92"/>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Arial" w:cs="Arial" w:eastAsia="Arial" w:hAnsi="Arial"/>
                <w:sz w:val="15"/>
                <w:szCs w:val="15"/>
                <w:b w:val="1"/>
                <w:bCs w:val="1"/>
                <w:color w:val="auto"/>
                <w:w w:val="88"/>
              </w:rPr>
              <w:t>Reported</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746"/>
              <w:spacing w:after="0"/>
              <w:rPr>
                <w:sz w:val="20"/>
                <w:szCs w:val="20"/>
                <w:color w:val="auto"/>
              </w:rPr>
            </w:pPr>
            <w:r>
              <w:rPr>
                <w:rFonts w:ascii="Arial" w:cs="Arial" w:eastAsia="Arial" w:hAnsi="Arial"/>
                <w:sz w:val="15"/>
                <w:szCs w:val="15"/>
                <w:color w:val="auto"/>
                <w:w w:val="91"/>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671.3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-4.6 %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412.0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385.6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6.9 %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13.1 %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1,052.5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1,056.9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-0.4 %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1,512.5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1,356.3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11.5 %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443.0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366.5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20.9 %</w:t>
            </w:r>
          </w:p>
        </w:tc>
        <w:tc>
          <w:tcPr>
            <w:tcW w:w="1060" w:type="dxa"/>
            <w:vAlign w:val="bottom"/>
          </w:tcPr>
          <w:p>
            <w:pPr>
              <w:jc w:val="right"/>
              <w:spacing w:after="0"/>
              <w:rPr>
                <w:sz w:val="20"/>
                <w:szCs w:val="20"/>
                <w:color w:val="auto"/>
              </w:rPr>
            </w:pPr>
            <w:r>
              <w:rPr>
                <w:rFonts w:ascii="Arial" w:cs="Arial" w:eastAsia="Arial" w:hAnsi="Arial"/>
                <w:sz w:val="15"/>
                <w:szCs w:val="15"/>
                <w:color w:val="auto"/>
              </w:rPr>
              <w:t>11.8 %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478.5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412.9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15.9 %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2,434.0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2,135.7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14.0 %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5.8 %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1,393.2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1,281.7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8.7 %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724.8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643.4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12.6 %</w:t>
            </w:r>
          </w:p>
        </w:tc>
        <w:tc>
          <w:tcPr>
            <w:tcW w:w="1060" w:type="dxa"/>
            <w:vAlign w:val="bottom"/>
          </w:tcPr>
          <w:p>
            <w:pPr>
              <w:jc w:val="right"/>
              <w:spacing w:after="0"/>
              <w:rPr>
                <w:sz w:val="20"/>
                <w:szCs w:val="20"/>
                <w:color w:val="auto"/>
              </w:rPr>
            </w:pPr>
            <w:r>
              <w:rPr>
                <w:rFonts w:ascii="Arial" w:cs="Arial" w:eastAsia="Arial" w:hAnsi="Arial"/>
                <w:sz w:val="15"/>
                <w:szCs w:val="15"/>
                <w:color w:val="auto"/>
              </w:rPr>
              <w:t>10.4 %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57.1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5,656.9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5,174.8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9.3 %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4.5 %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44.5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42.6 %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51.6 %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0.7 %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70.7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3.4 %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15.8 %</w:t>
            </w:r>
          </w:p>
        </w:tc>
        <w:tc>
          <w:tcPr>
            <w:tcW w:w="1060" w:type="dxa"/>
            <w:vAlign w:val="bottom"/>
          </w:tcPr>
          <w:p>
            <w:pPr>
              <w:jc w:val="right"/>
              <w:spacing w:after="0"/>
              <w:rPr>
                <w:sz w:val="20"/>
                <w:szCs w:val="20"/>
                <w:color w:val="auto"/>
              </w:rPr>
            </w:pPr>
            <w:r>
              <w:rPr>
                <w:rFonts w:ascii="Arial" w:cs="Arial" w:eastAsia="Arial" w:hAnsi="Arial"/>
                <w:sz w:val="15"/>
                <w:szCs w:val="15"/>
                <w:color w:val="auto"/>
              </w:rPr>
              <w:t>7.3 %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32.9 %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28.6 %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9.8 %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2.4 %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33.1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-25.7 %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-29.7 %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25.5 %</w:t>
            </w:r>
          </w:p>
        </w:tc>
        <w:tc>
          <w:tcPr>
            <w:tcW w:w="1060" w:type="dxa"/>
            <w:vAlign w:val="bottom"/>
          </w:tcPr>
          <w:p>
            <w:pPr>
              <w:jc w:val="right"/>
              <w:spacing w:after="0"/>
              <w:rPr>
                <w:sz w:val="20"/>
                <w:szCs w:val="20"/>
                <w:color w:val="auto"/>
              </w:rPr>
            </w:pPr>
            <w:r>
              <w:rPr>
                <w:rFonts w:ascii="Arial" w:cs="Arial" w:eastAsia="Arial" w:hAnsi="Arial"/>
                <w:sz w:val="15"/>
                <w:szCs w:val="15"/>
                <w:color w:val="auto"/>
              </w:rPr>
              <w:t>23.1 %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23.2 %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242.8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233.2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208.3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195.2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6.7 %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197.8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184.2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 w:right="340" w:firstLine="5"/>
        <w:spacing w:after="0" w:line="257" w:lineRule="auto"/>
        <w:tabs>
          <w:tab w:leader="none" w:pos="221"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$3.9 million and $3.6 million for the three months ended June 30, 2018 and 2017, respectively. These fees are primarily based on revenues generated by the franchise offices, which were $166.7 million and $155.6 million for the three months ended June 30, 2018 and 2017, respectively.</w:t>
      </w:r>
    </w:p>
    <w:p>
      <w:pPr>
        <w:spacing w:after="0" w:line="133" w:lineRule="exact"/>
        <w:rPr>
          <w:rFonts w:ascii="Arial" w:cs="Arial" w:eastAsia="Arial" w:hAnsi="Arial"/>
          <w:sz w:val="15"/>
          <w:szCs w:val="15"/>
          <w:color w:val="auto"/>
        </w:rPr>
      </w:pPr>
    </w:p>
    <w:p>
      <w:pPr>
        <w:ind w:left="240" w:hanging="215"/>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308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11.9</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308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exchange (gain) loss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0.2</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Miscellaneous (income) expense,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0.1</w:t>
            </w:r>
          </w:p>
        </w:tc>
        <w:tc>
          <w:tcPr>
            <w:tcW w:w="308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11.0</w:t>
            </w:r>
          </w:p>
        </w:tc>
        <w:tc>
          <w:tcPr>
            <w:tcW w:w="308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Results of Operations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4"/>
          </w:tcPr>
          <w:p>
            <w:pPr>
              <w:jc w:val="center"/>
              <w:ind w:right="606"/>
              <w:spacing w:after="0"/>
              <w:rPr>
                <w:sz w:val="20"/>
                <w:szCs w:val="20"/>
                <w:color w:val="auto"/>
              </w:rPr>
            </w:pPr>
            <w:r>
              <w:rPr>
                <w:rFonts w:ascii="Arial" w:cs="Arial" w:eastAsia="Arial" w:hAnsi="Arial"/>
                <w:sz w:val="15"/>
                <w:szCs w:val="15"/>
                <w:b w:val="1"/>
                <w:bCs w:val="1"/>
                <w:color w:val="auto"/>
                <w:w w:val="89"/>
              </w:rPr>
              <w:t>Six Months Ended June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right"/>
              <w:ind w:right="826"/>
              <w:spacing w:after="0"/>
              <w:rPr>
                <w:sz w:val="20"/>
                <w:szCs w:val="20"/>
                <w:color w:val="auto"/>
              </w:rPr>
            </w:pPr>
            <w:r>
              <w:rPr>
                <w:rFonts w:ascii="Arial" w:cs="Arial" w:eastAsia="Arial" w:hAnsi="Arial"/>
                <w:sz w:val="15"/>
                <w:szCs w:val="15"/>
                <w:b w:val="1"/>
                <w:bCs w:val="1"/>
                <w:color w:val="auto"/>
                <w:w w:val="98"/>
              </w:rPr>
              <w:t>Amount</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5"/>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786"/>
              <w:spacing w:after="0"/>
              <w:rPr>
                <w:sz w:val="20"/>
                <w:szCs w:val="20"/>
                <w:color w:val="auto"/>
              </w:rPr>
            </w:pPr>
            <w:r>
              <w:rPr>
                <w:rFonts w:ascii="Arial" w:cs="Arial" w:eastAsia="Arial" w:hAnsi="Arial"/>
                <w:sz w:val="15"/>
                <w:szCs w:val="15"/>
                <w:b w:val="1"/>
                <w:bCs w:val="1"/>
                <w:color w:val="auto"/>
                <w:w w:val="91"/>
              </w:rPr>
              <w:t>Reported</w:t>
            </w:r>
          </w:p>
        </w:tc>
        <w:tc>
          <w:tcPr>
            <w:tcW w:w="1060" w:type="dxa"/>
            <w:vAlign w:val="bottom"/>
          </w:tcPr>
          <w:p>
            <w:pPr>
              <w:jc w:val="right"/>
              <w:ind w:right="326"/>
              <w:spacing w:after="0"/>
              <w:rPr>
                <w:sz w:val="20"/>
                <w:szCs w:val="20"/>
                <w:color w:val="auto"/>
              </w:rPr>
            </w:pPr>
            <w:r>
              <w:rPr>
                <w:rFonts w:ascii="Arial" w:cs="Arial" w:eastAsia="Arial" w:hAnsi="Arial"/>
                <w:sz w:val="15"/>
                <w:szCs w:val="15"/>
                <w:b w:val="1"/>
                <w:bCs w:val="1"/>
                <w:color w:val="auto"/>
                <w:w w:val="97"/>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706"/>
              <w:spacing w:after="0"/>
              <w:rPr>
                <w:sz w:val="20"/>
                <w:szCs w:val="20"/>
                <w:color w:val="auto"/>
              </w:rPr>
            </w:pPr>
            <w:r>
              <w:rPr>
                <w:rFonts w:ascii="Arial" w:cs="Arial" w:eastAsia="Arial" w:hAnsi="Arial"/>
                <w:sz w:val="15"/>
                <w:szCs w:val="15"/>
                <w:color w:val="auto"/>
                <w:w w:val="91"/>
              </w:rPr>
              <w:t>(Unaudited)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 (a)</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11,179.3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9,932.0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12.6 %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9,371.2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8,282.5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13.1 %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5.4%</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1,808.1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1,649.5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9.6 %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and administrative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1,446.0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1,326.4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9.0 %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2.4%</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362.1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323.1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12.0 %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-0.9 %</w:t>
            </w: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335.5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296.3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13.2 %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104.9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-9.4 %</w:t>
            </w: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earnings</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191.4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earnings per share - basic</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3.65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2.83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29.0 %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earnings per share - diluted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3.62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2.80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29.3 %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Weighted average shares - basic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65.8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-2.6 %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 diluted</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66.4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68.3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-2.8 %</w:t>
            </w: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 w:right="80" w:firstLine="5"/>
        <w:spacing w:after="0" w:line="346" w:lineRule="auto"/>
        <w:tabs>
          <w:tab w:leader="none" w:pos="221"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$11.4 million and $11.1 million for the six months ended June 30, 2018 and 2017, respectively. These fees are primarily based on revenues generated by the franchise offices, which were $510.7 million and $486.4 million for the six months ended June 30, 2018 and 2017, respectively.</w:t>
      </w:r>
    </w:p>
    <w:p>
      <w:pPr>
        <w:sectPr>
          <w:pgSz w:w="11900" w:h="16838" w:orient="portrait"/>
          <w:cols w:equalWidth="0" w:num="1">
            <w:col w:w="11280"/>
          </w:cols>
          <w:pgMar w:left="320" w:top="814"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Operating Unit Results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606"/>
              <w:spacing w:after="0"/>
              <w:rPr>
                <w:sz w:val="20"/>
                <w:szCs w:val="20"/>
                <w:color w:val="auto"/>
              </w:rPr>
            </w:pPr>
            <w:r>
              <w:rPr>
                <w:rFonts w:ascii="Arial" w:cs="Arial" w:eastAsia="Arial" w:hAnsi="Arial"/>
                <w:sz w:val="15"/>
                <w:szCs w:val="15"/>
                <w:b w:val="1"/>
                <w:bCs w:val="1"/>
                <w:color w:val="auto"/>
                <w:w w:val="88"/>
              </w:rPr>
              <w:t>Six Months Ended June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Arial" w:cs="Arial" w:eastAsia="Arial" w:hAnsi="Arial"/>
                <w:sz w:val="15"/>
                <w:szCs w:val="15"/>
                <w:b w:val="1"/>
                <w:bCs w:val="1"/>
                <w:color w:val="auto"/>
                <w:w w:val="95"/>
              </w:rPr>
              <w:t>Amount</w:t>
            </w:r>
          </w:p>
        </w:tc>
        <w:tc>
          <w:tcPr>
            <w:tcW w:w="1060" w:type="dxa"/>
            <w:vAlign w:val="bottom"/>
          </w:tcPr>
          <w:p>
            <w:pPr>
              <w:jc w:val="right"/>
              <w:ind w:right="366"/>
              <w:spacing w:after="0"/>
              <w:rPr>
                <w:sz w:val="20"/>
                <w:szCs w:val="20"/>
                <w:color w:val="auto"/>
              </w:rPr>
            </w:pPr>
            <w:r>
              <w:rPr>
                <w:rFonts w:ascii="Arial" w:cs="Arial" w:eastAsia="Arial" w:hAnsi="Arial"/>
                <w:sz w:val="15"/>
                <w:szCs w:val="15"/>
                <w:b w:val="1"/>
                <w:bCs w:val="1"/>
                <w:color w:val="auto"/>
                <w:w w:val="92"/>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6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Arial" w:cs="Arial" w:eastAsia="Arial" w:hAnsi="Arial"/>
                <w:sz w:val="15"/>
                <w:szCs w:val="15"/>
                <w:b w:val="1"/>
                <w:bCs w:val="1"/>
                <w:color w:val="auto"/>
                <w:w w:val="88"/>
              </w:rPr>
              <w:t>Reported</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746"/>
              <w:spacing w:after="0"/>
              <w:rPr>
                <w:sz w:val="20"/>
                <w:szCs w:val="20"/>
                <w:color w:val="auto"/>
              </w:rPr>
            </w:pPr>
            <w:r>
              <w:rPr>
                <w:rFonts w:ascii="Arial" w:cs="Arial" w:eastAsia="Arial" w:hAnsi="Arial"/>
                <w:sz w:val="15"/>
                <w:szCs w:val="15"/>
                <w:color w:val="auto"/>
                <w:w w:val="91"/>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1,256.8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1,332.8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818.3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9.1 %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11.9 %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2,075.1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2,083.1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-0.4 %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2,936.5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2,493.8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17.7 %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856.6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660.9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29.6 %</w:t>
            </w:r>
          </w:p>
        </w:tc>
        <w:tc>
          <w:tcPr>
            <w:tcW w:w="1060" w:type="dxa"/>
            <w:vAlign w:val="bottom"/>
          </w:tcPr>
          <w:p>
            <w:pPr>
              <w:jc w:val="right"/>
              <w:spacing w:after="0"/>
              <w:rPr>
                <w:sz w:val="20"/>
                <w:szCs w:val="20"/>
                <w:color w:val="auto"/>
              </w:rPr>
            </w:pPr>
            <w:r>
              <w:rPr>
                <w:rFonts w:ascii="Arial" w:cs="Arial" w:eastAsia="Arial" w:hAnsi="Arial"/>
                <w:sz w:val="15"/>
                <w:szCs w:val="15"/>
                <w:color w:val="auto"/>
              </w:rPr>
              <w:t>16.2 %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952.9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784.9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4,746.0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3,939.6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20.5 %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8.4 %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2,810.8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2,520.4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11.5 %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1,445.0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1,275.8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13.3 %</w:t>
            </w:r>
          </w:p>
        </w:tc>
        <w:tc>
          <w:tcPr>
            <w:tcW w:w="1060" w:type="dxa"/>
            <w:vAlign w:val="bottom"/>
          </w:tcPr>
          <w:p>
            <w:pPr>
              <w:jc w:val="right"/>
              <w:spacing w:after="0"/>
              <w:rPr>
                <w:sz w:val="20"/>
                <w:szCs w:val="20"/>
                <w:color w:val="auto"/>
              </w:rPr>
            </w:pPr>
            <w:r>
              <w:rPr>
                <w:rFonts w:ascii="Arial" w:cs="Arial" w:eastAsia="Arial" w:hAnsi="Arial"/>
                <w:sz w:val="15"/>
                <w:szCs w:val="15"/>
                <w:color w:val="auto"/>
              </w:rPr>
              <w:t>9.3 %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-9.4 %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11,179.3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9,932.0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12.6 %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70.8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-8.4 %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37.1 %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41.1 %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3.6 %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130.7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121.3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57.1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24.6 %</w:t>
            </w:r>
          </w:p>
        </w:tc>
        <w:tc>
          <w:tcPr>
            <w:tcW w:w="1060" w:type="dxa"/>
            <w:vAlign w:val="bottom"/>
          </w:tcPr>
          <w:p>
            <w:pPr>
              <w:jc w:val="right"/>
              <w:spacing w:after="0"/>
              <w:rPr>
                <w:sz w:val="20"/>
                <w:szCs w:val="20"/>
                <w:color w:val="auto"/>
              </w:rPr>
            </w:pPr>
            <w:r>
              <w:rPr>
                <w:rFonts w:ascii="Arial" w:cs="Arial" w:eastAsia="Arial" w:hAnsi="Arial"/>
                <w:sz w:val="15"/>
                <w:szCs w:val="15"/>
                <w:color w:val="auto"/>
              </w:rPr>
              <w:t>12.2 %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25.1 %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219.4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14.1 %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3.3 %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44.9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-8.2 %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26.8 %</w:t>
            </w:r>
          </w:p>
        </w:tc>
        <w:tc>
          <w:tcPr>
            <w:tcW w:w="1060" w:type="dxa"/>
            <w:vAlign w:val="bottom"/>
          </w:tcPr>
          <w:p>
            <w:pPr>
              <w:jc w:val="right"/>
              <w:spacing w:after="0"/>
              <w:rPr>
                <w:sz w:val="20"/>
                <w:szCs w:val="20"/>
                <w:color w:val="auto"/>
              </w:rPr>
            </w:pPr>
            <w:r>
              <w:rPr>
                <w:rFonts w:ascii="Arial" w:cs="Arial" w:eastAsia="Arial" w:hAnsi="Arial"/>
                <w:sz w:val="15"/>
                <w:szCs w:val="15"/>
                <w:color w:val="auto"/>
              </w:rPr>
              <w:t>22.7 %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394.1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(52.7)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362.1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323.1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335.5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296.3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 w:right="500" w:firstLine="5"/>
        <w:spacing w:after="0" w:line="346" w:lineRule="auto"/>
        <w:tabs>
          <w:tab w:leader="none" w:pos="22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United States, revenues from services include fees received from our franchise offices of $7.1 million for both the six months ended June 30, 2018 and 2017. These fees are primarily based on revenues generated by the franchise offices, which were $315.7 million and $323.3 million for the six months ended June 30, 2018 and 2017, respectively.</w:t>
      </w:r>
    </w:p>
    <w:p>
      <w:pPr>
        <w:spacing w:after="0" w:line="79" w:lineRule="exact"/>
        <w:rPr>
          <w:rFonts w:ascii="Arial" w:cs="Arial" w:eastAsia="Arial" w:hAnsi="Arial"/>
          <w:sz w:val="13"/>
          <w:szCs w:val="13"/>
          <w:color w:val="auto"/>
        </w:rPr>
      </w:pPr>
    </w:p>
    <w:p>
      <w:pPr>
        <w:ind w:left="240" w:hanging="215"/>
        <w:spacing w:after="0"/>
        <w:tabs>
          <w:tab w:leader="none" w:pos="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306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26.9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23.8</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880" w:type="dxa"/>
            <w:vAlign w:val="bottom"/>
          </w:tcPr>
          <w:p>
            <w:pPr>
              <w:spacing w:after="0"/>
              <w:rPr>
                <w:sz w:val="17"/>
                <w:szCs w:val="17"/>
                <w:color w:val="auto"/>
              </w:rPr>
            </w:pPr>
          </w:p>
        </w:tc>
        <w:tc>
          <w:tcPr>
            <w:tcW w:w="460" w:type="dxa"/>
            <w:vAlign w:val="bottom"/>
          </w:tcPr>
          <w:p>
            <w:pPr>
              <w:jc w:val="right"/>
              <w:ind w:right="6"/>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w:t>
            </w:r>
          </w:p>
        </w:tc>
        <w:tc>
          <w:tcPr>
            <w:tcW w:w="3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exchange (gain) loss</w:t>
            </w:r>
          </w:p>
        </w:tc>
        <w:tc>
          <w:tcPr>
            <w:tcW w:w="8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0.3</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Miscellaneous expenses, net</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4.9</w:t>
            </w:r>
          </w:p>
        </w:tc>
        <w:tc>
          <w:tcPr>
            <w:tcW w:w="306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26.8</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 30</w:t>
            </w:r>
          </w:p>
        </w:tc>
        <w:tc>
          <w:tcPr>
            <w:tcW w:w="340" w:type="dxa"/>
            <w:vAlign w:val="bottom"/>
          </w:tcPr>
          <w:p>
            <w:pPr>
              <w:spacing w:after="0"/>
              <w:rPr>
                <w:sz w:val="16"/>
                <w:szCs w:val="16"/>
                <w:color w:val="auto"/>
              </w:rPr>
            </w:pPr>
          </w:p>
        </w:tc>
        <w:tc>
          <w:tcPr>
            <w:tcW w:w="900" w:type="dxa"/>
            <w:vAlign w:val="bottom"/>
          </w:tcPr>
          <w:p>
            <w:pPr>
              <w:jc w:val="right"/>
              <w:ind w:right="326"/>
              <w:spacing w:after="0"/>
              <w:rPr>
                <w:sz w:val="20"/>
                <w:szCs w:val="20"/>
                <w:color w:val="auto"/>
              </w:rPr>
            </w:pPr>
            <w:r>
              <w:rPr>
                <w:rFonts w:ascii="Arial" w:cs="Arial" w:eastAsia="Arial" w:hAnsi="Arial"/>
                <w:sz w:val="15"/>
                <w:szCs w:val="15"/>
                <w:b w:val="1"/>
                <w:bCs w:val="1"/>
                <w:color w:val="auto"/>
                <w:w w:val="91"/>
              </w:rPr>
              <w:t>Dec. 31</w:t>
            </w:r>
          </w:p>
        </w:tc>
      </w:tr>
      <w:tr>
        <w:trPr>
          <w:trHeight w:val="222"/>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0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406"/>
              <w:spacing w:after="0"/>
              <w:rPr>
                <w:sz w:val="20"/>
                <w:szCs w:val="20"/>
                <w:color w:val="auto"/>
              </w:rPr>
            </w:pPr>
            <w:r>
              <w:rPr>
                <w:rFonts w:ascii="Arial" w:cs="Arial" w:eastAsia="Arial" w:hAnsi="Arial"/>
                <w:sz w:val="15"/>
                <w:szCs w:val="15"/>
                <w:b w:val="1"/>
                <w:bCs w:val="1"/>
                <w:color w:val="auto"/>
              </w:rPr>
              <w:t>2017</w:t>
            </w:r>
          </w:p>
        </w:tc>
      </w:tr>
      <w:tr>
        <w:trPr>
          <w:trHeight w:val="25"/>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(Unaudited)</w:t>
            </w: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Cash and cash equivalents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767.5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689.0</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5,363.9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5,370.5</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111.7</w:t>
            </w:r>
          </w:p>
        </w:tc>
      </w:tr>
      <w:tr>
        <w:trPr>
          <w:trHeight w:val="199"/>
        </w:trPr>
        <w:tc>
          <w:tcPr>
            <w:tcW w:w="8680" w:type="dxa"/>
            <w:vAlign w:val="bottom"/>
          </w:tcPr>
          <w:p>
            <w:pPr>
              <w:ind w:left="24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6,269.3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6,171.2</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1,321.9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1,343.0</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264.6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284.0</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807.7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927.7</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2,394.2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2,554.7</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Property and equipment: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1370" cy="140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140970"/>
                    </a:xfrm>
                    <a:prstGeom prst="rect">
                      <a:avLst/>
                    </a:prstGeom>
                    <a:noFill/>
                  </pic:spPr>
                </pic:pic>
              </a:graphicData>
            </a:graphic>
          </wp:anchor>
        </w:drawing>
      </w:r>
    </w:p>
    <w:p>
      <w:pPr>
        <w:sectPr>
          <w:pgSz w:w="11900" w:h="16838" w:orient="portrait"/>
          <w:cols w:equalWidth="0" w:num="1">
            <w:col w:w="11280"/>
          </w:cols>
          <w:pgMar w:left="320" w:top="636" w:right="299" w:bottom="1440" w:gutter="0" w:footer="0" w:header="0"/>
        </w:sectPr>
      </w:pPr>
    </w:p>
    <w:p>
      <w:pPr>
        <w:spacing w:after="0" w:line="3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Land, buildings, leasehold improvements and equipment</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51370" cy="154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property and equipment</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51370" cy="154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624.2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633.4</w:t>
            </w:r>
          </w:p>
        </w:tc>
      </w:tr>
      <w:tr>
        <w:trPr>
          <w:trHeight w:val="222"/>
        </w:trPr>
        <w:tc>
          <w:tcPr>
            <w:tcW w:w="400" w:type="dxa"/>
            <w:vAlign w:val="bottom"/>
          </w:tcPr>
          <w:p>
            <w:pPr>
              <w:spacing w:after="0"/>
              <w:rPr>
                <w:sz w:val="19"/>
                <w:szCs w:val="19"/>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474.9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475.7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149.3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157.7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8,812.8</w:t>
            </w:r>
          </w:p>
        </w:tc>
        <w:tc>
          <w:tcPr>
            <w:tcW w:w="1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8,883.6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6414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1475"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960" w:space="720"/>
            <w:col w:w="2600"/>
          </w:cols>
          <w:pgMar w:left="320" w:top="636" w:right="29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LIABILITIES AND SHAREHOLDERS' EQUITY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2,279.4</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Employee compensation payable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188.1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230.6</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Accrued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456.7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490.9</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Accrued payroll taxes and insurance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721.2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794.7</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Value added taxes payable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522.3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545.4</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Short-term borrowings and current maturities of long-term debt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469.4</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4,235.0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4,810.4</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Other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Long-term debt</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1,045.2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478.1</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long-term liabilities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685.1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737.5</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other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1,730.3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1,215.6</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Shareholders' equity:</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ManpowerGroup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20"/>
              <w:spacing w:after="0"/>
              <w:rPr>
                <w:sz w:val="20"/>
                <w:szCs w:val="20"/>
                <w:color w:val="auto"/>
              </w:rPr>
            </w:pPr>
            <w:r>
              <w:rPr>
                <w:rFonts w:ascii="Arial" w:cs="Arial" w:eastAsia="Arial" w:hAnsi="Arial"/>
                <w:sz w:val="15"/>
                <w:szCs w:val="15"/>
                <w:color w:val="auto"/>
              </w:rPr>
              <w:t>Common stock</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Capital in excess of par value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3,320.1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3,302.6</w:t>
            </w:r>
          </w:p>
        </w:tc>
      </w:tr>
      <w:tr>
        <w:trPr>
          <w:trHeight w:val="199"/>
        </w:trPr>
        <w:tc>
          <w:tcPr>
            <w:tcW w:w="868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2,902.7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2,713.0</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(288.2)</w:t>
            </w:r>
          </w:p>
        </w:tc>
      </w:tr>
      <w:tr>
        <w:trPr>
          <w:trHeight w:val="224"/>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Treasury stock, at cost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(2,953.7)</w:t>
            </w:r>
          </w:p>
        </w:tc>
      </w:tr>
      <w:tr>
        <w:trPr>
          <w:trHeight w:val="224"/>
        </w:trPr>
        <w:tc>
          <w:tcPr>
            <w:tcW w:w="8680" w:type="dxa"/>
            <w:vAlign w:val="bottom"/>
            <w:tcBorders>
              <w:bottom w:val="single" w:sz="8" w:color="CCEEFF"/>
            </w:tcBorders>
            <w:shd w:val="clear" w:color="auto" w:fill="CCEEFF"/>
          </w:tcPr>
          <w:p>
            <w:pPr>
              <w:jc w:val="right"/>
              <w:ind w:right="5706"/>
              <w:spacing w:after="0"/>
              <w:rPr>
                <w:sz w:val="20"/>
                <w:szCs w:val="20"/>
                <w:color w:val="auto"/>
              </w:rPr>
            </w:pPr>
            <w:r>
              <w:rPr>
                <w:rFonts w:ascii="Arial" w:cs="Arial" w:eastAsia="Arial" w:hAnsi="Arial"/>
                <w:sz w:val="15"/>
                <w:szCs w:val="15"/>
                <w:color w:val="auto"/>
              </w:rPr>
              <w:t>Total ManpowerGroup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2,764.0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2,774.9</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Noncontrolling interests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82.7</w:t>
            </w:r>
          </w:p>
        </w:tc>
      </w:tr>
      <w:tr>
        <w:trPr>
          <w:trHeight w:val="224"/>
        </w:trPr>
        <w:tc>
          <w:tcPr>
            <w:tcW w:w="8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2,847.5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2,857.6</w:t>
            </w:r>
          </w:p>
        </w:tc>
      </w:tr>
      <w:tr>
        <w:trPr>
          <w:trHeight w:val="216"/>
        </w:trPr>
        <w:tc>
          <w:tcPr>
            <w:tcW w:w="8680" w:type="dxa"/>
            <w:vAlign w:val="bottom"/>
          </w:tcPr>
          <w:p>
            <w:pPr>
              <w:jc w:val="right"/>
              <w:ind w:right="5706"/>
              <w:spacing w:after="0"/>
              <w:rPr>
                <w:sz w:val="20"/>
                <w:szCs w:val="20"/>
                <w:color w:val="auto"/>
              </w:rPr>
            </w:pPr>
            <w:r>
              <w:rPr>
                <w:rFonts w:ascii="Arial" w:cs="Arial" w:eastAsia="Arial" w:hAnsi="Arial"/>
                <w:sz w:val="15"/>
                <w:szCs w:val="15"/>
                <w:color w:val="auto"/>
              </w:rPr>
              <w:t>Total liabilities and shareholders' equity</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8,812.8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8,883.6</w:t>
            </w:r>
          </w:p>
        </w:tc>
      </w:tr>
      <w:tr>
        <w:trPr>
          <w:trHeight w:val="20"/>
        </w:trPr>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center"/>
              <w:ind w:right="206"/>
              <w:spacing w:after="0"/>
              <w:rPr>
                <w:sz w:val="20"/>
                <w:szCs w:val="20"/>
                <w:color w:val="auto"/>
              </w:rPr>
            </w:pPr>
            <w:r>
              <w:rPr>
                <w:rFonts w:ascii="Arial" w:cs="Arial" w:eastAsia="Arial" w:hAnsi="Arial"/>
                <w:sz w:val="15"/>
                <w:szCs w:val="15"/>
                <w:b w:val="1"/>
                <w:bCs w:val="1"/>
                <w:color w:val="auto"/>
                <w:w w:val="89"/>
              </w:rPr>
              <w:t>Six Months Ended</w:t>
            </w:r>
          </w:p>
        </w:tc>
      </w:tr>
      <w:tr>
        <w:trPr>
          <w:trHeight w:val="222"/>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center"/>
              <w:ind w:left="506"/>
              <w:spacing w:after="0"/>
              <w:rPr>
                <w:sz w:val="20"/>
                <w:szCs w:val="20"/>
                <w:color w:val="auto"/>
              </w:rPr>
            </w:pPr>
            <w:r>
              <w:rPr>
                <w:rFonts w:ascii="Arial" w:cs="Arial" w:eastAsia="Arial" w:hAnsi="Arial"/>
                <w:sz w:val="15"/>
                <w:szCs w:val="15"/>
                <w:b w:val="1"/>
                <w:bCs w:val="1"/>
                <w:color w:val="auto"/>
                <w:w w:val="85"/>
              </w:rPr>
              <w:t>June 30</w:t>
            </w:r>
          </w:p>
        </w:tc>
        <w:tc>
          <w:tcPr>
            <w:tcW w:w="860" w:type="dxa"/>
            <w:vAlign w:val="bottom"/>
          </w:tcPr>
          <w:p>
            <w:pPr>
              <w:spacing w:after="0"/>
              <w:rPr>
                <w:sz w:val="19"/>
                <w:szCs w:val="19"/>
                <w:color w:val="auto"/>
              </w:rPr>
            </w:pP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06"/>
              <w:spacing w:after="0"/>
              <w:rPr>
                <w:sz w:val="20"/>
                <w:szCs w:val="20"/>
                <w:color w:val="auto"/>
              </w:rPr>
            </w:pPr>
            <w:r>
              <w:rPr>
                <w:rFonts w:ascii="Arial" w:cs="Arial" w:eastAsia="Arial" w:hAnsi="Arial"/>
                <w:sz w:val="15"/>
                <w:szCs w:val="15"/>
                <w:b w:val="1"/>
                <w:bCs w:val="1"/>
                <w:color w:val="auto"/>
              </w:rPr>
              <w:t>2017</w:t>
            </w: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06"/>
              <w:spacing w:after="0"/>
              <w:rPr>
                <w:sz w:val="20"/>
                <w:szCs w:val="20"/>
                <w:color w:val="auto"/>
              </w:rPr>
            </w:pPr>
            <w:r>
              <w:rPr>
                <w:rFonts w:ascii="Arial" w:cs="Arial" w:eastAsia="Arial" w:hAnsi="Arial"/>
                <w:sz w:val="15"/>
                <w:szCs w:val="15"/>
                <w:color w:val="auto"/>
                <w:w w:val="91"/>
              </w:rPr>
              <w:t>(Unaudited)</w:t>
            </w:r>
          </w:p>
        </w:tc>
        <w:tc>
          <w:tcPr>
            <w:tcW w:w="86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Net earnings</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240.4</w:t>
            </w:r>
          </w:p>
        </w:tc>
        <w:tc>
          <w:tcPr>
            <w:tcW w:w="10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191.4</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40.7</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Deferred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26.1</w:t>
            </w: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Provision for doubtful accounts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10.0</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Share-based compensation</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14.8</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(132.0)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(258.8)</w:t>
            </w: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36.0</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87.8</w:t>
            </w:r>
          </w:p>
        </w:tc>
      </w:tr>
      <w:tr>
        <w:trPr>
          <w:trHeight w:val="224"/>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148.0</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Capital expenditures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(25.5)</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Acquisitions of businesses, net of cash acquired</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(21.2)</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Proceeds from the sale of investments, property and equipment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3.1</w:t>
            </w:r>
          </w:p>
        </w:tc>
      </w:tr>
      <w:tr>
        <w:trPr>
          <w:trHeight w:val="236"/>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Cash used in investing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w:t>
            </w:r>
          </w:p>
        </w:tc>
      </w:tr>
      <w:tr>
        <w:trPr>
          <w:trHeight w:val="187"/>
        </w:trPr>
        <w:tc>
          <w:tcPr>
            <w:tcW w:w="878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Net change in short-term borrowings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Proceeds from long-term debt</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583.3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Repayments of long-term debt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(408.1)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Payments for debt issuance costs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(15.1)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Proceeds from share-based awards and other equity transactions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34.1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Payments to noncontrolling interests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Other share-based award transactions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Repurchases of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(113.2)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(115.8)</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Dividends paid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w:t>
            </w:r>
          </w:p>
        </w:tc>
      </w:tr>
      <w:tr>
        <w:trPr>
          <w:trHeight w:val="224"/>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(177.5)</w:t>
            </w:r>
          </w:p>
        </w:tc>
      </w:tr>
      <w:tr>
        <w:trPr>
          <w:trHeight w:val="224"/>
        </w:trPr>
        <w:tc>
          <w:tcPr>
            <w:tcW w:w="8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47.7</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78.5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w:t>
            </w:r>
          </w:p>
        </w:tc>
      </w:tr>
      <w:tr>
        <w:trPr>
          <w:trHeight w:val="224"/>
        </w:trPr>
        <w:tc>
          <w:tcPr>
            <w:tcW w:w="8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689.0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598.5</w:t>
            </w:r>
          </w:p>
        </w:tc>
      </w:tr>
      <w:tr>
        <w:trPr>
          <w:trHeight w:val="216"/>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767.5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573.1</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60" w:top="636"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709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2019-12-28T21:09:52Z</dcterms:created>
  <dcterms:modified xsi:type="dcterms:W3CDTF">2019-12-28T21:09:52Z</dcterms:modified>
</cp:coreProperties>
</file>