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man-20230331.htm"/>
      <w:bookmarkStart w:id="1" w:name="ksman20230331"/>
      <w:bookmarkEnd w:id="0"/>
      <w:bookmarkEnd w:id="1"/>
      <w:r>
        <w:rPr/>
        <w:t> </w:t>
      </w:r>
    </w:p>
    <w:p>
      <w:pPr>
        <w:pStyle w:val="TextBody"/>
        <w:spacing w:before="220" w:after="0"/>
        <w:jc w:val="center"/>
        <w:rPr>
          <w:rFonts w:ascii="Times New Roman" w:hAnsi="Times New Roman"/>
          <w:sz w:val="20"/>
        </w:rPr>
      </w:pPr>
      <w:r>
        <w:rPr>
          <w:rFonts w:ascii="Times New Roman;serif" w:hAnsi="Times New Roman;serif"/>
          <w:b w:val="false"/>
          <w:sz w:val="22"/>
        </w:rPr>
        <w:t>United</w:t>
      </w:r>
      <w:r>
        <w:rPr>
          <w:rFonts w:ascii="Times New Roman" w:hAnsi="Times New Roman"/>
          <w:sz w:val="20"/>
        </w:rPr>
        <w:t xml:space="preserve"> </w:t>
      </w:r>
      <w:r>
        <w:rPr>
          <w:rFonts w:ascii="Times New Roman;serif" w:hAnsi="Times New Roman;serif"/>
          <w:b w:val="false"/>
          <w:sz w:val="22"/>
        </w:rPr>
        <w:t>States</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SECURITIES AND EXCHANGE COMMISSION</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Washington, D.C. 20549</w:t>
      </w:r>
    </w:p>
    <w:p>
      <w:pPr>
        <w:pStyle w:val="TextBody"/>
        <w:spacing w:before="120" w:after="0"/>
        <w:jc w:val="center"/>
        <w:rPr>
          <w:rFonts w:ascii="Times New Roman;serif" w:hAnsi="Times New Roman;serif"/>
          <w:b/>
          <w:sz w:val="32"/>
        </w:rPr>
      </w:pPr>
      <w:r>
        <w:rPr>
          <w:rFonts w:ascii="Times New Roman;serif" w:hAnsi="Times New Roman;serif"/>
          <w:b/>
          <w:sz w:val="32"/>
        </w:rPr>
        <w:t>FORM 10-Q</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(Mark One)</w:t>
      </w:r>
    </w:p>
    <w:p>
      <w:pPr>
        <w:pStyle w:val="TextBody"/>
        <w:spacing w:before="120" w:after="0"/>
        <w:jc w:val="left"/>
        <w:rPr/>
      </w:pPr>
      <w:r>
        <w:rPr/>
        <w:t xml:space="preserve">☒ </w:t>
      </w:r>
      <w:r>
        <w:rPr>
          <w:rFonts w:ascii="Times New Roman;serif" w:hAnsi="Times New Roman;serif"/>
          <w:b w:val="false"/>
          <w:sz w:val="18"/>
        </w:rPr>
        <w:t>Quarterly Report pursuant to Section 13 or 15(d) of the Securities Exchange Act of 1934 for the quarterly period ended:</w:t>
      </w:r>
    </w:p>
    <w:p>
      <w:pPr>
        <w:pStyle w:val="TextBody"/>
        <w:spacing w:before="120" w:after="0"/>
        <w:jc w:val="center"/>
        <w:rPr>
          <w:rFonts w:ascii="Times New Roman" w:hAnsi="Times New Roman"/>
          <w:sz w:val="20"/>
        </w:rPr>
      </w:pPr>
      <w:r>
        <w:rPr>
          <w:rFonts w:ascii="Times New Roman;serif" w:hAnsi="Times New Roman;serif"/>
          <w:b/>
          <w:sz w:val="18"/>
        </w:rPr>
        <w:t>March 31, 2023</w:t>
      </w:r>
      <w:r>
        <w:rPr>
          <w:rFonts w:ascii="Times New Roman" w:hAnsi="Times New Roman"/>
          <w:sz w:val="20"/>
        </w:rPr>
        <w:t xml:space="preserve"> </w:t>
      </w:r>
    </w:p>
    <w:p>
      <w:pPr>
        <w:pStyle w:val="TextBody"/>
        <w:spacing w:before="120" w:after="0"/>
        <w:jc w:val="center"/>
        <w:rPr>
          <w:rFonts w:ascii="Times New Roman;serif" w:hAnsi="Times New Roman;serif"/>
          <w:b w:val="false"/>
          <w:sz w:val="18"/>
        </w:rPr>
      </w:pPr>
      <w:r>
        <w:rPr>
          <w:rFonts w:ascii="Times New Roman;serif" w:hAnsi="Times New Roman;serif"/>
          <w:b w:val="false"/>
          <w:sz w:val="18"/>
        </w:rPr>
        <w:t>or</w:t>
      </w:r>
    </w:p>
    <w:p>
      <w:pPr>
        <w:pStyle w:val="TextBody"/>
        <w:spacing w:before="120" w:after="0"/>
        <w:jc w:val="left"/>
        <w:rPr/>
      </w:pPr>
      <w:r>
        <w:rPr/>
        <w:t xml:space="preserve">☐ </w:t>
      </w:r>
      <w:r>
        <w:rPr>
          <w:rFonts w:ascii="Times New Roman;serif" w:hAnsi="Times New Roman;serif"/>
          <w:b w:val="false"/>
          <w:sz w:val="18"/>
        </w:rPr>
        <w:t>Transition Report pursuant to Section 13 or 15(d) of the Securities Exchange Act of 1934 for the transition period from: ______to______</w:t>
      </w:r>
    </w:p>
    <w:p>
      <w:pPr>
        <w:pStyle w:val="TextBody"/>
        <w:spacing w:before="120" w:after="0"/>
        <w:jc w:val="center"/>
        <w:rPr>
          <w:rFonts w:ascii="Times New Roman;serif" w:hAnsi="Times New Roman;serif"/>
          <w:b w:val="false"/>
          <w:sz w:val="18"/>
        </w:rPr>
      </w:pPr>
      <w:r>
        <w:rPr>
          <w:rFonts w:ascii="Times New Roman;serif" w:hAnsi="Times New Roman;serif"/>
          <w:b w:val="false"/>
          <w:sz w:val="18"/>
        </w:rPr>
        <w:t>Commission file number: 1-10686</w:t>
      </w:r>
    </w:p>
    <w:p>
      <w:pPr>
        <w:pStyle w:val="TextBody"/>
        <w:spacing w:before="120" w:after="0"/>
        <w:jc w:val="center"/>
        <w:rPr>
          <w:rFonts w:ascii="Times New Roman;serif" w:hAnsi="Times New Roman;serif"/>
          <w:b/>
          <w:sz w:val="32"/>
        </w:rPr>
      </w:pPr>
      <w:r>
        <w:rPr>
          <w:rFonts w:ascii="Times New Roman;serif" w:hAnsi="Times New Roman;serif"/>
          <w:b/>
          <w:sz w:val="32"/>
        </w:rPr>
        <w:t>MANPOWERGROUP INC.</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(Exact name of registrant as specified in its charter)</w:t>
      </w:r>
    </w:p>
    <w:p>
      <w:pPr>
        <w:pStyle w:val="TextBody"/>
        <w:spacing w:before="0" w:after="0"/>
        <w:jc w:val="left"/>
        <w:rPr/>
      </w:pPr>
      <w:r>
        <w:rPr/>
        <w:t> </w:t>
      </w:r>
    </w:p>
    <w:tbl>
      <w:tblPr>
        <w:tblW w:w="5938" w:type="dxa"/>
        <w:jc w:val="left"/>
        <w:tblInd w:w="0" w:type="dxa"/>
        <w:tblCellMar>
          <w:top w:w="28" w:type="dxa"/>
          <w:left w:w="28" w:type="dxa"/>
          <w:bottom w:w="28" w:type="dxa"/>
          <w:right w:w="28" w:type="dxa"/>
        </w:tblCellMar>
      </w:tblPr>
      <w:tblGrid>
        <w:gridCol w:w="161"/>
        <w:gridCol w:w="3196"/>
        <w:gridCol w:w="2581"/>
      </w:tblGrid>
      <w:tr>
        <w:trPr/>
        <w:tc>
          <w:tcPr>
            <w:tcW w:w="161" w:type="dxa"/>
            <w:tcBorders/>
            <w:shd w:fill="auto" w:val="clear"/>
            <w:vAlign w:val="center"/>
          </w:tcPr>
          <w:p>
            <w:pPr>
              <w:pStyle w:val="TableContents"/>
              <w:spacing w:before="0" w:after="283"/>
              <w:rPr>
                <w:sz w:val="4"/>
                <w:szCs w:val="4"/>
              </w:rPr>
            </w:pPr>
            <w:r>
              <w:rPr>
                <w:sz w:val="4"/>
                <w:szCs w:val="4"/>
              </w:rPr>
            </w:r>
          </w:p>
        </w:tc>
        <w:tc>
          <w:tcPr>
            <w:tcW w:w="3196" w:type="dxa"/>
            <w:tcBorders/>
            <w:shd w:fill="auto" w:val="clear"/>
            <w:vAlign w:val="center"/>
          </w:tcPr>
          <w:p>
            <w:pPr>
              <w:pStyle w:val="TableContents"/>
              <w:spacing w:before="0" w:after="283"/>
              <w:rPr>
                <w:sz w:val="4"/>
                <w:szCs w:val="4"/>
              </w:rPr>
            </w:pPr>
            <w:r>
              <w:rPr>
                <w:sz w:val="4"/>
                <w:szCs w:val="4"/>
              </w:rPr>
            </w:r>
          </w:p>
        </w:tc>
        <w:tc>
          <w:tcPr>
            <w:tcW w:w="25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40" w:after="40"/>
              <w:ind w:left="0" w:right="0" w:hanging="0"/>
              <w:jc w:val="left"/>
              <w:rPr/>
            </w:pPr>
            <w:r>
              <w:rPr/>
              <w:t> </w:t>
            </w:r>
          </w:p>
        </w:tc>
        <w:tc>
          <w:tcPr>
            <w:tcW w:w="3196" w:type="dxa"/>
            <w:tcBorders/>
            <w:shd w:fill="auto" w:val="clear"/>
            <w:vAlign w:val="center"/>
          </w:tcPr>
          <w:p>
            <w:pPr>
              <w:pStyle w:val="TableContents"/>
              <w:spacing w:before="40" w:after="40"/>
              <w:ind w:left="0" w:right="0" w:hanging="0"/>
              <w:jc w:val="left"/>
              <w:rPr>
                <w:rFonts w:ascii="Times New Roman;serif" w:hAnsi="Times New Roman;serif"/>
                <w:b/>
                <w:sz w:val="18"/>
              </w:rPr>
            </w:pPr>
            <w:r>
              <w:rPr>
                <w:rFonts w:ascii="Times New Roman;serif" w:hAnsi="Times New Roman;serif"/>
                <w:b/>
                <w:sz w:val="18"/>
              </w:rPr>
              <w:t>Wisconsin</w:t>
            </w:r>
          </w:p>
        </w:tc>
        <w:tc>
          <w:tcPr>
            <w:tcW w:w="2581" w:type="dxa"/>
            <w:tcBorders/>
            <w:shd w:fill="auto" w:val="clear"/>
            <w:vAlign w:val="center"/>
          </w:tcPr>
          <w:p>
            <w:pPr>
              <w:pStyle w:val="TableContents"/>
              <w:spacing w:before="40" w:after="40"/>
              <w:ind w:left="0" w:right="0" w:hanging="0"/>
              <w:jc w:val="left"/>
              <w:rPr>
                <w:rFonts w:ascii="Times New Roman;serif" w:hAnsi="Times New Roman;serif"/>
                <w:b/>
                <w:sz w:val="18"/>
              </w:rPr>
            </w:pPr>
            <w:r>
              <w:rPr>
                <w:rFonts w:ascii="Times New Roman;serif" w:hAnsi="Times New Roman;serif"/>
                <w:b/>
                <w:sz w:val="18"/>
              </w:rPr>
              <w:t>39-1672779</w:t>
            </w:r>
          </w:p>
        </w:tc>
      </w:tr>
      <w:tr>
        <w:trPr/>
        <w:tc>
          <w:tcPr>
            <w:tcW w:w="161" w:type="dxa"/>
            <w:tcBorders/>
            <w:shd w:fill="auto" w:val="clear"/>
            <w:vAlign w:val="center"/>
          </w:tcPr>
          <w:p>
            <w:pPr>
              <w:pStyle w:val="TableContents"/>
              <w:spacing w:before="40" w:after="40"/>
              <w:ind w:left="0" w:right="0" w:hanging="0"/>
              <w:jc w:val="left"/>
              <w:rPr/>
            </w:pPr>
            <w:r>
              <w:rPr/>
              <w:t> </w:t>
            </w:r>
          </w:p>
        </w:tc>
        <w:tc>
          <w:tcPr>
            <w:tcW w:w="3196" w:type="dxa"/>
            <w:tcBorders/>
            <w:shd w:fill="auto" w:val="clear"/>
            <w:vAlign w:val="center"/>
          </w:tcPr>
          <w:p>
            <w:pPr>
              <w:pStyle w:val="TableContents"/>
              <w:spacing w:before="40" w:after="40"/>
              <w:ind w:left="0" w:right="0" w:hanging="0"/>
              <w:jc w:val="left"/>
              <w:rPr>
                <w:rFonts w:ascii="Times New Roman;serif" w:hAnsi="Times New Roman;serif"/>
                <w:b w:val="false"/>
                <w:sz w:val="18"/>
              </w:rPr>
            </w:pPr>
            <w:r>
              <w:rPr>
                <w:rFonts w:ascii="Times New Roman;serif" w:hAnsi="Times New Roman;serif"/>
                <w:b w:val="false"/>
                <w:sz w:val="18"/>
              </w:rPr>
              <w:t>(State or other jurisdiction of incorporation)</w:t>
            </w:r>
          </w:p>
        </w:tc>
        <w:tc>
          <w:tcPr>
            <w:tcW w:w="2581" w:type="dxa"/>
            <w:tcBorders/>
            <w:shd w:fill="auto" w:val="clear"/>
            <w:vAlign w:val="center"/>
          </w:tcPr>
          <w:p>
            <w:pPr>
              <w:pStyle w:val="TableContents"/>
              <w:spacing w:before="40" w:after="40"/>
              <w:ind w:left="0" w:right="0" w:hanging="0"/>
              <w:jc w:val="left"/>
              <w:rPr>
                <w:rFonts w:ascii="Times New Roman;serif" w:hAnsi="Times New Roman;serif"/>
                <w:b w:val="false"/>
                <w:sz w:val="18"/>
              </w:rPr>
            </w:pPr>
            <w:r>
              <w:rPr>
                <w:rFonts w:ascii="Times New Roman;serif" w:hAnsi="Times New Roman;serif"/>
                <w:b w:val="false"/>
                <w:sz w:val="18"/>
              </w:rPr>
              <w:t>(IRS Employer Identification No.)</w:t>
            </w:r>
          </w:p>
        </w:tc>
      </w:tr>
      <w:tr>
        <w:trPr/>
        <w:tc>
          <w:tcPr>
            <w:tcW w:w="161" w:type="dxa"/>
            <w:tcBorders/>
            <w:shd w:fill="auto" w:val="clear"/>
            <w:vAlign w:val="center"/>
          </w:tcPr>
          <w:p>
            <w:pPr>
              <w:pStyle w:val="TableContents"/>
              <w:spacing w:before="40" w:after="40"/>
              <w:ind w:left="0" w:right="0" w:hanging="0"/>
              <w:jc w:val="left"/>
              <w:rPr/>
            </w:pPr>
            <w:r>
              <w:rPr/>
              <w:t> </w:t>
            </w:r>
          </w:p>
        </w:tc>
        <w:tc>
          <w:tcPr>
            <w:tcW w:w="3196" w:type="dxa"/>
            <w:tcBorders/>
            <w:shd w:fill="auto" w:val="clear"/>
            <w:vAlign w:val="center"/>
          </w:tcPr>
          <w:p>
            <w:pPr>
              <w:pStyle w:val="TableContents"/>
              <w:spacing w:before="40" w:after="40"/>
              <w:ind w:left="0" w:right="0" w:hanging="0"/>
              <w:jc w:val="left"/>
              <w:rPr/>
            </w:pPr>
            <w:r>
              <w:rPr/>
              <w:t> </w:t>
            </w:r>
          </w:p>
        </w:tc>
        <w:tc>
          <w:tcPr>
            <w:tcW w:w="2581" w:type="dxa"/>
            <w:tcBorders/>
            <w:shd w:fill="auto" w:val="clear"/>
            <w:vAlign w:val="center"/>
          </w:tcPr>
          <w:p>
            <w:pPr>
              <w:pStyle w:val="TableContents"/>
              <w:spacing w:before="40" w:after="40"/>
              <w:ind w:left="0" w:right="0" w:hanging="0"/>
              <w:jc w:val="left"/>
              <w:rPr/>
            </w:pPr>
            <w:r>
              <w:rPr/>
              <w:t> </w:t>
            </w:r>
          </w:p>
        </w:tc>
      </w:tr>
      <w:tr>
        <w:trPr/>
        <w:tc>
          <w:tcPr>
            <w:tcW w:w="161" w:type="dxa"/>
            <w:tcBorders/>
            <w:shd w:fill="auto" w:val="clear"/>
            <w:vAlign w:val="center"/>
          </w:tcPr>
          <w:p>
            <w:pPr>
              <w:pStyle w:val="TableContents"/>
              <w:spacing w:before="40" w:after="40"/>
              <w:ind w:left="0" w:right="0" w:hanging="0"/>
              <w:jc w:val="left"/>
              <w:rPr/>
            </w:pPr>
            <w:r>
              <w:rPr/>
              <w:t> </w:t>
            </w:r>
          </w:p>
        </w:tc>
        <w:tc>
          <w:tcPr>
            <w:tcW w:w="3196" w:type="dxa"/>
            <w:tcBorders/>
            <w:shd w:fill="auto" w:val="clear"/>
            <w:vAlign w:val="center"/>
          </w:tcPr>
          <w:p>
            <w:pPr>
              <w:pStyle w:val="TableContents"/>
              <w:spacing w:before="40" w:after="40"/>
              <w:ind w:left="0" w:right="0" w:hanging="0"/>
              <w:jc w:val="left"/>
              <w:rPr>
                <w:rFonts w:ascii="Times New Roman;serif" w:hAnsi="Times New Roman;serif"/>
                <w:b/>
                <w:sz w:val="18"/>
              </w:rPr>
            </w:pPr>
            <w:r>
              <w:rPr>
                <w:rFonts w:ascii="Times New Roman;serif" w:hAnsi="Times New Roman;serif"/>
                <w:b/>
                <w:sz w:val="18"/>
              </w:rPr>
              <w:t>100 Manpower Place</w:t>
            </w:r>
          </w:p>
        </w:tc>
        <w:tc>
          <w:tcPr>
            <w:tcW w:w="2581" w:type="dxa"/>
            <w:tcBorders/>
            <w:shd w:fill="auto" w:val="clear"/>
            <w:vAlign w:val="center"/>
          </w:tcPr>
          <w:p>
            <w:pPr>
              <w:pStyle w:val="TableContents"/>
              <w:spacing w:before="40" w:after="40"/>
              <w:ind w:left="0" w:right="0" w:hanging="0"/>
              <w:jc w:val="left"/>
              <w:rPr/>
            </w:pPr>
            <w:r>
              <w:rPr/>
              <w:t> </w:t>
            </w:r>
          </w:p>
        </w:tc>
      </w:tr>
      <w:tr>
        <w:trPr/>
        <w:tc>
          <w:tcPr>
            <w:tcW w:w="161" w:type="dxa"/>
            <w:tcBorders/>
            <w:shd w:fill="auto" w:val="clear"/>
            <w:vAlign w:val="center"/>
          </w:tcPr>
          <w:p>
            <w:pPr>
              <w:pStyle w:val="TableContents"/>
              <w:spacing w:before="40" w:after="40"/>
              <w:ind w:left="0" w:right="0" w:hanging="0"/>
              <w:jc w:val="left"/>
              <w:rPr/>
            </w:pPr>
            <w:r>
              <w:rPr/>
              <w:t> </w:t>
            </w:r>
          </w:p>
        </w:tc>
        <w:tc>
          <w:tcPr>
            <w:tcW w:w="3196" w:type="dxa"/>
            <w:tcBorders/>
            <w:shd w:fill="auto" w:val="clear"/>
            <w:vAlign w:val="center"/>
          </w:tcPr>
          <w:p>
            <w:pPr>
              <w:pStyle w:val="TableContents"/>
              <w:spacing w:before="40" w:after="40"/>
              <w:ind w:left="0" w:right="0" w:hanging="0"/>
              <w:jc w:val="left"/>
              <w:rPr>
                <w:rFonts w:ascii="Times New Roman;serif" w:hAnsi="Times New Roman;serif"/>
                <w:b/>
                <w:sz w:val="18"/>
              </w:rPr>
            </w:pPr>
            <w:r>
              <w:rPr>
                <w:rFonts w:ascii="Times New Roman;serif" w:hAnsi="Times New Roman;serif"/>
                <w:b/>
                <w:sz w:val="18"/>
              </w:rPr>
              <w:t>Milwaukee, Wisconsin</w:t>
            </w:r>
          </w:p>
        </w:tc>
        <w:tc>
          <w:tcPr>
            <w:tcW w:w="2581" w:type="dxa"/>
            <w:tcBorders/>
            <w:shd w:fill="auto" w:val="clear"/>
            <w:vAlign w:val="center"/>
          </w:tcPr>
          <w:p>
            <w:pPr>
              <w:pStyle w:val="TableContents"/>
              <w:spacing w:before="40" w:after="40"/>
              <w:ind w:left="0" w:right="0" w:hanging="0"/>
              <w:jc w:val="left"/>
              <w:rPr>
                <w:rFonts w:ascii="Times New Roman;serif" w:hAnsi="Times New Roman;serif"/>
                <w:b/>
                <w:sz w:val="18"/>
              </w:rPr>
            </w:pPr>
            <w:r>
              <w:rPr>
                <w:rFonts w:ascii="Times New Roman;serif" w:hAnsi="Times New Roman;serif"/>
                <w:b/>
                <w:sz w:val="18"/>
              </w:rPr>
              <w:t>53212</w:t>
            </w:r>
          </w:p>
        </w:tc>
      </w:tr>
      <w:tr>
        <w:trPr/>
        <w:tc>
          <w:tcPr>
            <w:tcW w:w="161" w:type="dxa"/>
            <w:tcBorders/>
            <w:shd w:fill="auto" w:val="clear"/>
            <w:vAlign w:val="center"/>
          </w:tcPr>
          <w:p>
            <w:pPr>
              <w:pStyle w:val="TableContents"/>
              <w:spacing w:before="40" w:after="40"/>
              <w:ind w:left="0" w:right="0" w:hanging="0"/>
              <w:jc w:val="left"/>
              <w:rPr/>
            </w:pPr>
            <w:r>
              <w:rPr/>
              <w:t> </w:t>
            </w:r>
          </w:p>
        </w:tc>
        <w:tc>
          <w:tcPr>
            <w:tcW w:w="3196" w:type="dxa"/>
            <w:tcBorders/>
            <w:shd w:fill="auto" w:val="clear"/>
            <w:vAlign w:val="center"/>
          </w:tcPr>
          <w:p>
            <w:pPr>
              <w:pStyle w:val="TableContents"/>
              <w:spacing w:before="40" w:after="40"/>
              <w:ind w:left="0" w:right="0" w:hanging="0"/>
              <w:jc w:val="left"/>
              <w:rPr>
                <w:rFonts w:ascii="Times New Roman;serif" w:hAnsi="Times New Roman;serif"/>
                <w:b w:val="false"/>
                <w:sz w:val="18"/>
              </w:rPr>
            </w:pPr>
            <w:r>
              <w:rPr>
                <w:rFonts w:ascii="Times New Roman;serif" w:hAnsi="Times New Roman;serif"/>
                <w:b w:val="false"/>
                <w:sz w:val="18"/>
              </w:rPr>
              <w:t>(Address of principal executive offices)</w:t>
            </w:r>
          </w:p>
        </w:tc>
        <w:tc>
          <w:tcPr>
            <w:tcW w:w="2581" w:type="dxa"/>
            <w:tcBorders/>
            <w:shd w:fill="auto" w:val="clear"/>
            <w:vAlign w:val="center"/>
          </w:tcPr>
          <w:p>
            <w:pPr>
              <w:pStyle w:val="TableContents"/>
              <w:spacing w:before="40" w:after="40"/>
              <w:ind w:left="0" w:right="0" w:hanging="0"/>
              <w:jc w:val="left"/>
              <w:rPr>
                <w:rFonts w:ascii="Times New Roman;serif" w:hAnsi="Times New Roman;serif"/>
                <w:b w:val="false"/>
                <w:sz w:val="18"/>
              </w:rPr>
            </w:pPr>
            <w:r>
              <w:rPr>
                <w:rFonts w:ascii="Times New Roman;serif" w:hAnsi="Times New Roman;serif"/>
                <w:b w:val="false"/>
                <w:sz w:val="18"/>
              </w:rPr>
              <w:t>(Zip Code)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18"/>
        </w:rPr>
        <w:t xml:space="preserve">Registrant’s telephone number, including area code: </w:t>
      </w:r>
      <w:r>
        <w:rPr>
          <w:rFonts w:ascii="Times New Roman;serif" w:hAnsi="Times New Roman;serif"/>
          <w:b/>
          <w:sz w:val="18"/>
        </w:rPr>
        <w:t>(414) 961-1000</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spacing w:before="0" w:after="0"/>
        <w:jc w:val="left"/>
        <w:rPr/>
      </w:pPr>
      <w:r>
        <w:rPr/>
        <w:t> </w:t>
      </w:r>
    </w:p>
    <w:tbl>
      <w:tblPr>
        <w:tblW w:w="7345" w:type="dxa"/>
        <w:jc w:val="left"/>
        <w:tblInd w:w="0" w:type="dxa"/>
        <w:tblCellMar>
          <w:top w:w="28" w:type="dxa"/>
          <w:left w:w="28" w:type="dxa"/>
          <w:bottom w:w="28" w:type="dxa"/>
          <w:right w:w="28" w:type="dxa"/>
        </w:tblCellMar>
      </w:tblPr>
      <w:tblGrid>
        <w:gridCol w:w="2326"/>
        <w:gridCol w:w="146"/>
        <w:gridCol w:w="1456"/>
        <w:gridCol w:w="146"/>
        <w:gridCol w:w="327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1" w:type="dxa"/>
            <w:tcBorders/>
            <w:shd w:fill="auto" w:val="clear"/>
            <w:vAlign w:val="center"/>
          </w:tcPr>
          <w:p>
            <w:pPr>
              <w:pStyle w:val="TableContents"/>
              <w:spacing w:before="0" w:after="283"/>
              <w:rPr>
                <w:sz w:val="4"/>
                <w:szCs w:val="4"/>
              </w:rPr>
            </w:pPr>
            <w:r>
              <w:rPr>
                <w:sz w:val="4"/>
                <w:szCs w:val="4"/>
              </w:rPr>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Name of each exchange on which registered</w:t>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71" w:type="dxa"/>
            <w:tcBorders/>
            <w:shd w:fill="auto" w:val="cle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$.01 par value</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MAN</w:t>
            </w:r>
          </w:p>
        </w:tc>
        <w:tc>
          <w:tcPr>
            <w:tcW w:w="146" w:type="dxa"/>
            <w:tcBorders/>
            <w:shd w:fill="auto" w:val="clear"/>
            <w:vAlign w:val="center"/>
          </w:tcPr>
          <w:p>
            <w:pPr>
              <w:pStyle w:val="TableContents"/>
              <w:spacing w:before="0" w:after="0"/>
              <w:ind w:left="0" w:right="0" w:hanging="0"/>
              <w:jc w:val="left"/>
              <w:rPr/>
            </w:pPr>
            <w:r>
              <w:rPr/>
              <w:t> </w:t>
            </w:r>
          </w:p>
        </w:tc>
        <w:tc>
          <w:tcPr>
            <w:tcW w:w="327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New York Stock Exchange</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905" w:type="dxa"/>
        <w:jc w:val="left"/>
        <w:tblInd w:w="0" w:type="dxa"/>
        <w:tblCellMar>
          <w:top w:w="28" w:type="dxa"/>
          <w:left w:w="28" w:type="dxa"/>
          <w:bottom w:w="28" w:type="dxa"/>
          <w:right w:w="28" w:type="dxa"/>
        </w:tblCellMar>
      </w:tblPr>
      <w:tblGrid>
        <w:gridCol w:w="2056"/>
        <w:gridCol w:w="316"/>
        <w:gridCol w:w="146"/>
        <w:gridCol w:w="202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Indicate the number of shares outstanding of each of the issuer’s classes of common stock, as of the latest practicable date.</w:t>
      </w:r>
    </w:p>
    <w:p>
      <w:pPr>
        <w:pStyle w:val="TextBody"/>
        <w:spacing w:before="0" w:after="0"/>
        <w:jc w:val="left"/>
        <w:rPr/>
      </w:pPr>
      <w:r>
        <w:rPr/>
        <w:t> </w:t>
      </w:r>
    </w:p>
    <w:tbl>
      <w:tblPr>
        <w:tblW w:w="4168" w:type="dxa"/>
        <w:jc w:val="left"/>
        <w:tblInd w:w="0" w:type="dxa"/>
        <w:tblCellMar>
          <w:top w:w="28" w:type="dxa"/>
          <w:left w:w="28" w:type="dxa"/>
          <w:bottom w:w="28" w:type="dxa"/>
          <w:right w:w="28" w:type="dxa"/>
        </w:tblCellMar>
      </w:tblPr>
      <w:tblGrid>
        <w:gridCol w:w="2326"/>
        <w:gridCol w:w="146"/>
        <w:gridCol w:w="169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 Outstanding</w:t>
            </w:r>
          </w:p>
        </w:tc>
      </w:tr>
      <w:tr>
        <w:trPr/>
        <w:tc>
          <w:tcPr>
            <w:tcW w:w="232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Class</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at May 3, 2023</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Common Stock, $.01 par value</w:t>
            </w:r>
          </w:p>
        </w:tc>
        <w:tc>
          <w:tcPr>
            <w:tcW w:w="146" w:type="dxa"/>
            <w:tcBorders/>
            <w:shd w:fill="auto" w:val="clear"/>
            <w:vAlign w:val="center"/>
          </w:tcPr>
          <w:p>
            <w:pPr>
              <w:pStyle w:val="TableContents"/>
              <w:spacing w:before="0" w:after="0"/>
              <w:ind w:left="0" w:right="0" w:hanging="0"/>
              <w:jc w:val="left"/>
              <w:rPr/>
            </w:pPr>
            <w:r>
              <w:rPr/>
              <w:t> </w:t>
            </w:r>
          </w:p>
        </w:tc>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50,426,091</w:t>
            </w:r>
          </w:p>
        </w:tc>
      </w:tr>
    </w:tbl>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400" w:after="0"/>
        <w:jc w:val="center"/>
        <w:rPr>
          <w:rFonts w:ascii="Times New Roman;serif" w:hAnsi="Times New Roman;serif"/>
          <w:b/>
          <w:sz w:val="20"/>
          <w:u w:val="single"/>
        </w:rPr>
      </w:pPr>
      <w:r>
        <w:rPr>
          <w:rFonts w:ascii="Times New Roman;serif" w:hAnsi="Times New Roman;serif"/>
          <w:b/>
          <w:sz w:val="20"/>
          <w:u w:val="single"/>
        </w:rPr>
        <w:t>ManpowerGroup Inc.</w:t>
      </w:r>
    </w:p>
    <w:p>
      <w:pPr>
        <w:pStyle w:val="TextBody"/>
        <w:spacing w:before="240" w:after="0"/>
        <w:jc w:val="center"/>
        <w:rPr>
          <w:rFonts w:ascii="Times New Roman;serif" w:hAnsi="Times New Roman;serif"/>
          <w:b/>
          <w:sz w:val="20"/>
        </w:rPr>
      </w:pPr>
      <w:r>
        <w:rPr>
          <w:rFonts w:ascii="Times New Roman;serif" w:hAnsi="Times New Roman;serif"/>
          <w:b/>
          <w:sz w:val="20"/>
        </w:rPr>
        <w:t>INDEX</w:t>
      </w:r>
    </w:p>
    <w:p>
      <w:pPr>
        <w:pStyle w:val="TextBody"/>
        <w:spacing w:before="0" w:after="0"/>
        <w:jc w:val="left"/>
        <w:rPr/>
      </w:pPr>
      <w:r>
        <w:rPr/>
        <w:t> </w:t>
      </w:r>
    </w:p>
    <w:tbl>
      <w:tblPr>
        <w:tblW w:w="9760" w:type="dxa"/>
        <w:jc w:val="left"/>
        <w:tblInd w:w="0" w:type="dxa"/>
        <w:tblCellMar>
          <w:top w:w="28" w:type="dxa"/>
          <w:left w:w="28" w:type="dxa"/>
          <w:bottom w:w="28" w:type="dxa"/>
          <w:right w:w="28" w:type="dxa"/>
        </w:tblCellMar>
      </w:tblPr>
      <w:tblGrid>
        <w:gridCol w:w="1366"/>
        <w:gridCol w:w="146"/>
        <w:gridCol w:w="7366"/>
        <w:gridCol w:w="146"/>
        <w:gridCol w:w="736"/>
      </w:tblGrid>
      <w:tr>
        <w:trPr/>
        <w:tc>
          <w:tcPr>
            <w:tcW w:w="1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r>
      <w:tr>
        <w:trPr/>
        <w:tc>
          <w:tcPr>
            <w:tcW w:w="1366" w:type="dxa"/>
            <w:tcBorders/>
            <w:shd w:fill="auto" w:val="cle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sz w:val="20"/>
                </w:rPr>
                <w:t>PART I</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sz w:val="20"/>
                </w:rPr>
                <w:t>FINANCIAL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 </w:t>
            </w:r>
          </w:p>
        </w:tc>
      </w:tr>
      <w:tr>
        <w:trPr/>
        <w:tc>
          <w:tcPr>
            <w:tcW w:w="1366" w:type="dxa"/>
            <w:tcBorders/>
            <w:shd w:fill="auto" w:val="clear"/>
            <w:vAlign w:val="center"/>
          </w:tcPr>
          <w:p>
            <w:pPr>
              <w:pStyle w:val="TableContents"/>
              <w:spacing w:before="0" w:after="0"/>
              <w:ind w:left="0" w:right="0" w:hanging="0"/>
              <w:jc w:val="left"/>
              <w:rPr/>
            </w:pPr>
            <w:hyperlink w:anchor="item_1_financial_statements_unaudited">
              <w:r>
                <w:rPr>
                  <w:rStyle w:val="InternetLink"/>
                  <w:rFonts w:ascii="Times New Roman;serif" w:hAnsi="Times New Roman;serif"/>
                  <w:b w:val="false"/>
                  <w:sz w:val="20"/>
                </w:rPr>
                <w:t>Item 1</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_1_financial_statements_unaudited">
              <w:r>
                <w:rPr>
                  <w:rStyle w:val="InternetLink"/>
                  <w:rFonts w:ascii="Times New Roman;serif" w:hAnsi="Times New Roman;serif"/>
                  <w:b w:val="false"/>
                  <w:sz w:val="20"/>
                  <w:u w:val="single"/>
                </w:rPr>
                <w:t>Financial Statements (unaudited)</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solidated_balance_sheets_unaudited">
              <w:r>
                <w:rPr>
                  <w:rStyle w:val="InternetLink"/>
                  <w:rFonts w:ascii="Times New Roman;serif" w:hAnsi="Times New Roman;serif"/>
                  <w:b w:val="false"/>
                  <w:sz w:val="20"/>
                  <w:u w:val="single"/>
                </w:rPr>
                <w:t>Consolidated Balance Sheets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solidated_statements_operations_unaud">
              <w:r>
                <w:rPr>
                  <w:rStyle w:val="InternetLink"/>
                  <w:rFonts w:ascii="Times New Roman;serif" w:hAnsi="Times New Roman;serif"/>
                  <w:b w:val="false"/>
                  <w:sz w:val="20"/>
                  <w:u w:val="single"/>
                </w:rPr>
                <w:t>Consolidated Statements of Operations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solidated_statements_comprehensive_in">
              <w:r>
                <w:rPr>
                  <w:rStyle w:val="InternetLink"/>
                  <w:rFonts w:ascii="Times New Roman;serif" w:hAnsi="Times New Roman;serif"/>
                  <w:b w:val="false"/>
                  <w:sz w:val="20"/>
                  <w:u w:val="single"/>
                </w:rPr>
                <w:t>Consolidated Statements of Comprehensive Income</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solidated_statements_cash_flows_unaud">
              <w:r>
                <w:rPr>
                  <w:rStyle w:val="InternetLink"/>
                  <w:rFonts w:ascii="Times New Roman;serif" w:hAnsi="Times New Roman;serif"/>
                  <w:b w:val="false"/>
                  <w:sz w:val="20"/>
                  <w:u w:val="single"/>
                </w:rPr>
                <w:t>Consolidated Statements of Cash Flows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onsolidated_statements_shareholders_equ">
              <w:r>
                <w:rPr>
                  <w:rStyle w:val="InternetLink"/>
                  <w:rFonts w:ascii="Times New Roman;serif" w:hAnsi="Times New Roman;serif"/>
                  <w:b w:val="false"/>
                  <w:sz w:val="20"/>
                  <w:u w:val="single"/>
                </w:rPr>
                <w:t>Consolidated Statements of Shareholders' Equity</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r>
      <w:tr>
        <w:trPr/>
        <w:tc>
          <w:tcPr>
            <w:tcW w:w="1366" w:type="dxa"/>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rPr>
                <w:t>Item 2</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both"/>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22-32</w:t>
            </w:r>
          </w:p>
        </w:tc>
      </w:tr>
      <w:tr>
        <w:trPr/>
        <w:tc>
          <w:tcPr>
            <w:tcW w:w="1366"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rPr>
                <w:t>Item 3</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1366"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rPr>
                <w:t>Item 4</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 </w:t>
            </w:r>
          </w:p>
        </w:tc>
      </w:tr>
      <w:tr>
        <w:trPr/>
        <w:tc>
          <w:tcPr>
            <w:tcW w:w="1366" w:type="dxa"/>
            <w:tcBorders/>
            <w:shd w:fill="auto" w:val="clear"/>
            <w:vAlign w:val="center"/>
          </w:tcPr>
          <w:p>
            <w:pPr>
              <w:pStyle w:val="TableContents"/>
              <w:spacing w:before="0" w:after="0"/>
              <w:ind w:left="0" w:right="0" w:hanging="0"/>
              <w:jc w:val="left"/>
              <w:rPr/>
            </w:pPr>
            <w:hyperlink w:anchor="part_ii_or_information">
              <w:r>
                <w:rPr>
                  <w:rStyle w:val="InternetLink"/>
                  <w:rFonts w:ascii="Times New Roman;serif" w:hAnsi="Times New Roman;serif"/>
                  <w:b/>
                  <w:sz w:val="20"/>
                </w:rPr>
                <w:t>PART II</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part_ii_or_information">
              <w:r>
                <w:rPr>
                  <w:rStyle w:val="InternetLink"/>
                  <w:rFonts w:ascii="Times New Roman;serif" w:hAnsi="Times New Roman;serif"/>
                  <w:b/>
                  <w:sz w:val="20"/>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 </w:t>
            </w:r>
          </w:p>
        </w:tc>
      </w:tr>
      <w:tr>
        <w:trPr/>
        <w:tc>
          <w:tcPr>
            <w:tcW w:w="1366" w:type="dxa"/>
            <w:tcBorders/>
            <w:shd w:fill="auto" w:val="clear"/>
            <w:vAlign w:val="center"/>
          </w:tcPr>
          <w:p>
            <w:pPr>
              <w:pStyle w:val="TableContents"/>
              <w:spacing w:before="0" w:after="0"/>
              <w:ind w:left="0" w:right="0" w:hanging="0"/>
              <w:jc w:val="left"/>
              <w:rPr/>
            </w:pPr>
            <w:hyperlink w:anchor="risk_factors">
              <w:r>
                <w:rPr>
                  <w:rStyle w:val="InternetLink"/>
                  <w:rFonts w:ascii="Times New Roman;serif" w:hAnsi="Times New Roman;serif"/>
                  <w:b w:val="false"/>
                  <w:sz w:val="20"/>
                </w:rPr>
                <w:t>Item 1A</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risk_factors">
              <w:r>
                <w:rPr>
                  <w:rStyle w:val="InternetLink"/>
                  <w:rFonts w:ascii="Times New Roman;serif" w:hAnsi="Times New Roman;serif"/>
                  <w:b w:val="false"/>
                  <w:sz w:val="20"/>
                  <w:u w:val="single"/>
                </w:rPr>
                <w:t>Risk Factors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1366"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rPr>
                <w:t>Item 2</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1366" w:type="dxa"/>
            <w:tcBorders/>
            <w:shd w:fill="auto" w:val="cle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rPr>
                <w:t>Item 5</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1366"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rPr>
                <w:t>Item 6</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 </w:t>
            </w:r>
          </w:p>
        </w:tc>
      </w:tr>
      <w:tr>
        <w:trPr/>
        <w:tc>
          <w:tcPr>
            <w:tcW w:w="1366" w:type="dxa"/>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sz w:val="20"/>
                </w:rPr>
                <w:t>SIGNATURES</w:t>
              </w:r>
            </w:hyperlink>
          </w:p>
        </w:tc>
        <w:tc>
          <w:tcPr>
            <w:tcW w:w="14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u w:val="single"/>
        </w:rPr>
      </w:pPr>
      <w:bookmarkStart w:id="2" w:name="part_i_financial_information"/>
      <w:bookmarkEnd w:id="2"/>
      <w:r>
        <w:rPr>
          <w:rFonts w:ascii="Times New Roman;serif" w:hAnsi="Times New Roman;serif"/>
          <w:b/>
          <w:sz w:val="20"/>
          <w:u w:val="single"/>
        </w:rPr>
        <w:t>PART I - FINANCIAL INFORMATION</w:t>
      </w:r>
    </w:p>
    <w:p>
      <w:pPr>
        <w:pStyle w:val="TextBody"/>
        <w:spacing w:before="200" w:after="0"/>
        <w:jc w:val="left"/>
        <w:rPr>
          <w:rFonts w:ascii="Times New Roman;serif" w:hAnsi="Times New Roman;serif"/>
          <w:b w:val="false"/>
          <w:sz w:val="20"/>
          <w:u w:val="single"/>
        </w:rPr>
      </w:pPr>
      <w:bookmarkStart w:id="3" w:name="item_1_financial_statements_unaudited"/>
      <w:bookmarkEnd w:id="3"/>
      <w:r>
        <w:rPr>
          <w:rFonts w:ascii="Times New Roman;serif" w:hAnsi="Times New Roman;serif"/>
          <w:b w:val="false"/>
          <w:sz w:val="20"/>
          <w:u w:val="single"/>
        </w:rPr>
        <w:t>Item 1 – Financial Statements (unaudited)</w:t>
      </w:r>
    </w:p>
    <w:p>
      <w:pPr>
        <w:pStyle w:val="TextBody"/>
        <w:spacing w:before="200" w:after="0"/>
        <w:jc w:val="center"/>
        <w:rPr>
          <w:rFonts w:ascii="Times New Roman;serif" w:hAnsi="Times New Roman;serif"/>
          <w:b/>
          <w:sz w:val="20"/>
        </w:rPr>
      </w:pPr>
      <w:r>
        <w:rPr>
          <w:rFonts w:ascii="Times New Roman;serif" w:hAnsi="Times New Roman;serif"/>
          <w:b/>
          <w:sz w:val="20"/>
        </w:rPr>
        <w:t>ManpowerGroup Inc.</w:t>
      </w:r>
    </w:p>
    <w:p>
      <w:pPr>
        <w:pStyle w:val="TextBody"/>
        <w:spacing w:before="200" w:after="0"/>
        <w:jc w:val="center"/>
        <w:rPr>
          <w:rFonts w:ascii="Times New Roman" w:hAnsi="Times New Roman"/>
          <w:sz w:val="20"/>
        </w:rPr>
      </w:pPr>
      <w:bookmarkStart w:id="4" w:name="consolidated_balance_sheets_unaudited"/>
      <w:bookmarkEnd w:id="4"/>
      <w:r>
        <w:rPr>
          <w:rFonts w:ascii="Times New Roman;serif" w:hAnsi="Times New Roman;serif"/>
          <w:b/>
          <w:sz w:val="20"/>
        </w:rPr>
        <w:t>Consolidated Balance</w:t>
      </w:r>
      <w:r>
        <w:rPr>
          <w:rFonts w:ascii="Times New Roman" w:hAnsi="Times New Roman"/>
          <w:sz w:val="20"/>
        </w:rPr>
        <w:t xml:space="preserve"> </w:t>
      </w:r>
      <w:r>
        <w:rPr>
          <w:rFonts w:ascii="Times New Roman;serif" w:hAnsi="Times New Roman;serif"/>
          <w:b/>
          <w:sz w:val="20"/>
        </w:rPr>
        <w:t>Sheets (Unaudited)</w:t>
      </w:r>
    </w:p>
    <w:p>
      <w:pPr>
        <w:pStyle w:val="TextBody"/>
        <w:spacing w:before="0" w:after="0"/>
        <w:jc w:val="center"/>
        <w:rPr>
          <w:rFonts w:ascii="Times New Roman;serif" w:hAnsi="Times New Roman;serif"/>
          <w:b/>
          <w:sz w:val="20"/>
        </w:rPr>
      </w:pPr>
      <w:r>
        <w:rPr>
          <w:rFonts w:ascii="Times New Roman;serif" w:hAnsi="Times New Roman;serif"/>
          <w:b/>
          <w:sz w:val="20"/>
        </w:rPr>
        <w:t>(in millions)</w:t>
      </w:r>
    </w:p>
    <w:p>
      <w:pPr>
        <w:pStyle w:val="TextBody"/>
        <w:spacing w:before="200" w:after="0"/>
        <w:jc w:val="center"/>
        <w:rPr>
          <w:rFonts w:ascii="Times New Roman;serif" w:hAnsi="Times New Roman;serif"/>
          <w:b/>
          <w:sz w:val="20"/>
        </w:rPr>
      </w:pPr>
      <w:r>
        <w:rPr>
          <w:rFonts w:ascii="Times New Roman;serif" w:hAnsi="Times New Roman;serif"/>
          <w:b/>
          <w:sz w:val="20"/>
        </w:rPr>
        <w:t>ASSETS</w:t>
      </w:r>
    </w:p>
    <w:tbl>
      <w:tblPr>
        <w:tblW w:w="8435" w:type="dxa"/>
        <w:jc w:val="left"/>
        <w:tblInd w:w="0" w:type="dxa"/>
        <w:tblCellMar>
          <w:top w:w="28" w:type="dxa"/>
          <w:left w:w="28" w:type="dxa"/>
          <w:bottom w:w="28" w:type="dxa"/>
          <w:right w:w="28" w:type="dxa"/>
        </w:tblCellMar>
      </w:tblPr>
      <w:tblGrid>
        <w:gridCol w:w="5071"/>
        <w:gridCol w:w="146"/>
        <w:gridCol w:w="220"/>
        <w:gridCol w:w="755"/>
        <w:gridCol w:w="146"/>
        <w:gridCol w:w="146"/>
        <w:gridCol w:w="284"/>
        <w:gridCol w:w="976"/>
        <w:gridCol w:w="691"/>
      </w:tblGrid>
      <w:tr>
        <w:trPr/>
        <w:tc>
          <w:tcPr>
            <w:tcW w:w="5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50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639.0</w:t>
            </w:r>
          </w:p>
        </w:tc>
        <w:tc>
          <w:tcPr>
            <w:tcW w:w="6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Accounts receivable, less allowance for doubtful accounts of </w:t>
              <w:br/>
              <w:t>$108.5</w:t>
            </w:r>
            <w:r>
              <w:rPr>
                <w:rFonts w:ascii="Times New Roman" w:hAnsi="Times New Roman"/>
                <w:sz w:val="20"/>
              </w:rPr>
              <w:t> </w:t>
            </w:r>
            <w:r>
              <w:rPr>
                <w:rFonts w:ascii="Times New Roman;serif" w:hAnsi="Times New Roman;serif"/>
                <w:b w:val="false"/>
                <w:sz w:val="20"/>
              </w:rPr>
              <w:t>and $109.3, respectively</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5,137.4</w:t>
            </w:r>
          </w:p>
        </w:tc>
        <w:tc>
          <w:tcPr>
            <w:tcW w:w="6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158.0</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507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5,934.4</w:t>
            </w:r>
          </w:p>
        </w:tc>
        <w:tc>
          <w:tcPr>
            <w:tcW w:w="6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1,628.1</w:t>
            </w:r>
          </w:p>
        </w:tc>
        <w:tc>
          <w:tcPr>
            <w:tcW w:w="6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Intangible assets, less accumulated amortization of</w:t>
              <w:br/>
              <w:t> $478.4</w:t>
            </w:r>
            <w:r>
              <w:rPr>
                <w:rFonts w:ascii="Times New Roman" w:hAnsi="Times New Roman"/>
                <w:sz w:val="20"/>
              </w:rPr>
              <w:t> </w:t>
            </w:r>
            <w:r>
              <w:rPr>
                <w:rFonts w:ascii="Times New Roman;serif" w:hAnsi="Times New Roman;serif"/>
                <w:b w:val="false"/>
                <w:sz w:val="20"/>
              </w:rPr>
              <w:t>and $468.3, respectively</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549.5</w:t>
            </w:r>
          </w:p>
        </w:tc>
        <w:tc>
          <w:tcPr>
            <w:tcW w:w="6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365.7</w:t>
            </w:r>
          </w:p>
        </w:tc>
        <w:tc>
          <w:tcPr>
            <w:tcW w:w="6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540.5</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507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other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3,083.8</w:t>
            </w:r>
          </w:p>
        </w:tc>
        <w:tc>
          <w:tcPr>
            <w:tcW w:w="6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Land, buildings, leasehold improvements and equipment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584.9</w:t>
            </w:r>
          </w:p>
        </w:tc>
        <w:tc>
          <w:tcPr>
            <w:tcW w:w="691" w:type="dxa"/>
            <w:tcBorders/>
            <w:shd w:fill="auto" w:val="clear"/>
            <w:vAlign w:val="center"/>
          </w:tcPr>
          <w:p>
            <w:pPr>
              <w:pStyle w:val="TableContents"/>
              <w:spacing w:before="0" w:after="0"/>
              <w:ind w:left="0" w:right="0" w:hanging="0"/>
              <w:jc w:val="left"/>
              <w:rPr/>
            </w:pPr>
            <w:r>
              <w:rPr/>
              <w:t> </w:t>
            </w:r>
          </w:p>
        </w:tc>
      </w:tr>
      <w:tr>
        <w:trPr/>
        <w:tc>
          <w:tcPr>
            <w:tcW w:w="5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472.7</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507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5071"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8,889.6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9,130.4</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br/>
        <w:t>The accompanying Notes to Consolidated Financial Statements are an integral part of these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ManpowerGroup Inc.</w:t>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5" w:name="endconsolidated_balance_sheets_unaudited"/>
      <w:bookmarkEnd w:id="5"/>
      <w:r>
        <w:rPr>
          <w:rFonts w:ascii="Times New Roman;serif" w:hAnsi="Times New Roman;serif"/>
          <w:b/>
          <w:sz w:val="20"/>
        </w:rPr>
        <w:t>Consolidated Balance Sheets (Unaudited)</w:t>
      </w:r>
    </w:p>
    <w:p>
      <w:pPr>
        <w:pStyle w:val="TextBody"/>
        <w:spacing w:before="0" w:after="0"/>
        <w:jc w:val="center"/>
        <w:rPr>
          <w:rFonts w:ascii="Times New Roman;serif" w:hAnsi="Times New Roman;serif"/>
          <w:b/>
          <w:sz w:val="20"/>
        </w:rPr>
      </w:pPr>
      <w:r>
        <w:rPr>
          <w:rFonts w:ascii="Times New Roman;serif" w:hAnsi="Times New Roman;serif"/>
          <w:b/>
          <w:sz w:val="20"/>
        </w:rPr>
        <w:t>(in millions, except share and per share data)</w:t>
      </w:r>
    </w:p>
    <w:p>
      <w:pPr>
        <w:pStyle w:val="TextBody"/>
        <w:spacing w:before="200" w:after="0"/>
        <w:jc w:val="center"/>
        <w:rPr>
          <w:rFonts w:ascii="Times New Roman;serif" w:hAnsi="Times New Roman;serif"/>
          <w:b/>
          <w:sz w:val="20"/>
        </w:rPr>
      </w:pPr>
      <w:r>
        <w:rPr>
          <w:rFonts w:ascii="Times New Roman;serif" w:hAnsi="Times New Roman;serif"/>
          <w:b/>
          <w:sz w:val="20"/>
        </w:rPr>
        <w:t>LIABILITIES AND SHAREHOLDERS’ EQUITY</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902"/>
        <w:gridCol w:w="146"/>
        <w:gridCol w:w="211"/>
        <w:gridCol w:w="781"/>
        <w:gridCol w:w="166"/>
        <w:gridCol w:w="146"/>
        <w:gridCol w:w="247"/>
        <w:gridCol w:w="914"/>
        <w:gridCol w:w="692"/>
      </w:tblGrid>
      <w:tr>
        <w:trPr/>
        <w:tc>
          <w:tcPr>
            <w:tcW w:w="69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r>
      <w:tr>
        <w:trPr/>
        <w:tc>
          <w:tcPr>
            <w:tcW w:w="690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1" w:type="dxa"/>
            <w:gridSpan w:val="2"/>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righ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2,831.4</w:t>
            </w:r>
          </w:p>
        </w:tc>
        <w:tc>
          <w:tcPr>
            <w:tcW w:w="692" w:type="dxa"/>
            <w:tcBorders/>
            <w:shd w:fill="auto" w:val="clear"/>
            <w:vAlign w:val="center"/>
          </w:tcPr>
          <w:p>
            <w:pPr>
              <w:pStyle w:val="TableContents"/>
              <w:spacing w:before="0" w:after="0"/>
              <w:ind w:left="0" w:right="0" w:hanging="0"/>
              <w:jc w:val="lef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compensation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271.7</w:t>
            </w:r>
          </w:p>
        </w:tc>
        <w:tc>
          <w:tcPr>
            <w:tcW w:w="692" w:type="dxa"/>
            <w:tcBorders/>
            <w:shd w:fill="auto" w:val="clear"/>
            <w:vAlign w:val="center"/>
          </w:tcPr>
          <w:p>
            <w:pPr>
              <w:pStyle w:val="TableContents"/>
              <w:spacing w:before="0" w:after="0"/>
              <w:ind w:left="0" w:right="0" w:hanging="0"/>
              <w:jc w:val="lef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572.6</w:t>
            </w:r>
          </w:p>
        </w:tc>
        <w:tc>
          <w:tcPr>
            <w:tcW w:w="692" w:type="dxa"/>
            <w:tcBorders/>
            <w:shd w:fill="auto" w:val="clear"/>
            <w:vAlign w:val="center"/>
          </w:tcPr>
          <w:p>
            <w:pPr>
              <w:pStyle w:val="TableContents"/>
              <w:spacing w:before="0" w:after="0"/>
              <w:ind w:left="0" w:right="0" w:hanging="0"/>
              <w:jc w:val="lef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taxes and insurance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746.7</w:t>
            </w:r>
          </w:p>
        </w:tc>
        <w:tc>
          <w:tcPr>
            <w:tcW w:w="692" w:type="dxa"/>
            <w:tcBorders/>
            <w:shd w:fill="auto" w:val="clear"/>
            <w:vAlign w:val="center"/>
          </w:tcPr>
          <w:p>
            <w:pPr>
              <w:pStyle w:val="TableContents"/>
              <w:spacing w:before="0" w:after="0"/>
              <w:ind w:left="0" w:right="0" w:hanging="0"/>
              <w:jc w:val="lef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Value added taxes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462.7</w:t>
            </w:r>
          </w:p>
        </w:tc>
        <w:tc>
          <w:tcPr>
            <w:tcW w:w="692" w:type="dxa"/>
            <w:tcBorders/>
            <w:shd w:fill="auto" w:val="clear"/>
            <w:vAlign w:val="center"/>
          </w:tcPr>
          <w:p>
            <w:pPr>
              <w:pStyle w:val="TableContents"/>
              <w:spacing w:before="0" w:after="0"/>
              <w:ind w:left="0" w:right="0" w:hanging="0"/>
              <w:jc w:val="lef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borrowings and current maturities of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902"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4,911.7</w:t>
            </w:r>
          </w:p>
        </w:tc>
        <w:tc>
          <w:tcPr>
            <w:tcW w:w="692" w:type="dxa"/>
            <w:tcBorders/>
            <w:shd w:fill="auto" w:val="clear"/>
            <w:vAlign w:val="center"/>
          </w:tcPr>
          <w:p>
            <w:pPr>
              <w:pStyle w:val="TableContents"/>
              <w:spacing w:before="0" w:after="0"/>
              <w:ind w:left="0" w:right="0" w:firstLine="200"/>
              <w:jc w:val="left"/>
              <w:rPr/>
            </w:pPr>
            <w:r>
              <w:rPr/>
              <w:t> </w:t>
            </w:r>
          </w:p>
        </w:tc>
      </w:tr>
      <w:tr>
        <w:trPr/>
        <w:tc>
          <w:tcPr>
            <w:tcW w:w="6902"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1" w:type="dxa"/>
            <w:gridSpan w:val="2"/>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righ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1" w:type="dxa"/>
            <w:gridSpan w:val="2"/>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righ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959.9</w:t>
            </w:r>
          </w:p>
        </w:tc>
        <w:tc>
          <w:tcPr>
            <w:tcW w:w="692" w:type="dxa"/>
            <w:tcBorders/>
            <w:shd w:fill="auto" w:val="clear"/>
            <w:vAlign w:val="center"/>
          </w:tcPr>
          <w:p>
            <w:pPr>
              <w:pStyle w:val="TableContents"/>
              <w:spacing w:before="0" w:after="0"/>
              <w:ind w:left="0" w:right="0" w:hanging="0"/>
              <w:jc w:val="lef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operating 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266.6</w:t>
            </w:r>
          </w:p>
        </w:tc>
        <w:tc>
          <w:tcPr>
            <w:tcW w:w="692" w:type="dxa"/>
            <w:tcBorders/>
            <w:shd w:fill="auto" w:val="clear"/>
            <w:vAlign w:val="center"/>
          </w:tcPr>
          <w:p>
            <w:pPr>
              <w:pStyle w:val="TableContents"/>
              <w:spacing w:before="0" w:after="0"/>
              <w:ind w:left="0" w:right="0" w:hanging="0"/>
              <w:jc w:val="lef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902"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1,760.6</w:t>
            </w:r>
          </w:p>
        </w:tc>
        <w:tc>
          <w:tcPr>
            <w:tcW w:w="692" w:type="dxa"/>
            <w:tcBorders/>
            <w:shd w:fill="auto" w:val="clear"/>
            <w:vAlign w:val="center"/>
          </w:tcPr>
          <w:p>
            <w:pPr>
              <w:pStyle w:val="TableContents"/>
              <w:spacing w:before="0" w:after="0"/>
              <w:ind w:left="0" w:right="0" w:firstLine="200"/>
              <w:jc w:val="left"/>
              <w:rPr/>
            </w:pPr>
            <w:r>
              <w:rPr/>
              <w:t> </w:t>
            </w:r>
          </w:p>
        </w:tc>
      </w:tr>
      <w:tr>
        <w:trPr/>
        <w:tc>
          <w:tcPr>
            <w:tcW w:w="6902"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1" w:type="dxa"/>
            <w:gridSpan w:val="2"/>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righ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Shareholders’ Equity:</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1" w:type="dxa"/>
            <w:gridSpan w:val="2"/>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hanging="0"/>
              <w:jc w:val="right"/>
              <w:rPr/>
            </w:pPr>
            <w:r>
              <w:rPr/>
              <w:t> </w:t>
            </w:r>
          </w:p>
        </w:tc>
      </w:tr>
      <w:tr>
        <w:trPr/>
        <w:tc>
          <w:tcPr>
            <w:tcW w:w="69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ManpowerGroup shareholders' equity</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1" w:type="dxa"/>
            <w:gridSpan w:val="2"/>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firstLine="100"/>
              <w:jc w:val="right"/>
              <w:rPr/>
            </w:pPr>
            <w:r>
              <w:rPr/>
              <w:t> </w:t>
            </w:r>
          </w:p>
        </w:tc>
      </w:tr>
      <w:tr>
        <w:trPr/>
        <w:tc>
          <w:tcPr>
            <w:tcW w:w="690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Preferred stock, $.01</w:t>
            </w:r>
            <w:r>
              <w:rPr>
                <w:rFonts w:ascii="Times New Roman" w:hAnsi="Times New Roman"/>
                <w:sz w:val="20"/>
              </w:rPr>
              <w:t> </w:t>
            </w:r>
            <w:r>
              <w:rPr>
                <w:rFonts w:ascii="Times New Roman;serif" w:hAnsi="Times New Roman;serif"/>
                <w:b w:val="false"/>
                <w:sz w:val="20"/>
              </w:rPr>
              <w:t>par value, authorized 25,000,000</w:t>
            </w:r>
            <w:r>
              <w:rPr>
                <w:rFonts w:ascii="Times New Roman" w:hAnsi="Times New Roman"/>
                <w:sz w:val="20"/>
              </w:rPr>
              <w:t> </w:t>
            </w:r>
            <w:r>
              <w:rPr>
                <w:rFonts w:ascii="Times New Roman;serif" w:hAnsi="Times New Roman;serif"/>
                <w:b w:val="false"/>
                <w:sz w:val="20"/>
              </w:rPr>
              <w:t>shares, none</w:t>
            </w:r>
            <w:r>
              <w:rPr>
                <w:rFonts w:ascii="Times New Roman" w:hAnsi="Times New Roman"/>
                <w:sz w:val="20"/>
              </w:rPr>
              <w:t> </w:t>
            </w:r>
            <w:r>
              <w:rPr>
                <w:rFonts w:ascii="Times New Roman;serif" w:hAnsi="Times New Roman;serif"/>
                <w:b w:val="false"/>
                <w:sz w:val="20"/>
              </w:rPr>
              <w:t>issued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pPr>
            <w:r>
              <w:rPr/>
              <w:t>—</w:t>
            </w:r>
          </w:p>
        </w:tc>
        <w:tc>
          <w:tcPr>
            <w:tcW w:w="692" w:type="dxa"/>
            <w:tcBorders/>
            <w:shd w:fill="auto" w:val="clear"/>
            <w:vAlign w:val="center"/>
          </w:tcPr>
          <w:p>
            <w:pPr>
              <w:pStyle w:val="TableContents"/>
              <w:spacing w:before="0" w:after="0"/>
              <w:ind w:left="0" w:right="0" w:firstLine="100"/>
              <w:jc w:val="left"/>
              <w:rPr/>
            </w:pPr>
            <w:r>
              <w:rPr/>
              <w:t> </w:t>
            </w:r>
          </w:p>
        </w:tc>
      </w:tr>
      <w:tr>
        <w:trPr/>
        <w:tc>
          <w:tcPr>
            <w:tcW w:w="690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Common stock, $.01</w:t>
            </w:r>
            <w:r>
              <w:rPr>
                <w:rFonts w:ascii="Times New Roman" w:hAnsi="Times New Roman"/>
                <w:sz w:val="20"/>
              </w:rPr>
              <w:t> </w:t>
            </w:r>
            <w:r>
              <w:rPr>
                <w:rFonts w:ascii="Times New Roman;serif" w:hAnsi="Times New Roman;serif"/>
                <w:b w:val="false"/>
                <w:sz w:val="20"/>
              </w:rPr>
              <w:t>par value, authorized 125,000,000</w:t>
            </w:r>
            <w:r>
              <w:rPr>
                <w:rFonts w:ascii="Times New Roman" w:hAnsi="Times New Roman"/>
                <w:sz w:val="20"/>
              </w:rPr>
              <w:t> </w:t>
            </w:r>
            <w:r>
              <w:rPr>
                <w:rFonts w:ascii="Times New Roman;serif" w:hAnsi="Times New Roman;serif"/>
                <w:b w:val="false"/>
                <w:sz w:val="20"/>
              </w:rPr>
              <w:t>shares, issued 118,364,088</w:t>
            </w:r>
            <w:r>
              <w:rPr>
                <w:rFonts w:ascii="Times New Roman" w:hAnsi="Times New Roman"/>
                <w:sz w:val="20"/>
              </w:rPr>
              <w:t> </w:t>
            </w:r>
            <w:r>
              <w:rPr>
                <w:rFonts w:ascii="Times New Roman;serif" w:hAnsi="Times New Roman;serif"/>
                <w:b w:val="false"/>
                <w:sz w:val="20"/>
              </w:rPr>
              <w:t>and 118,028,009</w:t>
            </w:r>
            <w:r>
              <w:rPr>
                <w:rFonts w:ascii="Times New Roman" w:hAnsi="Times New Roman"/>
                <w:sz w:val="20"/>
              </w:rPr>
              <w:t> </w:t>
            </w:r>
            <w:r>
              <w:rPr>
                <w:rFonts w:ascii="Times New Roman;serif" w:hAnsi="Times New Roman;serif"/>
                <w:b w:val="false"/>
                <w:sz w:val="20"/>
              </w:rPr>
              <w:t>shares,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692" w:type="dxa"/>
            <w:tcBorders/>
            <w:shd w:fill="auto" w:val="clear"/>
            <w:vAlign w:val="center"/>
          </w:tcPr>
          <w:p>
            <w:pPr>
              <w:pStyle w:val="TableContents"/>
              <w:spacing w:before="0" w:after="0"/>
              <w:ind w:left="0" w:right="0" w:firstLine="100"/>
              <w:jc w:val="left"/>
              <w:rPr/>
            </w:pPr>
            <w:r>
              <w:rPr/>
              <w:t> </w:t>
            </w:r>
          </w:p>
        </w:tc>
      </w:tr>
      <w:tr>
        <w:trPr/>
        <w:tc>
          <w:tcPr>
            <w:tcW w:w="690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Capital in excess of par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3,484.2</w:t>
            </w:r>
          </w:p>
        </w:tc>
        <w:tc>
          <w:tcPr>
            <w:tcW w:w="692" w:type="dxa"/>
            <w:tcBorders/>
            <w:shd w:fill="auto" w:val="clear"/>
            <w:vAlign w:val="center"/>
          </w:tcPr>
          <w:p>
            <w:pPr>
              <w:pStyle w:val="TableContents"/>
              <w:spacing w:before="0" w:after="0"/>
              <w:ind w:left="0" w:right="0" w:firstLine="100"/>
              <w:jc w:val="left"/>
              <w:rPr/>
            </w:pPr>
            <w:r>
              <w:rPr/>
              <w:t> </w:t>
            </w:r>
          </w:p>
        </w:tc>
      </w:tr>
      <w:tr>
        <w:trPr/>
        <w:tc>
          <w:tcPr>
            <w:tcW w:w="690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3,868.5</w:t>
            </w:r>
          </w:p>
        </w:tc>
        <w:tc>
          <w:tcPr>
            <w:tcW w:w="692" w:type="dxa"/>
            <w:tcBorders/>
            <w:shd w:fill="auto" w:val="clear"/>
            <w:vAlign w:val="center"/>
          </w:tcPr>
          <w:p>
            <w:pPr>
              <w:pStyle w:val="TableContents"/>
              <w:spacing w:before="0" w:after="0"/>
              <w:ind w:left="0" w:right="0" w:firstLine="100"/>
              <w:jc w:val="left"/>
              <w:rPr/>
            </w:pPr>
            <w:r>
              <w:rPr/>
              <w:t> </w:t>
            </w:r>
          </w:p>
        </w:tc>
      </w:tr>
      <w:tr>
        <w:trPr/>
        <w:tc>
          <w:tcPr>
            <w:tcW w:w="690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(458.7</w:t>
            </w:r>
          </w:p>
        </w:tc>
        <w:tc>
          <w:tcPr>
            <w:tcW w:w="69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90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Treasury stock at cost, 67,938,466</w:t>
            </w:r>
            <w:r>
              <w:rPr>
                <w:rFonts w:ascii="Times New Roman" w:hAnsi="Times New Roman"/>
                <w:sz w:val="20"/>
              </w:rPr>
              <w:t> </w:t>
            </w:r>
            <w:r>
              <w:rPr>
                <w:rFonts w:ascii="Times New Roman;serif" w:hAnsi="Times New Roman;serif"/>
                <w:b w:val="false"/>
                <w:sz w:val="20"/>
              </w:rPr>
              <w:t>and 67,468,433</w:t>
            </w:r>
            <w:r>
              <w:rPr>
                <w:rFonts w:ascii="Times New Roman" w:hAnsi="Times New Roman"/>
                <w:sz w:val="20"/>
              </w:rPr>
              <w:t> </w:t>
            </w:r>
            <w:r>
              <w:rPr>
                <w:rFonts w:ascii="Times New Roman;serif" w:hAnsi="Times New Roman;serif"/>
                <w:b w:val="false"/>
                <w:sz w:val="20"/>
              </w:rPr>
              <w:t>shares,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(4,447.9</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902"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ManpowerGroup shareholders’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2,447.3</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690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902"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shareholders’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2,458.1</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6902"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9,130.4</w:t>
            </w:r>
          </w:p>
        </w:tc>
        <w:tc>
          <w:tcPr>
            <w:tcW w:w="6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br/>
        <w:t>The accompanying Notes to Consolidated Financial Statements are an integral part of these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ManpowerGroup Inc.</w:t>
      </w:r>
    </w:p>
    <w:p>
      <w:pPr>
        <w:pStyle w:val="TextBody"/>
        <w:spacing w:before="200" w:after="0"/>
        <w:jc w:val="center"/>
        <w:rPr>
          <w:rFonts w:ascii="Times New Roman;serif" w:hAnsi="Times New Roman;serif"/>
          <w:b/>
          <w:sz w:val="20"/>
        </w:rPr>
      </w:pPr>
      <w:bookmarkStart w:id="6" w:name="consolidated_statements_operations_unaud"/>
      <w:bookmarkEnd w:id="6"/>
      <w:r>
        <w:rPr>
          <w:rFonts w:ascii="Times New Roman;serif" w:hAnsi="Times New Roman;serif"/>
          <w:b/>
          <w:sz w:val="20"/>
        </w:rPr>
        <w:t>Consolidated Statements of Operations (Unaudited)</w:t>
      </w:r>
    </w:p>
    <w:p>
      <w:pPr>
        <w:pStyle w:val="TextBody"/>
        <w:spacing w:before="0" w:after="0"/>
        <w:jc w:val="center"/>
        <w:rPr>
          <w:rFonts w:ascii="Times New Roman;serif" w:hAnsi="Times New Roman;serif"/>
          <w:b/>
          <w:sz w:val="20"/>
        </w:rPr>
      </w:pPr>
      <w:r>
        <w:rPr>
          <w:rFonts w:ascii="Times New Roman;serif" w:hAnsi="Times New Roman;serif"/>
          <w:b/>
          <w:sz w:val="20"/>
        </w:rPr>
        <w:t>(in millions, except per share data)</w:t>
      </w:r>
    </w:p>
    <w:tbl>
      <w:tblPr>
        <w:tblW w:w="5739" w:type="dxa"/>
        <w:jc w:val="left"/>
        <w:tblInd w:w="0" w:type="dxa"/>
        <w:tblCellMar>
          <w:top w:w="28" w:type="dxa"/>
          <w:left w:w="28" w:type="dxa"/>
          <w:bottom w:w="28" w:type="dxa"/>
          <w:right w:w="28" w:type="dxa"/>
        </w:tblCellMar>
      </w:tblPr>
      <w:tblGrid>
        <w:gridCol w:w="3046"/>
        <w:gridCol w:w="146"/>
        <w:gridCol w:w="211"/>
        <w:gridCol w:w="721"/>
        <w:gridCol w:w="146"/>
        <w:gridCol w:w="146"/>
        <w:gridCol w:w="211"/>
        <w:gridCol w:w="721"/>
        <w:gridCol w:w="39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 from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5,143.3</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4,246.2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897.1</w:t>
            </w:r>
          </w:p>
        </w:tc>
        <w:tc>
          <w:tcPr>
            <w:tcW w:w="391" w:type="dxa"/>
            <w:tcBorders/>
            <w:shd w:fill="auto" w:val="clear"/>
            <w:vAlign w:val="center"/>
          </w:tcPr>
          <w:p>
            <w:pPr>
              <w:pStyle w:val="TableContents"/>
              <w:spacing w:before="0" w:after="0"/>
              <w:ind w:left="0" w:right="0" w:firstLine="100"/>
              <w:jc w:val="left"/>
              <w:rPr/>
            </w:pPr>
            <w:r>
              <w:rPr/>
              <w:t> </w:t>
            </w:r>
          </w:p>
        </w:tc>
      </w:tr>
      <w:tr>
        <w:trPr/>
        <w:tc>
          <w:tcPr>
            <w:tcW w:w="30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Selling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Earnings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earnings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earnings per share – 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earnings per share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 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br/>
        <w:t>The accompanying Notes to Consolidated Financial Statements are an integral part of these statements.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ManpowerGroup Inc.</w:t>
      </w:r>
    </w:p>
    <w:p>
      <w:pPr>
        <w:pStyle w:val="TextBody"/>
        <w:spacing w:before="200" w:after="0"/>
        <w:jc w:val="center"/>
        <w:rPr>
          <w:rFonts w:ascii="Times New Roman;serif" w:hAnsi="Times New Roman;serif"/>
          <w:b/>
          <w:sz w:val="20"/>
        </w:rPr>
      </w:pPr>
      <w:bookmarkStart w:id="7" w:name="consolidated_statements_comprehensive_in"/>
      <w:bookmarkEnd w:id="7"/>
      <w:r>
        <w:rPr>
          <w:rFonts w:ascii="Times New Roman;serif" w:hAnsi="Times New Roman;serif"/>
          <w:b/>
          <w:sz w:val="20"/>
        </w:rPr>
        <w:t>Consolidated Statements of Comprehensive Income (Unaudited)</w:t>
      </w:r>
    </w:p>
    <w:p>
      <w:pPr>
        <w:pStyle w:val="TextBody"/>
        <w:spacing w:before="0" w:after="0"/>
        <w:jc w:val="center"/>
        <w:rPr>
          <w:rFonts w:ascii="Times New Roman;serif" w:hAnsi="Times New Roman;serif"/>
          <w:b/>
          <w:sz w:val="20"/>
        </w:rPr>
      </w:pPr>
      <w:r>
        <w:rPr>
          <w:rFonts w:ascii="Times New Roman;serif" w:hAnsi="Times New Roman;serif"/>
          <w:b/>
          <w:sz w:val="20"/>
        </w:rPr>
        <w:t>(in millions)</w:t>
      </w:r>
    </w:p>
    <w:tbl>
      <w:tblPr>
        <w:tblW w:w="10205" w:type="dxa"/>
        <w:jc w:val="left"/>
        <w:tblInd w:w="0" w:type="dxa"/>
        <w:tblCellMar>
          <w:top w:w="28" w:type="dxa"/>
          <w:left w:w="28" w:type="dxa"/>
          <w:bottom w:w="28" w:type="dxa"/>
          <w:right w:w="28" w:type="dxa"/>
        </w:tblCellMar>
      </w:tblPr>
      <w:tblGrid>
        <w:gridCol w:w="7782"/>
        <w:gridCol w:w="146"/>
        <w:gridCol w:w="220"/>
        <w:gridCol w:w="549"/>
        <w:gridCol w:w="173"/>
        <w:gridCol w:w="152"/>
        <w:gridCol w:w="220"/>
        <w:gridCol w:w="549"/>
        <w:gridCol w:w="414"/>
      </w:tblGrid>
      <w:tr>
        <w:trPr/>
        <w:tc>
          <w:tcPr>
            <w:tcW w:w="77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r>
      <w:tr>
        <w:trPr/>
        <w:tc>
          <w:tcPr>
            <w:tcW w:w="778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3"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414" w:type="dxa"/>
            <w:tcBorders/>
            <w:shd w:fill="auto" w:val="clear"/>
            <w:vAlign w:val="center"/>
          </w:tcPr>
          <w:p>
            <w:pPr>
              <w:pStyle w:val="TableContents"/>
              <w:spacing w:before="0" w:after="0"/>
              <w:ind w:left="0" w:right="0" w:hanging="0"/>
              <w:jc w:val="center"/>
              <w:rPr/>
            </w:pPr>
            <w:r>
              <w:rPr/>
              <w:t> </w:t>
            </w:r>
          </w:p>
        </w:tc>
      </w:tr>
      <w:tr>
        <w:trPr/>
        <w:tc>
          <w:tcPr>
            <w:tcW w:w="778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78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7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earnings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91.6</w:t>
            </w:r>
          </w:p>
        </w:tc>
        <w:tc>
          <w:tcPr>
            <w:tcW w:w="414" w:type="dxa"/>
            <w:tcBorders/>
            <w:shd w:fill="auto" w:val="clear"/>
            <w:vAlign w:val="center"/>
          </w:tcPr>
          <w:p>
            <w:pPr>
              <w:pStyle w:val="TableContents"/>
              <w:spacing w:before="0" w:after="0"/>
              <w:ind w:left="0" w:right="0" w:hanging="0"/>
              <w:jc w:val="left"/>
              <w:rPr/>
            </w:pPr>
            <w:r>
              <w:rPr/>
              <w:t> </w:t>
            </w:r>
          </w:p>
        </w:tc>
      </w:tr>
      <w:tr>
        <w:trPr/>
        <w:tc>
          <w:tcPr>
            <w:tcW w:w="77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769"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69" w:type="dxa"/>
            <w:gridSpan w:val="2"/>
            <w:tcBorders/>
            <w:shd w:fill="auto" w:val="clear"/>
            <w:vAlign w:val="center"/>
          </w:tcPr>
          <w:p>
            <w:pPr>
              <w:pStyle w:val="TableContents"/>
              <w:spacing w:before="0" w:after="0"/>
              <w:ind w:left="0" w:right="0" w:hanging="0"/>
              <w:jc w:val="right"/>
              <w:rPr/>
            </w:pPr>
            <w:r>
              <w:rPr/>
              <w:t> </w:t>
            </w:r>
          </w:p>
        </w:tc>
        <w:tc>
          <w:tcPr>
            <w:tcW w:w="414" w:type="dxa"/>
            <w:tcBorders/>
            <w:shd w:fill="auto" w:val="clear"/>
            <w:vAlign w:val="center"/>
          </w:tcPr>
          <w:p>
            <w:pPr>
              <w:pStyle w:val="TableContents"/>
              <w:spacing w:before="0" w:after="0"/>
              <w:ind w:left="0" w:right="0" w:firstLine="200"/>
              <w:jc w:val="right"/>
              <w:rPr/>
            </w:pPr>
            <w:r>
              <w:rPr/>
              <w:t> </w:t>
            </w:r>
          </w:p>
        </w:tc>
      </w:tr>
      <w:tr>
        <w:trPr/>
        <w:tc>
          <w:tcPr>
            <w:tcW w:w="778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78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Translation adjustments of long-term intercompany loans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414" w:type="dxa"/>
            <w:tcBorders/>
            <w:shd w:fill="auto" w:val="clear"/>
            <w:vAlign w:val="center"/>
          </w:tcPr>
          <w:p>
            <w:pPr>
              <w:pStyle w:val="TableContents"/>
              <w:spacing w:before="0" w:after="0"/>
              <w:ind w:left="0" w:right="0" w:firstLine="200"/>
              <w:jc w:val="left"/>
              <w:rPr/>
            </w:pPr>
            <w:r>
              <w:rPr/>
              <w:t> </w:t>
            </w:r>
          </w:p>
        </w:tc>
      </w:tr>
      <w:tr>
        <w:trPr/>
        <w:tc>
          <w:tcPr>
            <w:tcW w:w="778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on derivative instruments, net of income taxes of $(2.8) and $6.6, respectively</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414" w:type="dxa"/>
            <w:tcBorders/>
            <w:shd w:fill="auto" w:val="clear"/>
            <w:vAlign w:val="center"/>
          </w:tcPr>
          <w:p>
            <w:pPr>
              <w:pStyle w:val="TableContents"/>
              <w:spacing w:before="0" w:after="0"/>
              <w:ind w:left="0" w:right="0" w:firstLine="200"/>
              <w:jc w:val="left"/>
              <w:rPr/>
            </w:pPr>
            <w:r>
              <w:rPr/>
              <w:t> </w:t>
            </w:r>
          </w:p>
        </w:tc>
      </w:tr>
      <w:tr>
        <w:trPr/>
        <w:tc>
          <w:tcPr>
            <w:tcW w:w="778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adjustment on interest rate swap</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pPr>
            <w:r>
              <w:rPr/>
              <w:t>—</w:t>
            </w:r>
          </w:p>
        </w:tc>
        <w:tc>
          <w:tcPr>
            <w:tcW w:w="414" w:type="dxa"/>
            <w:tcBorders/>
            <w:shd w:fill="auto" w:val="clear"/>
            <w:vAlign w:val="center"/>
          </w:tcPr>
          <w:p>
            <w:pPr>
              <w:pStyle w:val="TableContents"/>
              <w:spacing w:before="0" w:after="0"/>
              <w:ind w:left="0" w:right="0" w:firstLine="200"/>
              <w:jc w:val="left"/>
              <w:rPr/>
            </w:pPr>
            <w:r>
              <w:rPr/>
              <w:t> </w:t>
            </w:r>
          </w:p>
        </w:tc>
      </w:tr>
      <w:tr>
        <w:trPr/>
        <w:tc>
          <w:tcPr>
            <w:tcW w:w="778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Defined benefit pension plans and retiree health care plan, net of income taxes of $0.1</w:t>
            </w:r>
            <w:r>
              <w:rPr>
                <w:rFonts w:ascii="Times New Roman" w:hAnsi="Times New Roman"/>
                <w:sz w:val="20"/>
              </w:rPr>
              <w:t> </w:t>
            </w:r>
            <w:r>
              <w:rPr>
                <w:rFonts w:ascii="Times New Roman;serif" w:hAnsi="Times New Roman;serif"/>
                <w:b w:val="false"/>
                <w:sz w:val="20"/>
              </w:rPr>
              <w:t>for both periods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7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84.9</w:t>
            </w:r>
          </w:p>
        </w:tc>
        <w:tc>
          <w:tcPr>
            <w:tcW w:w="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accompanying Notes to Consolidated Financial Statements are an integral part of these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ManpowerGroup Inc.</w:t>
      </w:r>
    </w:p>
    <w:p>
      <w:pPr>
        <w:pStyle w:val="TextBody"/>
        <w:spacing w:before="200" w:after="0"/>
        <w:jc w:val="center"/>
        <w:rPr>
          <w:rFonts w:ascii="Times New Roman;serif" w:hAnsi="Times New Roman;serif"/>
          <w:b/>
          <w:sz w:val="20"/>
        </w:rPr>
      </w:pPr>
      <w:bookmarkStart w:id="8" w:name="consolidated_statements_cash_flows_unaud"/>
      <w:bookmarkEnd w:id="8"/>
      <w:r>
        <w:rPr>
          <w:rFonts w:ascii="Times New Roman;serif" w:hAnsi="Times New Roman;serif"/>
          <w:b/>
          <w:sz w:val="20"/>
        </w:rPr>
        <w:t>Consolidated Statements of Cash Flows (Unaudited)</w:t>
      </w:r>
    </w:p>
    <w:p>
      <w:pPr>
        <w:pStyle w:val="TextBody"/>
        <w:spacing w:before="0" w:after="0"/>
        <w:jc w:val="center"/>
        <w:rPr>
          <w:rFonts w:ascii="Times New Roman;serif" w:hAnsi="Times New Roman;serif"/>
          <w:b/>
          <w:sz w:val="20"/>
        </w:rPr>
      </w:pPr>
      <w:r>
        <w:rPr>
          <w:rFonts w:ascii="Times New Roman;serif" w:hAnsi="Times New Roman;serif"/>
          <w:b/>
          <w:sz w:val="20"/>
        </w:rPr>
        <w:t>(in millions)</w:t>
      </w:r>
    </w:p>
    <w:tbl>
      <w:tblPr>
        <w:tblW w:w="9224" w:type="dxa"/>
        <w:jc w:val="left"/>
        <w:tblInd w:w="0" w:type="dxa"/>
        <w:tblCellMar>
          <w:top w:w="28" w:type="dxa"/>
          <w:left w:w="28" w:type="dxa"/>
          <w:bottom w:w="28" w:type="dxa"/>
          <w:right w:w="28" w:type="dxa"/>
        </w:tblCellMar>
      </w:tblPr>
      <w:tblGrid>
        <w:gridCol w:w="6931"/>
        <w:gridCol w:w="146"/>
        <w:gridCol w:w="211"/>
        <w:gridCol w:w="631"/>
        <w:gridCol w:w="166"/>
        <w:gridCol w:w="146"/>
        <w:gridCol w:w="211"/>
        <w:gridCol w:w="571"/>
        <w:gridCol w:w="211"/>
      </w:tblGrid>
      <w:tr>
        <w:trPr/>
        <w:tc>
          <w:tcPr>
            <w:tcW w:w="6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3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6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Net earnings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91.6</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Adjustments to reconcile net earnings to 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Loss on sale of a subsidiary</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Provision for doubtful accounts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20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0"/>
              <w:ind w:left="0" w:right="0" w:firstLine="200"/>
              <w:jc w:val="left"/>
              <w:rPr/>
            </w:pPr>
            <w:r>
              <w:rPr/>
              <w:t>           </w:t>
            </w: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firstLine="400"/>
              <w:jc w:val="left"/>
              <w:rPr/>
            </w:pPr>
            <w:r>
              <w:rPr/>
              <w:t>                 </w:t>
            </w:r>
            <w:r>
              <w:rPr>
                <w:rFonts w:ascii="Times New Roman;serif" w:hAnsi="Times New Roman;serif"/>
                <w:b w:val="false"/>
                <w:sz w:val="20"/>
              </w:rPr>
              <w:t>Cash provided by operating activities</w:t>
            </w:r>
          </w:p>
        </w:tc>
        <w:tc>
          <w:tcPr>
            <w:tcW w:w="1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283"/>
              <w:ind w:left="0" w:right="0" w:firstLine="400"/>
              <w:rPr>
                <w:sz w:val="4"/>
                <w:szCs w:val="4"/>
              </w:rPr>
            </w:pPr>
            <w:r>
              <w:rPr>
                <w:sz w:val="4"/>
                <w:szCs w:val="4"/>
              </w:rPr>
            </w:r>
          </w:p>
        </w:tc>
        <w:tc>
          <w:tcPr>
            <w:tcW w:w="146" w:type="dxa"/>
            <w:tcBorders/>
            <w:shd w:fill="auto" w:val="clear"/>
            <w:vAlign w:val="center"/>
          </w:tcPr>
          <w:p>
            <w:pPr>
              <w:pStyle w:val="TableContents"/>
              <w:spacing w:before="0" w:after="0"/>
              <w:ind w:left="40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firstLine="40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40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firstLine="400"/>
              <w:jc w:val="left"/>
              <w:rPr/>
            </w:pPr>
            <w:r>
              <w:rPr/>
              <w:t>  </w:t>
            </w:r>
            <w:r>
              <w:rPr>
                <w:rFonts w:ascii="Times New Roman;serif" w:hAnsi="Times New Roman;serif"/>
                <w:b w:val="false"/>
                <w:sz w:val="20"/>
              </w:rPr>
              <w:t>Capital expenditures</w:t>
            </w:r>
          </w:p>
        </w:tc>
        <w:tc>
          <w:tcPr>
            <w:tcW w:w="146" w:type="dxa"/>
            <w:tcBorders/>
            <w:shd w:fill="auto" w:val="clear"/>
            <w:vAlign w:val="center"/>
          </w:tcPr>
          <w:p>
            <w:pPr>
              <w:pStyle w:val="TableContents"/>
              <w:spacing w:before="0" w:after="0"/>
              <w:ind w:left="4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0"/>
              <w:ind w:left="0" w:right="0" w:firstLine="400"/>
              <w:jc w:val="left"/>
              <w:rPr/>
            </w:pPr>
            <w:r>
              <w:rPr/>
              <w:t>  </w:t>
            </w:r>
            <w:r>
              <w:rPr>
                <w:rFonts w:ascii="Times New Roman;serif" w:hAnsi="Times New Roman;serif"/>
                <w:b w:val="false"/>
                <w:sz w:val="20"/>
              </w:rPr>
              <w:t>Proceeds from the sales of subsidiaries and property and equipment</w:t>
            </w:r>
          </w:p>
        </w:tc>
        <w:tc>
          <w:tcPr>
            <w:tcW w:w="1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firstLine="600"/>
              <w:jc w:val="left"/>
              <w:rPr/>
            </w:pPr>
            <w:r>
              <w:rPr/>
              <w:t>                 </w:t>
            </w:r>
            <w:r>
              <w:rPr>
                <w:rFonts w:ascii="Times New Roman;serif" w:hAnsi="Times New Roman;serif"/>
                <w:b w:val="false"/>
                <w:sz w:val="20"/>
              </w:rPr>
              <w:t>Cash used in investing activities</w:t>
            </w:r>
          </w:p>
        </w:tc>
        <w:tc>
          <w:tcPr>
            <w:tcW w:w="146" w:type="dxa"/>
            <w:tcBorders/>
            <w:shd w:fill="auto" w:val="clear"/>
            <w:vAlign w:val="center"/>
          </w:tcPr>
          <w:p>
            <w:pPr>
              <w:pStyle w:val="TableContents"/>
              <w:spacing w:before="0" w:after="0"/>
              <w:ind w:left="6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Net change in short-term borrowings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Repayments of revolving debt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Proceeds from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Repayments of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Proceeds from share-based awards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11" w:type="dxa"/>
            <w:tcBorders/>
            <w:shd w:fill="auto" w:val="cle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share-based award transactions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0"/>
              <w:ind w:left="0" w:right="0" w:firstLine="600"/>
              <w:jc w:val="left"/>
              <w:rPr/>
            </w:pPr>
            <w:r>
              <w:rPr/>
              <w:t>                 </w:t>
            </w:r>
            <w:r>
              <w:rPr>
                <w:rFonts w:ascii="Times New Roman;serif" w:hAnsi="Times New Roman;serif"/>
                <w:b w:val="false"/>
                <w:sz w:val="20"/>
              </w:rPr>
              <w:t>Cash used in financing activities</w:t>
            </w:r>
          </w:p>
        </w:tc>
        <w:tc>
          <w:tcPr>
            <w:tcW w:w="146" w:type="dxa"/>
            <w:tcBorders/>
            <w:shd w:fill="auto" w:val="clear"/>
            <w:vAlign w:val="center"/>
          </w:tcPr>
          <w:p>
            <w:pPr>
              <w:pStyle w:val="TableContents"/>
              <w:spacing w:before="0" w:after="0"/>
              <w:ind w:left="60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7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paid,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operating activity:</w:t>
              <w:br/>
              <w:t>    Right-of-use assets obtained in exchange for new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br/>
        <w:t>The accompanying Notes to Consolidated Financial Statements are an integral part of these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ManpowerGroup Inc.</w:t>
      </w:r>
    </w:p>
    <w:p>
      <w:pPr>
        <w:pStyle w:val="TextBody"/>
        <w:spacing w:before="200" w:after="0"/>
        <w:jc w:val="center"/>
        <w:rPr>
          <w:rFonts w:ascii="Times New Roman;serif" w:hAnsi="Times New Roman;serif"/>
          <w:b/>
          <w:sz w:val="20"/>
        </w:rPr>
      </w:pPr>
      <w:bookmarkStart w:id="9" w:name="consolidated_statements_shareholders_equ"/>
      <w:bookmarkEnd w:id="9"/>
      <w:r>
        <w:rPr>
          <w:rFonts w:ascii="Times New Roman;serif" w:hAnsi="Times New Roman;serif"/>
          <w:b/>
          <w:sz w:val="20"/>
        </w:rPr>
        <w:t>Consolidated Statements of Shareholders' Equity (Unaudited)</w:t>
      </w:r>
    </w:p>
    <w:p>
      <w:pPr>
        <w:pStyle w:val="TextBody"/>
        <w:spacing w:before="0" w:after="0"/>
        <w:jc w:val="center"/>
        <w:rPr>
          <w:rFonts w:ascii="Times New Roman;serif" w:hAnsi="Times New Roman;serif"/>
          <w:b/>
          <w:sz w:val="20"/>
        </w:rPr>
      </w:pPr>
      <w:r>
        <w:rPr>
          <w:rFonts w:ascii="Times New Roman;serif" w:hAnsi="Times New Roman;serif"/>
          <w:b/>
          <w:sz w:val="20"/>
        </w:rPr>
        <w:t>(in millions, except share and per share data)</w:t>
      </w:r>
    </w:p>
    <w:tbl>
      <w:tblPr>
        <w:tblW w:w="11096" w:type="dxa"/>
        <w:jc w:val="left"/>
        <w:tblInd w:w="0" w:type="dxa"/>
        <w:tblCellMar>
          <w:top w:w="28" w:type="dxa"/>
          <w:left w:w="28" w:type="dxa"/>
          <w:bottom w:w="28" w:type="dxa"/>
          <w:right w:w="28" w:type="dxa"/>
        </w:tblCellMar>
      </w:tblPr>
      <w:tblGrid>
        <w:gridCol w:w="1186"/>
        <w:gridCol w:w="146"/>
        <w:gridCol w:w="146"/>
        <w:gridCol w:w="1006"/>
        <w:gridCol w:w="146"/>
        <w:gridCol w:w="146"/>
        <w:gridCol w:w="196"/>
        <w:gridCol w:w="331"/>
        <w:gridCol w:w="146"/>
        <w:gridCol w:w="146"/>
        <w:gridCol w:w="196"/>
        <w:gridCol w:w="646"/>
        <w:gridCol w:w="146"/>
        <w:gridCol w:w="146"/>
        <w:gridCol w:w="196"/>
        <w:gridCol w:w="646"/>
        <w:gridCol w:w="146"/>
        <w:gridCol w:w="146"/>
        <w:gridCol w:w="310"/>
        <w:gridCol w:w="906"/>
        <w:gridCol w:w="166"/>
        <w:gridCol w:w="146"/>
        <w:gridCol w:w="196"/>
        <w:gridCol w:w="706"/>
        <w:gridCol w:w="166"/>
        <w:gridCol w:w="146"/>
        <w:gridCol w:w="300"/>
        <w:gridCol w:w="646"/>
        <w:gridCol w:w="146"/>
        <w:gridCol w:w="146"/>
        <w:gridCol w:w="196"/>
        <w:gridCol w:w="646"/>
        <w:gridCol w:w="411"/>
      </w:tblGrid>
      <w:tr>
        <w:trPr/>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6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ManpowerGroup Shareholders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br/>
              <w:t>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Par</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 in</w:t>
              <w:br/>
              <w:t>Excess of</w:t>
              <w:b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Retained</w:t>
              <w:br/>
              <w:t>Earnings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Treasury</w:t>
              <w:b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w:t>
              <w:br/>
              <w:t>Controlling</w:t>
              <w:br/>
              <w:t>Interests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118,028,009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3,484.2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(4,447.9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2,458.1</w:t>
            </w:r>
          </w:p>
        </w:tc>
        <w:tc>
          <w:tcPr>
            <w:tcW w:w="411" w:type="dxa"/>
            <w:tcBorders/>
            <w:shd w:fill="auto" w:val="clear"/>
            <w:vAlign w:val="center"/>
          </w:tcPr>
          <w:p>
            <w:pPr>
              <w:pStyle w:val="TableContents"/>
              <w:spacing w:before="0" w:after="0"/>
              <w:ind w:left="0" w:right="0" w:firstLine="200"/>
              <w:jc w:val="left"/>
              <w:rPr/>
            </w:pPr>
            <w:r>
              <w:rPr/>
              <w:t> </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earnings</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77.8</w:t>
            </w:r>
          </w:p>
        </w:tc>
        <w:tc>
          <w:tcPr>
            <w:tcW w:w="411" w:type="dxa"/>
            <w:tcBorders/>
            <w:shd w:fill="auto" w:val="clear"/>
            <w:vAlign w:val="center"/>
          </w:tcPr>
          <w:p>
            <w:pPr>
              <w:pStyle w:val="TableContents"/>
              <w:spacing w:before="0" w:after="0"/>
              <w:ind w:left="0" w:right="0" w:firstLine="200"/>
              <w:jc w:val="left"/>
              <w:rPr/>
            </w:pPr>
            <w:r>
              <w:rPr/>
              <w:t> </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comprehensive gain</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411" w:type="dxa"/>
            <w:tcBorders/>
            <w:shd w:fill="auto" w:val="clear"/>
            <w:vAlign w:val="center"/>
          </w:tcPr>
          <w:p>
            <w:pPr>
              <w:pStyle w:val="TableContents"/>
              <w:spacing w:before="0" w:after="0"/>
              <w:ind w:left="0" w:right="0" w:firstLine="200"/>
              <w:jc w:val="left"/>
              <w:rPr/>
            </w:pPr>
            <w:r>
              <w:rPr/>
              <w:t> </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Issuances under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336,079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411" w:type="dxa"/>
            <w:tcBorders/>
            <w:shd w:fill="auto" w:val="clear"/>
            <w:vAlign w:val="center"/>
          </w:tcPr>
          <w:p>
            <w:pPr>
              <w:pStyle w:val="TableContents"/>
              <w:spacing w:before="0" w:after="0"/>
              <w:ind w:left="0" w:right="0" w:firstLine="200"/>
              <w:jc w:val="left"/>
              <w:rPr/>
            </w:pPr>
            <w:r>
              <w:rPr/>
              <w:t> </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Repurchases of common stock, including excise tax</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Noncontrolling interest transactions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118,364,088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3,490.6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3,946.3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(4,488.1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2,509.4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11116" w:type="dxa"/>
        <w:jc w:val="left"/>
        <w:tblInd w:w="0" w:type="dxa"/>
        <w:tblCellMar>
          <w:top w:w="28" w:type="dxa"/>
          <w:left w:w="28" w:type="dxa"/>
          <w:bottom w:w="28" w:type="dxa"/>
          <w:right w:w="28" w:type="dxa"/>
        </w:tblCellMar>
      </w:tblPr>
      <w:tblGrid>
        <w:gridCol w:w="1186"/>
        <w:gridCol w:w="146"/>
        <w:gridCol w:w="146"/>
        <w:gridCol w:w="1006"/>
        <w:gridCol w:w="146"/>
        <w:gridCol w:w="146"/>
        <w:gridCol w:w="196"/>
        <w:gridCol w:w="331"/>
        <w:gridCol w:w="146"/>
        <w:gridCol w:w="146"/>
        <w:gridCol w:w="196"/>
        <w:gridCol w:w="646"/>
        <w:gridCol w:w="166"/>
        <w:gridCol w:w="146"/>
        <w:gridCol w:w="196"/>
        <w:gridCol w:w="646"/>
        <w:gridCol w:w="146"/>
        <w:gridCol w:w="146"/>
        <w:gridCol w:w="310"/>
        <w:gridCol w:w="906"/>
        <w:gridCol w:w="166"/>
        <w:gridCol w:w="146"/>
        <w:gridCol w:w="196"/>
        <w:gridCol w:w="706"/>
        <w:gridCol w:w="166"/>
        <w:gridCol w:w="146"/>
        <w:gridCol w:w="300"/>
        <w:gridCol w:w="646"/>
        <w:gridCol w:w="146"/>
        <w:gridCol w:w="146"/>
        <w:gridCol w:w="196"/>
        <w:gridCol w:w="646"/>
        <w:gridCol w:w="411"/>
      </w:tblGrid>
      <w:tr>
        <w:trPr/>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8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ManpowerGroup Shareholders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br/>
              <w:t>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Par</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 in</w:t>
              <w:br/>
              <w:t>Excess of</w:t>
              <w:br/>
              <w:t>Par Value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Retained</w:t>
              <w:br/>
              <w:t>Earnings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Treasury</w:t>
              <w:b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w:t>
              <w:br/>
              <w:t>Controlling</w:t>
              <w:br/>
              <w:t>Interests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117,762,065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3,444.7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3,634.6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(4,169.4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2,531.7</w:t>
            </w:r>
          </w:p>
        </w:tc>
        <w:tc>
          <w:tcPr>
            <w:tcW w:w="411" w:type="dxa"/>
            <w:tcBorders/>
            <w:shd w:fill="auto" w:val="clear"/>
            <w:vAlign w:val="center"/>
          </w:tcPr>
          <w:p>
            <w:pPr>
              <w:pStyle w:val="TableContents"/>
              <w:spacing w:before="0" w:after="0"/>
              <w:ind w:left="0" w:right="0" w:firstLine="200"/>
              <w:jc w:val="left"/>
              <w:rPr/>
            </w:pPr>
            <w:r>
              <w:rPr/>
              <w:t> </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earnings</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91.6</w:t>
            </w:r>
          </w:p>
        </w:tc>
        <w:tc>
          <w:tcPr>
            <w:tcW w:w="411" w:type="dxa"/>
            <w:tcBorders/>
            <w:shd w:fill="auto" w:val="clear"/>
            <w:vAlign w:val="center"/>
          </w:tcPr>
          <w:p>
            <w:pPr>
              <w:pStyle w:val="TableContents"/>
              <w:spacing w:before="0" w:after="0"/>
              <w:ind w:left="0" w:right="0" w:firstLine="200"/>
              <w:jc w:val="left"/>
              <w:rPr/>
            </w:pPr>
            <w:r>
              <w:rPr/>
              <w:t> </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Issuances under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246,804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w:t>
            </w:r>
          </w:p>
        </w:tc>
        <w:tc>
          <w:tcPr>
            <w:tcW w:w="411" w:type="dxa"/>
            <w:tcBorders/>
            <w:shd w:fill="auto" w:val="clear"/>
            <w:vAlign w:val="center"/>
          </w:tcPr>
          <w:p>
            <w:pPr>
              <w:pStyle w:val="TableContents"/>
              <w:spacing w:before="0" w:after="0"/>
              <w:ind w:left="0" w:right="0" w:firstLine="200"/>
              <w:jc w:val="left"/>
              <w:rPr/>
            </w:pPr>
            <w:r>
              <w:rPr/>
              <w:t> </w:t>
            </w:r>
          </w:p>
        </w:tc>
      </w:tr>
      <w:tr>
        <w:trPr/>
        <w:tc>
          <w:tcPr>
            <w:tcW w:w="118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Noncontrolling interest transactions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118,008,869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3,455.2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3,726.2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(4,237.5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2,556.1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bookmarkStart w:id="10" w:name="consolidated_statements_shareholders_end"/>
      <w:bookmarkEnd w:id="10"/>
      <w:r>
        <w:rPr>
          <w:rFonts w:ascii="Times New Roman;serif" w:hAnsi="Times New Roman;serif"/>
          <w:b w:val="false"/>
          <w:sz w:val="20"/>
        </w:rPr>
        <w:t>The accompanying Notes to Consolidated Financial Statements are an integral part of these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1" w:name="notes_to_consolidated_financial_statemen"/>
      <w:bookmarkEnd w:id="11"/>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For the three months ended March 31, 2023 and 2022</w:t>
      </w:r>
    </w:p>
    <w:p>
      <w:pPr>
        <w:pStyle w:val="TextBody"/>
        <w:spacing w:before="0" w:after="0"/>
        <w:jc w:val="center"/>
        <w:rPr>
          <w:rFonts w:ascii="Times New Roman;serif" w:hAnsi="Times New Roman;serif"/>
          <w:b/>
          <w:sz w:val="20"/>
        </w:rPr>
      </w:pPr>
      <w:r>
        <w:rPr>
          <w:rFonts w:ascii="Times New Roman;serif" w:hAnsi="Times New Roman;serif"/>
          <w:b/>
          <w:sz w:val="20"/>
        </w:rPr>
        <w:t>(in millions, except share and per share data)</w:t>
      </w:r>
    </w:p>
    <w:p>
      <w:pPr>
        <w:pStyle w:val="TextBody"/>
        <w:spacing w:before="200" w:after="0"/>
        <w:jc w:val="left"/>
        <w:rPr>
          <w:rFonts w:ascii="Times New Roman" w:hAnsi="Times New Roman"/>
          <w:sz w:val="20"/>
        </w:rPr>
      </w:pPr>
      <w:r>
        <w:rPr>
          <w:rFonts w:ascii="Times New Roman;serif" w:hAnsi="Times New Roman;serif"/>
          <w:b w:val="false"/>
          <w:sz w:val="20"/>
        </w:rPr>
        <w:t xml:space="preserve">(1) </w:t>
      </w:r>
      <w:r>
        <w:rPr>
          <w:rFonts w:ascii="Times New Roman;serif" w:hAnsi="Times New Roman;serif"/>
          <w:b w:val="false"/>
          <w:sz w:val="20"/>
          <w:u w:val="single"/>
        </w:rPr>
        <w:t>Basis of Presentation and Accounting Policies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Basis of Presentation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2022 Annual Report on Form 10-K.</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Allowance for Doubtful Accounts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rollforward of our allowance for doubtful accounts is shown below:</w:t>
      </w:r>
    </w:p>
    <w:p>
      <w:pPr>
        <w:pStyle w:val="TextBody"/>
        <w:spacing w:before="0" w:after="0"/>
        <w:jc w:val="left"/>
        <w:rPr/>
      </w:pPr>
      <w:r>
        <w:rPr/>
        <w:t> </w:t>
      </w:r>
    </w:p>
    <w:tbl>
      <w:tblPr>
        <w:tblW w:w="4888" w:type="dxa"/>
        <w:jc w:val="left"/>
        <w:tblInd w:w="0" w:type="dxa"/>
        <w:tblCellMar>
          <w:top w:w="28" w:type="dxa"/>
          <w:left w:w="28" w:type="dxa"/>
          <w:bottom w:w="28" w:type="dxa"/>
          <w:right w:w="28" w:type="dxa"/>
        </w:tblCellMar>
      </w:tblPr>
      <w:tblGrid>
        <w:gridCol w:w="2611"/>
        <w:gridCol w:w="146"/>
        <w:gridCol w:w="518"/>
        <w:gridCol w:w="1402"/>
        <w:gridCol w:w="211"/>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 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192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109.3</w:t>
            </w:r>
          </w:p>
        </w:tc>
        <w:tc>
          <w:tcPr>
            <w:tcW w:w="211" w:type="dxa"/>
            <w:tcBorders/>
            <w:shd w:fill="auto" w:val="clear"/>
            <w:vAlign w:val="center"/>
          </w:tcPr>
          <w:p>
            <w:pPr>
              <w:pStyle w:val="TableContents"/>
              <w:spacing w:before="0" w:after="0"/>
              <w:ind w:left="0" w:right="0" w:hanging="0"/>
              <w:jc w:val="righ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Provisions charged to earnings</w:t>
            </w:r>
          </w:p>
        </w:tc>
        <w:tc>
          <w:tcPr>
            <w:tcW w:w="14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pPr>
            <w:r>
              <w:rPr/>
              <w:t> </w:t>
            </w:r>
          </w:p>
        </w:tc>
        <w:tc>
          <w:tcPr>
            <w:tcW w:w="14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pPr>
            <w:r>
              <w:rPr/>
              <w:t> </w:t>
            </w:r>
          </w:p>
        </w:tc>
        <w:tc>
          <w:tcPr>
            <w:tcW w:w="14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March 31, 2023</w:t>
            </w:r>
          </w:p>
        </w:tc>
        <w:tc>
          <w:tcPr>
            <w:tcW w:w="146" w:type="dxa"/>
            <w:tcBorders/>
            <w:shd w:fill="auto" w:val="clear"/>
            <w:vAlign w:val="center"/>
          </w:tcPr>
          <w:p>
            <w:pPr>
              <w:pStyle w:val="TableContents"/>
              <w:spacing w:before="0" w:after="0"/>
              <w:ind w:left="0" w:right="0" w:hanging="0"/>
              <w:jc w:val="left"/>
              <w:rPr/>
            </w:pPr>
            <w:r>
              <w:rPr/>
              <w:t> </w:t>
            </w:r>
          </w:p>
        </w:tc>
        <w:tc>
          <w:tcPr>
            <w:tcW w:w="5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i/>
          <w:sz w:val="20"/>
        </w:rPr>
      </w:pPr>
      <w:r>
        <w:rPr>
          <w:rFonts w:ascii="Times New Roman;serif" w:hAnsi="Times New Roman;serif"/>
          <w:b w:val="false"/>
          <w:i/>
          <w:sz w:val="20"/>
        </w:rPr>
        <w:t>Leases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Lease expenses for operating leases are recognized on a straight-line basis over the lease term and recorded in selling and administrative expenses on the Consolidated Statements of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Goodwill Impairment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During the fourth quarter of 2022, we identified several factors related to our Netherlands reporting unit that led us to conclude that it was more likely than not that the fair value of the reporting unit was below its carrying amount which triggered us to perform an interim impairment assessment. As a result, we wrote the carrying value of the Netherlands reporting unit down to its estimated fair value and recognized a non-cash impairment charge of $50.0.</w:t>
      </w:r>
    </w:p>
    <w:p>
      <w:pPr>
        <w:pStyle w:val="TextBody"/>
        <w:spacing w:before="200" w:after="0"/>
        <w:jc w:val="left"/>
        <w:rPr>
          <w:rFonts w:ascii="Times New Roman" w:hAnsi="Times New Roman"/>
          <w:sz w:val="20"/>
        </w:rPr>
      </w:pPr>
      <w:r>
        <w:rPr>
          <w:rFonts w:ascii="Times New Roman;serif" w:hAnsi="Times New Roman;serif"/>
          <w:b w:val="false"/>
          <w:sz w:val="20"/>
        </w:rPr>
        <w:t>Key assumptions included in the Netherlands discounted cash flow valuation performed during the fourth quarter of 2022 were a discount rate of 13.5%, revenue growth for the next 10 years ranging from 0.0% to 3.0%, a terminal value revenue growth rate of 2.0% and a terminal value OUP margin of 4.0%.</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Management continues to closely monitor the results of the reporting unit and comparisons to the key assumptions used in our fair value estimate, in addition to operational initiatives and macroeconomic conditions, which may impact the results of the reporting unit. The performance of the Netherlands reporting unit and the potential for future developments in the global economic environment, including the prospect of higher interest rates, introduces a heightened risk for additional impairment in the Netherlands reporting unit. If the Netherlands reporting unit cannot improve from its current operating levels and meet its operating targets to achieve the growth and margin assumptions noted above, or if there is continued deterioration in the market due to macroeconomic conditions, some or all of the remaining recorded goodwill for the Netherlands reporting unit, which was</w:t>
      </w:r>
      <w:r>
        <w:rPr>
          <w:rFonts w:ascii="Times New Roman" w:hAnsi="Times New Roman"/>
          <w:sz w:val="20"/>
        </w:rPr>
        <w:t xml:space="preserve"> </w:t>
      </w:r>
      <w:r>
        <w:rPr>
          <w:rFonts w:ascii="Times New Roman;serif" w:hAnsi="Times New Roman;serif"/>
          <w:b w:val="false"/>
          <w:sz w:val="20"/>
        </w:rPr>
        <w:t>$55.8</w:t>
      </w:r>
      <w:r>
        <w:rPr>
          <w:rFonts w:ascii="Times New Roman" w:hAnsi="Times New Roman"/>
          <w:sz w:val="20"/>
        </w:rPr>
        <w:t xml:space="preserve"> </w:t>
      </w:r>
      <w:r>
        <w:rPr>
          <w:rFonts w:ascii="Times New Roman;serif" w:hAnsi="Times New Roman;serif"/>
          <w:b w:val="false"/>
          <w:sz w:val="20"/>
        </w:rPr>
        <w:t>as</w:t>
      </w:r>
      <w:r>
        <w:rPr>
          <w:rFonts w:ascii="Times New Roman" w:hAnsi="Times New Roman"/>
          <w:sz w:val="20"/>
        </w:rPr>
        <w:t xml:space="preserve"> </w:t>
      </w:r>
      <w:r>
        <w:rPr>
          <w:rFonts w:ascii="Times New Roman;serif" w:hAnsi="Times New Roman;serif"/>
          <w:b w:val="false"/>
          <w:sz w:val="20"/>
        </w:rPr>
        <w:t>of March 31, 2023, could be subject to further impairment.</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While our other reporting units' fair values exceeded 20% or more of their respective carrying values, there could be significant further decreases in the operating results of our reporting units for a sustained period, which may result in a recognition of goodwill impairment that could be material to the Consolidated Financial Statements.</w:t>
      </w:r>
    </w:p>
    <w:p>
      <w:pPr>
        <w:pStyle w:val="TextBody"/>
        <w:spacing w:before="200" w:after="0"/>
        <w:jc w:val="left"/>
        <w:rPr>
          <w:rFonts w:ascii="Times New Roman" w:hAnsi="Times New Roman"/>
          <w:sz w:val="20"/>
        </w:rPr>
      </w:pPr>
      <w:r>
        <w:rPr>
          <w:rFonts w:ascii="Times New Roman;serif" w:hAnsi="Times New Roman;serif"/>
          <w:b w:val="false"/>
          <w:sz w:val="20"/>
        </w:rPr>
        <w:t xml:space="preserve">(2) </w:t>
      </w:r>
      <w:r>
        <w:rPr>
          <w:rFonts w:ascii="Times New Roman;serif" w:hAnsi="Times New Roman;serif"/>
          <w:b w:val="false"/>
          <w:sz w:val="20"/>
          <w:u w:val="single"/>
        </w:rPr>
        <w:t>Recent Accounting Standards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Accounting Standards Effective as of January 1, 2023</w:t>
      </w:r>
    </w:p>
    <w:p>
      <w:pPr>
        <w:pStyle w:val="TextBody"/>
        <w:spacing w:before="200" w:after="0"/>
        <w:jc w:val="left"/>
        <w:rPr>
          <w:rFonts w:ascii="Times New Roman" w:hAnsi="Times New Roman"/>
          <w:sz w:val="20"/>
        </w:rPr>
      </w:pPr>
      <w:r>
        <w:rPr>
          <w:rFonts w:ascii="Times New Roman;serif" w:hAnsi="Times New Roman;serif"/>
          <w:b w:val="false"/>
          <w:sz w:val="20"/>
        </w:rPr>
        <w:t>In November 2021, the FASB issued new guidance on business combinations. The guidance added the contract assets and contract liabilities to the list of exceptions to the recognition and measurement principles that apply to business combinations and requires that an acquirer recognize and measure contract assets and contract liabilities acquired in a business combination in accordance with the revenue recognition standard. The new guidance was effective for us as of January 1, 2023. The adoption of this guidance had no impact on our Consolidated Financial Statements.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In March 2020, the FASB issued new guidance</w:t>
      </w:r>
      <w:r>
        <w:rPr>
          <w:rFonts w:ascii="Times New Roman" w:hAnsi="Times New Roman"/>
          <w:sz w:val="20"/>
        </w:rPr>
        <w:t xml:space="preserve"> </w:t>
      </w:r>
      <w:r>
        <w:rPr>
          <w:rFonts w:ascii="Times New Roman;serif" w:hAnsi="Times New Roman;serif"/>
          <w:b w:val="false"/>
          <w:sz w:val="20"/>
        </w:rPr>
        <w:t>on accounting for contract modifications, including hedging relationships, due to the transition from LIBOR and other interbank offerings related to alternative reference interest rates. The guidance was effective upon issuance and can be applied to applicable contract modifications through December 31, 2024. The adoption of this guidance has not had any impact on our Consolidated Financial Statements, and we do not expect it to have a material impact</w:t>
      </w:r>
      <w:r>
        <w:rPr>
          <w:rFonts w:ascii="Times New Roman" w:hAnsi="Times New Roman"/>
          <w:sz w:val="20"/>
        </w:rPr>
        <w:t xml:space="preserve"> </w:t>
      </w:r>
      <w:r>
        <w:rPr>
          <w:rFonts w:ascii="Times New Roman;serif" w:hAnsi="Times New Roman;serif"/>
          <w:b w:val="false"/>
          <w:sz w:val="20"/>
        </w:rPr>
        <w:t>going forward.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 xml:space="preserve">(3) </w:t>
      </w:r>
      <w:r>
        <w:rPr>
          <w:rFonts w:ascii="Times New Roman;serif" w:hAnsi="Times New Roman;serif"/>
          <w:b w:val="false"/>
          <w:sz w:val="20"/>
          <w:u w:val="single"/>
        </w:rPr>
        <w:t>Revenue Recognition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For certain client contracts where we recognize revenues over time, we recognize the amount that we have the right to invoice, which corresponds directly to the value provided to the client of our performance to date.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March 31, 2023, related to remaining performance obligations, which are not material.</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pStyle w:val="TextBody"/>
        <w:spacing w:before="200" w:after="0"/>
        <w:jc w:val="left"/>
        <w:rPr>
          <w:rFonts w:ascii="Times New Roman" w:hAnsi="Times New Roman"/>
          <w:sz w:val="20"/>
        </w:rPr>
      </w:pPr>
      <w:r>
        <w:rPr>
          <w:rFonts w:ascii="Times New Roman;serif" w:hAnsi="Times New Roman;serif"/>
          <w:b w:val="false"/>
          <w:sz w:val="20"/>
        </w:rPr>
        <w:t>Our deferred revenue was $36.1</w:t>
      </w:r>
      <w:r>
        <w:rPr>
          <w:rFonts w:ascii="Times New Roman" w:hAnsi="Times New Roman"/>
          <w:sz w:val="20"/>
        </w:rPr>
        <w:t xml:space="preserve"> </w:t>
      </w:r>
      <w:r>
        <w:rPr>
          <w:rFonts w:ascii="Times New Roman;serif" w:hAnsi="Times New Roman;serif"/>
          <w:b w:val="false"/>
          <w:sz w:val="20"/>
        </w:rPr>
        <w:t>as of March 31, 2023 and $35.6</w:t>
      </w:r>
      <w:r>
        <w:rPr>
          <w:rFonts w:ascii="Times New Roman" w:hAnsi="Times New Roman"/>
          <w:sz w:val="20"/>
        </w:rPr>
        <w:t xml:space="preserve"> </w:t>
      </w:r>
      <w:r>
        <w:rPr>
          <w:rFonts w:ascii="Times New Roman;serif" w:hAnsi="Times New Roman;serif"/>
          <w:b w:val="false"/>
          <w:sz w:val="20"/>
        </w:rPr>
        <w:t>as of December 31, 2022.</w:t>
      </w:r>
    </w:p>
    <w:p>
      <w:pPr>
        <w:pStyle w:val="TextBody"/>
        <w:spacing w:before="200" w:after="200"/>
        <w:jc w:val="left"/>
        <w:rPr>
          <w:rFonts w:ascii="Times New Roman;serif" w:hAnsi="Times New Roman;serif"/>
          <w:b w:val="false"/>
          <w:sz w:val="20"/>
        </w:rPr>
      </w:pPr>
      <w:r>
        <w:rPr>
          <w:rFonts w:ascii="Times New Roman;serif" w:hAnsi="Times New Roman;serif"/>
          <w:b w:val="false"/>
          <w:sz w:val="20"/>
        </w:rPr>
        <w:t>In the following table, revenue is disaggregated by service types for each of our reportable segments. See Note 2 to the Consolidated Financial Statements in our 2022 Annual Report on Form 10-K for descriptions of revenue service types.</w:t>
      </w:r>
    </w:p>
    <w:tbl>
      <w:tblPr>
        <w:tblW w:w="12577" w:type="dxa"/>
        <w:jc w:val="left"/>
        <w:tblInd w:w="0" w:type="dxa"/>
        <w:tblCellMar>
          <w:top w:w="28" w:type="dxa"/>
          <w:left w:w="28" w:type="dxa"/>
          <w:bottom w:w="28" w:type="dxa"/>
          <w:right w:w="28" w:type="dxa"/>
        </w:tblCellMar>
      </w:tblPr>
      <w:tblGrid>
        <w:gridCol w:w="1096"/>
        <w:gridCol w:w="146"/>
        <w:gridCol w:w="196"/>
        <w:gridCol w:w="646"/>
        <w:gridCol w:w="146"/>
        <w:gridCol w:w="146"/>
        <w:gridCol w:w="237"/>
        <w:gridCol w:w="619"/>
        <w:gridCol w:w="146"/>
        <w:gridCol w:w="146"/>
        <w:gridCol w:w="262"/>
        <w:gridCol w:w="684"/>
        <w:gridCol w:w="146"/>
        <w:gridCol w:w="146"/>
        <w:gridCol w:w="196"/>
        <w:gridCol w:w="511"/>
        <w:gridCol w:w="146"/>
        <w:gridCol w:w="146"/>
        <w:gridCol w:w="196"/>
        <w:gridCol w:w="646"/>
        <w:gridCol w:w="166"/>
        <w:gridCol w:w="146"/>
        <w:gridCol w:w="196"/>
        <w:gridCol w:w="646"/>
        <w:gridCol w:w="146"/>
        <w:gridCol w:w="146"/>
        <w:gridCol w:w="237"/>
        <w:gridCol w:w="619"/>
        <w:gridCol w:w="146"/>
        <w:gridCol w:w="146"/>
        <w:gridCol w:w="262"/>
        <w:gridCol w:w="684"/>
        <w:gridCol w:w="146"/>
        <w:gridCol w:w="146"/>
        <w:gridCol w:w="196"/>
        <w:gridCol w:w="421"/>
        <w:gridCol w:w="146"/>
        <w:gridCol w:w="146"/>
        <w:gridCol w:w="196"/>
        <w:gridCol w:w="646"/>
        <w:gridCol w:w="391"/>
      </w:tblGrid>
      <w:tr>
        <w:trPr/>
        <w:tc>
          <w:tcPr>
            <w:tcW w:w="1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44" w:type="dxa"/>
            <w:gridSpan w:val="3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61"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71"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2022</w:t>
            </w:r>
            <w:r>
              <w:rPr>
                <w:rFonts w:ascii="Times New Roman;serif" w:hAnsi="Times New Roman;serif"/>
                <w:b/>
                <w:sz w:val="11"/>
              </w:rPr>
              <w:t>(1)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Staffing</w:t>
              <w:br/>
              <w:t>and</w:t>
              <w:br/>
              <w:t>Interim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Outcome-</w:t>
              <w:br/>
              <w:t>Based</w:t>
              <w:br/>
              <w:t>Solutions</w:t>
              <w:br/>
              <w:t>and</w:t>
              <w:br/>
              <w:t>Consulting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Permanent</w:t>
              <w:br/>
              <w:t>Recruitment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Total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Staffing</w:t>
              <w:br/>
              <w:t>and</w:t>
              <w:br/>
              <w:t>Interim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Outcome-</w:t>
              <w:br/>
              <w:t>Based</w:t>
              <w:br/>
              <w:t>Solutions</w:t>
              <w:br/>
              <w:t>and</w:t>
              <w:br/>
              <w:t>Consulting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Permanent</w:t>
              <w:br/>
              <w:t>Recruitment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Americas: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0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United States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889.4</w:t>
            </w:r>
          </w:p>
        </w:tc>
        <w:tc>
          <w:tcPr>
            <w:tcW w:w="391" w:type="dxa"/>
            <w:tcBorders/>
            <w:shd w:fill="auto" w:val="clear"/>
            <w:vAlign w:val="center"/>
          </w:tcPr>
          <w:p>
            <w:pPr>
              <w:pStyle w:val="TableContents"/>
              <w:spacing w:before="0" w:after="0"/>
              <w:ind w:left="0" w:right="0" w:firstLine="200"/>
              <w:jc w:val="left"/>
              <w:rPr/>
            </w:pPr>
            <w:r>
              <w:rPr/>
              <w:t> </w:t>
            </w:r>
          </w:p>
        </w:tc>
      </w:tr>
      <w:tr>
        <w:trPr/>
        <w:tc>
          <w:tcPr>
            <w:tcW w:w="10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Americas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361.8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1,251.2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Southern Europe:</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0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France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1,192.4</w:t>
            </w:r>
          </w:p>
        </w:tc>
        <w:tc>
          <w:tcPr>
            <w:tcW w:w="391" w:type="dxa"/>
            <w:tcBorders/>
            <w:shd w:fill="auto" w:val="clear"/>
            <w:vAlign w:val="center"/>
          </w:tcPr>
          <w:p>
            <w:pPr>
              <w:pStyle w:val="TableContents"/>
              <w:spacing w:before="0" w:after="0"/>
              <w:ind w:left="0" w:right="0" w:firstLine="200"/>
              <w:jc w:val="left"/>
              <w:rPr/>
            </w:pPr>
            <w:r>
              <w:rPr/>
              <w:t> </w:t>
            </w:r>
          </w:p>
        </w:tc>
      </w:tr>
      <w:tr>
        <w:trPr/>
        <w:tc>
          <w:tcPr>
            <w:tcW w:w="10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Italy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445.0</w:t>
            </w:r>
          </w:p>
        </w:tc>
        <w:tc>
          <w:tcPr>
            <w:tcW w:w="391" w:type="dxa"/>
            <w:tcBorders/>
            <w:shd w:fill="auto" w:val="clear"/>
            <w:vAlign w:val="center"/>
          </w:tcPr>
          <w:p>
            <w:pPr>
              <w:pStyle w:val="TableContents"/>
              <w:spacing w:before="0" w:after="0"/>
              <w:ind w:left="0" w:right="0" w:firstLine="200"/>
              <w:jc w:val="left"/>
              <w:rPr/>
            </w:pPr>
            <w:r>
              <w:rPr/>
              <w:t> </w:t>
            </w:r>
          </w:p>
        </w:tc>
      </w:tr>
      <w:tr>
        <w:trPr/>
        <w:tc>
          <w:tcPr>
            <w:tcW w:w="10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Southern Europe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556.5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1,962.8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2,193.9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Northern Europe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1,094.5</w:t>
            </w:r>
          </w:p>
        </w:tc>
        <w:tc>
          <w:tcPr>
            <w:tcW w:w="391"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APME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618.2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4,771.6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5,157.8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Intercompany Eliminations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4,752.3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5,143.3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(1) Certain service line revenues for the United States and Northern Europe were reclassified for the 2022 comparative period to align with the current period presentation. In the United States, $52.8</w:t>
      </w:r>
      <w:r>
        <w:rPr>
          <w:rFonts w:ascii="Times New Roman" w:hAnsi="Times New Roman"/>
          <w:sz w:val="20"/>
        </w:rPr>
        <w:t xml:space="preserve"> </w:t>
      </w:r>
      <w:r>
        <w:rPr>
          <w:rFonts w:ascii="Times New Roman;serif" w:hAnsi="Times New Roman;serif"/>
          <w:b w:val="false"/>
          <w:sz w:val="20"/>
        </w:rPr>
        <w:t>was reclassified from Outcome-Based Solutions and Consulting to Staffing and Interim. In Northern Europe, $39.0</w:t>
      </w:r>
      <w:r>
        <w:rPr>
          <w:rFonts w:ascii="Times New Roman" w:hAnsi="Times New Roman"/>
          <w:sz w:val="20"/>
        </w:rPr>
        <w:t xml:space="preserve"> </w:t>
      </w:r>
      <w:r>
        <w:rPr>
          <w:rFonts w:ascii="Times New Roman;serif" w:hAnsi="Times New Roman;serif"/>
          <w:b w:val="false"/>
          <w:sz w:val="20"/>
        </w:rPr>
        <w:t>was reclassified from Staffing and Interim to Outcome-Based Solutions and Consulting.</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following table, revenue is disaggregated by timing of revenue recognition for each of our reportable segments:</w:t>
      </w:r>
    </w:p>
    <w:tbl>
      <w:tblPr>
        <w:tblW w:w="9136" w:type="dxa"/>
        <w:jc w:val="left"/>
        <w:tblInd w:w="0" w:type="dxa"/>
        <w:tblCellMar>
          <w:top w:w="28" w:type="dxa"/>
          <w:left w:w="28" w:type="dxa"/>
          <w:bottom w:w="28" w:type="dxa"/>
          <w:right w:w="28" w:type="dxa"/>
        </w:tblCellMar>
      </w:tblPr>
      <w:tblGrid>
        <w:gridCol w:w="2011"/>
        <w:gridCol w:w="146"/>
        <w:gridCol w:w="199"/>
        <w:gridCol w:w="657"/>
        <w:gridCol w:w="146"/>
        <w:gridCol w:w="146"/>
        <w:gridCol w:w="237"/>
        <w:gridCol w:w="619"/>
        <w:gridCol w:w="146"/>
        <w:gridCol w:w="146"/>
        <w:gridCol w:w="196"/>
        <w:gridCol w:w="646"/>
        <w:gridCol w:w="166"/>
        <w:gridCol w:w="146"/>
        <w:gridCol w:w="199"/>
        <w:gridCol w:w="657"/>
        <w:gridCol w:w="146"/>
        <w:gridCol w:w="146"/>
        <w:gridCol w:w="237"/>
        <w:gridCol w:w="619"/>
        <w:gridCol w:w="146"/>
        <w:gridCol w:w="146"/>
        <w:gridCol w:w="196"/>
        <w:gridCol w:w="646"/>
        <w:gridCol w:w="3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88"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3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Services</w:t>
              <w:br/>
              <w:t>transferred</w:t>
              <w:br/>
              <w:t>over time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Services</w:t>
              <w:br/>
              <w:t>transferred</w:t>
              <w:br/>
              <w:t>at a point</w:t>
              <w:br/>
              <w:t>in time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Total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Services</w:t>
              <w:br/>
              <w:t>transferred</w:t>
              <w:br/>
              <w:t>over time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Services</w:t>
              <w:br/>
              <w:t>transferred</w:t>
              <w:br/>
              <w:t>at a point</w:t>
              <w:br/>
              <w:t>in time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Americas:</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United States</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889.4</w:t>
            </w:r>
          </w:p>
        </w:tc>
        <w:tc>
          <w:tcPr>
            <w:tcW w:w="3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Americas</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361.8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1,251.2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Southern Europe:</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France</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1,154.1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1,192.4</w:t>
            </w:r>
          </w:p>
        </w:tc>
        <w:tc>
          <w:tcPr>
            <w:tcW w:w="3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Italy</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445.0</w:t>
            </w:r>
          </w:p>
        </w:tc>
        <w:tc>
          <w:tcPr>
            <w:tcW w:w="391" w:type="dxa"/>
            <w:tcBorders/>
            <w:shd w:fill="auto" w:val="clear"/>
            <w:vAlign w:val="center"/>
          </w:tcPr>
          <w:p>
            <w:pPr>
              <w:pStyle w:val="TableContents"/>
              <w:spacing w:before="0" w:after="0"/>
              <w:ind w:left="0" w:right="0" w:firstLine="200"/>
              <w:jc w:val="lef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Southern Europe</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556.5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2,193.9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Northern Europe</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1,094.5</w:t>
            </w:r>
          </w:p>
        </w:tc>
        <w:tc>
          <w:tcPr>
            <w:tcW w:w="391" w:type="dxa"/>
            <w:tcBorders/>
            <w:shd w:fill="auto" w:val="cle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APME</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618.2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4,644.6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4,771.6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5,020.8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5,157.8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Intercompany Eliminations</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4,752.3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5,143.3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(4) </w:t>
      </w:r>
      <w:r>
        <w:rPr>
          <w:rFonts w:ascii="Times New Roman;serif" w:hAnsi="Times New Roman;serif"/>
          <w:b w:val="false"/>
          <w:sz w:val="20"/>
          <w:u w:val="single"/>
        </w:rPr>
        <w:t>Share-Based Compensation Plans</w:t>
      </w:r>
    </w:p>
    <w:p>
      <w:pPr>
        <w:pStyle w:val="TextBody"/>
        <w:spacing w:before="200" w:after="200"/>
        <w:jc w:val="left"/>
        <w:rPr>
          <w:rFonts w:ascii="Times New Roman" w:hAnsi="Times New Roman"/>
          <w:sz w:val="20"/>
        </w:rPr>
      </w:pPr>
      <w:r>
        <w:rPr>
          <w:rFonts w:ascii="Times New Roman;serif" w:hAnsi="Times New Roman;serif"/>
          <w:b w:val="false"/>
          <w:sz w:val="20"/>
        </w:rPr>
        <w:t>During the three months ended March 31, 2023 and 2022, we recognized share-based compensation expense of $5.1</w:t>
      </w:r>
      <w:r>
        <w:rPr>
          <w:rFonts w:ascii="Times New Roman" w:hAnsi="Times New Roman"/>
          <w:sz w:val="20"/>
        </w:rPr>
        <w:t xml:space="preserve"> </w:t>
      </w:r>
      <w:r>
        <w:rPr>
          <w:rFonts w:ascii="Times New Roman;serif" w:hAnsi="Times New Roman;serif"/>
          <w:b w:val="false"/>
          <w:sz w:val="20"/>
        </w:rPr>
        <w:t>and $10.6, respectively. The expense relates to stock options, deferred stock units, restricted stock units and performance share units. Lower expense in the three months ended March 31, 2023 resulted primarily from lower estimated payouts related to performance share units. We recognize share-based compensation expense in selling and administrative expenses on a straight-line basis over the service period of each award. Consideration received from share-based awards was $1.7</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for the three months ended March 31, 2023 and 2022, respectively.</w:t>
      </w:r>
      <w:r>
        <w:rPr>
          <w:rFonts w:ascii="Times New Roman" w:hAnsi="Times New Roman"/>
          <w:sz w:val="20"/>
        </w:rPr>
        <w:t xml:space="preserve"> </w:t>
      </w:r>
    </w:p>
    <w:p>
      <w:pPr>
        <w:pStyle w:val="TextBody"/>
        <w:spacing w:before="200" w:after="200"/>
        <w:jc w:val="left"/>
        <w:rPr>
          <w:rFonts w:ascii="Times New Roman" w:hAnsi="Times New Roman"/>
          <w:sz w:val="20"/>
        </w:rPr>
      </w:pPr>
      <w:r>
        <w:rPr>
          <w:rFonts w:ascii="Times New Roman;serif" w:hAnsi="Times New Roman;serif"/>
          <w:b w:val="false"/>
          <w:sz w:val="20"/>
        </w:rPr>
        <w:t>Our annual grant of share-based compensation generally takes place during the first quarter of each fiscal year.</w:t>
      </w:r>
      <w:r>
        <w:rPr>
          <w:rFonts w:ascii="Times New Roman" w:hAnsi="Times New Roman"/>
          <w:sz w:val="20"/>
        </w:rPr>
        <w:t xml:space="preserve"> </w:t>
      </w:r>
      <w:r>
        <w:rPr>
          <w:rFonts w:ascii="Times New Roman;serif" w:hAnsi="Times New Roman;serif"/>
          <w:b w:val="false"/>
          <w:sz w:val="20"/>
        </w:rPr>
        <w:t>The number of shares subject to equity awards granted to employees and members of our Board of Directors, as well as the weighted-average fair value per share, for the 2023 and 2022 annual grants are presented in the table below:</w:t>
      </w:r>
    </w:p>
    <w:tbl>
      <w:tblPr>
        <w:tblW w:w="7684" w:type="dxa"/>
        <w:jc w:val="left"/>
        <w:tblInd w:w="0" w:type="dxa"/>
        <w:tblCellMar>
          <w:top w:w="28" w:type="dxa"/>
          <w:left w:w="28" w:type="dxa"/>
          <w:bottom w:w="28" w:type="dxa"/>
          <w:right w:w="28" w:type="dxa"/>
        </w:tblCellMar>
      </w:tblPr>
      <w:tblGrid>
        <w:gridCol w:w="2101"/>
        <w:gridCol w:w="146"/>
        <w:gridCol w:w="274"/>
        <w:gridCol w:w="791"/>
        <w:gridCol w:w="146"/>
        <w:gridCol w:w="146"/>
        <w:gridCol w:w="275"/>
        <w:gridCol w:w="745"/>
        <w:gridCol w:w="146"/>
        <w:gridCol w:w="146"/>
        <w:gridCol w:w="274"/>
        <w:gridCol w:w="791"/>
        <w:gridCol w:w="146"/>
        <w:gridCol w:w="146"/>
        <w:gridCol w:w="242"/>
        <w:gridCol w:w="778"/>
        <w:gridCol w:w="391"/>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4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br/>
              <w:t>Granted</w:t>
              <w:br/>
              <w:t>(thousands)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Wtd.-Avg.</w:t>
              <w:br/>
              <w:t>Per Share</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br/>
              <w:t>Granted</w:t>
              <w:br/>
              <w:t>(thousands)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Wtd.-Avg.</w:t>
              <w:br/>
              <w:t>Per Share</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104.50</w:t>
            </w:r>
          </w:p>
        </w:tc>
        <w:tc>
          <w:tcPr>
            <w:tcW w:w="39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Share Units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106.40</w:t>
            </w:r>
          </w:p>
        </w:tc>
        <w:tc>
          <w:tcPr>
            <w:tcW w:w="39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Stock Units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97.33</w:t>
            </w:r>
          </w:p>
        </w:tc>
        <w:tc>
          <w:tcPr>
            <w:tcW w:w="391" w:type="dxa"/>
            <w:tcBorders/>
            <w:shd w:fill="auto" w:val="clear"/>
            <w:vAlign w:val="center"/>
          </w:tcPr>
          <w:p>
            <w:pPr>
              <w:pStyle w:val="TableContents"/>
              <w:spacing w:before="0" w:after="0"/>
              <w:ind w:left="0" w:right="0" w:firstLine="200"/>
              <w:jc w:val="left"/>
              <w:rPr/>
            </w:pPr>
            <w:r>
              <w:rPr/>
              <w:t> </w:t>
            </w:r>
          </w:p>
        </w:tc>
      </w:tr>
      <w:tr>
        <w:trPr/>
        <w:tc>
          <w:tcPr>
            <w:tcW w:w="21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Shares Granted</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104.91</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(5) </w:t>
      </w:r>
      <w:r>
        <w:rPr>
          <w:rFonts w:ascii="Times New Roman;serif" w:hAnsi="Times New Roman;serif"/>
          <w:b w:val="false"/>
          <w:sz w:val="20"/>
          <w:u w:val="single"/>
        </w:rPr>
        <w:t>Acquisitions and Dispositions</w:t>
      </w:r>
    </w:p>
    <w:p>
      <w:pPr>
        <w:pStyle w:val="TextBody"/>
        <w:spacing w:before="200" w:after="0"/>
        <w:jc w:val="left"/>
        <w:rPr>
          <w:rFonts w:ascii="Times New Roman" w:hAnsi="Times New Roman"/>
          <w:sz w:val="20"/>
        </w:rPr>
      </w:pPr>
      <w:r>
        <w:rPr>
          <w:rFonts w:ascii="Times New Roman;serif" w:hAnsi="Times New Roman;serif"/>
          <w:b w:val="false"/>
          <w:sz w:val="20"/>
        </w:rPr>
        <w:t>From time to time, we acquire and invest in companies throughout the world, including franchises. No</w:t>
      </w:r>
      <w:r>
        <w:rPr>
          <w:rFonts w:ascii="Times New Roman" w:hAnsi="Times New Roman"/>
          <w:sz w:val="20"/>
        </w:rPr>
        <w:t xml:space="preserve"> </w:t>
      </w:r>
      <w:r>
        <w:rPr>
          <w:rFonts w:ascii="Times New Roman;serif" w:hAnsi="Times New Roman;serif"/>
          <w:b w:val="false"/>
          <w:sz w:val="20"/>
        </w:rPr>
        <w:t>cash consideration was paid during the three months ended March 31, 2023 or 2022.</w:t>
      </w:r>
    </w:p>
    <w:p>
      <w:pPr>
        <w:pStyle w:val="TextBody"/>
        <w:spacing w:before="200" w:after="0"/>
        <w:jc w:val="left"/>
        <w:rPr>
          <w:rFonts w:ascii="Times New Roman" w:hAnsi="Times New Roman"/>
          <w:sz w:val="20"/>
        </w:rPr>
      </w:pPr>
      <w:r>
        <w:rPr>
          <w:rFonts w:ascii="Times New Roman;serif" w:hAnsi="Times New Roman;serif"/>
          <w:b w:val="false"/>
          <w:sz w:val="20"/>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In connection with the disposition, we recognized a one-time net loss on disposition of $8.0, of which $9.7</w:t>
      </w:r>
      <w:r>
        <w:rPr>
          <w:rFonts w:ascii="Times New Roman" w:hAnsi="Times New Roman"/>
          <w:sz w:val="20"/>
        </w:rPr>
        <w:t xml:space="preserve"> </w:t>
      </w:r>
      <w:r>
        <w:rPr>
          <w:rFonts w:ascii="Times New Roman;serif" w:hAnsi="Times New Roman;serif"/>
          <w:b w:val="false"/>
          <w:sz w:val="20"/>
        </w:rPr>
        <w:t>was included in selling and administrative expenses and a gain of $1.7</w:t>
      </w:r>
      <w:r>
        <w:rPr>
          <w:rFonts w:ascii="Times New Roman" w:hAnsi="Times New Roman"/>
          <w:sz w:val="20"/>
        </w:rPr>
        <w:t xml:space="preserve"> </w:t>
      </w:r>
      <w:r>
        <w:rPr>
          <w:rFonts w:ascii="Times New Roman;serif" w:hAnsi="Times New Roman;serif"/>
          <w:b w:val="false"/>
          <w:sz w:val="20"/>
        </w:rPr>
        <w:t>was included in interest and other expenses in the Consolidated Statements of Operations in the three months ended March 31,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 xml:space="preserve">(6) </w:t>
      </w:r>
      <w:r>
        <w:rPr>
          <w:rFonts w:ascii="Times New Roman;serif" w:hAnsi="Times New Roman;serif"/>
          <w:b w:val="false"/>
          <w:sz w:val="20"/>
          <w:u w:val="single"/>
        </w:rPr>
        <w:t>Restructuring Costs</w:t>
      </w:r>
    </w:p>
    <w:p>
      <w:pPr>
        <w:pStyle w:val="TextBody"/>
        <w:spacing w:before="200" w:after="0"/>
        <w:jc w:val="left"/>
        <w:rPr>
          <w:rFonts w:ascii="Times New Roman" w:hAnsi="Times New Roman"/>
          <w:sz w:val="20"/>
        </w:rPr>
      </w:pPr>
      <w:r>
        <w:rPr>
          <w:rFonts w:ascii="Times New Roman;serif" w:hAnsi="Times New Roman;serif"/>
          <w:b w:val="false"/>
          <w:sz w:val="20"/>
        </w:rPr>
        <w:t>We recorded $6.6</w:t>
      </w:r>
      <w:r>
        <w:rPr>
          <w:rFonts w:ascii="Times New Roman" w:hAnsi="Times New Roman"/>
          <w:sz w:val="20"/>
        </w:rPr>
        <w:t xml:space="preserve"> </w:t>
      </w:r>
      <w:r>
        <w:rPr>
          <w:rFonts w:ascii="Times New Roman;serif" w:hAnsi="Times New Roman;serif"/>
          <w:b w:val="false"/>
          <w:sz w:val="20"/>
        </w:rPr>
        <w:t>in restructuring costs during the three months ended March 31, 2023. We did not record any restructuring costs during the three months ended March 31, 2022. During the three months ended March 31, 2023, we made payments of $5.6</w:t>
      </w:r>
      <w:r>
        <w:rPr>
          <w:rFonts w:ascii="Times New Roman" w:hAnsi="Times New Roman"/>
          <w:sz w:val="20"/>
        </w:rPr>
        <w:t xml:space="preserve"> </w:t>
      </w:r>
      <w:r>
        <w:rPr>
          <w:rFonts w:ascii="Times New Roman;serif" w:hAnsi="Times New Roman;serif"/>
          <w:b w:val="false"/>
          <w:sz w:val="20"/>
        </w:rPr>
        <w:t>out of our restructuring reserve, which is used for severance and office closures and consolidations in multiple countries and territories. We expect a majority of the remaining $14.2</w:t>
      </w:r>
      <w:r>
        <w:rPr>
          <w:rFonts w:ascii="Times New Roman" w:hAnsi="Times New Roman"/>
          <w:sz w:val="20"/>
        </w:rPr>
        <w:t xml:space="preserve"> </w:t>
      </w:r>
      <w:r>
        <w:rPr>
          <w:rFonts w:ascii="Times New Roman;serif" w:hAnsi="Times New Roman;serif"/>
          <w:b w:val="false"/>
          <w:sz w:val="20"/>
        </w:rPr>
        <w:t>reserve will be paid by the end of 2023.</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Changes in the restructuring reserve by reportable segment and Corporate are shown below.</w:t>
      </w:r>
    </w:p>
    <w:p>
      <w:pPr>
        <w:pStyle w:val="TextBody"/>
        <w:spacing w:before="0" w:after="0"/>
        <w:jc w:val="left"/>
        <w:rPr/>
      </w:pPr>
      <w:r>
        <w:rPr/>
        <w:t> </w:t>
      </w:r>
    </w:p>
    <w:tbl>
      <w:tblPr>
        <w:tblW w:w="9633" w:type="dxa"/>
        <w:jc w:val="left"/>
        <w:tblInd w:w="0" w:type="dxa"/>
        <w:tblCellMar>
          <w:top w:w="28" w:type="dxa"/>
          <w:left w:w="28" w:type="dxa"/>
          <w:bottom w:w="28" w:type="dxa"/>
          <w:right w:w="28" w:type="dxa"/>
        </w:tblCellMar>
      </w:tblPr>
      <w:tblGrid>
        <w:gridCol w:w="2446"/>
        <w:gridCol w:w="146"/>
        <w:gridCol w:w="359"/>
        <w:gridCol w:w="721"/>
        <w:gridCol w:w="166"/>
        <w:gridCol w:w="146"/>
        <w:gridCol w:w="299"/>
        <w:gridCol w:w="601"/>
        <w:gridCol w:w="166"/>
        <w:gridCol w:w="146"/>
        <w:gridCol w:w="276"/>
        <w:gridCol w:w="610"/>
        <w:gridCol w:w="166"/>
        <w:gridCol w:w="146"/>
        <w:gridCol w:w="249"/>
        <w:gridCol w:w="427"/>
        <w:gridCol w:w="146"/>
        <w:gridCol w:w="146"/>
        <w:gridCol w:w="330"/>
        <w:gridCol w:w="661"/>
        <w:gridCol w:w="166"/>
        <w:gridCol w:w="146"/>
        <w:gridCol w:w="211"/>
        <w:gridCol w:w="466"/>
        <w:gridCol w:w="2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Americas</w:t>
            </w:r>
            <w:r>
              <w:rPr>
                <w:rFonts w:ascii="Times New Roman;serif" w:hAnsi="Times New Roman;serif"/>
                <w:b/>
                <w:sz w:val="13"/>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Southern</w:t>
              <w:br/>
              <w:t>Europe</w:t>
            </w:r>
            <w:r>
              <w:rPr>
                <w:rFonts w:ascii="Times New Roman;serif" w:hAnsi="Times New Roman;serif"/>
                <w:b/>
                <w:sz w:val="13"/>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Northern</w:t>
              <w:br/>
              <w:t>Europe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APME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Corporate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91" w:type="dxa"/>
            <w:tcBorders/>
            <w:shd w:fill="auto" w:val="clear"/>
            <w:vAlign w:val="center"/>
          </w:tcPr>
          <w:p>
            <w:pPr>
              <w:pStyle w:val="TableContents"/>
              <w:spacing w:before="0" w:after="0"/>
              <w:ind w:left="0" w:right="0" w:firstLine="100"/>
              <w:jc w:val="left"/>
              <w:rPr/>
            </w:pPr>
            <w:r>
              <w:rPr/>
              <w:t> </w:t>
            </w:r>
          </w:p>
        </w:tc>
      </w:tr>
      <w:tr>
        <w:trPr/>
        <w:tc>
          <w:tcPr>
            <w:tcW w:w="24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Severance costs</w:t>
            </w:r>
          </w:p>
        </w:tc>
        <w:tc>
          <w:tcPr>
            <w:tcW w:w="146"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91" w:type="dxa"/>
            <w:tcBorders/>
            <w:shd w:fill="auto" w:val="clear"/>
            <w:vAlign w:val="center"/>
          </w:tcPr>
          <w:p>
            <w:pPr>
              <w:pStyle w:val="TableContents"/>
              <w:spacing w:before="0" w:after="0"/>
              <w:ind w:left="0" w:right="0" w:firstLine="100"/>
              <w:jc w:val="left"/>
              <w:rPr/>
            </w:pPr>
            <w:r>
              <w:rPr/>
              <w:t> </w:t>
            </w:r>
          </w:p>
        </w:tc>
      </w:tr>
      <w:tr>
        <w:trPr/>
        <w:tc>
          <w:tcPr>
            <w:tcW w:w="24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Costs</w:t>
            </w:r>
          </w:p>
        </w:tc>
        <w:tc>
          <w:tcPr>
            <w:tcW w:w="146"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91" w:type="dxa"/>
            <w:tcBorders/>
            <w:shd w:fill="auto" w:val="clear"/>
            <w:vAlign w:val="center"/>
          </w:tcPr>
          <w:p>
            <w:pPr>
              <w:pStyle w:val="TableContents"/>
              <w:spacing w:before="0" w:after="0"/>
              <w:ind w:left="0" w:right="0" w:firstLine="100"/>
              <w:jc w:val="left"/>
              <w:rPr/>
            </w:pPr>
            <w:r>
              <w:rPr/>
              <w:t> </w:t>
            </w:r>
          </w:p>
        </w:tc>
      </w:tr>
      <w:tr>
        <w:trPr/>
        <w:tc>
          <w:tcPr>
            <w:tcW w:w="24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Costs paid</w:t>
            </w:r>
          </w:p>
        </w:tc>
        <w:tc>
          <w:tcPr>
            <w:tcW w:w="146" w:type="dxa"/>
            <w:tcBorders/>
            <w:shd w:fill="auto" w:val="clear"/>
            <w:vAlign w:val="center"/>
          </w:tcPr>
          <w:p>
            <w:pPr>
              <w:pStyle w:val="TableContents"/>
              <w:spacing w:before="0" w:after="0"/>
              <w:ind w:left="0" w:right="0" w:hanging="0"/>
              <w:jc w:val="left"/>
              <w:rPr/>
            </w:pPr>
            <w:r>
              <w:rPr/>
              <w:t> </w:t>
            </w:r>
          </w:p>
        </w:tc>
        <w:tc>
          <w:tcPr>
            <w:tcW w:w="3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March 31, 2023</w:t>
            </w:r>
          </w:p>
        </w:tc>
        <w:tc>
          <w:tcPr>
            <w:tcW w:w="146" w:type="dxa"/>
            <w:tcBorders/>
            <w:shd w:fill="auto" w:val="clear"/>
            <w:vAlign w:val="center"/>
          </w:tcPr>
          <w:p>
            <w:pPr>
              <w:pStyle w:val="TableContents"/>
              <w:spacing w:before="0" w:after="0"/>
              <w:ind w:left="0" w:right="0" w:hanging="0"/>
              <w:jc w:val="left"/>
              <w:rPr/>
            </w:pPr>
            <w:r>
              <w:rPr/>
              <w:t> </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(1) Balances related to the United States were $0.6</w:t>
      </w:r>
      <w:r>
        <w:rPr>
          <w:rFonts w:ascii="Times New Roman" w:hAnsi="Times New Roman"/>
          <w:sz w:val="20"/>
        </w:rPr>
        <w:t xml:space="preserve"> </w:t>
      </w:r>
      <w:r>
        <w:rPr>
          <w:rFonts w:ascii="Times New Roman;serif" w:hAnsi="Times New Roman;serif"/>
          <w:b w:val="false"/>
          <w:sz w:val="20"/>
        </w:rPr>
        <w:t>and $0.7</w:t>
      </w:r>
      <w:r>
        <w:rPr>
          <w:rFonts w:ascii="Times New Roman" w:hAnsi="Times New Roman"/>
          <w:sz w:val="20"/>
        </w:rPr>
        <w:t xml:space="preserve"> </w:t>
      </w:r>
      <w:r>
        <w:rPr>
          <w:rFonts w:ascii="Times New Roman;serif" w:hAnsi="Times New Roman;serif"/>
          <w:b w:val="false"/>
          <w:sz w:val="20"/>
        </w:rPr>
        <w:t>as of December 31, 2022 and March 31, 2023, respectively.</w:t>
      </w:r>
    </w:p>
    <w:p>
      <w:pPr>
        <w:pStyle w:val="TextBody"/>
        <w:spacing w:before="0" w:after="0"/>
        <w:jc w:val="left"/>
        <w:rPr>
          <w:rFonts w:ascii="Times New Roman" w:hAnsi="Times New Roman"/>
          <w:sz w:val="20"/>
        </w:rPr>
      </w:pPr>
      <w:r>
        <w:rPr>
          <w:rFonts w:ascii="Times New Roman;serif" w:hAnsi="Times New Roman;serif"/>
          <w:b w:val="false"/>
          <w:sz w:val="20"/>
        </w:rPr>
        <w:t>(2) Balances related to France were $0.9</w:t>
      </w:r>
      <w:r>
        <w:rPr>
          <w:rFonts w:ascii="Times New Roman" w:hAnsi="Times New Roman"/>
          <w:sz w:val="20"/>
        </w:rPr>
        <w:t xml:space="preserve"> </w:t>
      </w:r>
      <w:r>
        <w:rPr>
          <w:rFonts w:ascii="Times New Roman;serif" w:hAnsi="Times New Roman;serif"/>
          <w:b w:val="false"/>
          <w:sz w:val="20"/>
        </w:rPr>
        <w:t>as of both December 31, 2022 and March 31, 2023.</w:t>
      </w:r>
    </w:p>
    <w:p>
      <w:pPr>
        <w:pStyle w:val="TextBody"/>
        <w:spacing w:before="200" w:after="0"/>
        <w:jc w:val="left"/>
        <w:rPr>
          <w:rFonts w:ascii="Times New Roman" w:hAnsi="Times New Roman"/>
          <w:sz w:val="20"/>
        </w:rPr>
      </w:pPr>
      <w:r>
        <w:rPr>
          <w:rFonts w:ascii="Times New Roman;serif" w:hAnsi="Times New Roman;serif"/>
          <w:b w:val="false"/>
          <w:sz w:val="20"/>
        </w:rPr>
        <w:t xml:space="preserve">(7) </w:t>
      </w:r>
      <w:r>
        <w:rPr>
          <w:rFonts w:ascii="Times New Roman;serif" w:hAnsi="Times New Roman;serif"/>
          <w:b w:val="false"/>
          <w:sz w:val="20"/>
          <w:u w:val="single"/>
        </w:rPr>
        <w:t>Income Taxes</w:t>
      </w:r>
    </w:p>
    <w:p>
      <w:pPr>
        <w:pStyle w:val="TextBody"/>
        <w:spacing w:before="200" w:after="0"/>
        <w:jc w:val="left"/>
        <w:rPr>
          <w:rFonts w:ascii="Times New Roman" w:hAnsi="Times New Roman"/>
          <w:sz w:val="20"/>
        </w:rPr>
      </w:pPr>
      <w:r>
        <w:rPr>
          <w:rFonts w:ascii="Times New Roman;serif" w:hAnsi="Times New Roman;serif"/>
          <w:b w:val="false"/>
          <w:sz w:val="20"/>
        </w:rPr>
        <w:t>We recorded income tax expense at an effective rate of 29.5% for the three months ended March 31, 2023, as compared to an effective rate of 32.6% for the three months ended March 31, 2022. The 2023 rate was favorably impacted by the scheduled reduction in the French business tax rate from 0.75% to 0.375% effective January 1, 2023. The 29.5% effective tax rate for the three months ended March 31, 2023 was higher than the United States Federal statutory rate of 21% primarily due to the French business tax, tax losses in certain countries for which we did not recognize a corresponding tax benefit due to valuation allowances, and the overall mix of earnings.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of March 31, 2023, we had gross unrecognized tax benefits related to various tax jurisdictions, including interest and penalties, of $80.9. If recognized, the entire amount would favorably affect the effective tax rate except for $6.0. As of December 31, 2022, we had gross unrecognized tax benefits related to various tax jurisdictions, including interest and penalties, of $81.6.</w:t>
      </w:r>
    </w:p>
    <w:p>
      <w:pPr>
        <w:pStyle w:val="TextBody"/>
        <w:spacing w:before="200" w:after="0"/>
        <w:jc w:val="left"/>
        <w:rPr>
          <w:rFonts w:ascii="Times New Roman" w:hAnsi="Times New Roman"/>
          <w:sz w:val="20"/>
        </w:rPr>
      </w:pPr>
      <w:r>
        <w:rPr>
          <w:rFonts w:ascii="Times New Roman;serif" w:hAnsi="Times New Roman;serif"/>
          <w:b w:val="false"/>
          <w:sz w:val="20"/>
        </w:rPr>
        <w:t>We conduct business globally in various countries and territories. We are routinely audited by the tax authorities of the various tax jurisdictions in which we operate. Generally, the tax years that could be subject to examination are 2016</w:t>
      </w:r>
      <w:r>
        <w:rPr>
          <w:rFonts w:ascii="Times New Roman" w:hAnsi="Times New Roman"/>
          <w:sz w:val="20"/>
        </w:rPr>
        <w:t xml:space="preserve"> </w:t>
      </w:r>
      <w:r>
        <w:rPr>
          <w:rFonts w:ascii="Times New Roman;serif" w:hAnsi="Times New Roman;serif"/>
          <w:b w:val="false"/>
          <w:sz w:val="20"/>
        </w:rPr>
        <w:t>through 2023</w:t>
      </w:r>
      <w:r>
        <w:rPr>
          <w:rFonts w:ascii="Times New Roman" w:hAnsi="Times New Roman"/>
          <w:sz w:val="20"/>
        </w:rPr>
        <w:t xml:space="preserve"> </w:t>
      </w:r>
      <w:r>
        <w:rPr>
          <w:rFonts w:ascii="Times New Roman;serif" w:hAnsi="Times New Roman;serif"/>
          <w:b w:val="false"/>
          <w:sz w:val="20"/>
        </w:rPr>
        <w:t>for our major operations in France, Italy, the United Kingdom and the United States. As of March 31, 2023, we were subject to tax audits in Austria, Germany, India, Israel, Korea, Spain and the United States. We believe that the resolution of these audits will not have a material impact on earnings.</w:t>
      </w:r>
    </w:p>
    <w:p>
      <w:pPr>
        <w:pStyle w:val="TextBody"/>
        <w:spacing w:before="200" w:after="0"/>
        <w:jc w:val="left"/>
        <w:rPr>
          <w:rFonts w:ascii="Times New Roman" w:hAnsi="Times New Roman"/>
          <w:sz w:val="20"/>
        </w:rPr>
      </w:pPr>
      <w:r>
        <w:rPr>
          <w:rFonts w:ascii="Times New Roman;serif" w:hAnsi="Times New Roman;serif"/>
          <w:b w:val="false"/>
          <w:sz w:val="20"/>
        </w:rPr>
        <w:t xml:space="preserve">(8) </w:t>
      </w:r>
      <w:r>
        <w:rPr>
          <w:rFonts w:ascii="Times New Roman;serif" w:hAnsi="Times New Roman;serif"/>
          <w:b w:val="false"/>
          <w:sz w:val="20"/>
          <w:u w:val="single"/>
        </w:rPr>
        <w:t>Net Earnings Per Share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calculations of net earnings per share - basic and net earnings per share - diluted were as follows:</w:t>
      </w:r>
    </w:p>
    <w:p>
      <w:pPr>
        <w:pStyle w:val="TextBody"/>
        <w:spacing w:before="0" w:after="0"/>
        <w:jc w:val="left"/>
        <w:rPr/>
      </w:pPr>
      <w:r>
        <w:rPr/>
        <w:t> </w:t>
      </w:r>
    </w:p>
    <w:tbl>
      <w:tblPr>
        <w:tblW w:w="7577" w:type="dxa"/>
        <w:jc w:val="left"/>
        <w:tblInd w:w="0" w:type="dxa"/>
        <w:tblCellMar>
          <w:top w:w="28" w:type="dxa"/>
          <w:left w:w="28" w:type="dxa"/>
          <w:bottom w:w="28" w:type="dxa"/>
          <w:right w:w="28" w:type="dxa"/>
        </w:tblCellMar>
      </w:tblPr>
      <w:tblGrid>
        <w:gridCol w:w="4966"/>
        <w:gridCol w:w="146"/>
        <w:gridCol w:w="240"/>
        <w:gridCol w:w="531"/>
        <w:gridCol w:w="166"/>
        <w:gridCol w:w="166"/>
        <w:gridCol w:w="240"/>
        <w:gridCol w:w="531"/>
        <w:gridCol w:w="591"/>
      </w:tblGrid>
      <w:tr>
        <w:trPr/>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9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4"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591" w:type="dxa"/>
            <w:tcBorders/>
            <w:shd w:fill="auto" w:val="cle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earnings available to common shareholders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91.6</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(in millions)</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9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shares outstanding - basic</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591" w:type="dxa"/>
            <w:tcBorders/>
            <w:shd w:fill="auto" w:val="clear"/>
            <w:vAlign w:val="center"/>
          </w:tcPr>
          <w:p>
            <w:pPr>
              <w:pStyle w:val="TableContents"/>
              <w:spacing w:before="0" w:after="0"/>
              <w:ind w:left="0" w:right="0" w:firstLine="400"/>
              <w:jc w:val="left"/>
              <w:rPr/>
            </w:pPr>
            <w:r>
              <w:rPr/>
              <w:t> </w:t>
            </w:r>
          </w:p>
        </w:tc>
      </w:tr>
      <w:tr>
        <w:trPr/>
        <w:tc>
          <w:tcPr>
            <w:tcW w:w="49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Effect of dilutive securities - stock options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591" w:type="dxa"/>
            <w:tcBorders/>
            <w:shd w:fill="auto" w:val="clear"/>
            <w:vAlign w:val="center"/>
          </w:tcPr>
          <w:p>
            <w:pPr>
              <w:pStyle w:val="TableContents"/>
              <w:spacing w:before="0" w:after="0"/>
              <w:ind w:left="0" w:right="0" w:firstLine="400"/>
              <w:jc w:val="left"/>
              <w:rPr/>
            </w:pPr>
            <w:r>
              <w:rPr/>
              <w:t> </w:t>
            </w:r>
          </w:p>
        </w:tc>
      </w:tr>
      <w:tr>
        <w:trPr/>
        <w:tc>
          <w:tcPr>
            <w:tcW w:w="49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Effect of other share-based awards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9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shares outstanding - diluted</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earnings per share - basic</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earnings per share - diluted</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There were 0.5</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share-based awards excluded from the calculation of net earnings per share - diluted for the three months ended March 31, 2023 and 2022, respectively, because their impact was anti-dilutive.</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 xml:space="preserve">(9) </w:t>
      </w:r>
      <w:r>
        <w:rPr>
          <w:rFonts w:ascii="Times New Roman;serif" w:hAnsi="Times New Roman;serif"/>
          <w:b w:val="false"/>
          <w:sz w:val="20"/>
          <w:u w:val="single"/>
        </w:rPr>
        <w:t>Goodwill and Other Intangible Assets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have goodwill, finite-lived intangible assets and indefinite-lived intangible assets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88"/>
        <w:gridCol w:w="146"/>
        <w:gridCol w:w="211"/>
        <w:gridCol w:w="721"/>
        <w:gridCol w:w="146"/>
        <w:gridCol w:w="146"/>
        <w:gridCol w:w="336"/>
        <w:gridCol w:w="910"/>
        <w:gridCol w:w="146"/>
        <w:gridCol w:w="146"/>
        <w:gridCol w:w="211"/>
        <w:gridCol w:w="721"/>
        <w:gridCol w:w="146"/>
        <w:gridCol w:w="146"/>
        <w:gridCol w:w="211"/>
        <w:gridCol w:w="721"/>
        <w:gridCol w:w="146"/>
        <w:gridCol w:w="146"/>
        <w:gridCol w:w="336"/>
        <w:gridCol w:w="910"/>
        <w:gridCol w:w="146"/>
        <w:gridCol w:w="146"/>
        <w:gridCol w:w="211"/>
        <w:gridCol w:w="721"/>
        <w:gridCol w:w="591"/>
      </w:tblGrid>
      <w:tr>
        <w:trPr/>
        <w:tc>
          <w:tcPr>
            <w:tcW w:w="17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7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9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9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Goodwill</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1,628.1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178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Finite-lived:</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178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w:t>
            </w:r>
          </w:p>
        </w:tc>
        <w:tc>
          <w:tcPr>
            <w:tcW w:w="591" w:type="dxa"/>
            <w:tcBorders/>
            <w:shd w:fill="auto" w:val="clear"/>
            <w:vAlign w:val="center"/>
          </w:tcPr>
          <w:p>
            <w:pPr>
              <w:pStyle w:val="TableContents"/>
              <w:spacing w:before="0" w:after="0"/>
              <w:ind w:left="0" w:right="0" w:firstLine="400"/>
              <w:jc w:val="left"/>
              <w:rPr/>
            </w:pPr>
            <w:r>
              <w:rPr/>
              <w:t> </w:t>
            </w:r>
          </w:p>
        </w:tc>
      </w:tr>
      <w:tr>
        <w:trPr/>
        <w:tc>
          <w:tcPr>
            <w:tcW w:w="178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78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Indefinite-lived:</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1788"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20"/>
              </w:rPr>
              <w:t>Tradenames</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pPr>
            <w:r>
              <w:rPr/>
              <w:t> </w:t>
            </w:r>
          </w:p>
        </w:tc>
        <w:tc>
          <w:tcPr>
            <w:tcW w:w="91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591" w:type="dxa"/>
            <w:tcBorders/>
            <w:shd w:fill="auto" w:val="clear"/>
            <w:vAlign w:val="center"/>
          </w:tcPr>
          <w:p>
            <w:pPr>
              <w:pStyle w:val="TableContents"/>
              <w:spacing w:before="0" w:after="0"/>
              <w:ind w:left="0" w:right="0" w:firstLine="400"/>
              <w:jc w:val="left"/>
              <w:rPr/>
            </w:pPr>
            <w:r>
              <w:rPr/>
              <w:t> </w:t>
            </w:r>
          </w:p>
        </w:tc>
      </w:tr>
      <w:tr>
        <w:trPr/>
        <w:tc>
          <w:tcPr>
            <w:tcW w:w="178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Reacquired franchise rights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549.5</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(1) Balances were net of accumulated impairment loss</w:t>
      </w:r>
      <w:r>
        <w:rPr>
          <w:rFonts w:ascii="Times New Roman" w:hAnsi="Times New Roman"/>
          <w:sz w:val="20"/>
        </w:rPr>
        <w:t xml:space="preserve"> </w:t>
      </w:r>
      <w:r>
        <w:rPr>
          <w:rFonts w:ascii="Times New Roman;serif" w:hAnsi="Times New Roman;serif"/>
          <w:b w:val="false"/>
          <w:sz w:val="20"/>
        </w:rPr>
        <w:t>of</w:t>
      </w:r>
      <w:r>
        <w:rPr>
          <w:rFonts w:ascii="Times New Roman" w:hAnsi="Times New Roman"/>
          <w:sz w:val="20"/>
        </w:rPr>
        <w:t xml:space="preserve"> </w:t>
      </w:r>
      <w:r>
        <w:rPr>
          <w:rFonts w:ascii="Times New Roman;serif" w:hAnsi="Times New Roman;serif"/>
          <w:b w:val="false"/>
          <w:sz w:val="20"/>
        </w:rPr>
        <w:t>$694.2</w:t>
      </w:r>
      <w:r>
        <w:rPr>
          <w:rFonts w:ascii="Times New Roman" w:hAnsi="Times New Roman"/>
          <w:sz w:val="20"/>
        </w:rPr>
        <w:t xml:space="preserve"> </w:t>
      </w:r>
      <w:r>
        <w:rPr>
          <w:rFonts w:ascii="Times New Roman;serif" w:hAnsi="Times New Roman;serif"/>
          <w:b w:val="false"/>
          <w:sz w:val="20"/>
        </w:rPr>
        <w:t>as of both March 31, 2023 and December 31, 2022.</w:t>
      </w:r>
    </w:p>
    <w:p>
      <w:pPr>
        <w:pStyle w:val="TextBody"/>
        <w:spacing w:before="0" w:after="0"/>
        <w:jc w:val="left"/>
        <w:rPr>
          <w:rFonts w:ascii="Times New Roman" w:hAnsi="Times New Roman"/>
          <w:sz w:val="20"/>
        </w:rPr>
      </w:pPr>
      <w:r>
        <w:rPr>
          <w:rFonts w:ascii="Times New Roman;serif" w:hAnsi="Times New Roman;serif"/>
          <w:b w:val="false"/>
          <w:sz w:val="20"/>
        </w:rPr>
        <w:t>(2) Balances were net of accumulated impairment loss of</w:t>
      </w:r>
      <w:r>
        <w:rPr>
          <w:rFonts w:ascii="Times New Roman" w:hAnsi="Times New Roman"/>
          <w:sz w:val="20"/>
        </w:rPr>
        <w:t xml:space="preserve"> </w:t>
      </w:r>
      <w:r>
        <w:rPr>
          <w:rFonts w:ascii="Times New Roman;serif" w:hAnsi="Times New Roman;serif"/>
          <w:b w:val="false"/>
          <w:sz w:val="20"/>
        </w:rPr>
        <w:t>$139.5</w:t>
      </w:r>
      <w:r>
        <w:rPr>
          <w:rFonts w:ascii="Times New Roman" w:hAnsi="Times New Roman"/>
          <w:sz w:val="20"/>
        </w:rPr>
        <w:t xml:space="preserve"> </w:t>
      </w:r>
      <w:r>
        <w:rPr>
          <w:rFonts w:ascii="Times New Roman;serif" w:hAnsi="Times New Roman;serif"/>
          <w:b w:val="false"/>
          <w:sz w:val="20"/>
        </w:rPr>
        <w:t>as of both March 31, 2023 and December 31, 2022.</w:t>
      </w:r>
    </w:p>
    <w:p>
      <w:pPr>
        <w:pStyle w:val="TextBody"/>
        <w:spacing w:before="200" w:after="0"/>
        <w:jc w:val="left"/>
        <w:rPr>
          <w:rFonts w:ascii="Times New Roman" w:hAnsi="Times New Roman"/>
          <w:sz w:val="20"/>
        </w:rPr>
      </w:pPr>
      <w:r>
        <w:rPr>
          <w:rFonts w:ascii="Times New Roman;serif" w:hAnsi="Times New Roman;serif"/>
          <w:b w:val="false"/>
          <w:sz w:val="20"/>
        </w:rPr>
        <w:t>Total consolidated amortization expense related to intangible assets for the remainder of 2023</w:t>
      </w:r>
      <w:r>
        <w:rPr>
          <w:rFonts w:ascii="Times New Roman" w:hAnsi="Times New Roman"/>
          <w:sz w:val="20"/>
        </w:rPr>
        <w:t xml:space="preserve"> </w:t>
      </w:r>
      <w:r>
        <w:rPr>
          <w:rFonts w:ascii="Times New Roman;serif" w:hAnsi="Times New Roman;serif"/>
          <w:b w:val="false"/>
          <w:sz w:val="20"/>
        </w:rPr>
        <w:t>is expected to be $26.5</w:t>
      </w:r>
      <w:r>
        <w:rPr>
          <w:rFonts w:ascii="Times New Roman" w:hAnsi="Times New Roman"/>
          <w:sz w:val="20"/>
        </w:rPr>
        <w:t xml:space="preserve"> </w:t>
      </w:r>
      <w:r>
        <w:rPr>
          <w:rFonts w:ascii="Times New Roman;serif" w:hAnsi="Times New Roman;serif"/>
          <w:b w:val="false"/>
          <w:sz w:val="20"/>
        </w:rPr>
        <w:t>and in each of the next five years as follows: 2024 - $32.0, 2025 - $30.3, 2026 - $26.7, 2027 - $26.2</w:t>
      </w:r>
      <w:r>
        <w:rPr>
          <w:rFonts w:ascii="Times New Roman" w:hAnsi="Times New Roman"/>
          <w:sz w:val="20"/>
        </w:rPr>
        <w:t xml:space="preserve"> </w:t>
      </w:r>
      <w:r>
        <w:rPr>
          <w:rFonts w:ascii="Times New Roman;serif" w:hAnsi="Times New Roman;serif"/>
          <w:b w:val="false"/>
          <w:sz w:val="20"/>
        </w:rPr>
        <w:t>and 2028 - $26.2.</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Changes in the carrying value of goodwill by reportable segment and Corporate were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86"/>
        <w:gridCol w:w="146"/>
        <w:gridCol w:w="230"/>
        <w:gridCol w:w="791"/>
        <w:gridCol w:w="346"/>
        <w:gridCol w:w="146"/>
        <w:gridCol w:w="239"/>
        <w:gridCol w:w="646"/>
        <w:gridCol w:w="346"/>
        <w:gridCol w:w="146"/>
        <w:gridCol w:w="239"/>
        <w:gridCol w:w="647"/>
        <w:gridCol w:w="346"/>
        <w:gridCol w:w="146"/>
        <w:gridCol w:w="211"/>
        <w:gridCol w:w="466"/>
        <w:gridCol w:w="366"/>
        <w:gridCol w:w="146"/>
        <w:gridCol w:w="295"/>
        <w:gridCol w:w="802"/>
        <w:gridCol w:w="346"/>
        <w:gridCol w:w="146"/>
        <w:gridCol w:w="211"/>
        <w:gridCol w:w="721"/>
        <w:gridCol w:w="395"/>
      </w:tblGrid>
      <w:tr>
        <w:trPr/>
        <w:tc>
          <w:tcPr>
            <w:tcW w:w="1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1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Americas</w:t>
            </w:r>
            <w:r>
              <w:rPr>
                <w:rFonts w:ascii="Times New Roman;serif" w:hAnsi="Times New Roman;serif"/>
                <w:b/>
                <w:sz w:val="13"/>
              </w:rPr>
              <w:t>(1)</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Southern</w:t>
              <w:br/>
              <w:t>Europe</w:t>
            </w:r>
            <w:r>
              <w:rPr>
                <w:rFonts w:ascii="Times New Roman;serif" w:hAnsi="Times New Roman;serif"/>
                <w:b/>
                <w:sz w:val="13"/>
              </w:rPr>
              <w:t>(2)</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Northern</w:t>
              <w:br/>
              <w:t>Europe</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APME</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Corporate</w:t>
            </w:r>
            <w:r>
              <w:rPr>
                <w:rFonts w:ascii="Times New Roman;serif" w:hAnsi="Times New Roman;serif"/>
                <w:b/>
                <w:sz w:val="13"/>
              </w:rPr>
              <w:t>(3)</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1,049.6</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148.2</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234.8</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126.0</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1,628.1</w:t>
            </w:r>
          </w:p>
        </w:tc>
        <w:tc>
          <w:tcPr>
            <w:tcW w:w="395" w:type="dxa"/>
            <w:tcBorders/>
            <w:shd w:fill="auto" w:val="clear"/>
            <w:vAlign w:val="center"/>
          </w:tcPr>
          <w:p>
            <w:pPr>
              <w:pStyle w:val="TableContents"/>
              <w:spacing w:before="0" w:after="0"/>
              <w:ind w:left="0" w:right="0" w:firstLine="200"/>
              <w:jc w:val="left"/>
              <w:rPr/>
            </w:pPr>
            <w:r>
              <w:rPr/>
              <w:t> </w:t>
            </w:r>
          </w:p>
        </w:tc>
      </w:tr>
      <w:tr>
        <w:trPr/>
        <w:tc>
          <w:tcPr>
            <w:tcW w:w="1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Currency impact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righ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March 31, 2023</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1,050.0</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149.7</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237.0</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69.0</w:t>
            </w:r>
          </w:p>
        </w:tc>
        <w:tc>
          <w:tcPr>
            <w:tcW w:w="3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126.0</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1,631.7</w:t>
            </w:r>
          </w:p>
        </w:tc>
        <w:tc>
          <w:tcPr>
            <w:tcW w:w="3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(1) Balances related to the United States were</w:t>
      </w:r>
      <w:r>
        <w:rPr>
          <w:rFonts w:ascii="Times New Roman" w:hAnsi="Times New Roman"/>
          <w:sz w:val="20"/>
        </w:rPr>
        <w:t xml:space="preserve"> </w:t>
      </w:r>
      <w:r>
        <w:rPr>
          <w:rFonts w:ascii="Times New Roman;serif" w:hAnsi="Times New Roman;serif"/>
          <w:b w:val="false"/>
          <w:sz w:val="20"/>
        </w:rPr>
        <w:t>$1,006.5</w:t>
      </w:r>
      <w:r>
        <w:rPr>
          <w:rFonts w:ascii="Times New Roman" w:hAnsi="Times New Roman"/>
          <w:sz w:val="20"/>
        </w:rPr>
        <w:t xml:space="preserve"> </w:t>
      </w:r>
      <w:r>
        <w:rPr>
          <w:rFonts w:ascii="Times New Roman;serif" w:hAnsi="Times New Roman;serif"/>
          <w:b w:val="false"/>
          <w:sz w:val="20"/>
        </w:rPr>
        <w:t>as of both December 31, 2022 and March 31, 2023.</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(2) Balances related to France were $73.3</w:t>
      </w:r>
      <w:r>
        <w:rPr>
          <w:rFonts w:ascii="Times New Roman" w:hAnsi="Times New Roman"/>
          <w:sz w:val="20"/>
        </w:rPr>
        <w:t xml:space="preserve"> </w:t>
      </w:r>
      <w:r>
        <w:rPr>
          <w:rFonts w:ascii="Times New Roman;serif" w:hAnsi="Times New Roman;serif"/>
          <w:b w:val="false"/>
          <w:sz w:val="20"/>
        </w:rPr>
        <w:t>and</w:t>
      </w:r>
      <w:r>
        <w:rPr>
          <w:rFonts w:ascii="Times New Roman" w:hAnsi="Times New Roman"/>
          <w:sz w:val="20"/>
        </w:rPr>
        <w:t xml:space="preserve"> </w:t>
      </w:r>
      <w:r>
        <w:rPr>
          <w:rFonts w:ascii="Times New Roman;serif" w:hAnsi="Times New Roman;serif"/>
          <w:b w:val="false"/>
          <w:sz w:val="20"/>
        </w:rPr>
        <w:t>$74.3</w:t>
      </w:r>
      <w:r>
        <w:rPr>
          <w:rFonts w:ascii="Times New Roman" w:hAnsi="Times New Roman"/>
          <w:sz w:val="20"/>
        </w:rPr>
        <w:t xml:space="preserve"> </w:t>
      </w:r>
      <w:r>
        <w:rPr>
          <w:rFonts w:ascii="Times New Roman;serif" w:hAnsi="Times New Roman;serif"/>
          <w:b w:val="false"/>
          <w:sz w:val="20"/>
        </w:rPr>
        <w:t>as of December 31, 2022 and March 31, 2023, respectively. Balances related to Italy were</w:t>
      </w:r>
      <w:r>
        <w:rPr>
          <w:rFonts w:ascii="Times New Roman" w:hAnsi="Times New Roman"/>
          <w:sz w:val="20"/>
        </w:rPr>
        <w:t xml:space="preserve"> </w:t>
      </w:r>
      <w:r>
        <w:rPr>
          <w:rFonts w:ascii="Times New Roman;serif" w:hAnsi="Times New Roman;serif"/>
          <w:b w:val="false"/>
          <w:sz w:val="20"/>
        </w:rPr>
        <w:t>$3.7</w:t>
      </w:r>
      <w:r>
        <w:rPr>
          <w:rFonts w:ascii="Times New Roman" w:hAnsi="Times New Roman"/>
          <w:sz w:val="20"/>
        </w:rPr>
        <w:t xml:space="preserve"> </w:t>
      </w:r>
      <w:r>
        <w:rPr>
          <w:rFonts w:ascii="Times New Roman;serif" w:hAnsi="Times New Roman;serif"/>
          <w:b w:val="false"/>
          <w:sz w:val="20"/>
        </w:rPr>
        <w:t>as of both December 31, 2022 and March 31,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Goodwill balances by reporting unit were as follows:</w:t>
      </w:r>
    </w:p>
    <w:p>
      <w:pPr>
        <w:pStyle w:val="TextBody"/>
        <w:spacing w:before="0" w:after="0"/>
        <w:jc w:val="left"/>
        <w:rPr/>
      </w:pPr>
      <w:r>
        <w:rPr/>
        <w:t> </w:t>
      </w:r>
    </w:p>
    <w:tbl>
      <w:tblPr>
        <w:tblW w:w="4880" w:type="dxa"/>
        <w:jc w:val="left"/>
        <w:tblInd w:w="0" w:type="dxa"/>
        <w:tblCellMar>
          <w:top w:w="28" w:type="dxa"/>
          <w:left w:w="28" w:type="dxa"/>
          <w:bottom w:w="28" w:type="dxa"/>
          <w:right w:w="28" w:type="dxa"/>
        </w:tblCellMar>
      </w:tblPr>
      <w:tblGrid>
        <w:gridCol w:w="1816"/>
        <w:gridCol w:w="146"/>
        <w:gridCol w:w="220"/>
        <w:gridCol w:w="755"/>
        <w:gridCol w:w="146"/>
        <w:gridCol w:w="146"/>
        <w:gridCol w:w="284"/>
        <w:gridCol w:w="976"/>
        <w:gridCol w:w="391"/>
      </w:tblGrid>
      <w:tr>
        <w:trPr/>
        <w:tc>
          <w:tcPr>
            <w:tcW w:w="18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8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18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1,085.3</w:t>
            </w:r>
          </w:p>
        </w:tc>
        <w:tc>
          <w:tcPr>
            <w:tcW w:w="3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Kingdom</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3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France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79.5</w:t>
            </w:r>
          </w:p>
        </w:tc>
        <w:tc>
          <w:tcPr>
            <w:tcW w:w="3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Netherlands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3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3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reporting units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8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goodwill</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1,628.1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(10) </w:t>
      </w:r>
      <w:r>
        <w:rPr>
          <w:rFonts w:ascii="Times New Roman;serif" w:hAnsi="Times New Roman;serif"/>
          <w:b w:val="false"/>
          <w:sz w:val="20"/>
          <w:u w:val="single"/>
        </w:rPr>
        <w:t>Retirement Plans</w:t>
      </w:r>
    </w:p>
    <w:p>
      <w:pPr>
        <w:pStyle w:val="TextBody"/>
        <w:spacing w:before="200" w:after="200"/>
        <w:jc w:val="left"/>
        <w:rPr>
          <w:rFonts w:ascii="Times New Roman;serif" w:hAnsi="Times New Roman;serif"/>
          <w:b w:val="false"/>
          <w:sz w:val="20"/>
        </w:rPr>
      </w:pPr>
      <w:r>
        <w:rPr>
          <w:rFonts w:ascii="Times New Roman;serif" w:hAnsi="Times New Roman;serif"/>
          <w:b w:val="false"/>
          <w:sz w:val="20"/>
        </w:rPr>
        <w:t>The components of the net periodic benefit cost (credit) for our plans were as follows:</w:t>
      </w:r>
    </w:p>
    <w:tbl>
      <w:tblPr>
        <w:tblW w:w="7178" w:type="dxa"/>
        <w:jc w:val="left"/>
        <w:tblInd w:w="0" w:type="dxa"/>
        <w:tblCellMar>
          <w:top w:w="28" w:type="dxa"/>
          <w:left w:w="28" w:type="dxa"/>
          <w:bottom w:w="28" w:type="dxa"/>
          <w:right w:w="28" w:type="dxa"/>
        </w:tblCellMar>
      </w:tblPr>
      <w:tblGrid>
        <w:gridCol w:w="2176"/>
        <w:gridCol w:w="146"/>
        <w:gridCol w:w="281"/>
        <w:gridCol w:w="561"/>
        <w:gridCol w:w="221"/>
        <w:gridCol w:w="194"/>
        <w:gridCol w:w="281"/>
        <w:gridCol w:w="561"/>
        <w:gridCol w:w="166"/>
        <w:gridCol w:w="146"/>
        <w:gridCol w:w="299"/>
        <w:gridCol w:w="597"/>
        <w:gridCol w:w="235"/>
        <w:gridCol w:w="207"/>
        <w:gridCol w:w="299"/>
        <w:gridCol w:w="597"/>
        <w:gridCol w:w="211"/>
      </w:tblGrid>
      <w:tr>
        <w:trPr/>
        <w:tc>
          <w:tcPr>
            <w:tcW w:w="2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1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4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Defined Benefit Pension</w:t>
              <w:br/>
              <w:t>Plans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Retiree Health Care Plan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cost</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21" w:type="dxa"/>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21" w:type="dxa"/>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35"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return on assets</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(gain) loss</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Prior service cost (credit)</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benefit cost (credit)</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2023, contributions made to our pension plans and retiree health care plan were $5.2</w:t>
      </w:r>
      <w:r>
        <w:rPr>
          <w:rFonts w:ascii="Times New Roman" w:hAnsi="Times New Roman"/>
          <w:sz w:val="20"/>
        </w:rPr>
        <w:t xml:space="preserve"> </w:t>
      </w:r>
      <w:r>
        <w:rPr>
          <w:rFonts w:ascii="Times New Roman;serif" w:hAnsi="Times New Roman;serif"/>
          <w:b w:val="false"/>
          <w:sz w:val="20"/>
        </w:rPr>
        <w:t>and $0.3, respectively. During 2023, we expect to make total contributions of approximately $21.0</w:t>
      </w:r>
      <w:r>
        <w:rPr>
          <w:rFonts w:ascii="Times New Roman" w:hAnsi="Times New Roman"/>
          <w:sz w:val="20"/>
        </w:rPr>
        <w:t xml:space="preserve"> </w:t>
      </w:r>
      <w:r>
        <w:rPr>
          <w:rFonts w:ascii="Times New Roman;serif" w:hAnsi="Times New Roman;serif"/>
          <w:b w:val="false"/>
          <w:sz w:val="20"/>
        </w:rPr>
        <w:t>to our pension plans and to fund our retiree health care payments as incurred.</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 xml:space="preserve">(11) </w:t>
      </w:r>
      <w:r>
        <w:rPr>
          <w:rFonts w:ascii="Times New Roman;serif" w:hAnsi="Times New Roman;serif"/>
          <w:b w:val="false"/>
          <w:sz w:val="20"/>
          <w:u w:val="single"/>
        </w:rPr>
        <w:t>Shareholders’ Equity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components of accumulated other comprehensive loss, net of tax, were as follows:</w:t>
      </w:r>
    </w:p>
    <w:tbl>
      <w:tblPr>
        <w:tblW w:w="10205" w:type="dxa"/>
        <w:jc w:val="left"/>
        <w:tblInd w:w="0" w:type="dxa"/>
        <w:tblCellMar>
          <w:top w:w="28" w:type="dxa"/>
          <w:left w:w="28" w:type="dxa"/>
          <w:bottom w:w="28" w:type="dxa"/>
          <w:right w:w="28" w:type="dxa"/>
        </w:tblCellMar>
      </w:tblPr>
      <w:tblGrid>
        <w:gridCol w:w="7156"/>
        <w:gridCol w:w="146"/>
        <w:gridCol w:w="241"/>
        <w:gridCol w:w="722"/>
        <w:gridCol w:w="166"/>
        <w:gridCol w:w="146"/>
        <w:gridCol w:w="307"/>
        <w:gridCol w:w="927"/>
        <w:gridCol w:w="394"/>
      </w:tblGrid>
      <w:tr>
        <w:trPr/>
        <w:tc>
          <w:tcPr>
            <w:tcW w:w="7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71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3"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4"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4" w:type="dxa"/>
            <w:tcBorders/>
            <w:shd w:fill="auto" w:val="clear"/>
            <w:vAlign w:val="center"/>
          </w:tcPr>
          <w:p>
            <w:pPr>
              <w:pStyle w:val="TableContents"/>
              <w:spacing w:before="0" w:after="0"/>
              <w:ind w:left="0" w:right="0" w:hanging="0"/>
              <w:jc w:val="center"/>
              <w:rPr/>
            </w:pPr>
            <w:r>
              <w:rPr/>
              <w:t> </w:t>
            </w:r>
          </w:p>
        </w:tc>
      </w:tr>
      <w:tr>
        <w:trPr/>
        <w:tc>
          <w:tcPr>
            <w:tcW w:w="71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(369.7</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Translation loss on long-term intercompany loans, net of income taxes of $19.1</w:t>
            </w:r>
            <w:r>
              <w:rPr>
                <w:rFonts w:ascii="Times New Roman" w:hAnsi="Times New Roman"/>
                <w:sz w:val="20"/>
              </w:rPr>
              <w:t> </w:t>
            </w:r>
            <w:r>
              <w:rPr>
                <w:rFonts w:ascii="Times New Roman;serif" w:hAnsi="Times New Roman;serif"/>
                <w:b w:val="false"/>
                <w:sz w:val="20"/>
              </w:rPr>
              <w:t>on both dates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derivative instruments, net of income tax benefit of $(8.1) and $(5.3),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w:t>
            </w:r>
          </w:p>
        </w:tc>
        <w:tc>
          <w:tcPr>
            <w:tcW w:w="394" w:type="dxa"/>
            <w:tcBorders/>
            <w:shd w:fill="auto" w:val="clear"/>
            <w:vAlign w:val="center"/>
          </w:tcPr>
          <w:p>
            <w:pPr>
              <w:pStyle w:val="TableContents"/>
              <w:spacing w:before="0" w:after="0"/>
              <w:ind w:left="0" w:right="0" w:hanging="0"/>
              <w:jc w:val="left"/>
              <w:rPr/>
            </w:pPr>
            <w:r>
              <w:rPr/>
              <w:t> </w:t>
            </w:r>
          </w:p>
        </w:tc>
      </w:tr>
      <w:tr>
        <w:trPr/>
        <w:tc>
          <w:tcPr>
            <w:tcW w:w="71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Gain on interest rate swap, net of income taxes of $0.4</w:t>
            </w:r>
            <w:r>
              <w:rPr>
                <w:rFonts w:ascii="Times New Roman" w:hAnsi="Times New Roman"/>
                <w:sz w:val="20"/>
              </w:rPr>
              <w:t> </w:t>
            </w:r>
            <w:r>
              <w:rPr>
                <w:rFonts w:ascii="Times New Roman;serif" w:hAnsi="Times New Roman;serif"/>
                <w:b w:val="false"/>
                <w:sz w:val="20"/>
              </w:rPr>
              <w:t>on both dates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4" w:type="dxa"/>
            <w:tcBorders/>
            <w:shd w:fill="auto" w:val="clear"/>
            <w:vAlign w:val="center"/>
          </w:tcPr>
          <w:p>
            <w:pPr>
              <w:pStyle w:val="TableContents"/>
              <w:spacing w:before="0" w:after="0"/>
              <w:ind w:left="0" w:right="0" w:hanging="0"/>
              <w:jc w:val="left"/>
              <w:rPr/>
            </w:pPr>
            <w:r>
              <w:rPr/>
              <w:t> </w:t>
            </w:r>
          </w:p>
        </w:tc>
      </w:tr>
      <w:tr>
        <w:trPr/>
        <w:tc>
          <w:tcPr>
            <w:tcW w:w="7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Defined benefit pension plans, net of income tax benefit of $(20.3) and $(20.4), respectively</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Retiree health care plan, net of income taxes of $1.9</w:t>
            </w:r>
            <w:r>
              <w:rPr>
                <w:rFonts w:ascii="Times New Roman" w:hAnsi="Times New Roman"/>
                <w:sz w:val="20"/>
              </w:rPr>
              <w:t> </w:t>
            </w:r>
            <w:r>
              <w:rPr>
                <w:rFonts w:ascii="Times New Roman;serif" w:hAnsi="Times New Roman;serif"/>
                <w:b w:val="false"/>
                <w:sz w:val="20"/>
              </w:rPr>
              <w:t>on both dates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(458.7</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Noncontrolling Interests</w:t>
      </w:r>
    </w:p>
    <w:p>
      <w:pPr>
        <w:pStyle w:val="TextBody"/>
        <w:spacing w:before="200" w:after="0"/>
        <w:jc w:val="left"/>
        <w:rPr>
          <w:rFonts w:ascii="Times New Roman" w:hAnsi="Times New Roman"/>
          <w:sz w:val="20"/>
        </w:rPr>
      </w:pPr>
      <w:r>
        <w:rPr>
          <w:rFonts w:ascii="Times New Roman;serif" w:hAnsi="Times New Roman;serif"/>
          <w:b w:val="false"/>
          <w:sz w:val="20"/>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no</w:t>
      </w:r>
      <w:r>
        <w:rPr>
          <w:rFonts w:ascii="Times New Roman" w:hAnsi="Times New Roman"/>
          <w:sz w:val="20"/>
        </w:rPr>
        <w:t xml:space="preserve"> </w:t>
      </w:r>
      <w:r>
        <w:rPr>
          <w:rFonts w:ascii="Times New Roman;serif" w:hAnsi="Times New Roman;serif"/>
          <w:b w:val="false"/>
          <w:sz w:val="20"/>
        </w:rPr>
        <w:t>amount for the three months ended March 31, 2023 and expenses of $0.5</w:t>
      </w:r>
      <w:r>
        <w:rPr>
          <w:rFonts w:ascii="Times New Roman" w:hAnsi="Times New Roman"/>
          <w:sz w:val="20"/>
        </w:rPr>
        <w:t xml:space="preserve"> </w:t>
      </w:r>
      <w:r>
        <w:rPr>
          <w:rFonts w:ascii="Times New Roman;serif" w:hAnsi="Times New Roman;serif"/>
          <w:b w:val="false"/>
          <w:sz w:val="20"/>
        </w:rPr>
        <w:t>for the three months ended March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The Board of Directors declared a semi-annual dividend of $1.47</w:t>
      </w:r>
      <w:r>
        <w:rPr>
          <w:rFonts w:ascii="Times New Roman" w:hAnsi="Times New Roman"/>
          <w:sz w:val="20"/>
        </w:rPr>
        <w:t xml:space="preserve"> </w:t>
      </w:r>
      <w:r>
        <w:rPr>
          <w:rFonts w:ascii="Times New Roman;serif" w:hAnsi="Times New Roman;serif"/>
          <w:b w:val="false"/>
          <w:sz w:val="20"/>
        </w:rPr>
        <w:t>and $1.36</w:t>
      </w:r>
      <w:r>
        <w:rPr>
          <w:rFonts w:ascii="Times New Roman" w:hAnsi="Times New Roman"/>
          <w:sz w:val="20"/>
        </w:rPr>
        <w:t xml:space="preserve"> </w:t>
      </w:r>
      <w:r>
        <w:rPr>
          <w:rFonts w:ascii="Times New Roman;serif" w:hAnsi="Times New Roman;serif"/>
          <w:b w:val="false"/>
          <w:sz w:val="20"/>
        </w:rPr>
        <w:t>per share on May 5, 2023</w:t>
      </w:r>
      <w:r>
        <w:rPr>
          <w:rFonts w:ascii="Times New Roman" w:hAnsi="Times New Roman"/>
          <w:sz w:val="20"/>
        </w:rPr>
        <w:t xml:space="preserve"> </w:t>
      </w:r>
      <w:r>
        <w:rPr>
          <w:rFonts w:ascii="Times New Roman;serif" w:hAnsi="Times New Roman;serif"/>
          <w:b w:val="false"/>
          <w:sz w:val="20"/>
        </w:rPr>
        <w:t>and May 6, 2022, respectively. The 2023 dividends are payable on June 15, 2023</w:t>
      </w:r>
      <w:r>
        <w:rPr>
          <w:rFonts w:ascii="Times New Roman" w:hAnsi="Times New Roman"/>
          <w:sz w:val="20"/>
        </w:rPr>
        <w:t xml:space="preserve"> </w:t>
      </w:r>
      <w:r>
        <w:rPr>
          <w:rFonts w:ascii="Times New Roman;serif" w:hAnsi="Times New Roman;serif"/>
          <w:b w:val="false"/>
          <w:sz w:val="20"/>
        </w:rPr>
        <w:t>to shareholders of record as of June 1, 2023. The 2022</w:t>
      </w:r>
      <w:r>
        <w:rPr>
          <w:rFonts w:ascii="Times New Roman" w:hAnsi="Times New Roman"/>
          <w:sz w:val="20"/>
        </w:rPr>
        <w:t xml:space="preserve"> </w:t>
      </w:r>
      <w:r>
        <w:rPr>
          <w:rFonts w:ascii="Times New Roman;serif" w:hAnsi="Times New Roman;serif"/>
          <w:b w:val="false"/>
          <w:sz w:val="20"/>
        </w:rPr>
        <w:t>dividends were paid on June 15, 2022</w:t>
      </w:r>
      <w:r>
        <w:rPr>
          <w:rFonts w:ascii="Times New Roman" w:hAnsi="Times New Roman"/>
          <w:sz w:val="20"/>
        </w:rPr>
        <w:t xml:space="preserve"> </w:t>
      </w:r>
      <w:r>
        <w:rPr>
          <w:rFonts w:ascii="Times New Roman;serif" w:hAnsi="Times New Roman;serif"/>
          <w:b w:val="false"/>
          <w:sz w:val="20"/>
        </w:rPr>
        <w:t>to shareholders of record as of June 1, 2022.</w:t>
      </w:r>
      <w:r>
        <w:rPr>
          <w:rFonts w:ascii="Times New Roman" w:hAnsi="Times New Roman"/>
          <w:sz w:val="20"/>
        </w:rPr>
        <w:t xml:space="preserve">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Share Repurchases</w:t>
      </w:r>
    </w:p>
    <w:p>
      <w:pPr>
        <w:pStyle w:val="TextBody"/>
        <w:spacing w:before="200" w:after="0"/>
        <w:jc w:val="left"/>
        <w:rPr>
          <w:rFonts w:ascii="Times New Roman" w:hAnsi="Times New Roman"/>
          <w:sz w:val="20"/>
        </w:rPr>
      </w:pPr>
      <w:r>
        <w:rPr>
          <w:rFonts w:ascii="Times New Roman;serif" w:hAnsi="Times New Roman;serif"/>
          <w:b w:val="false"/>
          <w:sz w:val="20"/>
        </w:rPr>
        <w:t>In August 2021, the Board of Directors authorized the repurchase of 4.0</w:t>
      </w:r>
      <w:r>
        <w:rPr>
          <w:rFonts w:ascii="Times New Roman" w:hAnsi="Times New Roman"/>
          <w:sz w:val="20"/>
        </w:rPr>
        <w:t xml:space="preserve"> </w:t>
      </w:r>
      <w:r>
        <w:rPr>
          <w:rFonts w:ascii="Times New Roman;serif" w:hAnsi="Times New Roman;serif"/>
          <w:b w:val="false"/>
          <w:sz w:val="20"/>
        </w:rPr>
        <w:t>million shares of our common stock, with terms consistent with the previous authorizations. This authorization was in addition to the August 2019 Board authorizations to repurchase 6.0</w:t>
      </w:r>
      <w:r>
        <w:rPr>
          <w:rFonts w:ascii="Times New Roman" w:hAnsi="Times New Roman"/>
          <w:sz w:val="20"/>
        </w:rPr>
        <w:t xml:space="preserve"> </w:t>
      </w:r>
      <w:r>
        <w:rPr>
          <w:rFonts w:ascii="Times New Roman;serif" w:hAnsi="Times New Roman;serif"/>
          <w:b w:val="false"/>
          <w:sz w:val="20"/>
        </w:rPr>
        <w:t>million shares of our common stock. Share repurchases may be made from time to time through a variety of methods, including open market purchases, block transactions, privately negotiated transactions or similar facilities. During the three months ended March 31, 2023, we repurchased a total of 0.4</w:t>
      </w:r>
      <w:r>
        <w:rPr>
          <w:rFonts w:ascii="Times New Roman" w:hAnsi="Times New Roman"/>
          <w:sz w:val="20"/>
        </w:rPr>
        <w:t xml:space="preserve"> </w:t>
      </w:r>
      <w:r>
        <w:rPr>
          <w:rFonts w:ascii="Times New Roman;serif" w:hAnsi="Times New Roman;serif"/>
          <w:b w:val="false"/>
          <w:sz w:val="20"/>
        </w:rPr>
        <w:t>million shares under the 2021 authorization at a cost of $30.0. During the three months ended March 31, 2022, we repurchased 0.6</w:t>
      </w:r>
      <w:r>
        <w:rPr>
          <w:rFonts w:ascii="Times New Roman" w:hAnsi="Times New Roman"/>
          <w:sz w:val="20"/>
        </w:rPr>
        <w:t xml:space="preserve"> </w:t>
      </w:r>
      <w:r>
        <w:rPr>
          <w:rFonts w:ascii="Times New Roman;serif" w:hAnsi="Times New Roman;serif"/>
          <w:b w:val="false"/>
          <w:sz w:val="20"/>
        </w:rPr>
        <w:t>million shares under the 2019 authorization at a cost of $59.9. As of March 31, 2023, there were 1.6</w:t>
      </w:r>
      <w:r>
        <w:rPr>
          <w:rFonts w:ascii="Times New Roman" w:hAnsi="Times New Roman"/>
          <w:sz w:val="20"/>
        </w:rPr>
        <w:t xml:space="preserve"> </w:t>
      </w:r>
      <w:r>
        <w:rPr>
          <w:rFonts w:ascii="Times New Roman;serif" w:hAnsi="Times New Roman;serif"/>
          <w:b w:val="false"/>
          <w:sz w:val="20"/>
        </w:rPr>
        <w:t>million shares remaining authorized for repurchase under the 2021 authorization and no shares remaining authorized for repurchase under the 2019 authorization.</w:t>
      </w:r>
    </w:p>
    <w:p>
      <w:pPr>
        <w:pStyle w:val="TextBody"/>
        <w:spacing w:before="200" w:after="0"/>
        <w:jc w:val="left"/>
        <w:rPr>
          <w:rFonts w:ascii="Times New Roman" w:hAnsi="Times New Roman"/>
          <w:sz w:val="20"/>
        </w:rPr>
      </w:pPr>
      <w:r>
        <w:rPr>
          <w:rFonts w:ascii="Times New Roman;serif" w:hAnsi="Times New Roman;serif"/>
          <w:b w:val="false"/>
          <w:sz w:val="20"/>
        </w:rPr>
        <w:t xml:space="preserve">(12) </w:t>
      </w:r>
      <w:r>
        <w:rPr>
          <w:rFonts w:ascii="Times New Roman;serif" w:hAnsi="Times New Roman;serif"/>
          <w:b w:val="false"/>
          <w:sz w:val="20"/>
          <w:u w:val="single"/>
        </w:rPr>
        <w:t>Interest and Other Expenses, Net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Interest and other expenses, net consisted of the following:</w:t>
      </w:r>
    </w:p>
    <w:p>
      <w:pPr>
        <w:pStyle w:val="TextBody"/>
        <w:spacing w:before="0" w:after="0"/>
        <w:jc w:val="left"/>
        <w:rPr/>
      </w:pPr>
      <w:r>
        <w:rPr/>
        <w:t> </w:t>
      </w:r>
    </w:p>
    <w:tbl>
      <w:tblPr>
        <w:tblW w:w="5085" w:type="dxa"/>
        <w:jc w:val="left"/>
        <w:tblInd w:w="0" w:type="dxa"/>
        <w:tblCellMar>
          <w:top w:w="28" w:type="dxa"/>
          <w:left w:w="28" w:type="dxa"/>
          <w:bottom w:w="28" w:type="dxa"/>
          <w:right w:w="28" w:type="dxa"/>
        </w:tblCellMar>
      </w:tblPr>
      <w:tblGrid>
        <w:gridCol w:w="2656"/>
        <w:gridCol w:w="146"/>
        <w:gridCol w:w="237"/>
        <w:gridCol w:w="524"/>
        <w:gridCol w:w="186"/>
        <w:gridCol w:w="164"/>
        <w:gridCol w:w="237"/>
        <w:gridCol w:w="524"/>
        <w:gridCol w:w="411"/>
      </w:tblGrid>
      <w:tr>
        <w:trPr/>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2"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411" w:type="dxa"/>
            <w:tcBorders/>
            <w:shd w:fill="auto" w:val="cle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86"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411" w:type="dxa"/>
            <w:tcBorders/>
            <w:shd w:fill="auto" w:val="clear"/>
            <w:vAlign w:val="center"/>
          </w:tcPr>
          <w:p>
            <w:pPr>
              <w:pStyle w:val="TableContents"/>
              <w:spacing w:before="0" w:after="0"/>
              <w:ind w:left="0" w:right="0" w:hanging="0"/>
              <w:jc w:val="left"/>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loss</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86"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411" w:type="dxa"/>
            <w:tcBorders/>
            <w:shd w:fill="auto" w:val="clear"/>
            <w:vAlign w:val="center"/>
          </w:tcPr>
          <w:p>
            <w:pPr>
              <w:pStyle w:val="TableContents"/>
              <w:spacing w:before="0" w:after="0"/>
              <w:ind w:left="0" w:right="0" w:hanging="0"/>
              <w:jc w:val="left"/>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Miscellaneous income, net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(13) </w:t>
      </w:r>
      <w:r>
        <w:rPr>
          <w:rFonts w:ascii="Times New Roman;serif" w:hAnsi="Times New Roman;serif"/>
          <w:b w:val="false"/>
          <w:sz w:val="20"/>
          <w:u w:val="single"/>
        </w:rPr>
        <w:t>Derivative Financial Instruments and Fair Value Measurements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Derivative Financial Instruments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Net Investment Hedges</w:t>
      </w:r>
    </w:p>
    <w:p>
      <w:pPr>
        <w:pStyle w:val="TextBody"/>
        <w:spacing w:before="0" w:after="0"/>
        <w:jc w:val="left"/>
        <w:rPr>
          <w:rFonts w:ascii="Times New Roman" w:hAnsi="Times New Roman"/>
          <w:sz w:val="20"/>
        </w:rPr>
      </w:pPr>
      <w:r>
        <w:rPr>
          <w:rFonts w:ascii="Times New Roman;serif" w:hAnsi="Times New Roman;serif"/>
          <w:b w:val="false"/>
          <w:sz w:val="20"/>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Our €500.0</w:t>
      </w:r>
      <w:r>
        <w:rPr>
          <w:rFonts w:ascii="Times New Roman" w:hAnsi="Times New Roman"/>
          <w:sz w:val="20"/>
        </w:rPr>
        <w:t xml:space="preserve"> </w:t>
      </w:r>
      <w:r>
        <w:rPr>
          <w:rFonts w:ascii="Times New Roman;serif" w:hAnsi="Times New Roman;serif"/>
          <w:b w:val="false"/>
          <w:sz w:val="20"/>
        </w:rPr>
        <w:t>($539.7) notes due June 2026 and €400.0</w:t>
      </w:r>
      <w:r>
        <w:rPr>
          <w:rFonts w:ascii="Times New Roman" w:hAnsi="Times New Roman"/>
          <w:sz w:val="20"/>
        </w:rPr>
        <w:t xml:space="preserve"> </w:t>
      </w:r>
      <w:r>
        <w:rPr>
          <w:rFonts w:ascii="Times New Roman;serif" w:hAnsi="Times New Roman;serif"/>
          <w:b w:val="false"/>
          <w:sz w:val="20"/>
        </w:rPr>
        <w:t>($429.6) notes due June 2027 were designated as a hedge of our net investment in our foreign subsidiaries with a Euro-functional currency as of March 31, 2023.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September 2019, we entered into a cross-currency swap agreement that net converts fixed-rate Swiss franc (“CHF”) payments to fixed-rate United States dollar payments which matured in September 2022. In September 2022, we entered into a new cross-currency swap agreement that net converts fixed-rate Swiss franc (“CHF”) payments to fixed-rate United States dollar payments. This swap was designated as a net investment hedge of our foreign subsidiary with CHF functional currency.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effect of our net investment hedges on AOCI for the three months ended March 31, 2023 and 2022 was as follows:</w:t>
      </w:r>
    </w:p>
    <w:p>
      <w:pPr>
        <w:pStyle w:val="TextBody"/>
        <w:spacing w:before="0" w:after="0"/>
        <w:jc w:val="left"/>
        <w:rPr/>
      </w:pPr>
      <w:r>
        <w:rPr/>
        <w:t> </w:t>
      </w:r>
    </w:p>
    <w:tbl>
      <w:tblPr>
        <w:tblW w:w="7085" w:type="dxa"/>
        <w:jc w:val="left"/>
        <w:tblInd w:w="0" w:type="dxa"/>
        <w:tblCellMar>
          <w:top w:w="28" w:type="dxa"/>
          <w:left w:w="28" w:type="dxa"/>
          <w:bottom w:w="28" w:type="dxa"/>
          <w:right w:w="28" w:type="dxa"/>
        </w:tblCellMar>
      </w:tblPr>
      <w:tblGrid>
        <w:gridCol w:w="1861"/>
        <w:gridCol w:w="146"/>
        <w:gridCol w:w="597"/>
        <w:gridCol w:w="1490"/>
        <w:gridCol w:w="470"/>
        <w:gridCol w:w="413"/>
        <w:gridCol w:w="597"/>
        <w:gridCol w:w="1320"/>
        <w:gridCol w:w="19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88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Gain (Loss) Recognized in Other Comprehensive Income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88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Instrument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 Notes</w:t>
            </w:r>
          </w:p>
        </w:tc>
        <w:tc>
          <w:tcPr>
            <w:tcW w:w="146"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4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3" w:type="dxa"/>
            <w:tcBorders/>
            <w:shd w:fill="auto" w:val="clear"/>
            <w:vAlign w:val="center"/>
          </w:tcPr>
          <w:p>
            <w:pPr>
              <w:pStyle w:val="TableContents"/>
              <w:spacing w:before="0" w:after="0"/>
              <w:ind w:left="0" w:right="0" w:hanging="0"/>
              <w:jc w:val="right"/>
              <w:rPr/>
            </w:pPr>
            <w:r>
              <w:rPr/>
              <w:t> </w:t>
            </w:r>
          </w:p>
        </w:tc>
        <w:tc>
          <w:tcPr>
            <w:tcW w:w="5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9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Cross-currency swaps</w:t>
            </w:r>
          </w:p>
        </w:tc>
        <w:tc>
          <w:tcPr>
            <w:tcW w:w="146"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left"/>
              <w:rPr/>
            </w:pPr>
            <w:r>
              <w:rPr/>
              <w:t> </w:t>
            </w:r>
          </w:p>
        </w:tc>
        <w:tc>
          <w:tcPr>
            <w:tcW w:w="1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4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3"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i/>
          <w:sz w:val="20"/>
        </w:rPr>
      </w:pPr>
      <w:r>
        <w:rPr>
          <w:rFonts w:ascii="Times New Roman;serif" w:hAnsi="Times New Roman;serif"/>
          <w:b w:val="false"/>
          <w:i/>
          <w:sz w:val="20"/>
        </w:rPr>
        <w:br/>
        <w:t>Cash Flow Hedges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pStyle w:val="TextBody"/>
        <w:spacing w:before="0" w:after="0"/>
        <w:jc w:val="left"/>
        <w:rPr>
          <w:rFonts w:ascii="Times New Roman" w:hAnsi="Times New Roman"/>
          <w:sz w:val="20"/>
        </w:rPr>
      </w:pPr>
      <w:r>
        <w:rPr>
          <w:rFonts w:ascii="Times New Roman;serif" w:hAnsi="Times New Roman;serif"/>
          <w:b w:val="false"/>
          <w:sz w:val="20"/>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w:t>
      </w:r>
      <w:r>
        <w:rPr>
          <w:rFonts w:ascii="Times New Roman" w:hAnsi="Times New Roman"/>
          <w:sz w:val="20"/>
        </w:rPr>
        <w:t xml:space="preserve"> </w:t>
      </w:r>
      <w:r>
        <w:rPr>
          <w:rFonts w:ascii="Times New Roman;serif" w:hAnsi="Times New Roman;serif"/>
          <w:b w:val="false"/>
          <w:sz w:val="20"/>
        </w:rPr>
        <w:t>with a fixed annual interest rate of 1.256%. This hedging arrangement has been designated as a cash flow hedge. The swap had an original maturity of April 2022, which aligned to the term of the intercompany note. On March 17, 2022, we settled the swap ahead of its maturity date, resulting in a net cash inflow of $19.2. We simultaneously entered into new cross-currency swaps, which we account for as fair value hedges, with maturity dates of April 2024.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w:t>
      </w:r>
      <w:r>
        <w:rPr>
          <w:rFonts w:ascii="Times New Roman" w:hAnsi="Times New Roman"/>
          <w:sz w:val="20"/>
        </w:rPr>
        <w:t xml:space="preserve"> </w:t>
      </w:r>
      <w:r>
        <w:rPr>
          <w:rFonts w:ascii="Times New Roman;serif" w:hAnsi="Times New Roman;serif"/>
          <w:b w:val="false"/>
          <w:sz w:val="20"/>
        </w:rPr>
        <w:t>with a fixed interest rate of 1.143%. The swap matured in September 2022 and we simultaneously entered into new cross-currency swaps, which we account for as fair value hedges, with maturity dates of September 2024. Refer to the "Fair Value Hedge" section below for additional detail.</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pStyle w:val="TextBody"/>
        <w:spacing w:before="0" w:after="0"/>
        <w:jc w:val="left"/>
        <w:rPr>
          <w:rFonts w:ascii="Times New Roman" w:hAnsi="Times New Roman"/>
          <w:sz w:val="20"/>
        </w:rPr>
      </w:pPr>
      <w:r>
        <w:rPr>
          <w:rFonts w:ascii="Times New Roman;serif" w:hAnsi="Times New Roman;serif"/>
          <w:b w:val="false"/>
          <w:sz w:val="20"/>
        </w:rPr>
        <w:t>On June 9, 2022, we entered into a forward starting interest rate swap agreement with a notional amount of €300.0</w:t>
      </w:r>
      <w:r>
        <w:rPr>
          <w:rFonts w:ascii="Times New Roman" w:hAnsi="Times New Roman"/>
          <w:sz w:val="20"/>
        </w:rPr>
        <w:t xml:space="preserve"> </w:t>
      </w:r>
      <w:r>
        <w:rPr>
          <w:rFonts w:ascii="Times New Roman;serif" w:hAnsi="Times New Roman;serif"/>
          <w:b w:val="false"/>
          <w:sz w:val="20"/>
        </w:rPr>
        <w:t>and a fixed rate of 1.936%, which was accounted for as a cash flow hedge, to hedge the interest rate exposure related to our anticipated issuance of €400.0 notes to repay our existing €400.0</w:t>
      </w:r>
      <w:r>
        <w:rPr>
          <w:rFonts w:ascii="Times New Roman" w:hAnsi="Times New Roman"/>
          <w:sz w:val="20"/>
        </w:rPr>
        <w:t xml:space="preserve"> </w:t>
      </w:r>
      <w:r>
        <w:rPr>
          <w:rFonts w:ascii="Times New Roman;serif" w:hAnsi="Times New Roman;serif"/>
          <w:b w:val="false"/>
          <w:sz w:val="20"/>
        </w:rPr>
        <w:t>notes maturing in September 2022. Upon the issuance of the notes on June 30, 2022, we settled this forward starting interest rate swap, resulting in a gain of $2.0, which was recorded in accumulated other comprehensive income and will be amortized over the term of the notes as an offset to interest expense.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following tables present the impact that changes in the fair values of derivatives designated as cash flow hedges had on other comprehensive income (“OCI”), AOCI and earnings for the three months ended March 31, 2023 and 2022:</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10"/>
        <w:gridCol w:w="146"/>
        <w:gridCol w:w="315"/>
        <w:gridCol w:w="517"/>
        <w:gridCol w:w="217"/>
        <w:gridCol w:w="217"/>
        <w:gridCol w:w="315"/>
        <w:gridCol w:w="630"/>
        <w:gridCol w:w="166"/>
        <w:gridCol w:w="146"/>
        <w:gridCol w:w="2158"/>
        <w:gridCol w:w="146"/>
        <w:gridCol w:w="423"/>
        <w:gridCol w:w="725"/>
        <w:gridCol w:w="293"/>
        <w:gridCol w:w="293"/>
        <w:gridCol w:w="423"/>
        <w:gridCol w:w="846"/>
        <w:gridCol w:w="219"/>
      </w:tblGrid>
      <w:tr>
        <w:trPr/>
        <w:tc>
          <w:tcPr>
            <w:tcW w:w="20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0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Gain (Loss) Recognized in OCI</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Gain (Loss) Reclassified from AOCI into Income</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8"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Location of Gain (Loss) Reclassified</w:t>
            </w:r>
          </w:p>
        </w:tc>
        <w:tc>
          <w:tcPr>
            <w:tcW w:w="146" w:type="dxa"/>
            <w:tcBorders/>
            <w:shd w:fill="auto" w:val="clear"/>
            <w:vAlign w:val="center"/>
          </w:tcPr>
          <w:p>
            <w:pPr>
              <w:pStyle w:val="TableContents"/>
              <w:spacing w:before="0" w:after="0"/>
              <w:ind w:left="0" w:right="0" w:hanging="0"/>
              <w:jc w:val="left"/>
              <w:rPr/>
            </w:pPr>
            <w:r>
              <w:rPr/>
              <w:t> </w:t>
            </w:r>
          </w:p>
        </w:tc>
        <w:tc>
          <w:tcPr>
            <w:tcW w:w="300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Instrument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from AOCI into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Cross-currency swaps</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7"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right"/>
              <w:rPr/>
            </w:pPr>
            <w:r>
              <w:rPr/>
              <w:t> </w:t>
            </w:r>
          </w:p>
        </w:tc>
        <w:tc>
          <w:tcPr>
            <w:tcW w:w="4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5" w:type="dxa"/>
            <w:tcBorders/>
            <w:shd w:fill="auto" w:val="clear"/>
            <w:vAlign w:val="center"/>
          </w:tcPr>
          <w:p>
            <w:pPr>
              <w:pStyle w:val="TableContents"/>
              <w:spacing w:before="0" w:after="0"/>
              <w:ind w:left="0" w:right="0" w:hanging="0"/>
              <w:jc w:val="right"/>
              <w:rPr/>
            </w:pPr>
            <w:r>
              <w:rPr/>
              <w:t>—</w:t>
            </w:r>
          </w:p>
        </w:tc>
        <w:tc>
          <w:tcPr>
            <w:tcW w:w="293"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right"/>
              <w:rPr/>
            </w:pPr>
            <w:r>
              <w:rPr/>
              <w:t> </w:t>
            </w:r>
          </w:p>
        </w:tc>
        <w:tc>
          <w:tcPr>
            <w:tcW w:w="4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Forward starting interest swap</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517"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3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8"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right"/>
              <w:rPr/>
            </w:pPr>
            <w:r>
              <w:rPr/>
              <w:t> </w:t>
            </w:r>
          </w:p>
        </w:tc>
        <w:tc>
          <w:tcPr>
            <w:tcW w:w="423" w:type="dxa"/>
            <w:tcBorders/>
            <w:shd w:fill="auto" w:val="clear"/>
            <w:vAlign w:val="center"/>
          </w:tcPr>
          <w:p>
            <w:pPr>
              <w:pStyle w:val="TableContents"/>
              <w:spacing w:before="0" w:after="0"/>
              <w:ind w:left="0" w:right="0" w:hanging="0"/>
              <w:jc w:val="left"/>
              <w:rPr/>
            </w:pPr>
            <w:r>
              <w:rPr/>
              <w:t> </w:t>
            </w:r>
          </w:p>
        </w:tc>
        <w:tc>
          <w:tcPr>
            <w:tcW w:w="7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93"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right"/>
              <w:rPr/>
            </w:pPr>
            <w:r>
              <w:rPr/>
              <w:t> </w:t>
            </w:r>
          </w:p>
        </w:tc>
        <w:tc>
          <w:tcPr>
            <w:tcW w:w="423"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pPr>
            <w:r>
              <w:rPr/>
              <w:t>—</w:t>
            </w:r>
          </w:p>
        </w:tc>
        <w:tc>
          <w:tcPr>
            <w:tcW w:w="219"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expect the net amount of pre-tax derivative gains included in AOCI at March 31, 2023 to be reclassified into earnings within the next 12 months will not be significant. The actual amount that will be reclassified to earnings over the next 12 months will vary due to future currency exchange rates.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Fair Value Hedges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account for derivatives as fair value hedges when the hedged item is a recognized asset, liability, or firm commitment. We use fair value hedges to hedge the changes in cash flows of certain of our foreign currency intercompany denominated notes due to changes in foreign currency exchange rates. We record the change in carrying value of the foreign currency denominated notes due to changes in exchange rates into earnings each period. Gains and losses on the fair value hedges are recorded in earnings, offsetting gains and losses on the hedged item.</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March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April 2024, which aligns the term of the intercompany note and has a fixed interest rate of 1.05973%.</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September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September 2024, which aligns with the term of the intercompany note and has a fixed interest rate of 1.7975%.</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cross-currency swaps are accounted for as fair value hedges. Impact of foreign exchange rate changes on the value of the note is offset by gains and losses from the hedges.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tables present the impact that the fair value hedges had on OCI and earnings for the three months ended March 2023 and 2022:</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906"/>
        <w:gridCol w:w="146"/>
        <w:gridCol w:w="350"/>
        <w:gridCol w:w="701"/>
        <w:gridCol w:w="276"/>
        <w:gridCol w:w="243"/>
        <w:gridCol w:w="350"/>
        <w:gridCol w:w="576"/>
        <w:gridCol w:w="146"/>
        <w:gridCol w:w="146"/>
        <w:gridCol w:w="2338"/>
        <w:gridCol w:w="146"/>
        <w:gridCol w:w="356"/>
        <w:gridCol w:w="712"/>
        <w:gridCol w:w="280"/>
        <w:gridCol w:w="246"/>
        <w:gridCol w:w="356"/>
        <w:gridCol w:w="712"/>
        <w:gridCol w:w="219"/>
      </w:tblGrid>
      <w:tr>
        <w:trPr/>
        <w:tc>
          <w:tcPr>
            <w:tcW w:w="1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9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Gain (Loss) Recognized in OCI</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3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6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Gain (Loss) Recognized in Income</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38"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Location of Gain (Loss)</w:t>
            </w:r>
          </w:p>
        </w:tc>
        <w:tc>
          <w:tcPr>
            <w:tcW w:w="146" w:type="dxa"/>
            <w:tcBorders/>
            <w:shd w:fill="auto" w:val="clear"/>
            <w:vAlign w:val="center"/>
          </w:tcPr>
          <w:p>
            <w:pPr>
              <w:pStyle w:val="TableContents"/>
              <w:spacing w:before="0" w:after="0"/>
              <w:ind w:left="0" w:right="0" w:hanging="0"/>
              <w:jc w:val="center"/>
              <w:rPr/>
            </w:pPr>
            <w:r>
              <w:rPr/>
              <w:t> </w:t>
            </w:r>
          </w:p>
        </w:tc>
        <w:tc>
          <w:tcPr>
            <w:tcW w:w="266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Instrument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Recognized in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Intercompany CHF note</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1"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8"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80"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Cross-currency swaps</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3"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5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8"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9"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Non-designated instruments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months ended March 31, 2023 and 2022 was as follows:</w:t>
      </w:r>
    </w:p>
    <w:p>
      <w:pPr>
        <w:pStyle w:val="TextBody"/>
        <w:spacing w:before="0" w:after="0"/>
        <w:jc w:val="left"/>
        <w:rPr/>
      </w:pPr>
      <w:r>
        <w:rPr/>
        <w:t> </w:t>
      </w:r>
    </w:p>
    <w:tbl>
      <w:tblPr>
        <w:tblW w:w="9127" w:type="dxa"/>
        <w:jc w:val="left"/>
        <w:tblInd w:w="0" w:type="dxa"/>
        <w:tblCellMar>
          <w:top w:w="28" w:type="dxa"/>
          <w:left w:w="28" w:type="dxa"/>
          <w:bottom w:w="28" w:type="dxa"/>
          <w:right w:w="28" w:type="dxa"/>
        </w:tblCellMar>
      </w:tblPr>
      <w:tblGrid>
        <w:gridCol w:w="2941"/>
        <w:gridCol w:w="146"/>
        <w:gridCol w:w="2701"/>
        <w:gridCol w:w="146"/>
        <w:gridCol w:w="399"/>
        <w:gridCol w:w="797"/>
        <w:gridCol w:w="314"/>
        <w:gridCol w:w="276"/>
        <w:gridCol w:w="399"/>
        <w:gridCol w:w="797"/>
        <w:gridCol w:w="21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Gain (Loss) Recognized in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Location of Gain (Loss)</w:t>
            </w:r>
          </w:p>
        </w:tc>
        <w:tc>
          <w:tcPr>
            <w:tcW w:w="146" w:type="dxa"/>
            <w:tcBorders/>
            <w:shd w:fill="auto" w:val="clear"/>
            <w:vAlign w:val="center"/>
          </w:tcPr>
          <w:p>
            <w:pPr>
              <w:pStyle w:val="TableContents"/>
              <w:spacing w:before="0" w:after="0"/>
              <w:ind w:left="0" w:right="0" w:hanging="0"/>
              <w:jc w:val="center"/>
              <w:rPr/>
            </w:pPr>
            <w:r>
              <w:rPr/>
              <w:t> </w:t>
            </w:r>
          </w:p>
        </w:tc>
        <w:tc>
          <w:tcPr>
            <w:tcW w:w="29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Instrument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Recognized in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forward contracts</w:t>
            </w:r>
          </w:p>
        </w:tc>
        <w:tc>
          <w:tcPr>
            <w:tcW w:w="146" w:type="dxa"/>
            <w:tcBorders/>
            <w:shd w:fill="auto" w:val="clear"/>
            <w:vAlign w:val="center"/>
          </w:tcPr>
          <w:p>
            <w:pPr>
              <w:pStyle w:val="TableContents"/>
              <w:spacing w:before="0" w:after="0"/>
              <w:ind w:left="0" w:right="0" w:hanging="0"/>
              <w:jc w:val="left"/>
              <w:rPr/>
            </w:pPr>
            <w:r>
              <w:rPr/>
              <w:t> </w:t>
            </w:r>
          </w:p>
        </w:tc>
        <w:tc>
          <w:tcPr>
            <w:tcW w:w="27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tables present the fair value of derivative and non-derivative assets and liabilities on the Consolidated Balance Sheets as of March 31, 2023 and December 31, 2022:</w:t>
      </w:r>
    </w:p>
    <w:p>
      <w:pPr>
        <w:pStyle w:val="TextBody"/>
        <w:spacing w:before="0" w:after="0"/>
        <w:jc w:val="left"/>
        <w:rPr/>
      </w:pPr>
      <w:r>
        <w:rPr/>
        <w:t> </w:t>
      </w:r>
    </w:p>
    <w:tbl>
      <w:tblPr>
        <w:tblW w:w="9277" w:type="dxa"/>
        <w:jc w:val="left"/>
        <w:tblInd w:w="0" w:type="dxa"/>
        <w:tblCellMar>
          <w:top w:w="28" w:type="dxa"/>
          <w:left w:w="28" w:type="dxa"/>
          <w:bottom w:w="28" w:type="dxa"/>
          <w:right w:w="28" w:type="dxa"/>
        </w:tblCellMar>
      </w:tblPr>
      <w:tblGrid>
        <w:gridCol w:w="3691"/>
        <w:gridCol w:w="146"/>
        <w:gridCol w:w="2176"/>
        <w:gridCol w:w="146"/>
        <w:gridCol w:w="304"/>
        <w:gridCol w:w="671"/>
        <w:gridCol w:w="146"/>
        <w:gridCol w:w="146"/>
        <w:gridCol w:w="392"/>
        <w:gridCol w:w="868"/>
        <w:gridCol w:w="59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49"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591" w:type="dxa"/>
            <w:tcBorders/>
            <w:shd w:fill="auto" w:val="cle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Instruments designated as fair value hedges:</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Cross-currency swaps</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5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Instruments not designated as hedges:</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forward contracts</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instruments</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9637" w:type="dxa"/>
        <w:jc w:val="left"/>
        <w:tblInd w:w="0" w:type="dxa"/>
        <w:tblCellMar>
          <w:top w:w="28" w:type="dxa"/>
          <w:left w:w="28" w:type="dxa"/>
          <w:bottom w:w="28" w:type="dxa"/>
          <w:right w:w="28" w:type="dxa"/>
        </w:tblCellMar>
      </w:tblPr>
      <w:tblGrid>
        <w:gridCol w:w="4126"/>
        <w:gridCol w:w="146"/>
        <w:gridCol w:w="2101"/>
        <w:gridCol w:w="146"/>
        <w:gridCol w:w="263"/>
        <w:gridCol w:w="712"/>
        <w:gridCol w:w="146"/>
        <w:gridCol w:w="146"/>
        <w:gridCol w:w="339"/>
        <w:gridCol w:w="921"/>
        <w:gridCol w:w="591"/>
      </w:tblGrid>
      <w:tr>
        <w:trPr/>
        <w:tc>
          <w:tcPr>
            <w:tcW w:w="4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4"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Liabilities</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591" w:type="dxa"/>
            <w:tcBorders/>
            <w:shd w:fill="auto" w:val="cle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Instruments designated as net investment hedges:</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Euro Notes due in 2026</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532.7</w:t>
            </w:r>
          </w:p>
        </w:tc>
        <w:tc>
          <w:tcPr>
            <w:tcW w:w="591" w:type="dxa"/>
            <w:tcBorders/>
            <w:shd w:fill="auto" w:val="clear"/>
            <w:vAlign w:val="center"/>
          </w:tcPr>
          <w:p>
            <w:pPr>
              <w:pStyle w:val="TableContents"/>
              <w:spacing w:before="0" w:after="0"/>
              <w:ind w:left="0" w:right="0" w:firstLine="200"/>
              <w:jc w:val="left"/>
              <w:rPr/>
            </w:pPr>
            <w:r>
              <w:rPr/>
              <w:t> </w:t>
            </w:r>
          </w:p>
        </w:tc>
      </w:tr>
      <w:tr>
        <w:trPr/>
        <w:tc>
          <w:tcPr>
            <w:tcW w:w="4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Euro Notes due in 2027</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423.9</w:t>
            </w:r>
          </w:p>
        </w:tc>
        <w:tc>
          <w:tcPr>
            <w:tcW w:w="591" w:type="dxa"/>
            <w:tcBorders/>
            <w:shd w:fill="auto" w:val="clear"/>
            <w:vAlign w:val="center"/>
          </w:tcPr>
          <w:p>
            <w:pPr>
              <w:pStyle w:val="TableContents"/>
              <w:spacing w:before="0" w:after="0"/>
              <w:ind w:left="0" w:right="0" w:firstLine="200"/>
              <w:jc w:val="left"/>
              <w:rPr/>
            </w:pPr>
            <w:r>
              <w:rPr/>
              <w:t> </w:t>
            </w:r>
          </w:p>
        </w:tc>
      </w:tr>
      <w:tr>
        <w:trPr/>
        <w:tc>
          <w:tcPr>
            <w:tcW w:w="4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Cross-currency swaps</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5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Instruments not designated as hedges:</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forward contracts</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1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instruments</w:t>
            </w:r>
          </w:p>
        </w:tc>
        <w:tc>
          <w:tcPr>
            <w:tcW w:w="146" w:type="dxa"/>
            <w:tcBorders/>
            <w:shd w:fill="auto" w:val="clear"/>
            <w:vAlign w:val="center"/>
          </w:tcPr>
          <w:p>
            <w:pPr>
              <w:pStyle w:val="TableContents"/>
              <w:spacing w:before="0" w:after="0"/>
              <w:ind w:left="0" w:right="0" w:hanging="0"/>
              <w:jc w:val="left"/>
              <w:rPr/>
            </w:pPr>
            <w:r>
              <w:rPr/>
              <w:t> </w:t>
            </w:r>
          </w:p>
        </w:tc>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982.4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Fair Value Measurements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$940.4</w:t>
      </w:r>
      <w:r>
        <w:rPr>
          <w:rFonts w:ascii="Times New Roman" w:hAnsi="Times New Roman"/>
          <w:sz w:val="20"/>
        </w:rPr>
        <w:t xml:space="preserve"> </w:t>
      </w:r>
      <w:r>
        <w:rPr>
          <w:rFonts w:ascii="Times New Roman;serif" w:hAnsi="Times New Roman;serif"/>
          <w:b w:val="false"/>
          <w:sz w:val="20"/>
        </w:rPr>
        <w:t>and $921.7</w:t>
      </w:r>
      <w:r>
        <w:rPr>
          <w:rFonts w:ascii="Times New Roman" w:hAnsi="Times New Roman"/>
          <w:sz w:val="20"/>
        </w:rPr>
        <w:t xml:space="preserve"> </w:t>
      </w:r>
      <w:r>
        <w:rPr>
          <w:rFonts w:ascii="Times New Roman;serif" w:hAnsi="Times New Roman;serif"/>
          <w:b w:val="false"/>
          <w:sz w:val="20"/>
        </w:rPr>
        <w:t>as of March 31, 2023 and December 31, 2022, respectively, compared to a carrying value of $969.3</w:t>
      </w:r>
      <w:r>
        <w:rPr>
          <w:rFonts w:ascii="Times New Roman" w:hAnsi="Times New Roman"/>
          <w:sz w:val="20"/>
        </w:rPr>
        <w:t xml:space="preserve"> </w:t>
      </w:r>
      <w:r>
        <w:rPr>
          <w:rFonts w:ascii="Times New Roman;serif" w:hAnsi="Times New Roman;serif"/>
          <w:b w:val="false"/>
          <w:sz w:val="20"/>
        </w:rPr>
        <w:t>and $956.6, respectively.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deferred compensation plan assets were $127.1</w:t>
      </w:r>
      <w:r>
        <w:rPr>
          <w:rFonts w:ascii="Times New Roman" w:hAnsi="Times New Roman"/>
          <w:sz w:val="20"/>
        </w:rPr>
        <w:t xml:space="preserve"> </w:t>
      </w:r>
      <w:r>
        <w:rPr>
          <w:rFonts w:ascii="Times New Roman;serif" w:hAnsi="Times New Roman;serif"/>
          <w:b w:val="false"/>
          <w:sz w:val="20"/>
        </w:rPr>
        <w:t>and $115.3</w:t>
      </w:r>
      <w:r>
        <w:rPr>
          <w:rFonts w:ascii="Times New Roman" w:hAnsi="Times New Roman"/>
          <w:sz w:val="20"/>
        </w:rPr>
        <w:t xml:space="preserve"> </w:t>
      </w:r>
      <w:r>
        <w:rPr>
          <w:rFonts w:ascii="Times New Roman;serif" w:hAnsi="Times New Roman;serif"/>
          <w:b w:val="false"/>
          <w:sz w:val="20"/>
        </w:rPr>
        <w:t>as of March 31, 2023 and December 31, 2022, respectively. We determine the fair value of these assets, comprised of publicly traded securities, by using market quotes as of the last day of the period (Level 1 inputs).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measure the fair value of the foreign currency forward contracts and cross-currency swaps at the value based on either directly or indirectly observable inputs from third parties (Level 2 inputs).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 xml:space="preserve">(14) </w:t>
      </w:r>
      <w:r>
        <w:rPr>
          <w:rFonts w:ascii="Times New Roman;serif" w:hAnsi="Times New Roman;serif"/>
          <w:b w:val="false"/>
          <w:sz w:val="20"/>
          <w:u w:val="single"/>
        </w:rPr>
        <w:t>Leases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components of lease expense were as follows:</w:t>
      </w:r>
    </w:p>
    <w:p>
      <w:pPr>
        <w:pStyle w:val="TextBody"/>
        <w:spacing w:before="0" w:after="0"/>
        <w:jc w:val="left"/>
        <w:rPr/>
      </w:pPr>
      <w:r>
        <w:rPr/>
        <w:t> </w:t>
      </w:r>
    </w:p>
    <w:tbl>
      <w:tblPr>
        <w:tblW w:w="5456" w:type="dxa"/>
        <w:jc w:val="left"/>
        <w:tblInd w:w="0" w:type="dxa"/>
        <w:tblCellMar>
          <w:top w:w="28" w:type="dxa"/>
          <w:left w:w="28" w:type="dxa"/>
          <w:bottom w:w="28" w:type="dxa"/>
          <w:right w:w="28" w:type="dxa"/>
        </w:tblCellMar>
      </w:tblPr>
      <w:tblGrid>
        <w:gridCol w:w="2131"/>
        <w:gridCol w:w="146"/>
        <w:gridCol w:w="357"/>
        <w:gridCol w:w="790"/>
        <w:gridCol w:w="247"/>
        <w:gridCol w:w="247"/>
        <w:gridCol w:w="357"/>
        <w:gridCol w:w="790"/>
        <w:gridCol w:w="39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expense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247"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3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expense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47"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Other lease expense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expense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Other lease expense includes variable lease expense and sublease income.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Other information related to leases was as follows:</w:t>
      </w:r>
    </w:p>
    <w:p>
      <w:pPr>
        <w:pStyle w:val="TextBody"/>
        <w:spacing w:before="0" w:after="0"/>
        <w:jc w:val="left"/>
        <w:rPr/>
      </w:pPr>
      <w:r>
        <w:rPr/>
        <w:t> </w:t>
      </w:r>
    </w:p>
    <w:tbl>
      <w:tblPr>
        <w:tblW w:w="9756" w:type="dxa"/>
        <w:jc w:val="left"/>
        <w:tblInd w:w="0" w:type="dxa"/>
        <w:tblCellMar>
          <w:top w:w="28" w:type="dxa"/>
          <w:left w:w="28" w:type="dxa"/>
          <w:bottom w:w="28" w:type="dxa"/>
          <w:right w:w="28" w:type="dxa"/>
        </w:tblCellMar>
      </w:tblPr>
      <w:tblGrid>
        <w:gridCol w:w="6631"/>
        <w:gridCol w:w="146"/>
        <w:gridCol w:w="357"/>
        <w:gridCol w:w="790"/>
        <w:gridCol w:w="247"/>
        <w:gridCol w:w="247"/>
        <w:gridCol w:w="357"/>
        <w:gridCol w:w="790"/>
        <w:gridCol w:w="191"/>
      </w:tblGrid>
      <w:tr>
        <w:trPr/>
        <w:tc>
          <w:tcPr>
            <w:tcW w:w="6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1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247"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91" w:type="dxa"/>
            <w:tcBorders/>
            <w:shd w:fill="auto" w:val="clear"/>
            <w:vAlign w:val="center"/>
          </w:tcPr>
          <w:p>
            <w:pPr>
              <w:pStyle w:val="TableContents"/>
              <w:spacing w:before="0" w:after="0"/>
              <w:ind w:left="0" w:right="0" w:hanging="0"/>
              <w:jc w:val="left"/>
              <w:rPr/>
            </w:pPr>
            <w:r>
              <w:rPr/>
              <w:t> </w:t>
            </w:r>
          </w:p>
        </w:tc>
      </w:tr>
      <w:tr>
        <w:trPr/>
        <w:tc>
          <w:tcPr>
            <w:tcW w:w="6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ROU assets obtained in exchange for lease obligations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247"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6650" w:type="dxa"/>
        <w:jc w:val="left"/>
        <w:tblInd w:w="0" w:type="dxa"/>
        <w:tblCellMar>
          <w:top w:w="28" w:type="dxa"/>
          <w:left w:w="28" w:type="dxa"/>
          <w:bottom w:w="28" w:type="dxa"/>
          <w:right w:w="28" w:type="dxa"/>
        </w:tblCellMar>
      </w:tblPr>
      <w:tblGrid>
        <w:gridCol w:w="3586"/>
        <w:gridCol w:w="146"/>
        <w:gridCol w:w="263"/>
        <w:gridCol w:w="712"/>
        <w:gridCol w:w="146"/>
        <w:gridCol w:w="146"/>
        <w:gridCol w:w="339"/>
        <w:gridCol w:w="921"/>
        <w:gridCol w:w="391"/>
      </w:tblGrid>
      <w:tr>
        <w:trPr/>
        <w:tc>
          <w:tcPr>
            <w:tcW w:w="3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Balance Sheet Information</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ROU assets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Operating lease liabilities - current</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105.5</w:t>
            </w:r>
          </w:p>
        </w:tc>
        <w:tc>
          <w:tcPr>
            <w:tcW w:w="3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 long-term</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(1) Operating lease liabilities - current are included in accrued expenses on our Consolidated Balance Sheets.</w:t>
      </w:r>
    </w:p>
    <w:p>
      <w:pPr>
        <w:pStyle w:val="TextBody"/>
        <w:spacing w:before="0" w:after="0"/>
        <w:jc w:val="left"/>
        <w:rPr/>
      </w:pPr>
      <w:r>
        <w:rPr/>
        <w:t> </w:t>
      </w:r>
    </w:p>
    <w:tbl>
      <w:tblPr>
        <w:tblW w:w="6267" w:type="dxa"/>
        <w:jc w:val="left"/>
        <w:tblInd w:w="0" w:type="dxa"/>
        <w:tblCellMar>
          <w:top w:w="28" w:type="dxa"/>
          <w:left w:w="28" w:type="dxa"/>
          <w:bottom w:w="28" w:type="dxa"/>
          <w:right w:w="28" w:type="dxa"/>
        </w:tblCellMar>
      </w:tblPr>
      <w:tblGrid>
        <w:gridCol w:w="3736"/>
        <w:gridCol w:w="146"/>
        <w:gridCol w:w="237"/>
        <w:gridCol w:w="589"/>
        <w:gridCol w:w="271"/>
        <w:gridCol w:w="146"/>
        <w:gridCol w:w="237"/>
        <w:gridCol w:w="589"/>
        <w:gridCol w:w="316"/>
      </w:tblGrid>
      <w:tr>
        <w:trPr/>
        <w:tc>
          <w:tcPr>
            <w:tcW w:w="3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Remaining Lease Term</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5.5</w:t>
            </w:r>
            <w:r>
              <w:rPr>
                <w:rFonts w:ascii="Times New Roman" w:hAnsi="Times New Roman"/>
                <w:sz w:val="20"/>
              </w:rPr>
              <w:t> </w:t>
            </w:r>
            <w:r>
              <w:rPr>
                <w:rFonts w:ascii="Times New Roman;serif" w:hAnsi="Times New Roman;serif"/>
                <w:b w:val="false"/>
                <w:sz w:val="20"/>
              </w:rPr>
              <w:t>years</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26"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5.1</w:t>
            </w:r>
            <w:r>
              <w:rPr>
                <w:rFonts w:ascii="Times New Roman" w:hAnsi="Times New Roman"/>
                <w:sz w:val="20"/>
              </w:rPr>
              <w:t> </w:t>
            </w:r>
            <w:r>
              <w:rPr>
                <w:rFonts w:ascii="Times New Roman;serif" w:hAnsi="Times New Roman;serif"/>
                <w:b w:val="false"/>
                <w:sz w:val="20"/>
              </w:rPr>
              <w:t>years</w:t>
            </w:r>
          </w:p>
        </w:tc>
        <w:tc>
          <w:tcPr>
            <w:tcW w:w="316" w:type="dxa"/>
            <w:tcBorders/>
            <w:shd w:fill="auto" w:val="clear"/>
            <w:vAlign w:val="center"/>
          </w:tcPr>
          <w:p>
            <w:pPr>
              <w:pStyle w:val="TableContents"/>
              <w:spacing w:before="0" w:after="0"/>
              <w:ind w:left="0" w:right="0" w:hanging="0"/>
              <w:jc w:val="righ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Discount Rate</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Maturities of operating lease liabilities as of March 31, 2023 were as follows:</w:t>
      </w:r>
    </w:p>
    <w:p>
      <w:pPr>
        <w:pStyle w:val="TextBody"/>
        <w:spacing w:before="0" w:after="0"/>
        <w:jc w:val="left"/>
        <w:rPr/>
      </w:pPr>
      <w:r>
        <w:rPr/>
        <w:t> </w:t>
      </w:r>
    </w:p>
    <w:tbl>
      <w:tblPr>
        <w:tblW w:w="5638" w:type="dxa"/>
        <w:jc w:val="left"/>
        <w:tblInd w:w="0" w:type="dxa"/>
        <w:tblCellMar>
          <w:top w:w="28" w:type="dxa"/>
          <w:left w:w="28" w:type="dxa"/>
          <w:bottom w:w="28" w:type="dxa"/>
          <w:right w:w="28" w:type="dxa"/>
        </w:tblCellMar>
      </w:tblPr>
      <w:tblGrid>
        <w:gridCol w:w="3511"/>
        <w:gridCol w:w="146"/>
        <w:gridCol w:w="428"/>
        <w:gridCol w:w="1162"/>
        <w:gridCol w:w="3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Period Ending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Operating Leases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51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future undiscounted lease payments</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432.0</w:t>
            </w:r>
          </w:p>
        </w:tc>
        <w:tc>
          <w:tcPr>
            <w:tcW w:w="391" w:type="dxa"/>
            <w:tcBorders/>
            <w:shd w:fill="auto" w:val="clear"/>
            <w:vAlign w:val="center"/>
          </w:tcPr>
          <w:p>
            <w:pPr>
              <w:pStyle w:val="TableContents"/>
              <w:spacing w:before="0" w:after="0"/>
              <w:ind w:left="0" w:right="0" w:firstLine="200"/>
              <w:jc w:val="left"/>
              <w:rPr/>
            </w:pPr>
            <w:r>
              <w:rPr/>
              <w:t> </w:t>
            </w:r>
          </w:p>
        </w:tc>
      </w:tr>
      <w:tr>
        <w:trPr/>
        <w:tc>
          <w:tcPr>
            <w:tcW w:w="3511"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left"/>
              <w:rPr/>
            </w:pPr>
            <w:r>
              <w:rPr/>
              <w:t>   </w:t>
            </w:r>
            <w:r>
              <w:rPr>
                <w:rFonts w:ascii="Times New Roman;serif" w:hAnsi="Times New Roman;serif"/>
                <w:b w:val="false"/>
                <w:sz w:val="20"/>
              </w:rPr>
              <w:t>Less imputed 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 xml:space="preserve">(15) </w:t>
      </w:r>
      <w:r>
        <w:rPr>
          <w:rFonts w:ascii="Times New Roman;serif" w:hAnsi="Times New Roman;serif"/>
          <w:b w:val="false"/>
          <w:sz w:val="20"/>
          <w:u w:val="single"/>
        </w:rPr>
        <w:t>Segment Data</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across the company.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6705" w:type="dxa"/>
        <w:jc w:val="left"/>
        <w:tblInd w:w="0" w:type="dxa"/>
        <w:tblCellMar>
          <w:top w:w="28" w:type="dxa"/>
          <w:left w:w="28" w:type="dxa"/>
          <w:bottom w:w="28" w:type="dxa"/>
          <w:right w:w="28" w:type="dxa"/>
        </w:tblCellMar>
      </w:tblPr>
      <w:tblGrid>
        <w:gridCol w:w="3181"/>
        <w:gridCol w:w="146"/>
        <w:gridCol w:w="270"/>
        <w:gridCol w:w="924"/>
        <w:gridCol w:w="212"/>
        <w:gridCol w:w="187"/>
        <w:gridCol w:w="270"/>
        <w:gridCol w:w="924"/>
        <w:gridCol w:w="591"/>
      </w:tblGrid>
      <w:tr>
        <w:trPr/>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8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 from services:</w:t>
            </w:r>
          </w:p>
        </w:tc>
        <w:tc>
          <w:tcPr>
            <w:tcW w:w="146"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20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 w:hAnsi="Times New Roman"/>
                <w:sz w:val="20"/>
              </w:rPr>
            </w:pPr>
            <w:r>
              <w:rPr>
                <w:rFonts w:ascii="Times New Roman;serif" w:hAnsi="Times New Roman;serif"/>
                <w:b w:val="false"/>
                <w:sz w:val="20"/>
              </w:rPr>
              <w:t xml:space="preserve">United States </w:t>
            </w:r>
            <w:r>
              <w:rPr>
                <w:rFonts w:ascii="Times New Roman;serif" w:hAnsi="Times New Roman;serif"/>
                <w:b w:val="false"/>
                <w:sz w:val="13"/>
              </w:rPr>
              <w:t>(a)</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770.0</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889.4</w:t>
            </w:r>
          </w:p>
        </w:tc>
        <w:tc>
          <w:tcPr>
            <w:tcW w:w="591" w:type="dxa"/>
            <w:tcBorders/>
            <w:shd w:fill="auto" w:val="clear"/>
            <w:vAlign w:val="center"/>
          </w:tcPr>
          <w:p>
            <w:pPr>
              <w:pStyle w:val="TableContents"/>
              <w:spacing w:before="0" w:after="0"/>
              <w:ind w:left="0" w:right="0" w:firstLine="400"/>
              <w:jc w:val="lef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Other Americas</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360.2</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1,130.2</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1,251.2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Southern Europe:</w:t>
            </w:r>
          </w:p>
        </w:tc>
        <w:tc>
          <w:tcPr>
            <w:tcW w:w="146" w:type="dxa"/>
            <w:tcBorders/>
            <w:shd w:fill="auto" w:val="clear"/>
            <w:vAlign w:val="center"/>
          </w:tcPr>
          <w:p>
            <w:pPr>
              <w:pStyle w:val="TableContents"/>
              <w:spacing w:before="0" w:after="0"/>
              <w:ind w:left="20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France</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1,169.3</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591" w:type="dxa"/>
            <w:tcBorders/>
            <w:shd w:fill="auto" w:val="clear"/>
            <w:vAlign w:val="center"/>
          </w:tcPr>
          <w:p>
            <w:pPr>
              <w:pStyle w:val="TableContents"/>
              <w:spacing w:before="0" w:after="0"/>
              <w:ind w:left="0" w:right="0" w:firstLine="400"/>
              <w:jc w:val="lef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Italy</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422.2</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445.0</w:t>
            </w:r>
          </w:p>
        </w:tc>
        <w:tc>
          <w:tcPr>
            <w:tcW w:w="591" w:type="dxa"/>
            <w:tcBorders/>
            <w:shd w:fill="auto" w:val="clear"/>
            <w:vAlign w:val="center"/>
          </w:tcPr>
          <w:p>
            <w:pPr>
              <w:pStyle w:val="TableContents"/>
              <w:spacing w:before="0" w:after="0"/>
              <w:ind w:left="0" w:right="0" w:firstLine="400"/>
              <w:jc w:val="lef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Other Southern Europe</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476.4</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2,067.9</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2,193.9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Northern Europe</w:t>
            </w:r>
          </w:p>
        </w:tc>
        <w:tc>
          <w:tcPr>
            <w:tcW w:w="146" w:type="dxa"/>
            <w:tcBorders/>
            <w:shd w:fill="auto" w:val="clear"/>
            <w:vAlign w:val="center"/>
          </w:tcPr>
          <w:p>
            <w:pPr>
              <w:pStyle w:val="TableContents"/>
              <w:spacing w:before="0" w:after="0"/>
              <w:ind w:left="20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967.6</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righ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1,094.5</w:t>
            </w:r>
          </w:p>
        </w:tc>
        <w:tc>
          <w:tcPr>
            <w:tcW w:w="591" w:type="dxa"/>
            <w:tcBorders/>
            <w:shd w:fill="auto" w:val="cle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APME</w:t>
            </w:r>
          </w:p>
        </w:tc>
        <w:tc>
          <w:tcPr>
            <w:tcW w:w="146" w:type="dxa"/>
            <w:tcBorders/>
            <w:shd w:fill="auto" w:val="clear"/>
            <w:vAlign w:val="center"/>
          </w:tcPr>
          <w:p>
            <w:pPr>
              <w:pStyle w:val="TableContents"/>
              <w:spacing w:before="0" w:after="0"/>
              <w:ind w:left="2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605.9</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4,771.6</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5,157.8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Intercompany Eliminations</w:t>
            </w:r>
          </w:p>
        </w:tc>
        <w:tc>
          <w:tcPr>
            <w:tcW w:w="146" w:type="dxa"/>
            <w:tcBorders/>
            <w:shd w:fill="auto" w:val="clear"/>
            <w:vAlign w:val="center"/>
          </w:tcPr>
          <w:p>
            <w:pPr>
              <w:pStyle w:val="TableContents"/>
              <w:spacing w:before="0" w:after="0"/>
              <w:ind w:left="2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shd w:fill="auto" w:val="clear"/>
            <w:vAlign w:val="center"/>
          </w:tcPr>
          <w:p>
            <w:pPr>
              <w:pStyle w:val="TableContents"/>
              <w:spacing w:before="0" w:after="0"/>
              <w:ind w:left="0" w:right="0" w:firstLine="200"/>
              <w:jc w:val="left"/>
              <w:rPr>
                <w:rFonts w:ascii="Times New Roman" w:hAnsi="Times New Roman"/>
                <w:sz w:val="20"/>
              </w:rPr>
            </w:pPr>
            <w:r>
              <w:rPr>
                <w:rFonts w:ascii="Times New Roman;serif" w:hAnsi="Times New Roman;serif"/>
                <w:b w:val="false"/>
                <w:sz w:val="20"/>
              </w:rPr>
              <w:t xml:space="preserve">Consolidated </w:t>
            </w:r>
            <w:r>
              <w:rPr>
                <w:rFonts w:ascii="Times New Roman;serif" w:hAnsi="Times New Roman;serif"/>
                <w:b w:val="false"/>
                <w:sz w:val="13"/>
              </w:rPr>
              <w:t>(b)</w:t>
            </w:r>
          </w:p>
        </w:tc>
        <w:tc>
          <w:tcPr>
            <w:tcW w:w="146" w:type="dxa"/>
            <w:tcBorders/>
            <w:shd w:fill="auto" w:val="clear"/>
            <w:vAlign w:val="center"/>
          </w:tcPr>
          <w:p>
            <w:pPr>
              <w:pStyle w:val="TableContents"/>
              <w:spacing w:before="0" w:after="0"/>
              <w:ind w:left="20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4,752.3</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5,143.3</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20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Operating unit profit: </w:t>
            </w:r>
            <w:r>
              <w:rPr>
                <w:rFonts w:ascii="Times New Roman;serif" w:hAnsi="Times New Roman;serif"/>
                <w:b w:val="false"/>
                <w:sz w:val="13"/>
              </w:rPr>
              <w:t>(c)</w:t>
            </w:r>
          </w:p>
        </w:tc>
        <w:tc>
          <w:tcPr>
            <w:tcW w:w="146"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20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591" w:type="dxa"/>
            <w:tcBorders/>
            <w:shd w:fill="auto" w:val="clear"/>
            <w:vAlign w:val="center"/>
          </w:tcPr>
          <w:p>
            <w:pPr>
              <w:pStyle w:val="TableContents"/>
              <w:spacing w:before="0" w:after="0"/>
              <w:ind w:left="0" w:right="0" w:firstLine="400"/>
              <w:jc w:val="lef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Other Americas</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Southern Europe:</w:t>
            </w:r>
          </w:p>
        </w:tc>
        <w:tc>
          <w:tcPr>
            <w:tcW w:w="146" w:type="dxa"/>
            <w:tcBorders/>
            <w:shd w:fill="auto" w:val="clear"/>
            <w:vAlign w:val="center"/>
          </w:tcPr>
          <w:p>
            <w:pPr>
              <w:pStyle w:val="TableContents"/>
              <w:spacing w:before="0" w:after="0"/>
              <w:ind w:left="20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France</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591" w:type="dxa"/>
            <w:tcBorders/>
            <w:shd w:fill="auto" w:val="clear"/>
            <w:vAlign w:val="center"/>
          </w:tcPr>
          <w:p>
            <w:pPr>
              <w:pStyle w:val="TableContents"/>
              <w:spacing w:before="0" w:after="0"/>
              <w:ind w:left="0" w:right="0" w:firstLine="400"/>
              <w:jc w:val="lef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Italy</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591" w:type="dxa"/>
            <w:tcBorders/>
            <w:shd w:fill="auto" w:val="clear"/>
            <w:vAlign w:val="center"/>
          </w:tcPr>
          <w:p>
            <w:pPr>
              <w:pStyle w:val="TableContents"/>
              <w:spacing w:before="0" w:after="0"/>
              <w:ind w:left="0" w:right="0" w:firstLine="400"/>
              <w:jc w:val="left"/>
              <w:rPr/>
            </w:pPr>
            <w:r>
              <w:rPr/>
              <w:t> </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Other Southern Europe</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1194"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Northern Europe</w:t>
            </w:r>
          </w:p>
        </w:tc>
        <w:tc>
          <w:tcPr>
            <w:tcW w:w="146" w:type="dxa"/>
            <w:tcBorders/>
            <w:shd w:fill="auto" w:val="clear"/>
            <w:vAlign w:val="center"/>
          </w:tcPr>
          <w:p>
            <w:pPr>
              <w:pStyle w:val="TableContents"/>
              <w:spacing w:before="0" w:after="0"/>
              <w:ind w:left="20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591" w:type="dxa"/>
            <w:tcBorders/>
            <w:shd w:fill="auto" w:val="cle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APME</w:t>
            </w:r>
          </w:p>
        </w:tc>
        <w:tc>
          <w:tcPr>
            <w:tcW w:w="146" w:type="dxa"/>
            <w:tcBorders/>
            <w:shd w:fill="auto" w:val="clear"/>
            <w:vAlign w:val="center"/>
          </w:tcPr>
          <w:p>
            <w:pPr>
              <w:pStyle w:val="TableContents"/>
              <w:spacing w:before="0" w:after="0"/>
              <w:ind w:left="2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20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164.6</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expenses</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 amortization expense</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Operating profit</w:t>
            </w:r>
          </w:p>
        </w:tc>
        <w:tc>
          <w:tcPr>
            <w:tcW w:w="146" w:type="dxa"/>
            <w:tcBorders/>
            <w:shd w:fill="auto" w:val="clear"/>
            <w:vAlign w:val="center"/>
          </w:tcPr>
          <w:p>
            <w:pPr>
              <w:pStyle w:val="TableContents"/>
              <w:spacing w:before="0" w:after="0"/>
              <w:ind w:left="40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5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Earnings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110.4</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100"/>
        <w:jc w:val="left"/>
        <w:rPr>
          <w:rFonts w:ascii="Times New Roman" w:hAnsi="Times New Roman"/>
          <w:sz w:val="20"/>
        </w:rPr>
      </w:pPr>
      <w:r>
        <w:rPr>
          <w:rFonts w:ascii="Times New Roman;serif" w:hAnsi="Times New Roman;serif"/>
          <w:b w:val="false"/>
          <w:sz w:val="19"/>
        </w:rPr>
        <w:t>(a) In the United States, revenues from services included fees received from the related franchise offices of $3.2</w:t>
      </w:r>
      <w:r>
        <w:rPr>
          <w:rFonts w:ascii="Times New Roman" w:hAnsi="Times New Roman"/>
          <w:sz w:val="20"/>
        </w:rPr>
        <w:t xml:space="preserve"> </w:t>
      </w:r>
      <w:r>
        <w:rPr>
          <w:rFonts w:ascii="Times New Roman;serif" w:hAnsi="Times New Roman;serif"/>
          <w:b w:val="false"/>
          <w:sz w:val="19"/>
        </w:rPr>
        <w:t>and $2.9</w:t>
      </w:r>
      <w:r>
        <w:rPr>
          <w:rFonts w:ascii="Times New Roman" w:hAnsi="Times New Roman"/>
          <w:sz w:val="20"/>
        </w:rPr>
        <w:t xml:space="preserve"> </w:t>
      </w:r>
      <w:r>
        <w:rPr>
          <w:rFonts w:ascii="Times New Roman;serif" w:hAnsi="Times New Roman;serif"/>
          <w:b w:val="false"/>
          <w:sz w:val="19"/>
        </w:rPr>
        <w:t>for the three months ended March 31, 2023 and 2022, respectively. These fees are primarily based on revenues generated by the franchise offices, which were $99.3</w:t>
      </w:r>
      <w:r>
        <w:rPr>
          <w:rFonts w:ascii="Times New Roman" w:hAnsi="Times New Roman"/>
          <w:sz w:val="20"/>
        </w:rPr>
        <w:t xml:space="preserve"> </w:t>
      </w:r>
      <w:r>
        <w:rPr>
          <w:rFonts w:ascii="Times New Roman;serif" w:hAnsi="Times New Roman;serif"/>
          <w:b w:val="false"/>
          <w:sz w:val="19"/>
        </w:rPr>
        <w:t>and $110.8</w:t>
      </w:r>
      <w:r>
        <w:rPr>
          <w:rFonts w:ascii="Times New Roman" w:hAnsi="Times New Roman"/>
          <w:sz w:val="20"/>
        </w:rPr>
        <w:t xml:space="preserve"> </w:t>
      </w:r>
      <w:r>
        <w:rPr>
          <w:rFonts w:ascii="Times New Roman;serif" w:hAnsi="Times New Roman;serif"/>
          <w:b w:val="false"/>
          <w:sz w:val="19"/>
        </w:rPr>
        <w:t>for the three months ended March 31, 2023 and 2022, respectively.</w:t>
      </w:r>
    </w:p>
    <w:p>
      <w:pPr>
        <w:pStyle w:val="TextBody"/>
        <w:spacing w:before="0" w:after="100"/>
        <w:jc w:val="left"/>
        <w:rPr>
          <w:rFonts w:ascii="Times New Roman" w:hAnsi="Times New Roman"/>
          <w:sz w:val="20"/>
        </w:rPr>
      </w:pPr>
      <w:r>
        <w:rPr>
          <w:rFonts w:ascii="Times New Roman;serif" w:hAnsi="Times New Roman;serif"/>
          <w:b w:val="false"/>
          <w:sz w:val="19"/>
        </w:rPr>
        <w:t>(b) Our consolidated revenues from services include fees received from our franchise offices of $3.9</w:t>
      </w:r>
      <w:r>
        <w:rPr>
          <w:rFonts w:ascii="Times New Roman" w:hAnsi="Times New Roman"/>
          <w:sz w:val="20"/>
        </w:rPr>
        <w:t xml:space="preserve"> </w:t>
      </w:r>
      <w:r>
        <w:rPr>
          <w:rFonts w:ascii="Times New Roman;serif" w:hAnsi="Times New Roman;serif"/>
          <w:b w:val="false"/>
          <w:sz w:val="19"/>
        </w:rPr>
        <w:t>and $3.6</w:t>
      </w:r>
      <w:r>
        <w:rPr>
          <w:rFonts w:ascii="Times New Roman" w:hAnsi="Times New Roman"/>
          <w:sz w:val="20"/>
        </w:rPr>
        <w:t xml:space="preserve"> </w:t>
      </w:r>
      <w:r>
        <w:rPr>
          <w:rFonts w:ascii="Times New Roman;serif" w:hAnsi="Times New Roman;serif"/>
          <w:b w:val="false"/>
          <w:sz w:val="19"/>
        </w:rPr>
        <w:t>for the three months ended March 31, 2023 and 2022, respectively. These fees are primarily based on revenues generated by the franchise offices, which were $250.2</w:t>
      </w:r>
      <w:r>
        <w:rPr>
          <w:rFonts w:ascii="Times New Roman" w:hAnsi="Times New Roman"/>
          <w:sz w:val="20"/>
        </w:rPr>
        <w:t xml:space="preserve"> </w:t>
      </w:r>
      <w:r>
        <w:rPr>
          <w:rFonts w:ascii="Times New Roman;serif" w:hAnsi="Times New Roman;serif"/>
          <w:b w:val="false"/>
          <w:sz w:val="19"/>
        </w:rPr>
        <w:t>and $265.2</w:t>
      </w:r>
      <w:r>
        <w:rPr>
          <w:rFonts w:ascii="Times New Roman" w:hAnsi="Times New Roman"/>
          <w:sz w:val="20"/>
        </w:rPr>
        <w:t xml:space="preserve"> </w:t>
      </w:r>
      <w:r>
        <w:rPr>
          <w:rFonts w:ascii="Times New Roman;serif" w:hAnsi="Times New Roman;serif"/>
          <w:b w:val="false"/>
          <w:sz w:val="19"/>
        </w:rPr>
        <w:t>for the three months ended March 31, 2023 and 2022, respectively.</w:t>
      </w:r>
    </w:p>
    <w:p>
      <w:pPr>
        <w:pStyle w:val="TextBody"/>
        <w:spacing w:before="0" w:after="0"/>
        <w:jc w:val="left"/>
        <w:rPr>
          <w:rFonts w:ascii="Times New Roman;serif" w:hAnsi="Times New Roman;serif"/>
          <w:b w:val="false"/>
          <w:sz w:val="19"/>
        </w:rPr>
      </w:pPr>
      <w:r>
        <w:rPr>
          <w:rFonts w:ascii="Times New Roman;serif" w:hAnsi="Times New Roman;serif"/>
          <w:b w:val="false"/>
          <w:sz w:val="19"/>
        </w:rPr>
        <w:t>(c) 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pStyle w:val="TextBody"/>
        <w:spacing w:before="0" w:after="0"/>
        <w:jc w:val="left"/>
        <w:rPr/>
      </w:pPr>
      <w:bookmarkStart w:id="12" w:name="end_notes_to_consolidated_financial_stat"/>
      <w:bookmarkEnd w:id="12"/>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u w:val="single"/>
        </w:rPr>
      </w:pPr>
      <w:bookmarkStart w:id="13" w:name="item_2_managements_discussion_analysis_f"/>
      <w:bookmarkEnd w:id="13"/>
      <w:r>
        <w:rPr>
          <w:rFonts w:ascii="Times New Roman;serif" w:hAnsi="Times New Roman;serif"/>
          <w:b w:val="false"/>
          <w:sz w:val="20"/>
          <w:u w:val="single"/>
        </w:rPr>
        <w:t>Item 2 – Management’s Discussion and Analysis of Financial Condition and Results of Operations</w:t>
      </w:r>
    </w:p>
    <w:p>
      <w:pPr>
        <w:pStyle w:val="TextBody"/>
        <w:spacing w:before="200" w:after="0"/>
        <w:jc w:val="left"/>
        <w:rPr>
          <w:rFonts w:ascii="Times New Roman" w:hAnsi="Times New Roman"/>
          <w:sz w:val="20"/>
        </w:rPr>
      </w:pPr>
      <w:r>
        <w:rPr>
          <w:rFonts w:ascii="Times New Roman;serif" w:hAnsi="Times New Roman;serif"/>
          <w:b w:val="false"/>
          <w:sz w:val="20"/>
        </w:rPr>
        <w:t>See the financial measures section on page 29</w:t>
      </w:r>
      <w:r>
        <w:rPr>
          <w:rFonts w:ascii="Times New Roman" w:hAnsi="Times New Roman"/>
          <w:sz w:val="20"/>
        </w:rPr>
        <w:t xml:space="preserve"> </w:t>
      </w:r>
      <w:r>
        <w:rPr>
          <w:rFonts w:ascii="Times New Roman;serif" w:hAnsi="Times New Roman;serif"/>
          <w:b w:val="false"/>
          <w:sz w:val="20"/>
        </w:rPr>
        <w:t>for further information on the Non-GAAP financial measures of constant currency and organic constant currency.</w:t>
      </w:r>
    </w:p>
    <w:p>
      <w:pPr>
        <w:pStyle w:val="TextBody"/>
        <w:spacing w:before="200" w:after="0"/>
        <w:jc w:val="left"/>
        <w:rPr>
          <w:rFonts w:ascii="Times New Roman" w:hAnsi="Times New Roman"/>
          <w:sz w:val="20"/>
        </w:rPr>
      </w:pPr>
      <w:r>
        <w:rPr>
          <w:rFonts w:ascii="Times New Roman;serif" w:hAnsi="Times New Roman;serif"/>
          <w:b w:val="false"/>
          <w:sz w:val="20"/>
          <w:u w:val="single"/>
        </w:rPr>
        <w:t>Forward-Looking Statements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2022, which information is incorporated herein by reference. Such risks and uncertainties include, but are not limited to, volatile, negative or uncertain economic conditions, particularly in Europe, including inflation, impacts of the Russia-Ukraine War and its related supply-chain impact; other geopolitical risk and uncertainty; changes in labor and tax legislation in places we do business;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pStyle w:val="TextBody"/>
        <w:spacing w:before="200" w:after="0"/>
        <w:jc w:val="left"/>
        <w:rPr>
          <w:rFonts w:ascii="Times New Roman;serif" w:hAnsi="Times New Roman;serif"/>
          <w:b w:val="false"/>
          <w:sz w:val="20"/>
          <w:u w:val="single"/>
        </w:rPr>
      </w:pPr>
      <w:r>
        <w:rPr>
          <w:rFonts w:ascii="Times New Roman;serif" w:hAnsi="Times New Roman;serif"/>
          <w:b w:val="false"/>
          <w:sz w:val="20"/>
          <w:u w:val="single"/>
        </w:rPr>
        <w:t>Business Overview</w:t>
      </w:r>
    </w:p>
    <w:p>
      <w:pPr>
        <w:pStyle w:val="TextBody"/>
        <w:spacing w:before="200" w:after="0"/>
        <w:jc w:val="left"/>
        <w:rPr>
          <w:rFonts w:ascii="Times New Roman" w:hAnsi="Times New Roman"/>
          <w:sz w:val="20"/>
        </w:rPr>
      </w:pPr>
      <w:r>
        <w:rPr>
          <w:rFonts w:ascii="Times New Roman;serif" w:hAnsi="Times New Roman;serif"/>
          <w:b w:val="false"/>
          <w:sz w:val="20"/>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as we experienced in the first quarter of 2023,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we concluded the first quarter of 2023, we observed softening demand for staffing services due to increased economic uncertainty. We believe that downside risks to the global economic outlook have continued to increase through the first quarter of 2023, and may worsen in future periods. These economic risks are particularly high in Europe, driven by elevated inflation, the Russia-Ukraine war and its related supply chain impacts, and higher interest rates. As Europe represents a significant portion of our operations, we continue to monitor economic conditions in our Southern Europe and Northern Europe regions. The Americas market is also experiencing heightened economic risk and uncertainty, driven primarily by elevated inflation, sensitivity to supply chain impacts, and the United States' sensitivity to rising interest rates, which could impact other countries given the importance of the United States economy. As a result of these factors, we expect the business environment will continue to be challenging for us, especially in the United States and Europe, with many companies delaying hiring decisions or reducing their demand for contingent labor.</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During the first quarter of 2023, the strength of the dollar, particularly against the Euro, had a -5.4% unfavorable impact on revenues from services and an approximately $0.14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the translation of reported earnings and not our actual cash flow unless earnings are repatriated. To understand the performance of our underlying business, we utilize constant currency or organic constant currency variances for our consolidated and segment results.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During the first quarter of 2023 compared to the first quarter of 2022, we experienced a -9.7% revenue decrease in the Americas, primarily driven by the decrease in demand for our Manpower and Experis staffing/interim business. During the first quarter of 2023 compared to the first quarter of 2022, revenues decreased -5.7% and -11.6% in Southern Europe and Northern Europe, respectively, primarily due to a decrease in our Manpower and Experis staffing/interim business and the unfavorable impact of currency exchange rates. We experienced a -2.0% revenue decrease in APME in the first quarter of 2023 compared to the first quarter of 2022 primarily due to the unfavorable currency exchange rate impact, partially offset by an increase in our Manpower staffing/interim business and increased demand for our outplacement services in our Talent Solutions business.</w:t>
      </w:r>
    </w:p>
    <w:p>
      <w:pPr>
        <w:pStyle w:val="TextBody"/>
        <w:spacing w:before="200" w:after="0"/>
        <w:jc w:val="left"/>
        <w:rPr>
          <w:rFonts w:ascii="Times New Roman" w:hAnsi="Times New Roman"/>
          <w:sz w:val="20"/>
        </w:rPr>
      </w:pPr>
      <w:r>
        <w:rPr>
          <w:rFonts w:ascii="Times New Roman;serif" w:hAnsi="Times New Roman;serif"/>
          <w:b w:val="false"/>
          <w:sz w:val="20"/>
        </w:rPr>
        <w:t>From a brand perspective, we experienced revenue decreases in Manpower, Experis and Talent Solutions in the first quarter of 2023 compared to the first quarter of 2022. In our Manpower brand, the revenue decrease was primarily due to decreased demand for staffing/interim services and an unfavorable currency exchange rate impact. The revenue decrease in our Experis brand was primarily due to decreased demand for staffing/interim services and the impact of unfavorable currency exchange rates. On an overall basis, the revenue decrease in our Talent Solutions brand, which includes Recruitment Process Outsourcing (RPO), TAPFIN - Managed Service Provider (MSP) and our Right Management offerings, was driven mostly by decreased demand for our RPO and MSP offerings relative to the prior year period, as the permanent recruitment environment was exceptionally strong during the first quarter of 2022. This decrease was partially offset by a significant increase in demand for our outplacement services under Right Management.</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gross profit margin improved in the first quarter of 2023 compared to the first quarter of 2022 primarily due to a favorable change in business mix, particularly in our staffing/interim businesses, and growth in our higher margin outplacement offerings under Right Management. The increase in gross profit margin was also due to a higher percentage of revenue mix coming from our higher-margin professional staffing and Talent Solutions offerings.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operating profit decreased -15.0% in the first quarter of 2023 while our operating profit margin decreased 20 basis points compared to the first quarter of 2022. Excluding restructuring costs of $6.6 million incurred in the first quarter of 2023, the loss of $9.7 million in selling and administrative expenses from the disposition of our Russia business in the first quarter of 2022, and acquisition integration costs of $3.7 million incurred in the first quarter of 2022, our operating profit decreased 18.2% while operating profit margin decreased 40 basis points compared to the first quarter of 2022. The operating profit margin decreased primarily because we did not reduce selling and administrative expenses for the quarter as quickly as the decline in revenues that we experienced.</w:t>
      </w:r>
    </w:p>
    <w:p>
      <w:pPr>
        <w:pStyle w:val="TextBody"/>
        <w:spacing w:before="200" w:after="0"/>
        <w:jc w:val="left"/>
        <w:rPr>
          <w:rFonts w:ascii="Times New Roman" w:hAnsi="Times New Roman"/>
          <w:sz w:val="20"/>
        </w:rPr>
      </w:pPr>
      <w:r>
        <w:rPr>
          <w:rFonts w:ascii="Times New Roman;serif" w:hAnsi="Times New Roman;serif"/>
          <w:b w:val="false"/>
          <w:sz w:val="20"/>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u w:val="single"/>
        </w:rPr>
      </w:pPr>
      <w:r>
        <w:rPr>
          <w:rFonts w:ascii="Times New Roman;serif" w:hAnsi="Times New Roman;serif"/>
          <w:b w:val="false"/>
          <w:sz w:val="20"/>
          <w:u w:val="single"/>
        </w:rPr>
        <w:t>Operating Results - Three Months Ended March 31, 2023 and 2022</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following table presents selected consolidated financial data for the three months ended March 31, 2023 as compared to 2022.</w:t>
      </w:r>
    </w:p>
    <w:p>
      <w:pPr>
        <w:pStyle w:val="TextBody"/>
        <w:spacing w:before="0" w:after="0"/>
        <w:jc w:val="left"/>
        <w:rPr/>
      </w:pPr>
      <w:r>
        <w:rPr/>
        <w:t> </w:t>
      </w:r>
    </w:p>
    <w:tbl>
      <w:tblPr>
        <w:tblW w:w="8715" w:type="dxa"/>
        <w:jc w:val="left"/>
        <w:tblInd w:w="0" w:type="dxa"/>
        <w:tblCellMar>
          <w:top w:w="28" w:type="dxa"/>
          <w:left w:w="28" w:type="dxa"/>
          <w:bottom w:w="28" w:type="dxa"/>
          <w:right w:w="28" w:type="dxa"/>
        </w:tblCellMar>
      </w:tblPr>
      <w:tblGrid>
        <w:gridCol w:w="3046"/>
        <w:gridCol w:w="146"/>
        <w:gridCol w:w="211"/>
        <w:gridCol w:w="721"/>
        <w:gridCol w:w="271"/>
        <w:gridCol w:w="146"/>
        <w:gridCol w:w="211"/>
        <w:gridCol w:w="721"/>
        <w:gridCol w:w="271"/>
        <w:gridCol w:w="146"/>
        <w:gridCol w:w="196"/>
        <w:gridCol w:w="690"/>
        <w:gridCol w:w="316"/>
        <w:gridCol w:w="146"/>
        <w:gridCol w:w="213"/>
        <w:gridCol w:w="703"/>
        <w:gridCol w:w="56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br/>
              <w:br/>
              <w:t>(in millions, except per share data)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Variance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Constant</w:t>
              <w:br/>
              <w:t>Currency</w:t>
              <w:br/>
              <w:t>Variance</w:t>
            </w:r>
          </w:p>
        </w:tc>
        <w:tc>
          <w:tcPr>
            <w:tcW w:w="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 from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4,752.3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5,143.3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3,889.2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4,246.2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Gross profit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18.2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17.4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16"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745.2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w:t>
            </w:r>
          </w:p>
        </w:tc>
        <w:tc>
          <w:tcPr>
            <w:tcW w:w="56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Operating profit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2.5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2.7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16"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180.4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916"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firstLine="200"/>
              <w:jc w:val="right"/>
              <w:rPr/>
            </w:pPr>
            <w:r>
              <w:rPr/>
              <w:t> </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Earnings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(11.5</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916"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Effective income tax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29.5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32.6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16"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firstLine="200"/>
              <w:jc w:val="right"/>
              <w:rPr/>
            </w:pPr>
            <w:r>
              <w:rPr/>
              <w:t> </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earnings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earnings per share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916" w:type="dxa"/>
            <w:gridSpan w:val="2"/>
            <w:tcBorders/>
            <w:shd w:fill="auto" w:val="clear"/>
            <w:vAlign w:val="center"/>
          </w:tcPr>
          <w:p>
            <w:pPr>
              <w:pStyle w:val="TableContents"/>
              <w:spacing w:before="0" w:after="0"/>
              <w:ind w:left="0" w:right="0" w:hanging="0"/>
              <w:jc w:val="right"/>
              <w:rPr/>
            </w:pPr>
            <w:r>
              <w:rPr/>
              <w:t> </w:t>
            </w:r>
          </w:p>
        </w:tc>
        <w:tc>
          <w:tcPr>
            <w:tcW w:w="56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year-over-year decrease in revenues from services of -7.6% (-2.2% in constant currency and -2.3% in organic constant currency) was attributed to:</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revenue decrease in the Americas of -9.7% (-6.1% in constant currency) primarily due to the decreased demand for our Manpower and Experis staffing/interim business and a -24.2% decrease (-23.2% in constant currency) in our permanent recruitment business, partially offset by the significant increase in demand for our Talent Solutions outplacement services. The United States, our largest market in the Americas, experienced a revenue decrease of -13.4% primarily driven by decreased demand for our Manpower and Experis staffing/interim services and a decrease in our permanent recruitment business of -30.1%, partially offset by a significant increase in demand for our Talent Solutions outplacement services;</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a revenue decrease in Southern Europe of -5.7% (-1.4% in constant currency and -1.8% in organic constant currency) which was primarily due to the unfavorable impact of change in currency exchange rates and a decrease in our Manpower staffing/interim business. France, the largest market in Southern Europe, experienced a revenue decrease of -1.9% (increase of 2.5% in constant currency and 1.5% in organic constant currency), which was primarily due to the unfavorable impact of change in currency exchange rates and decreased demand for our Manpower staffing services as supply chain constraints negatively impacted the demand for our services in certain sectors, primarily construction and logistics. The decrease in France was partially offset by a significant increase in demand for our Talent Solutions outplacement services. Italy, our second-largest market in Southern Europe, experienced a revenue decrease of -5.1% (-0.8% in constant currency), which was primarily due to the unfavorable impact of foreign currency exchange rates and the anniversary impact of significant revenue growth in the prior year period, partially offset by the 10.7% increase (15.7% in constant currency) in our permanent recruitment business; </w:t>
      </w:r>
    </w:p>
    <w:p>
      <w:pPr>
        <w:pStyle w:val="TextBody"/>
        <w:spacing w:before="200" w:after="0"/>
        <w:jc w:val="left"/>
        <w:rPr/>
      </w:pPr>
      <w:r>
        <w:rPr/>
        <w:t xml:space="preserve">• </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a revenue decrease in Northern Europe of -11.6% (-3.9% in constant currency and -3.5% in organic constant currency), primarily due to decreased demand for our Manpower and Experis staffing/interim services and the unfavorable impact of foreign currency exchange rates, partially offset by the increased demand for our Talent Solutions permanent recruitment services. We experienced revenue decreases in the United Kingdom, Nordics, Germany, the Netherlands and Belgium of -18.9%, -9.2%, -2.3%, -9.9% and -6.0%, respectively (-10.5%, +2.6%, +2.1%, -5.8%, and -1.8%, respectively, in constant currency);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00" w:after="0"/>
        <w:jc w:val="left"/>
        <w:rPr/>
      </w:pPr>
      <w:r>
        <w:rPr/>
        <w:t xml:space="preserve">• </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a revenue decrease in APME of -2.0% (increase of 7.3% in constant currency) primarily due to the unfavorable impact of change in currency exchange rates, partially offset by increased demand for our Manpower staffing/interim services and our Talent Solutions outplacement services.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year-over-year 80 basis point increase in gross profit margin was primarily attributed to:</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40 basis point favorable impact from the improvement in the staffing/interim margins;</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20 basis point favorable change in business mix as the higher-margin Right Management outplacement business represented a higher percentage of the revenue mix;</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20 basis point favorable impact from the changes in currency exchange rates; and</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10 basis point favorable impact due to adjustments made to direct costs related to provision true-ups; partially offset by</w:t>
      </w:r>
    </w:p>
    <w:p>
      <w:pPr>
        <w:pStyle w:val="TextBody"/>
        <w:spacing w:before="200" w:after="0"/>
        <w:jc w:val="left"/>
        <w:rPr/>
      </w:pPr>
      <w:r>
        <w:rPr/>
        <w:t xml:space="preserve">• </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a 10 basis point unfavorable impact from the anniversary impact of significant revenue growth in our permanent recruitment business in the prior year period.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-1.7% decrease in selling and administrative expenses in the first quarter of 2023 (increase of 2.9% in constant currency and 2.4% in organic constant currency) was primarily attributed to:</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a -2.6% decrease (increase of 2.2% in constant currency and 3.1% in organic constant currency) in non-personnel costs in the first quarter of 2022, due to the favorable impact of currency exchange rates and a decrease in costs related to bad debt, partially offset by an increase in costs related to office leases and consulting services; </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a -1.2% decrease (increase of 3.4% in constant currency and 3.6% in organic constant currency) in personnel costs due to the favorable impact of currency exchange rates and a decrease in costs related to bonuses and sales commissions, partially offset by an increase in salary-related costs due to inflation; </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a -4.6% decrease due to the impact of changes in currency exchange rates; </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$3.7 million in acquisition integration costs incurred in the first quarter of 2022; and</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anniversary of a loss on the disposition of our Russia business of $9.7 million incurred in the first quarter of 2022; partially offset by</w:t>
      </w:r>
    </w:p>
    <w:p>
      <w:pPr>
        <w:pStyle w:val="TextBody"/>
        <w:spacing w:before="200" w:after="0"/>
        <w:jc w:val="left"/>
        <w:rPr/>
      </w:pPr>
      <w:r>
        <w:rPr/>
        <w:t xml:space="preserve">• </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restructuring costs of $6.6 million incurred in the first quarter of 2023.</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Selling and administrative expenses as a percent of revenues increased 100 basis points in the first quarter of 2023 compared to the first quarter of 2022 due primarily to:</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90 basis point unfavorable impact as personnel costs increased, due to the investment in incremental recruiters and sales talent in certain markets where we see opportunities, without a similar rate of increase in revenues;</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a 20 basis point unfavorable impact from changes in currency exchange rates; </w:t>
      </w:r>
    </w:p>
    <w:p>
      <w:pPr>
        <w:pStyle w:val="TextBody"/>
        <w:spacing w:before="200" w:after="0"/>
        <w:jc w:val="left"/>
        <w:rPr/>
      </w:pPr>
      <w:r>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10 basis point unfavorable impact as a result of the restructuring costs incurred in the first quarter of 2023; partially offset by</w:t>
      </w:r>
    </w:p>
    <w:p>
      <w:pPr>
        <w:pStyle w:val="TextBody"/>
        <w:spacing w:before="200" w:after="0"/>
        <w:jc w:val="left"/>
        <w:rPr/>
      </w:pPr>
      <w:r>
        <w:rPr/>
        <w:t xml:space="preserve">• </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a 20 basis point favorable impact from the anniversary of acquisition integration costs and the disposition of our Russia business in the first quarter of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Interest and other expenses, net is comprised of interest, foreign exchange gains and losses and other miscellaneous non-operating income and expenses, including noncontrolling interests. Interest and other expenses, net was $7.5 million in the first quarter of 2023 compared to $2.7 million in the first quarter of 2022 primarily due to increased foreign exchange loss and increased interest expense due to the higher interest rate environment, partially offset by an increase in pension returns.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recorded income tax expense at an effective rate of 29.5% in the first quarter of 2023, as compared to an effective rate of 32.6% for the first quarter of 2022. The 2023 rate was favorably impacted by the scheduled reduction in the French business tax rate from 0.75% to 0.375% effective January 1, 2023. The 29.5% effective tax rate in the first quarter of 2023 was higher than the United States Federal statutory rate of 21% primarily due to the French business tax, tax losses in certain countries for which we did not recognize a corresponding tax benefit due to valuation allowances, and the overall mix of earnings.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Net earnings per share - diluted was $1.51 in the first quarter of 2023 compared to $1.68 in the first quarter of 2022. Foreign currency exchange rates unfavorably impacted net earnings per share - diluted by approximately $0.14 per share in the first quarter of 2023. Restructuring costs recorded in the first quarter of 2023 unfavorably impacted net earnings per share - diluted by approximately $0.10, net of tax, in the first quarter of 2023.</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Weighted average shares - diluted decreased to 51.6 million in the first quarter of 2023 from 54.4 million in the first quarter of 2022. This decrease was due to the impact of share repurchases completed since the first quarter of 2022, partially offset by grants of share-based awards.</w:t>
      </w:r>
    </w:p>
    <w:p>
      <w:pPr>
        <w:pStyle w:val="TextBody"/>
        <w:spacing w:before="200" w:after="0"/>
        <w:jc w:val="left"/>
        <w:rPr>
          <w:rFonts w:ascii="Times New Roman;serif" w:hAnsi="Times New Roman;serif"/>
          <w:b w:val="false"/>
          <w:sz w:val="20"/>
          <w:u w:val="single"/>
        </w:rPr>
      </w:pPr>
      <w:r>
        <w:rPr>
          <w:rFonts w:ascii="Times New Roman;serif" w:hAnsi="Times New Roman;serif"/>
          <w:b w:val="false"/>
          <w:sz w:val="20"/>
          <w:u w:val="single"/>
        </w:rPr>
        <w:t>Segment Operating Results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Americas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the Americas, revenues from services decreased -9.7% (-6.1% in constant currency) in the first quarter of 2023 compared to the first quarter of 2022. In the United States (which represents 68% of the America's revenues), revenues from services decreased -13.4% in the first quarter of 2023 compared to the first quarter of 2022, primarily driven by decreased demand for our Manpower and Experis staffing/interim services and a decrease in our permanent recruitment business of -30.1%, partially offset by increased demand for our Talent Solutions outplacement services. In Other Americas, revenues from services decreased -0.4% (increase of 11.8% in constant currency) in the first quarter of 2023 compared to the first quarter of 2022 primarily due to decreased demand for our Manpower and Experis staffing/interim services, partially offset by an increase in our permanent recruitment business of 4.7% (10.8% in constant currency). The decrease in Other Americas was driven by revenue decreases in Canada, Colombia, and Peru of -12.2%, -13.9%, and -10.7%, respectively (-6.2%, +4.7%, and -10.5%, respectively, in constant currency), partially offset by revenue increases in Mexico, Argentina and Brazil of 7.5%, 27.9% and 8.5%, respectively (-2.2%, +131.0% and +8.1%, respectively, in constant currency).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Gross profit margin increased in the first quarter of 2023 compared to the first quarter of 2022 primarily due to a higher percentage of the revenue mix coming from our higher-margin Talent Solutions outplacement business and increased margins in our staffing/interim business. The increase was partially offset by decreases in our permanent recruitment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Selling and administrative expenses decreased 1.7% (flat in constant currency) in the first quarter of 2023 compared to the first quarter of 2022, primarily due to a decrease in bonuses and sales commissions as a result of decreased profitability in certain markets and zero acquisition integration costs in the first quarter of 2023 compared to acquisition transaction costs of $3.7 million in the first quarter of 2022. The decreases were partially offset by $0.9 million of restructuring costs incurred in the first quarter of 2023 compared to zero in the first quarter of 2022, and an increase in salary-related costs.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Operating Unit Profit (“OUP”) margin in the Americas was 4.3% and 5.8% for the first quarter of 2023 and 2022, respectively. In the United States, OUP margin decreased to 4.0% in the first quarter of 2023 from 6.6% in the first quarter of 2022 primarily due to decreases in our permanent recruitment business, decreased operating leverage and a slight decrease in the gross profit margin due to an unfavorable business mix, partially offset by an increase in our higher-margin Talent Solutions outplacement business. Other Americas OUP margin increased to 4.9% in the first quarter of 2023 from 4.0% in the first quarter of 2022 primarily due to the gross profit margin improvement.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Southern Europe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Southern Europe, revenues from services decreased -5.7% (-1.4% in constant currency and -1.8% in organic constant currency) in the first quarter of 2023 compared to the first quarter of 2022. In France (which represents 57% of Southern Europe’s revenues), revenues from services decreased -1.9% (increase of 2.5% in constant currency and 1.5% in organic constant currency) in the first quarter of 2023. In Italy (which represents 20% of Southern Europe’s revenues), revenues from services decreased -5.1% (-0.8% in constant currency) in the first quarter of 2023. The decrease in France is primarily due to the unfavorable impact of currency exchange rates and decreased demand for our Manpower staffing services as supply chain constraints have negatively impacted the demand for our services in certain sectors, primarily construction and logistics, partially offset by a significant increase in demand for our Talent Solutions outplacement services. The decrease in Italy was primarily due to the unfavorable impact of foreign currency exchange rates and the anniversary impact of significant revenue growth in the prior year period, partially offset by an increase of 10.7% (15.7% in constant currency) in the permanent recruitment business. In Other Southern Europe, revenues from services decreased -14.4% (-10.3% in constant currency) during the first quarter of 2023 compared to the first quarter of 2022, primarily due to decreased demand for our Manpower staffing services and the unfavorable impact of currency exchange rates, partially offset by an increase in our permanent recruitment business of 1.9% (8.0% in constant currency).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Gross profit margin increased in the first quarter of 2023 compared to the first quarter of 2022. The increase was primarily due to the impact of a higher percentage of the revenue mix coming from our higher-margin Right Management Outplacement business and increased margins in our staffing/interim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Selling and administrative expenses increased 2.5% (increase of 7.3% in constant currency and 5.5% in organic constant currency) during the first quarter of 2023 compared to the first quarter of 2022 primarily due to the increase in salary-related costs and $0.3 million in restructuring costs incurred in the first quarter of 2023 compared to zero in the first quarter of 2022, partially offset by the favorable impact of currency exchange rates and a decrease in bonuses and sales commissions as a result of decreased profitability in certain markets.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OUP margin in Southern Europe was 4.3% for both the first quarter of 2023 and 2022. In France, the OUP margin was 3.8% for the first quarter of 2023 compared to 4.2% for the first quarter of 2022. The decrease in France was primarily due to the increase of selling and administrative expenses, which increased as revenues declined. In Italy, the OUP margin increased to 7.3% for the first quarter of 2023 from 6.5% for the first quarter of 2022 primarily due to the increase in the gross profit margin. Other Southern Europe’s OUP margin was 3.0% for both the first quarter of 2023 and 2022.</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Northern Europe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Northern Europe, the largest country operations include the United Kingdom, the Nordics, Germany, the Netherlands and Belgium (comprising 35%, 23%, 15%, 10%, and 7%, respectively, of Northern Europe’s revenues). In the Northern Europe region, revenues from services decreased -11.6% (-3.9% in constant currency and -3.5% in organic constant currency) in the first quarter of 2023 compared to the first quarter of 2022. We experienced revenue decreases in the United Kingdom, Nordics, Germany, the Netherlands and Belgium of -18.9%, -9.2%, -2.3%, -9.9% and -6.0%, respectively (-10.5%, +2.6%, +2.1%, -5.8%, and -1.8%, respectively, in constant currency). The revenue decrease in Northern Europe was primarily due to a decreased demand for our Manpower and Experis staffing/interim services and the unfavorable impact of foreign currency exchange rates. The decrease was partially offset by the increased demand for our RPO permanent recruitment services.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Gross profit margin increased in the first quarter of 2023 compared to the first quarter of 2022 primarily due to increases in our staffing/interim margins and the increases in our RPO permanent recruitment services.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Selling and administrative expenses decreased -5.8% (increase of 1.5% in constant currency and 1.7% in organic constant currency) in the first quarter of 2023 compared to the first quarter of 2022. The decrease is primarily due to the favorable impact of currency exchange rates and the anniversary of the loss on the sale of our Russia business, partially offset by $2.5 million in restructuring costs incurred in the first quarter of 2023 compared to zero in the first quarter of 2022 and an increase in salary-related costs.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OUP margin for Northern Europe increased to 0.5% in the first quarter of 2023 from 0.3% in the first quarter of 2022. The increase was primarily due to the anniversary of the loss on the sale of our Russia business and the increase in gross profit margin.</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APME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Revenues from services decreased -2.0% (increase of 7.3% in constant currency) in the first quarter of 2023 compared to the first quarter of 2022. In Japan (which represents 47% of APME’s revenues), revenues from services decreased -1.0% (increase of 12.7% in constant currency) due to the unfavorable impact of the change in currency exchange rates, partially offset by increased demand in our Talent Solutions outplacement services. In Australia (which represents 11% of APME’s revenues), revenues from services decreased -4.2% (increase of 1.5% in constant currency), primarily due to unfavorable impact of currency exchange rates and decreased demand for our Experis business, partially offset by the increased demand for our Talent Solutions outplacement services.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Gross profit margin increased in the first quarter of 2023 compared to the first quarter of 2022 primarily due to an increased business mix of our higher-margin Talent Solutions outplacement services and increases in the margin for our staffing/interim business.</w:t>
      </w:r>
    </w:p>
    <w:p>
      <w:pPr>
        <w:pStyle w:val="TextBody"/>
        <w:spacing w:before="200" w:after="0"/>
        <w:jc w:val="left"/>
        <w:rPr>
          <w:rFonts w:ascii="Times New Roman" w:hAnsi="Times New Roman"/>
          <w:sz w:val="20"/>
        </w:rPr>
      </w:pPr>
      <w:r>
        <w:rPr>
          <w:rFonts w:ascii="Times New Roman;serif" w:hAnsi="Times New Roman;serif"/>
          <w:b w:val="false"/>
          <w:sz w:val="20"/>
        </w:rPr>
        <w:t>Selling and administrative expenses increased 0.3% (9.2% in constant currency) in the first quarter of 2023 compared to the first quarter of 2022. The increase is primarily due to $2.5 million in restructuring costs incurred in the first quarter of 2023 compared to zero in the first quarter of 2022 and increases in various non-personnel costs related to an increase in recruiting and retention efforts as a result of increased profitability in certain markets, partially offset by the favorable impact of currency exchange rates.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OUP margin for APME increased to 3.5% in the first quarter of 2023 from 3.1% in the first quarter of 2022 due to the increase in the gross profit margin.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u w:val="single"/>
        </w:rPr>
      </w:pPr>
      <w:bookmarkStart w:id="14" w:name="financialmeasures"/>
      <w:bookmarkEnd w:id="14"/>
      <w:r>
        <w:rPr>
          <w:rFonts w:ascii="Times New Roman;serif" w:hAnsi="Times New Roman;serif"/>
          <w:b w:val="false"/>
          <w:sz w:val="20"/>
          <w:u w:val="single"/>
        </w:rPr>
        <w:t>Financial Measures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Constant Currency and Organic Constant Currency Reconciliation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Constant currency and organic constant currency percent variances, along with a reconciliation of these amounts to certain of our reported results, are provided below:</w:t>
      </w:r>
    </w:p>
    <w:tbl>
      <w:tblPr>
        <w:tblW w:w="10205" w:type="dxa"/>
        <w:jc w:val="left"/>
        <w:tblInd w:w="0" w:type="dxa"/>
        <w:tblCellMar>
          <w:top w:w="28" w:type="dxa"/>
          <w:left w:w="28" w:type="dxa"/>
          <w:bottom w:w="28" w:type="dxa"/>
          <w:right w:w="28" w:type="dxa"/>
        </w:tblCellMar>
      </w:tblPr>
      <w:tblGrid>
        <w:gridCol w:w="2477"/>
        <w:gridCol w:w="146"/>
        <w:gridCol w:w="196"/>
        <w:gridCol w:w="646"/>
        <w:gridCol w:w="166"/>
        <w:gridCol w:w="146"/>
        <w:gridCol w:w="174"/>
        <w:gridCol w:w="577"/>
        <w:gridCol w:w="306"/>
        <w:gridCol w:w="146"/>
        <w:gridCol w:w="180"/>
        <w:gridCol w:w="597"/>
        <w:gridCol w:w="306"/>
        <w:gridCol w:w="146"/>
        <w:gridCol w:w="178"/>
        <w:gridCol w:w="588"/>
        <w:gridCol w:w="306"/>
        <w:gridCol w:w="146"/>
        <w:gridCol w:w="273"/>
        <w:gridCol w:w="733"/>
        <w:gridCol w:w="306"/>
        <w:gridCol w:w="146"/>
        <w:gridCol w:w="178"/>
        <w:gridCol w:w="588"/>
        <w:gridCol w:w="554"/>
      </w:tblGrid>
      <w:tr>
        <w:trPr/>
        <w:tc>
          <w:tcPr>
            <w:tcW w:w="24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247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28"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 2023 Compared to 2022</w:t>
            </w:r>
          </w:p>
        </w:tc>
        <w:tc>
          <w:tcPr>
            <w:tcW w:w="5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sz w:val="18"/>
              </w:rPr>
              <w:t>Reported</w:t>
              <w:br/>
              <w:t>Amount</w:t>
            </w:r>
            <w:r>
              <w:rPr>
                <w:rFonts w:ascii="Times New Roman;serif" w:hAnsi="Times New Roman;serif"/>
                <w:b w:val="false"/>
                <w:sz w:val="12"/>
              </w:rPr>
              <w:t>(a)</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Reported</w:t>
              <w:br/>
              <w:t>Variance</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Impact of</w:t>
              <w:br/>
              <w:t>Currency</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Constant</w:t>
              <w:br/>
              <w:t>Currency</w:t>
              <w:br/>
              <w:t>Variance</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Impact of</w:t>
              <w:br/>
              <w:t>Acquisitions</w:t>
              <w:br/>
              <w:t>and</w:t>
              <w:br/>
              <w:t>Dispositions</w:t>
              <w:br/>
              <w:t>(In Constant</w:t>
              <w:br/>
              <w:t>Currency)</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Organic</w:t>
              <w:br/>
              <w:t>Constant</w:t>
              <w:br/>
              <w:t>Currency</w:t>
              <w:br/>
              <w:t>Variance</w:t>
            </w:r>
          </w:p>
        </w:tc>
        <w:tc>
          <w:tcPr>
            <w:tcW w:w="5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Revenues from services: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554" w:type="dxa"/>
            <w:tcBorders/>
            <w:shd w:fill="auto" w:val="clear"/>
            <w:vAlign w:val="center"/>
          </w:tcPr>
          <w:p>
            <w:pPr>
              <w:pStyle w:val="TableContents"/>
              <w:spacing w:before="0" w:after="0"/>
              <w:ind w:left="0" w:right="0" w:hanging="0"/>
              <w:jc w:val="right"/>
              <w:rPr/>
            </w:pPr>
            <w:r>
              <w:rPr/>
              <w:t> </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Americas: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554" w:type="dxa"/>
            <w:tcBorders/>
            <w:shd w:fill="auto" w:val="clear"/>
            <w:vAlign w:val="center"/>
          </w:tcPr>
          <w:p>
            <w:pPr>
              <w:pStyle w:val="TableContents"/>
              <w:spacing w:before="0" w:after="0"/>
              <w:ind w:left="0" w:right="0" w:firstLine="200"/>
              <w:jc w:val="right"/>
              <w:rPr/>
            </w:pPr>
            <w:r>
              <w:rPr/>
              <w:t> </w:t>
            </w:r>
          </w:p>
        </w:tc>
      </w:tr>
      <w:tr>
        <w:trPr/>
        <w:tc>
          <w:tcPr>
            <w:tcW w:w="2477"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United States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pPr>
            <w:r>
              <w:rPr/>
              <w:t>—</w:t>
            </w:r>
          </w:p>
        </w:tc>
        <w:tc>
          <w:tcPr>
            <w:tcW w:w="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pPr>
            <w:r>
              <w:rPr/>
              <w:t>—</w:t>
            </w:r>
          </w:p>
        </w:tc>
        <w:tc>
          <w:tcPr>
            <w:tcW w:w="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554"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Americas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pPr>
            <w:r>
              <w:rPr/>
              <w:t>—</w:t>
            </w:r>
          </w:p>
        </w:tc>
        <w:tc>
          <w:tcPr>
            <w:tcW w:w="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1,130.2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pPr>
            <w:r>
              <w:rPr/>
              <w:t>—</w:t>
            </w:r>
          </w:p>
        </w:tc>
        <w:tc>
          <w:tcPr>
            <w:tcW w:w="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Southern Europe:</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554" w:type="dxa"/>
            <w:tcBorders/>
            <w:shd w:fill="auto" w:val="clear"/>
            <w:vAlign w:val="center"/>
          </w:tcPr>
          <w:p>
            <w:pPr>
              <w:pStyle w:val="TableContents"/>
              <w:spacing w:before="0" w:after="0"/>
              <w:ind w:left="0" w:right="0" w:firstLine="200"/>
              <w:jc w:val="right"/>
              <w:rPr/>
            </w:pPr>
            <w:r>
              <w:rPr/>
              <w:t> </w:t>
            </w:r>
          </w:p>
        </w:tc>
      </w:tr>
      <w:tr>
        <w:trPr/>
        <w:tc>
          <w:tcPr>
            <w:tcW w:w="2477"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France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1,169.3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554"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Italy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(0.8</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pPr>
            <w:r>
              <w:rPr/>
              <w:t>—</w:t>
            </w:r>
          </w:p>
        </w:tc>
        <w:tc>
          <w:tcPr>
            <w:tcW w:w="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(0.8</w:t>
            </w:r>
          </w:p>
        </w:tc>
        <w:tc>
          <w:tcPr>
            <w:tcW w:w="554"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Southern Europe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(0.5</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2,067.9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Northern Europe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967.6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(11.6</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APME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pPr>
            <w:r>
              <w:rPr/>
              <w:t>—</w:t>
            </w:r>
          </w:p>
        </w:tc>
        <w:tc>
          <w:tcPr>
            <w:tcW w:w="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4,771.6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554" w:type="dxa"/>
            <w:tcBorders/>
            <w:shd w:fill="auto" w:val="clear"/>
            <w:vAlign w:val="center"/>
          </w:tcPr>
          <w:p>
            <w:pPr>
              <w:pStyle w:val="TableContents"/>
              <w:spacing w:before="0" w:after="0"/>
              <w:ind w:left="0" w:right="0" w:hanging="0"/>
              <w:jc w:val="right"/>
              <w:rPr/>
            </w:pPr>
            <w:r>
              <w:rPr/>
              <w:t> </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Intercompany Eliminations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554" w:type="dxa"/>
            <w:tcBorders/>
            <w:shd w:fill="auto" w:val="clear"/>
            <w:vAlign w:val="center"/>
          </w:tcPr>
          <w:p>
            <w:pPr>
              <w:pStyle w:val="TableContents"/>
              <w:spacing w:before="0" w:after="0"/>
              <w:ind w:left="0" w:right="0" w:hanging="0"/>
              <w:jc w:val="right"/>
              <w:rPr/>
            </w:pPr>
            <w:r>
              <w:rPr/>
              <w:t> </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Consolidated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4,752.3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0.1</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Gross Profit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0.5</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0.8</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Selling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0.5</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Profit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9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0.9</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5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left"/>
        <w:rPr>
          <w:rFonts w:ascii="Times New Roman" w:hAnsi="Times New Roman"/>
          <w:b w:val="false"/>
          <w:sz w:val="19"/>
        </w:rPr>
      </w:pPr>
      <w:r>
        <w:rPr>
          <w:rFonts w:ascii="Times New Roman" w:hAnsi="Times New Roman"/>
          <w:b w:val="false"/>
          <w:sz w:val="19"/>
        </w:rPr>
        <w:t>(a)</w:t>
      </w:r>
    </w:p>
    <w:p>
      <w:pPr>
        <w:pStyle w:val="TextBody"/>
        <w:jc w:val="left"/>
        <w:rPr>
          <w:rFonts w:ascii="Times New Roman;serif" w:hAnsi="Times New Roman;serif"/>
          <w:b w:val="false"/>
          <w:sz w:val="19"/>
        </w:rPr>
      </w:pPr>
      <w:r>
        <w:rPr>
          <w:rFonts w:ascii="Times New Roman;serif" w:hAnsi="Times New Roman;serif"/>
          <w:b w:val="false"/>
          <w:sz w:val="19"/>
        </w:rPr>
        <w:t>In millions for the three months ended March 31, 2023.</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u w:val="single"/>
        </w:rPr>
      </w:pPr>
      <w:r>
        <w:rPr>
          <w:rFonts w:ascii="Times New Roman;serif" w:hAnsi="Times New Roman;serif"/>
          <w:b w:val="false"/>
          <w:sz w:val="20"/>
          <w:u w:val="single"/>
        </w:rPr>
        <w:t>Liquidity and Capital Resources</w:t>
      </w:r>
    </w:p>
    <w:p>
      <w:pPr>
        <w:pStyle w:val="TextBody"/>
        <w:spacing w:before="200" w:after="0"/>
        <w:jc w:val="left"/>
        <w:rPr>
          <w:rFonts w:ascii="Times New Roman" w:hAnsi="Times New Roman"/>
          <w:sz w:val="20"/>
        </w:rPr>
      </w:pPr>
      <w:r>
        <w:rPr>
          <w:rFonts w:ascii="Times New Roman;serif" w:hAnsi="Times New Roman;serif"/>
          <w:b w:val="false"/>
          <w:sz w:val="20"/>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March 31, 2023, we had $640.9 million of cash held by foreign subsidiaries. We have historically made and anticipate future cash repatriations to the United States from certain foreign subsidiaries to fund domestic operations.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Cash provided by operating activities was $124.6 million and $70.6 million during the three months ended March 31, 2023 and 2022, respectively. Changes in operating assets and liabilities generated $2.4 million of cash during the three months ended March 31, 2023 compared to $66.1 million utilized during the three months ended March 31, 2022. These changes were primarily attributable to the timing of collections and payments. Accounts receivable decreased to $4,773.2 million as of March 31, 2023 from $5,137.4 million as of December 31, 2022 primarily due to the revenue decline, partly offset by the impact of changes in currency exchange rates. Days Sales Outstanding ("DSO") approximated 56 days as of March 31, 2023, unchanged from December 31, 2022.</w:t>
      </w:r>
    </w:p>
    <w:p>
      <w:pPr>
        <w:pStyle w:val="TextBody"/>
        <w:spacing w:before="200" w:after="0"/>
        <w:jc w:val="left"/>
        <w:rPr>
          <w:rFonts w:ascii="Times New Roman" w:hAnsi="Times New Roman"/>
          <w:sz w:val="20"/>
        </w:rPr>
      </w:pPr>
      <w:r>
        <w:rPr>
          <w:rFonts w:ascii="Times New Roman;serif" w:hAnsi="Times New Roman;serif"/>
          <w:b w:val="false"/>
          <w:sz w:val="20"/>
        </w:rPr>
        <w:t>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is outstanding for much longer, which may result in a decline in operating cash flows.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Conversely, as the demand for our services declines, as we experienced during the three months ended March 31, 2023,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Capital expenditures were $13.2 million for the three months ended March 31, 2023 compared to $19.4 million for the three months ended March 31, 2022. These expenditures were primarily comprised of purchases of computer equipment, office furniture and other costs related to office openings and refurbishments, as well as capitalized software costs. The lower expenditures in 2023 compared to 2022 are primarily due to the timing and nature of capital expenditures.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From time to time, we acquire and invest in companies throughout the world, including franchises. No cash consideration was paid during the three months ended March 31, 2023 or 2022.</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million. In connection with the disposition, we recognized a one-time net loss on disposition of $8.0 million.</w:t>
      </w:r>
    </w:p>
    <w:p>
      <w:pPr>
        <w:pStyle w:val="TextBody"/>
        <w:spacing w:before="200" w:after="0"/>
        <w:jc w:val="left"/>
        <w:rPr>
          <w:rFonts w:ascii="Times New Roman" w:hAnsi="Times New Roman"/>
          <w:sz w:val="20"/>
        </w:rPr>
      </w:pPr>
      <w:r>
        <w:rPr>
          <w:rFonts w:ascii="Times New Roman;serif" w:hAnsi="Times New Roman;serif"/>
          <w:b w:val="false"/>
          <w:sz w:val="20"/>
        </w:rPr>
        <w:t>Net debt repayments were $10.7 million in the three months ended March 31, 2023, as compared to $28.0 million in the three months ended March 31, 2022.</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€500.0 million notes and €400.0 million notes are due June 2026 and June 2027, respectively. When those notes mature, we plan to either repay the amounts with available cash or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0.96 to 1 and a fixed charge coverage ratio of 5.44 to 1 as of March 31, 2023. Based on our current forecast, we expect to be in compliance with our financial covenants for the next 12 months.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As of March 31, 2023, we had letters of credit of $0.4 million issued under our $600.0 million revolving credit facility. Additional borrowings of $599.6 million were available to us under the facility as of March 31, 2023.</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to the previously mentioned facilities, we maintain separate bank credit lines with financial institutions to meet working capital needs of our subsidiary operations. As of March 31, 2023, such uncommitted credit lines totaled $321.7 million, of which $302.0 million was unused. Under the Credit Agreement, total subsidiary borrowings cannot exceed $300.0 million in the first, second and fourth quarters, and $600.0 million in the third quarter of each year. Due to these limitations, additional borrowings of $280.3 million could have been made under these lines as of March 31, 2023.</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have assessed our liquidity position as of March 31, 2023 and for the near future. As of March 31, 2023, our cash and cash equivalents balance was $706.7 million. We also have access to the previously mentioned revolving credit facility that could have immediately provided us with up to $600.0 million of additional cash, less any outstanding borrowings and letters of credit, and we have an option to request an increase to the total availability under the revolving credit facility by an additional $300.0 million and each lender may participate in the requested increase at their discretion. In addition, we have access to the previously mentioned credit lines of up to $300.0 million ($600.0 million in the third quarter) to meet the working capital needs of our subsidiaries, of which $280.3 million was available to use as of March 31, 2023. Our €500.0 ($539.7) million notes mature in June 2026, and our €400.0 ($429.6) million notes mature in June 2027. Based on the above, we believe we have sufficient liquidity and capital resources to satisfy future requirements and meet our obligations currently and in the near future.</w:t>
      </w:r>
    </w:p>
    <w:p>
      <w:pPr>
        <w:pStyle w:val="TextBody"/>
        <w:spacing w:before="200" w:after="0"/>
        <w:jc w:val="left"/>
        <w:rPr>
          <w:rFonts w:ascii="Times New Roman" w:hAnsi="Times New Roman"/>
          <w:sz w:val="20"/>
        </w:rPr>
      </w:pPr>
      <w:r>
        <w:rPr>
          <w:rFonts w:ascii="Times New Roman;serif" w:hAnsi="Times New Roman;serif"/>
          <w:b w:val="false"/>
          <w:sz w:val="20"/>
        </w:rPr>
        <w:t>The Board of Directors declared a semi-annual dividend of $1.47 and $1.36 per share on May 5, 2023 and May 6, 2022, respectively. The 2023 dividends are payable on June 15, 2023 to shareholders of record as of June 1, 2023. The 2022 dividends were paid on June 15, 2022 to shareholders of record as of June 1, 2022.</w:t>
      </w:r>
      <w:r>
        <w:rPr>
          <w:rFonts w:ascii="Times New Roman" w:hAnsi="Times New Roman"/>
          <w:sz w:val="20"/>
        </w:rPr>
        <w:t xml:space="preserve">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Share Repurchases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August 2021, the Board of Directors authorized the repurchase of 4.0 million shares of our common stock, with terms consistent with the previous authorizations. This authorization was in addition to the August 2019 Board authorizations to repurchase 6.0 million shares of our common stock. Share repurchases may be made from time to time through a variety of methods, including open market purchases, block transactions, privately negotiated transactions or similar facilities. During the three months ended March 31, 2023, we repurchased a total of 0.4 million shares under the 2021 authorization at a cost of $30.0 million. During the three months ended March 31, 2022, we repurchased 0.6 million shares under the 2019 authorization at a cost of $59.9 million. As of March 31, 2023, there were 1.6 million shares remaining authorized for repurchase under the 2021 authorization and no shares remaining authorized for repurchase under the 2019 authorization.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had aggregate commitments of $2,047.4 million as of March 31, 2023 related to debt, operating leases, severance and office closure costs, transition tax resulting from the Tax Act and certain other commitments compared to $2,020.3 million as of December 31, 2022.</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also have entered into guarantee contracts and stand-by letters of credit totaling $784.3 million and $840.2 million as of March 31, 2023 and December 31, 2022, respectively ($736.1 million and $793.0 million for guarantees, respectively, and $48.2 million and $47.2 million for stand-by letters of credit as of March 31, 2023 and December 31, 2022,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$0.0 million and $0.4 million for the three months ended March 31, 2023 and 2022, respectively.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recorded $6.6 million in restructuring costs during the three months ended March 31, 2023. We did not record any restructuring costs during the three months ended March 31, 2022. During the three months ended March 31, 2023, we made payments of $5.6 million out of our restructuring reserve, which is used for severance and office closures and consolidations in multiple countries and territories. We expect a majority of the remaining $14.2 million reserve will be paid by the end of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u w:val="single"/>
        </w:rPr>
      </w:pPr>
      <w:r>
        <w:rPr>
          <w:rFonts w:ascii="Times New Roman;serif" w:hAnsi="Times New Roman;serif"/>
          <w:b w:val="false"/>
          <w:sz w:val="20"/>
          <w:u w:val="single"/>
        </w:rPr>
        <w:t>Recently Issued Accounting Standards</w:t>
      </w:r>
    </w:p>
    <w:p>
      <w:pPr>
        <w:pStyle w:val="TextBody"/>
        <w:spacing w:before="200" w:after="0"/>
        <w:jc w:val="left"/>
        <w:rPr>
          <w:rFonts w:ascii="Times New Roman;serif" w:hAnsi="Times New Roman;serif"/>
          <w:b w:val="false"/>
          <w:sz w:val="20"/>
        </w:rPr>
      </w:pPr>
      <w:bookmarkStart w:id="15" w:name="mda_end"/>
      <w:bookmarkEnd w:id="15"/>
      <w:r>
        <w:rPr>
          <w:rFonts w:ascii="Times New Roman;serif" w:hAnsi="Times New Roman;serif"/>
          <w:b w:val="false"/>
          <w:sz w:val="20"/>
        </w:rPr>
        <w:t>See Note 2 to the Consolidated Financial Statements.</w:t>
      </w:r>
    </w:p>
    <w:p>
      <w:pPr>
        <w:pStyle w:val="TextBody"/>
        <w:spacing w:before="200" w:after="0"/>
        <w:jc w:val="left"/>
        <w:rPr>
          <w:rFonts w:ascii="Times New Roman;serif" w:hAnsi="Times New Roman;serif"/>
          <w:b w:val="false"/>
          <w:sz w:val="20"/>
          <w:u w:val="single"/>
        </w:rPr>
      </w:pPr>
      <w:bookmarkStart w:id="16" w:name="item_3_quantitative_qualitative_disclosu"/>
      <w:bookmarkEnd w:id="16"/>
      <w:r>
        <w:rPr>
          <w:rFonts w:ascii="Times New Roman;serif" w:hAnsi="Times New Roman;serif"/>
          <w:b w:val="false"/>
          <w:sz w:val="20"/>
          <w:u w:val="single"/>
        </w:rPr>
        <w:t>Item 3 – Quantitative and Qualitative Disclosures About Market Risk</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2022 Annual Report on Form 10-K contains certain disclosures about market risks affecting us. There have been no material changes to the information provided which would require additional disclosures as of the date of this filing.</w:t>
      </w:r>
    </w:p>
    <w:p>
      <w:pPr>
        <w:pStyle w:val="TextBody"/>
        <w:spacing w:before="200" w:after="0"/>
        <w:jc w:val="left"/>
        <w:rPr>
          <w:rFonts w:ascii="Times New Roman;serif" w:hAnsi="Times New Roman;serif"/>
          <w:b w:val="false"/>
          <w:sz w:val="20"/>
          <w:u w:val="single"/>
        </w:rPr>
      </w:pPr>
      <w:bookmarkStart w:id="17" w:name="item_4_controls_procedures"/>
      <w:bookmarkEnd w:id="17"/>
      <w:r>
        <w:rPr>
          <w:rFonts w:ascii="Times New Roman;serif" w:hAnsi="Times New Roman;serif"/>
          <w:b w:val="false"/>
          <w:sz w:val="20"/>
          <w:u w:val="single"/>
        </w:rPr>
        <w:t>Item 4 – Controls and Procedures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8" w:name="part_ii_or_information"/>
      <w:bookmarkEnd w:id="18"/>
      <w:r>
        <w:rPr>
          <w:rFonts w:ascii="Times New Roman;serif" w:hAnsi="Times New Roman;serif"/>
          <w:b/>
          <w:sz w:val="20"/>
        </w:rPr>
        <w:t>PART II - OTHER INFORMATION</w:t>
      </w:r>
    </w:p>
    <w:p>
      <w:pPr>
        <w:pStyle w:val="TextBody"/>
        <w:spacing w:before="200" w:after="0"/>
        <w:jc w:val="left"/>
        <w:rPr>
          <w:rFonts w:ascii="Times New Roman;serif" w:hAnsi="Times New Roman;serif"/>
          <w:b w:val="false"/>
          <w:sz w:val="20"/>
          <w:u w:val="single"/>
        </w:rPr>
      </w:pPr>
      <w:bookmarkStart w:id="19" w:name="risk_factors"/>
      <w:bookmarkEnd w:id="19"/>
      <w:r>
        <w:rPr>
          <w:rFonts w:ascii="Times New Roman;serif" w:hAnsi="Times New Roman;serif"/>
          <w:b w:val="false"/>
          <w:sz w:val="20"/>
          <w:u w:val="single"/>
        </w:rPr>
        <w:t>Item 1A – Risk Factors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of the date of this filing, the Company and its operations continue to be subject to the risk factors previously disclosed in the “Risk Factors” sections contained in the 2022 Annual Report on Form 10-K.</w:t>
      </w:r>
    </w:p>
    <w:p>
      <w:pPr>
        <w:pStyle w:val="TextBody"/>
        <w:spacing w:before="200" w:after="0"/>
        <w:jc w:val="left"/>
        <w:rPr>
          <w:rFonts w:ascii="Times New Roman;serif" w:hAnsi="Times New Roman;serif"/>
          <w:b w:val="false"/>
          <w:sz w:val="20"/>
          <w:u w:val="single"/>
        </w:rPr>
      </w:pPr>
      <w:bookmarkStart w:id="20" w:name="item_2_unregistered_sales_equity_securit"/>
      <w:bookmarkEnd w:id="20"/>
      <w:r>
        <w:rPr>
          <w:rFonts w:ascii="Times New Roman;serif" w:hAnsi="Times New Roman;serif"/>
          <w:b w:val="false"/>
          <w:sz w:val="20"/>
          <w:u w:val="single"/>
        </w:rPr>
        <w:t>Item 2 – Unregistered Sales of Equity Securities and Use of Proceeds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August 2021, the Board of Directors authorized the repurchase of 4.0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first quarter of 2023. As of March 31, 2023, there were 1.6 million shares remaining authorized for repurchase under the 2021 authorization.</w:t>
      </w:r>
    </w:p>
    <w:p>
      <w:pPr>
        <w:pStyle w:val="TextBody"/>
        <w:spacing w:before="0" w:after="0"/>
        <w:jc w:val="left"/>
        <w:rPr/>
      </w:pPr>
      <w:r>
        <w:rPr/>
        <w:t> </w:t>
      </w:r>
    </w:p>
    <w:tbl>
      <w:tblPr>
        <w:tblW w:w="7847" w:type="dxa"/>
        <w:jc w:val="left"/>
        <w:tblInd w:w="0" w:type="dxa"/>
        <w:tblCellMar>
          <w:top w:w="28" w:type="dxa"/>
          <w:left w:w="28" w:type="dxa"/>
          <w:bottom w:w="28" w:type="dxa"/>
          <w:right w:w="28" w:type="dxa"/>
        </w:tblCellMar>
      </w:tblPr>
      <w:tblGrid>
        <w:gridCol w:w="1861"/>
        <w:gridCol w:w="146"/>
        <w:gridCol w:w="153"/>
        <w:gridCol w:w="823"/>
        <w:gridCol w:w="146"/>
        <w:gridCol w:w="271"/>
        <w:gridCol w:w="355"/>
        <w:gridCol w:w="965"/>
        <w:gridCol w:w="146"/>
        <w:gridCol w:w="146"/>
        <w:gridCol w:w="199"/>
        <w:gridCol w:w="1076"/>
        <w:gridCol w:w="146"/>
        <w:gridCol w:w="146"/>
        <w:gridCol w:w="146"/>
        <w:gridCol w:w="931"/>
        <w:gridCol w:w="19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656" w:type="dxa"/>
            <w:gridSpan w:val="1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ISSUER PURCHASES OF EQUITY SECURITIES</w:t>
            </w:r>
          </w:p>
        </w:tc>
        <w:tc>
          <w:tcPr>
            <w:tcW w:w="191"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br/>
              <w:t>number</w:t>
              <w:br/>
              <w:t>of shares</w:t>
              <w:br/>
              <w:t>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Average price</w:t>
              <w:br/>
              <w:t>paid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 number</w:t>
              <w:br/>
              <w:t>of shares</w:t>
              <w:br/>
              <w:t>purchased as</w:t>
              <w:br/>
              <w:t>part of</w:t>
              <w:br/>
              <w:t>publicly</w:t>
              <w:br/>
              <w:t>announced</w:t>
              <w:br/>
              <w:t>plan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Maximum</w:t>
              <w:br/>
              <w:t>number of</w:t>
              <w:br/>
              <w:t>shares that</w:t>
              <w:br/>
              <w:t>may yet be</w:t>
              <w:br/>
              <w:t>purchased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1 - 31, 2023</w:t>
            </w:r>
          </w:p>
        </w:tc>
        <w:tc>
          <w:tcPr>
            <w:tcW w:w="146"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1,984,318</w:t>
            </w:r>
          </w:p>
        </w:tc>
        <w:tc>
          <w:tcPr>
            <w:tcW w:w="19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1 - 28, 2023</w:t>
            </w:r>
          </w:p>
        </w:tc>
        <w:tc>
          <w:tcPr>
            <w:tcW w:w="146"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118,279</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1,984,318</w:t>
            </w:r>
          </w:p>
        </w:tc>
        <w:tc>
          <w:tcPr>
            <w:tcW w:w="19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1 - 31, 2023</w:t>
            </w:r>
          </w:p>
        </w:tc>
        <w:tc>
          <w:tcPr>
            <w:tcW w:w="146" w:type="dxa"/>
            <w:tcBorders/>
            <w:shd w:fill="auto" w:val="clear"/>
            <w:vAlign w:val="center"/>
          </w:tcPr>
          <w:p>
            <w:pPr>
              <w:pStyle w:val="TableContents"/>
              <w:spacing w:before="0" w:after="0"/>
              <w:ind w:left="0" w:right="0" w:hanging="0"/>
              <w:jc w:val="left"/>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368,594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368,594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1,615,724</w:t>
            </w:r>
          </w:p>
        </w:tc>
        <w:tc>
          <w:tcPr>
            <w:tcW w:w="19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486,873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368,594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1,615,724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(1) Represents shares of common stock withheld by ManpowerGroup to satisfy tax withholding obligations on shares acquired by certain officers in settlement of restricted stock.</w:t>
      </w:r>
    </w:p>
    <w:p>
      <w:pPr>
        <w:pStyle w:val="TextBody"/>
        <w:spacing w:before="200" w:after="0"/>
        <w:jc w:val="left"/>
        <w:rPr>
          <w:rFonts w:ascii="Times New Roman" w:hAnsi="Times New Roman"/>
          <w:sz w:val="20"/>
        </w:rPr>
      </w:pPr>
      <w:bookmarkStart w:id="21" w:name="item_5_or_information"/>
      <w:bookmarkEnd w:id="21"/>
      <w:r>
        <w:rPr>
          <w:rFonts w:ascii="Times New Roman;serif" w:hAnsi="Times New Roman;serif"/>
          <w:b w:val="false"/>
          <w:sz w:val="20"/>
          <w:u w:val="single"/>
        </w:rPr>
        <w:t>Item 5 – Other</w:t>
      </w:r>
      <w:r>
        <w:rPr>
          <w:rFonts w:ascii="Times New Roman" w:hAnsi="Times New Roman"/>
          <w:sz w:val="20"/>
          <w:u w:val="single"/>
        </w:rPr>
        <w:t xml:space="preserve"> </w:t>
      </w:r>
      <w:r>
        <w:rPr>
          <w:rFonts w:ascii="Times New Roman;serif" w:hAnsi="Times New Roman;serif"/>
          <w:b w:val="false"/>
          <w:sz w:val="20"/>
          <w:u w:val="single"/>
        </w:rPr>
        <w:t>Information</w:t>
      </w:r>
    </w:p>
    <w:p>
      <w:pPr>
        <w:pStyle w:val="TextBody"/>
        <w:spacing w:before="200" w:after="0"/>
        <w:jc w:val="left"/>
        <w:rPr>
          <w:rFonts w:ascii="Times New Roman;serif" w:hAnsi="Times New Roman;serif"/>
          <w:b w:val="false"/>
          <w:sz w:val="20"/>
          <w:u w:val="single"/>
        </w:rPr>
      </w:pPr>
      <w:r>
        <w:rPr>
          <w:rFonts w:ascii="Times New Roman;serif" w:hAnsi="Times New Roman;serif"/>
          <w:b w:val="false"/>
          <w:sz w:val="20"/>
          <w:u w:val="single"/>
        </w:rPr>
        <w:t>Audit Committee Approval of Audit-Related and Non-Audit Services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Audit Committee of our Board of Directors has approved the following audit-related and non-audit services performed or to be performed for us by our independent registered public accounting firm, Deloitte &amp; Touche LLP and affiliates, to date in 2023:</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preparation and/or review of tax returns, including sales and use tax, excise tax, income tax, local tax, property tax, and value added tax, consultation regarding appropriate handling of items on the United States and international tax returns;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(b) advice and assistance with respect to transfer pricing matters, as well as communicating with various taxing authorities regarding the requirements associated with royalties and inter-company pricing, and tax audits; and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 audit services with respect to certain procedures and certifications where required.</w:t>
      </w:r>
    </w:p>
    <w:p>
      <w:pPr>
        <w:pStyle w:val="TextBody"/>
        <w:spacing w:before="200" w:after="0"/>
        <w:jc w:val="left"/>
        <w:rPr>
          <w:rFonts w:ascii="Times New Roman" w:hAnsi="Times New Roman"/>
          <w:sz w:val="20"/>
        </w:rPr>
      </w:pPr>
      <w:r>
        <w:rPr>
          <w:rFonts w:ascii="Times New Roman;serif" w:hAnsi="Times New Roman;serif"/>
          <w:b w:val="false"/>
          <w:sz w:val="20"/>
        </w:rPr>
        <w:br/>
        <w:br/>
      </w:r>
      <w:r>
        <w:rPr>
          <w:rFonts w:ascii="Times New Roman" w:hAnsi="Times New Roman"/>
          <w:sz w:val="20"/>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22" w:name="item_6_exhibits"/>
      <w:bookmarkEnd w:id="22"/>
      <w:r>
        <w:rPr>
          <w:rFonts w:ascii="Times New Roman;serif" w:hAnsi="Times New Roman;serif"/>
          <w:b w:val="false"/>
          <w:sz w:val="20"/>
          <w:u w:val="single"/>
        </w:rPr>
        <w:t>Item 6 –</w:t>
      </w:r>
      <w:r>
        <w:rPr>
          <w:rFonts w:ascii="Times New Roman" w:hAnsi="Times New Roman"/>
          <w:sz w:val="20"/>
          <w:u w:val="single"/>
        </w:rPr>
        <w:t xml:space="preserve"> </w:t>
      </w:r>
      <w:r>
        <w:rPr>
          <w:rFonts w:ascii="Times New Roman;serif" w:hAnsi="Times New Roman;serif"/>
          <w:b w:val="false"/>
          <w:sz w:val="20"/>
          <w:u w:val="single"/>
        </w:rPr>
        <w:t>Exhibits</w:t>
      </w:r>
    </w:p>
    <w:tbl>
      <w:tblPr>
        <w:tblW w:w="10205" w:type="dxa"/>
        <w:jc w:val="left"/>
        <w:tblInd w:w="0" w:type="dxa"/>
        <w:tblCellMar>
          <w:top w:w="28" w:type="dxa"/>
          <w:left w:w="28" w:type="dxa"/>
          <w:bottom w:w="28" w:type="dxa"/>
          <w:right w:w="28" w:type="dxa"/>
        </w:tblCellMar>
      </w:tblPr>
      <w:tblGrid>
        <w:gridCol w:w="678"/>
        <w:gridCol w:w="416"/>
        <w:gridCol w:w="9111"/>
      </w:tblGrid>
      <w:tr>
        <w:trPr/>
        <w:tc>
          <w:tcPr>
            <w:tcW w:w="678"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9111" w:type="dxa"/>
            <w:tcBorders/>
            <w:shd w:fill="auto" w:val="clear"/>
            <w:vAlign w:val="center"/>
          </w:tcPr>
          <w:p>
            <w:pPr>
              <w:pStyle w:val="TableContents"/>
              <w:spacing w:before="0" w:after="283"/>
              <w:rPr>
                <w:sz w:val="4"/>
                <w:szCs w:val="4"/>
              </w:rPr>
            </w:pPr>
            <w:r>
              <w:rPr>
                <w:sz w:val="4"/>
                <w:szCs w:val="4"/>
              </w:rPr>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hyperlink w:anchor="man-ex31_1.htm">
              <w:r>
                <w:rPr>
                  <w:rStyle w:val="InternetLink"/>
                  <w:rFonts w:ascii="Times New Roman;serif" w:hAnsi="Times New Roman;serif"/>
                  <w:b w:val="false"/>
                  <w:sz w:val="20"/>
                  <w:u w:val="single"/>
                </w:rPr>
                <w:t>Certification of Jonas Prising, Chief Executive Officer, pursuant to Section 13a-14(a) of the Securities Exchange Act of 1934.</w:t>
              </w:r>
            </w:hyperlink>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hyperlink w:anchor="man-ex31_2.htm">
              <w:r>
                <w:rPr>
                  <w:rStyle w:val="InternetLink"/>
                  <w:rFonts w:ascii="Times New Roman;serif" w:hAnsi="Times New Roman;serif"/>
                  <w:b w:val="false"/>
                  <w:sz w:val="20"/>
                  <w:u w:val="single"/>
                </w:rPr>
                <w:t>Certification of John T. McGinnis, Executive Vice President and Chief Financial Officer, pursuant to Section 13a-14(a) of the Securities Exchange Act of 1934.</w:t>
              </w:r>
            </w:hyperlink>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hyperlink w:anchor="man-ex32_1.htm">
              <w:r>
                <w:rPr>
                  <w:rStyle w:val="InternetLink"/>
                  <w:rFonts w:ascii="Times New Roman;serif" w:hAnsi="Times New Roman;serif"/>
                  <w:b w:val="false"/>
                  <w:sz w:val="20"/>
                  <w:u w:val="single"/>
                </w:rPr>
                <w:t>Statement of Jonas Prising, Chief Executive Officer, pursuant to 18 U.S.C. ss. 1350.</w:t>
              </w:r>
            </w:hyperlink>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hyperlink w:anchor="man-ex32_2.htm">
              <w:r>
                <w:rPr>
                  <w:rStyle w:val="InternetLink"/>
                  <w:rFonts w:ascii="Times New Roman;serif" w:hAnsi="Times New Roman;serif"/>
                  <w:b w:val="false"/>
                  <w:sz w:val="20"/>
                  <w:u w:val="single"/>
                </w:rPr>
                <w:t>Statement of John T. McGinnis, Executive Vice President and Chief Financial Officer, pursuant to 18 U.S.C. ss. 1350.</w:t>
              </w:r>
            </w:hyperlink>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r>
              <w:rPr>
                <w:rFonts w:ascii="Times New Roman" w:hAnsi="Times New Roman"/>
                <w:sz w:val="20"/>
              </w:rPr>
              <w:t xml:space="preserve"> </w:t>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firstLine="270"/>
              <w:jc w:val="left"/>
              <w:rPr/>
            </w:pPr>
            <w:r>
              <w:rPr/>
              <w:t> </w:t>
            </w:r>
          </w:p>
        </w:tc>
        <w:tc>
          <w:tcPr>
            <w:tcW w:w="9111" w:type="dxa"/>
            <w:tcBorders/>
            <w:shd w:fill="auto" w:val="clear"/>
            <w:vAlign w:val="center"/>
          </w:tcPr>
          <w:p>
            <w:pPr>
              <w:pStyle w:val="TableContents"/>
              <w:spacing w:before="0" w:after="0"/>
              <w:ind w:left="27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firstLine="270"/>
              <w:jc w:val="left"/>
              <w:rPr/>
            </w:pPr>
            <w:r>
              <w:rPr/>
              <w:t> </w:t>
            </w:r>
          </w:p>
        </w:tc>
        <w:tc>
          <w:tcPr>
            <w:tcW w:w="9111" w:type="dxa"/>
            <w:tcBorders/>
            <w:shd w:fill="auto" w:val="clear"/>
            <w:vAlign w:val="center"/>
          </w:tcPr>
          <w:p>
            <w:pPr>
              <w:pStyle w:val="TableContents"/>
              <w:spacing w:before="0" w:after="0"/>
              <w:ind w:left="27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firstLine="270"/>
              <w:jc w:val="left"/>
              <w:rPr/>
            </w:pPr>
            <w:r>
              <w:rPr/>
              <w:t> </w:t>
            </w:r>
          </w:p>
        </w:tc>
        <w:tc>
          <w:tcPr>
            <w:tcW w:w="9111" w:type="dxa"/>
            <w:tcBorders/>
            <w:shd w:fill="auto" w:val="clear"/>
            <w:vAlign w:val="center"/>
          </w:tcPr>
          <w:p>
            <w:pPr>
              <w:pStyle w:val="TableContents"/>
              <w:spacing w:before="0" w:after="0"/>
              <w:ind w:left="27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firstLine="270"/>
              <w:jc w:val="left"/>
              <w:rPr/>
            </w:pPr>
            <w:r>
              <w:rPr/>
              <w:t> </w:t>
            </w:r>
          </w:p>
        </w:tc>
        <w:tc>
          <w:tcPr>
            <w:tcW w:w="9111" w:type="dxa"/>
            <w:tcBorders/>
            <w:shd w:fill="auto" w:val="clear"/>
            <w:vAlign w:val="center"/>
          </w:tcPr>
          <w:p>
            <w:pPr>
              <w:pStyle w:val="TableContents"/>
              <w:spacing w:before="0" w:after="0"/>
              <w:ind w:left="27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firstLine="270"/>
              <w:jc w:val="left"/>
              <w:rPr/>
            </w:pPr>
            <w:r>
              <w:rPr/>
              <w:t> </w:t>
            </w:r>
          </w:p>
        </w:tc>
        <w:tc>
          <w:tcPr>
            <w:tcW w:w="9111" w:type="dxa"/>
            <w:tcBorders/>
            <w:shd w:fill="auto" w:val="clear"/>
            <w:vAlign w:val="center"/>
          </w:tcPr>
          <w:p>
            <w:pPr>
              <w:pStyle w:val="TableContents"/>
              <w:spacing w:before="0" w:after="0"/>
              <w:ind w:left="27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Inline</w:t>
            </w:r>
            <w:r>
              <w:rPr>
                <w:rFonts w:ascii="Times New Roman" w:hAnsi="Times New Roman"/>
                <w:sz w:val="20"/>
              </w:rPr>
              <w:t> </w:t>
            </w:r>
            <w:r>
              <w:rPr>
                <w:rFonts w:ascii="Times New Roman;serif" w:hAnsi="Times New Roman;serif"/>
                <w:b w:val="false"/>
                <w:sz w:val="20"/>
              </w:rPr>
              <w:t>XBRL Taxonomy Extension Presentation Linkbase Document</w:t>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firstLine="270"/>
              <w:jc w:val="left"/>
              <w:rPr/>
            </w:pPr>
            <w:r>
              <w:rPr/>
              <w:t> </w:t>
            </w:r>
          </w:p>
        </w:tc>
        <w:tc>
          <w:tcPr>
            <w:tcW w:w="9111" w:type="dxa"/>
            <w:tcBorders/>
            <w:shd w:fill="auto" w:val="clear"/>
            <w:vAlign w:val="center"/>
          </w:tcPr>
          <w:p>
            <w:pPr>
              <w:pStyle w:val="TableContents"/>
              <w:spacing w:before="0" w:after="0"/>
              <w:ind w:left="27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the Company’s Quarterly Report on Form 10-Q for the quarter ended March 31, 2023 has been formatted in Inline XBRL (Inline Extensible Business Reporting Language) and contained in Exhibits 101.</w:t>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firstLine="270"/>
              <w:jc w:val="left"/>
              <w:rPr/>
            </w:pPr>
            <w:r>
              <w:rPr/>
              <w:t> </w:t>
            </w:r>
          </w:p>
        </w:tc>
        <w:tc>
          <w:tcPr>
            <w:tcW w:w="9111" w:type="dxa"/>
            <w:tcBorders/>
            <w:shd w:fill="auto" w:val="clear"/>
            <w:vAlign w:val="center"/>
          </w:tcPr>
          <w:p>
            <w:pPr>
              <w:pStyle w:val="TableContents"/>
              <w:spacing w:before="0" w:after="0"/>
              <w:ind w:left="270" w:right="0" w:hanging="0"/>
              <w:jc w:val="left"/>
              <w:rPr/>
            </w:pPr>
            <w:r>
              <w:rPr/>
              <w:t> </w:t>
            </w:r>
          </w:p>
        </w:tc>
      </w:tr>
      <w:tr>
        <w:trPr/>
        <w:tc>
          <w:tcPr>
            <w:tcW w:w="678"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91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3" w:name="signatures"/>
      <w:bookmarkEnd w:id="23"/>
      <w:r>
        <w:rPr>
          <w:rFonts w:ascii="Times New Roman;serif" w:hAnsi="Times New Roman;serif"/>
          <w:b/>
          <w:sz w:val="20"/>
        </w:rPr>
        <w:t>SIGNATURES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8846" w:type="dxa"/>
        <w:jc w:val="left"/>
        <w:tblInd w:w="0" w:type="dxa"/>
        <w:tblCellMar>
          <w:top w:w="28" w:type="dxa"/>
          <w:left w:w="28" w:type="dxa"/>
          <w:bottom w:w="28" w:type="dxa"/>
          <w:right w:w="28" w:type="dxa"/>
        </w:tblCellMar>
      </w:tblPr>
      <w:tblGrid>
        <w:gridCol w:w="1636"/>
        <w:gridCol w:w="372"/>
        <w:gridCol w:w="6275"/>
        <w:gridCol w:w="372"/>
        <w:gridCol w:w="191"/>
      </w:tblGrid>
      <w:tr>
        <w:trPr/>
        <w:tc>
          <w:tcPr>
            <w:tcW w:w="1636"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627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08" w:type="dxa"/>
            <w:gridSpan w:val="2"/>
            <w:tcBorders/>
            <w:shd w:fill="auto" w:val="clear"/>
            <w:tcMar>
              <w:top w:w="0" w:type="dxa"/>
              <w:left w:w="0" w:type="dxa"/>
              <w:bottom w:w="0" w:type="dxa"/>
              <w:right w:w="0" w:type="dxa"/>
            </w:tcMar>
            <w:vAlign w:val="center"/>
          </w:tcPr>
          <w:p>
            <w:pPr>
              <w:pStyle w:val="TableContents"/>
              <w:spacing w:before="40" w:after="40"/>
              <w:ind w:left="0" w:right="0" w:hanging="0"/>
              <w:jc w:val="left"/>
              <w:rPr/>
            </w:pPr>
            <w:r>
              <w:rPr/>
              <w:t> </w:t>
            </w:r>
          </w:p>
        </w:tc>
        <w:tc>
          <w:tcPr>
            <w:tcW w:w="6275" w:type="dxa"/>
            <w:tcBorders>
              <w:bottom w:val="single" w:sz="8" w:space="0" w:color="000000"/>
            </w:tcBorders>
            <w:shd w:fill="auto" w:val="clear"/>
            <w:tcMar>
              <w:top w:w="0" w:type="dxa"/>
              <w:left w:w="0" w:type="dxa"/>
              <w:right w:w="0" w:type="dxa"/>
            </w:tcMar>
            <w:vAlign w:val="center"/>
          </w:tcPr>
          <w:p>
            <w:pPr>
              <w:pStyle w:val="TableContents"/>
              <w:spacing w:before="40" w:after="40"/>
              <w:ind w:left="0" w:right="0" w:hanging="0"/>
              <w:jc w:val="left"/>
              <w:rPr>
                <w:rFonts w:ascii="Times New Roman;serif" w:hAnsi="Times New Roman;serif"/>
                <w:b w:val="false"/>
                <w:sz w:val="20"/>
              </w:rPr>
            </w:pPr>
            <w:r>
              <w:rPr>
                <w:rFonts w:ascii="Times New Roman;serif" w:hAnsi="Times New Roman;serif"/>
                <w:b w:val="false"/>
                <w:sz w:val="20"/>
              </w:rPr>
              <w:t>ManpowerGroup Inc.</w:t>
            </w:r>
          </w:p>
        </w:tc>
        <w:tc>
          <w:tcPr>
            <w:tcW w:w="563" w:type="dxa"/>
            <w:gridSpan w:val="2"/>
            <w:tcBorders>
              <w:bottom w:val="single" w:sz="8" w:space="0" w:color="000000"/>
            </w:tcBorders>
            <w:shd w:fill="auto" w:val="clear"/>
            <w:tcMar>
              <w:top w:w="0" w:type="dxa"/>
              <w:left w:w="0" w:type="dxa"/>
              <w:right w:w="0" w:type="dxa"/>
            </w:tcMar>
            <w:vAlign w:val="center"/>
          </w:tcPr>
          <w:p>
            <w:pPr>
              <w:pStyle w:val="TableContents"/>
              <w:spacing w:before="40" w:after="40"/>
              <w:ind w:left="0" w:right="0" w:hanging="0"/>
              <w:jc w:val="left"/>
              <w:rPr/>
            </w:pPr>
            <w:r>
              <w:rPr/>
              <w:t> </w:t>
            </w:r>
          </w:p>
        </w:tc>
      </w:tr>
      <w:tr>
        <w:trPr/>
        <w:tc>
          <w:tcPr>
            <w:tcW w:w="2008" w:type="dxa"/>
            <w:gridSpan w:val="2"/>
            <w:tcBorders/>
            <w:shd w:fill="auto" w:val="clear"/>
            <w:tcMar>
              <w:top w:w="0" w:type="dxa"/>
              <w:left w:w="0" w:type="dxa"/>
              <w:bottom w:w="0" w:type="dxa"/>
              <w:right w:w="0" w:type="dxa"/>
            </w:tcMar>
            <w:vAlign w:val="center"/>
          </w:tcPr>
          <w:p>
            <w:pPr>
              <w:pStyle w:val="TableContents"/>
              <w:spacing w:before="40" w:after="40"/>
              <w:ind w:left="0" w:right="0" w:hanging="0"/>
              <w:jc w:val="left"/>
              <w:rPr/>
            </w:pPr>
            <w:r>
              <w:rPr/>
              <w:t> </w:t>
            </w:r>
          </w:p>
        </w:tc>
        <w:tc>
          <w:tcPr>
            <w:tcW w:w="6275" w:type="dxa"/>
            <w:tcBorders/>
            <w:shd w:fill="auto" w:val="clear"/>
            <w:tcMar>
              <w:top w:w="0" w:type="dxa"/>
              <w:left w:w="0" w:type="dxa"/>
              <w:bottom w:w="0" w:type="dxa"/>
              <w:right w:w="0" w:type="dxa"/>
            </w:tcMar>
            <w:vAlign w:val="center"/>
          </w:tcPr>
          <w:p>
            <w:pPr>
              <w:pStyle w:val="TableContents"/>
              <w:spacing w:before="40" w:after="40"/>
              <w:ind w:left="0" w:right="0" w:hanging="0"/>
              <w:jc w:val="left"/>
              <w:rPr/>
            </w:pPr>
            <w:r>
              <w:rPr/>
              <w:t> </w:t>
            </w:r>
            <w:r>
              <w:rPr>
                <w:rFonts w:ascii="Times New Roman;serif" w:hAnsi="Times New Roman;serif"/>
                <w:b w:val="false"/>
                <w:sz w:val="20"/>
              </w:rPr>
              <w:t>(Registrant)</w:t>
            </w:r>
          </w:p>
        </w:tc>
        <w:tc>
          <w:tcPr>
            <w:tcW w:w="563" w:type="dxa"/>
            <w:gridSpan w:val="2"/>
            <w:tcBorders/>
            <w:shd w:fill="auto" w:val="clear"/>
            <w:tcMar>
              <w:top w:w="0" w:type="dxa"/>
              <w:left w:w="0" w:type="dxa"/>
              <w:bottom w:w="0" w:type="dxa"/>
              <w:right w:w="0" w:type="dxa"/>
            </w:tcMar>
            <w:vAlign w:val="center"/>
          </w:tcPr>
          <w:p>
            <w:pPr>
              <w:pStyle w:val="TableContents"/>
              <w:spacing w:before="40" w:after="40"/>
              <w:ind w:left="0" w:right="0" w:hanging="0"/>
              <w:jc w:val="left"/>
              <w:rPr/>
            </w:pPr>
            <w:r>
              <w:rPr/>
              <w:t> </w:t>
            </w:r>
          </w:p>
        </w:tc>
      </w:tr>
      <w:tr>
        <w:trPr/>
        <w:tc>
          <w:tcPr>
            <w:tcW w:w="2008" w:type="dxa"/>
            <w:gridSpan w:val="2"/>
            <w:tcBorders/>
            <w:shd w:fill="auto" w:val="clear"/>
            <w:tcMar>
              <w:top w:w="0" w:type="dxa"/>
              <w:left w:w="0" w:type="dxa"/>
              <w:bottom w:w="0" w:type="dxa"/>
              <w:right w:w="0" w:type="dxa"/>
            </w:tcMar>
            <w:vAlign w:val="center"/>
          </w:tcPr>
          <w:p>
            <w:pPr>
              <w:pStyle w:val="TableContents"/>
              <w:spacing w:before="40" w:after="40"/>
              <w:ind w:left="0" w:right="0" w:hanging="0"/>
              <w:jc w:val="left"/>
              <w:rPr/>
            </w:pPr>
            <w:r>
              <w:rPr/>
              <w:t> </w:t>
            </w:r>
          </w:p>
        </w:tc>
        <w:tc>
          <w:tcPr>
            <w:tcW w:w="6275" w:type="dxa"/>
            <w:tcBorders/>
            <w:shd w:fill="auto" w:val="clear"/>
            <w:tcMar>
              <w:top w:w="0" w:type="dxa"/>
              <w:left w:w="0" w:type="dxa"/>
              <w:bottom w:w="0" w:type="dxa"/>
              <w:right w:w="0" w:type="dxa"/>
            </w:tcMar>
            <w:vAlign w:val="center"/>
          </w:tcPr>
          <w:p>
            <w:pPr>
              <w:pStyle w:val="TableContents"/>
              <w:spacing w:before="40" w:after="40"/>
              <w:ind w:left="0" w:right="0" w:hanging="0"/>
              <w:jc w:val="left"/>
              <w:rPr/>
            </w:pPr>
            <w:r>
              <w:rPr/>
              <w:t> </w:t>
            </w:r>
          </w:p>
        </w:tc>
        <w:tc>
          <w:tcPr>
            <w:tcW w:w="563" w:type="dxa"/>
            <w:gridSpan w:val="2"/>
            <w:tcBorders/>
            <w:shd w:fill="auto" w:val="clear"/>
            <w:tcMar>
              <w:top w:w="0" w:type="dxa"/>
              <w:left w:w="0" w:type="dxa"/>
              <w:bottom w:w="0" w:type="dxa"/>
              <w:right w:w="0" w:type="dxa"/>
            </w:tcMar>
            <w:vAlign w:val="center"/>
          </w:tcPr>
          <w:p>
            <w:pPr>
              <w:pStyle w:val="TableContents"/>
              <w:spacing w:before="40" w:after="4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5, 2023</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T. McGinnis</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T. McGinnis</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 Chief Financial Officer</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(Signing on behalf of the Registrant and as the Principal Financial Officer)</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Donald Mondano</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Donald Mondano</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19"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Global Controller and Treasurer (Principal Accounting Officer)</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r>
        <w:br w:type="page"/>
      </w:r>
    </w:p>
    <w:p>
      <w:pPr>
        <w:pStyle w:val="TextBody"/>
        <w:spacing w:before="0" w:after="0"/>
        <w:jc w:val="left"/>
        <w:rPr/>
      </w:pPr>
      <w:bookmarkStart w:id="24" w:name="man-ex31_1.htm"/>
      <w:bookmarkStart w:id="25" w:name="ksmanex31_1"/>
      <w:bookmarkEnd w:id="24"/>
      <w:bookmarkEnd w:id="25"/>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0" w:after="0"/>
        <w:jc w:val="both"/>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 Jonas Prising, Chief Executive Officer of ManpowerGroup Inc., certify that:</w:t>
      </w:r>
    </w:p>
    <w:p>
      <w:pPr>
        <w:pStyle w:val="TextBody"/>
        <w:spacing w:before="200" w:after="0"/>
        <w:jc w:val="left"/>
        <w:rPr>
          <w:rFonts w:ascii="Times New Roman" w:hAnsi="Times New Roman"/>
          <w:b w:val="false"/>
          <w:sz w:val="20"/>
        </w:rPr>
      </w:pPr>
      <w:r>
        <w:rPr>
          <w:rFonts w:ascii="Times New Roman" w:hAnsi="Times New Roman"/>
          <w:b w:val="false"/>
          <w:sz w:val="20"/>
        </w:rPr>
        <w:t>1.</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 have reviewed this quarterly report on Form 10-Q of ManpowerGroup Inc.;</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00" w:after="0"/>
        <w:jc w:val="left"/>
        <w:rPr>
          <w:rFonts w:ascii="Times New Roman" w:hAnsi="Times New Roman"/>
          <w:b w:val="false"/>
          <w:sz w:val="20"/>
        </w:rPr>
      </w:pPr>
      <w:r>
        <w:rPr>
          <w:rFonts w:ascii="Times New Roman" w:hAnsi="Times New Roman"/>
          <w:b w:val="false"/>
          <w:sz w:val="20"/>
        </w:rPr>
        <w:t>3.</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00" w:after="0"/>
        <w:jc w:val="left"/>
        <w:rPr>
          <w:rFonts w:ascii="Times New Roman" w:hAnsi="Times New Roman"/>
          <w:b w:val="false"/>
          <w:sz w:val="20"/>
        </w:rPr>
      </w:pPr>
      <w:r>
        <w:rPr>
          <w:rFonts w:ascii="Times New Roman" w:hAnsi="Times New Roman"/>
          <w:b w:val="false"/>
          <w:sz w:val="20"/>
        </w:rPr>
        <w:t>4.</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00" w:after="0"/>
        <w:jc w:val="left"/>
        <w:rPr>
          <w:rFonts w:ascii="Times New Roman" w:hAnsi="Times New Roman"/>
          <w:b w:val="false"/>
          <w:sz w:val="20"/>
        </w:rPr>
      </w:pPr>
      <w:r>
        <w:rPr>
          <w:rFonts w:ascii="Times New Roman" w:hAnsi="Times New Roman"/>
          <w:b w:val="false"/>
          <w:sz w:val="20"/>
        </w:rPr>
        <w:t>(a)</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00" w:after="0"/>
        <w:jc w:val="left"/>
        <w:rPr>
          <w:rFonts w:ascii="Times New Roman" w:hAnsi="Times New Roman"/>
          <w:b w:val="false"/>
          <w:sz w:val="20"/>
        </w:rPr>
      </w:pPr>
      <w:r>
        <w:rPr>
          <w:rFonts w:ascii="Times New Roman" w:hAnsi="Times New Roman"/>
          <w:b w:val="false"/>
          <w:sz w:val="20"/>
        </w:rPr>
        <w:t>(b)</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00" w:after="0"/>
        <w:jc w:val="left"/>
        <w:rPr>
          <w:rFonts w:ascii="Times New Roman" w:hAnsi="Times New Roman"/>
          <w:b w:val="false"/>
          <w:sz w:val="20"/>
        </w:rPr>
      </w:pPr>
      <w:r>
        <w:rPr>
          <w:rFonts w:ascii="Times New Roman" w:hAnsi="Times New Roman"/>
          <w:b w:val="false"/>
          <w:sz w:val="20"/>
        </w:rPr>
        <w:t>(c)</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00" w:after="0"/>
        <w:jc w:val="left"/>
        <w:rPr>
          <w:rFonts w:ascii="Times New Roman" w:hAnsi="Times New Roman"/>
          <w:b w:val="false"/>
          <w:sz w:val="20"/>
        </w:rPr>
      </w:pPr>
      <w:r>
        <w:rPr>
          <w:rFonts w:ascii="Times New Roman" w:hAnsi="Times New Roman"/>
          <w:b w:val="false"/>
          <w:sz w:val="20"/>
        </w:rPr>
        <w:t>(d)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00" w:after="0"/>
        <w:jc w:val="left"/>
        <w:rPr>
          <w:rFonts w:ascii="Times New Roman" w:hAnsi="Times New Roman"/>
          <w:b w:val="false"/>
          <w:sz w:val="20"/>
        </w:rPr>
      </w:pPr>
      <w:r>
        <w:rPr>
          <w:rFonts w:ascii="Times New Roman" w:hAnsi="Times New Roman"/>
          <w:b w:val="false"/>
          <w:sz w:val="20"/>
        </w:rPr>
        <w:t>5.</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00" w:after="0"/>
        <w:jc w:val="left"/>
        <w:rPr>
          <w:rFonts w:ascii="Times New Roman" w:hAnsi="Times New Roman"/>
          <w:b w:val="false"/>
          <w:sz w:val="20"/>
        </w:rPr>
      </w:pPr>
      <w:r>
        <w:rPr>
          <w:rFonts w:ascii="Times New Roman" w:hAnsi="Times New Roman"/>
          <w:b w:val="false"/>
          <w:sz w:val="20"/>
        </w:rPr>
        <w:t>(a)</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00" w:after="0"/>
        <w:jc w:val="left"/>
        <w:rPr>
          <w:rFonts w:ascii="Times New Roman" w:hAnsi="Times New Roman"/>
          <w:b w:val="false"/>
          <w:sz w:val="20"/>
        </w:rPr>
      </w:pPr>
      <w:r>
        <w:rPr>
          <w:rFonts w:ascii="Times New Roman" w:hAnsi="Times New Roman"/>
          <w:b w:val="false"/>
          <w:sz w:val="20"/>
        </w:rPr>
        <w:t>(b)</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Dated: May 5, 2023</w:t>
      </w:r>
    </w:p>
    <w:tbl>
      <w:tblPr>
        <w:tblW w:w="1471" w:type="dxa"/>
        <w:jc w:val="left"/>
        <w:tblInd w:w="0" w:type="dxa"/>
        <w:tblCellMar>
          <w:top w:w="28" w:type="dxa"/>
          <w:left w:w="28" w:type="dxa"/>
          <w:bottom w:w="28" w:type="dxa"/>
          <w:right w:w="28" w:type="dxa"/>
        </w:tblCellMar>
      </w:tblPr>
      <w:tblGrid>
        <w:gridCol w:w="1471"/>
      </w:tblGrid>
      <w:tr>
        <w:trPr/>
        <w:tc>
          <w:tcPr>
            <w:tcW w:w="1471" w:type="dxa"/>
            <w:tcBorders/>
            <w:shd w:fill="auto" w:val="clear"/>
            <w:vAlign w:val="center"/>
          </w:tcPr>
          <w:p>
            <w:pPr>
              <w:pStyle w:val="TableContents"/>
              <w:spacing w:before="0" w:after="283"/>
              <w:rPr>
                <w:sz w:val="4"/>
                <w:szCs w:val="4"/>
              </w:rPr>
            </w:pPr>
            <w:r>
              <w:rPr>
                <w:sz w:val="4"/>
                <w:szCs w:val="4"/>
              </w:rPr>
            </w:r>
          </w:p>
        </w:tc>
      </w:tr>
      <w:tr>
        <w:trPr/>
        <w:tc>
          <w:tcPr>
            <w:tcW w:w="14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47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Jonas Prising</w:t>
            </w:r>
          </w:p>
        </w:tc>
      </w:tr>
      <w:tr>
        <w:trPr/>
        <w:tc>
          <w:tcPr>
            <w:tcW w:w="14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Jonas Prising</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Chief Executive Officer</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6" w:name="man-ex31_2.htm"/>
      <w:bookmarkStart w:id="27" w:name="ksmanex31_2"/>
      <w:bookmarkEnd w:id="26"/>
      <w:bookmarkEnd w:id="2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0" w:after="0"/>
        <w:jc w:val="both"/>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 John T. McGinnis, Executive Vice President and Chief Financial Officer of ManpowerGroup Inc., certify that:</w:t>
      </w:r>
    </w:p>
    <w:p>
      <w:pPr>
        <w:pStyle w:val="TextBody"/>
        <w:spacing w:before="200" w:after="0"/>
        <w:jc w:val="left"/>
        <w:rPr>
          <w:rFonts w:ascii="Times New Roman" w:hAnsi="Times New Roman"/>
          <w:b w:val="false"/>
          <w:sz w:val="20"/>
        </w:rPr>
      </w:pPr>
      <w:r>
        <w:rPr>
          <w:rFonts w:ascii="Times New Roman" w:hAnsi="Times New Roman"/>
          <w:b w:val="false"/>
          <w:sz w:val="20"/>
        </w:rPr>
        <w:t>1.</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 have reviewed this quarterly report on Form 10-Q of ManpowerGroup Inc.;</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200" w:after="0"/>
        <w:jc w:val="left"/>
        <w:rPr>
          <w:rFonts w:ascii="Times New Roman" w:hAnsi="Times New Roman"/>
          <w:b w:val="false"/>
          <w:sz w:val="20"/>
        </w:rPr>
      </w:pPr>
      <w:r>
        <w:rPr>
          <w:rFonts w:ascii="Times New Roman" w:hAnsi="Times New Roman"/>
          <w:b w:val="false"/>
          <w:sz w:val="20"/>
        </w:rPr>
        <w:t>3.</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00" w:after="0"/>
        <w:jc w:val="left"/>
        <w:rPr>
          <w:rFonts w:ascii="Times New Roman" w:hAnsi="Times New Roman"/>
          <w:b w:val="false"/>
          <w:sz w:val="20"/>
        </w:rPr>
      </w:pPr>
      <w:r>
        <w:rPr>
          <w:rFonts w:ascii="Times New Roman" w:hAnsi="Times New Roman"/>
          <w:b w:val="false"/>
          <w:sz w:val="20"/>
        </w:rPr>
        <w:t>4.</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00" w:after="0"/>
        <w:jc w:val="left"/>
        <w:rPr>
          <w:rFonts w:ascii="Times New Roman" w:hAnsi="Times New Roman"/>
          <w:b w:val="false"/>
          <w:sz w:val="20"/>
        </w:rPr>
      </w:pPr>
      <w:r>
        <w:rPr>
          <w:rFonts w:ascii="Times New Roman" w:hAnsi="Times New Roman"/>
          <w:b w:val="false"/>
          <w:sz w:val="20"/>
        </w:rPr>
        <w:t>(a)</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00" w:after="0"/>
        <w:jc w:val="left"/>
        <w:rPr>
          <w:rFonts w:ascii="Times New Roman" w:hAnsi="Times New Roman"/>
          <w:b w:val="false"/>
          <w:sz w:val="20"/>
        </w:rPr>
      </w:pPr>
      <w:r>
        <w:rPr>
          <w:rFonts w:ascii="Times New Roman" w:hAnsi="Times New Roman"/>
          <w:b w:val="false"/>
          <w:sz w:val="20"/>
        </w:rPr>
        <w:t>(b)</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00" w:after="0"/>
        <w:jc w:val="left"/>
        <w:rPr>
          <w:rFonts w:ascii="Times New Roman" w:hAnsi="Times New Roman"/>
          <w:b w:val="false"/>
          <w:sz w:val="20"/>
        </w:rPr>
      </w:pPr>
      <w:r>
        <w:rPr>
          <w:rFonts w:ascii="Times New Roman" w:hAnsi="Times New Roman"/>
          <w:b w:val="false"/>
          <w:sz w:val="20"/>
        </w:rPr>
        <w:t>(c)</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00" w:after="0"/>
        <w:jc w:val="left"/>
        <w:rPr>
          <w:rFonts w:ascii="Times New Roman" w:hAnsi="Times New Roman"/>
          <w:b w:val="false"/>
          <w:sz w:val="20"/>
        </w:rPr>
      </w:pPr>
      <w:r>
        <w:rPr>
          <w:rFonts w:ascii="Times New Roman" w:hAnsi="Times New Roman"/>
          <w:b w:val="false"/>
          <w:sz w:val="20"/>
        </w:rPr>
        <w:t>(d)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00" w:after="0"/>
        <w:jc w:val="left"/>
        <w:rPr>
          <w:rFonts w:ascii="Times New Roman" w:hAnsi="Times New Roman"/>
          <w:b w:val="false"/>
          <w:sz w:val="20"/>
        </w:rPr>
      </w:pPr>
      <w:r>
        <w:rPr>
          <w:rFonts w:ascii="Times New Roman" w:hAnsi="Times New Roman"/>
          <w:b w:val="false"/>
          <w:sz w:val="20"/>
        </w:rPr>
        <w:t>5.</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00" w:after="0"/>
        <w:jc w:val="left"/>
        <w:rPr>
          <w:rFonts w:ascii="Times New Roman" w:hAnsi="Times New Roman"/>
          <w:b w:val="false"/>
          <w:sz w:val="20"/>
        </w:rPr>
      </w:pPr>
      <w:r>
        <w:rPr>
          <w:rFonts w:ascii="Times New Roman" w:hAnsi="Times New Roman"/>
          <w:b w:val="false"/>
          <w:sz w:val="20"/>
        </w:rPr>
        <w:t>(a)</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00" w:after="0"/>
        <w:jc w:val="left"/>
        <w:rPr>
          <w:rFonts w:ascii="Times New Roman" w:hAnsi="Times New Roman"/>
          <w:b w:val="false"/>
          <w:sz w:val="20"/>
        </w:rPr>
      </w:pPr>
      <w:r>
        <w:rPr>
          <w:rFonts w:ascii="Times New Roman" w:hAnsi="Times New Roman"/>
          <w:b w:val="false"/>
          <w:sz w:val="20"/>
        </w:rPr>
        <w:t>(b)</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Dated: May 5, 2023</w:t>
      </w:r>
    </w:p>
    <w:tbl>
      <w:tblPr>
        <w:tblW w:w="1861" w:type="dxa"/>
        <w:jc w:val="left"/>
        <w:tblInd w:w="0" w:type="dxa"/>
        <w:tblCellMar>
          <w:top w:w="28" w:type="dxa"/>
          <w:left w:w="28" w:type="dxa"/>
          <w:bottom w:w="28" w:type="dxa"/>
          <w:right w:w="28" w:type="dxa"/>
        </w:tblCellMar>
      </w:tblPr>
      <w:tblGrid>
        <w:gridCol w:w="1861"/>
      </w:tblGrid>
      <w:tr>
        <w:trPr/>
        <w:tc>
          <w:tcPr>
            <w:tcW w:w="186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6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T. McGinnis</w:t>
            </w:r>
          </w:p>
        </w:tc>
      </w:tr>
      <w:tr>
        <w:trPr/>
        <w:tc>
          <w:tcPr>
            <w:tcW w:w="18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T. McGinnis</w:t>
            </w:r>
          </w:p>
        </w:tc>
      </w:tr>
    </w:tbl>
    <w:p>
      <w:pPr>
        <w:pStyle w:val="TextBody"/>
        <w:spacing w:before="0" w:after="0"/>
        <w:jc w:val="both"/>
        <w:rPr>
          <w:rFonts w:ascii="Times New Roman;serif" w:hAnsi="Times New Roman;serif"/>
          <w:b w:val="false"/>
          <w:sz w:val="20"/>
        </w:rPr>
      </w:pPr>
      <w:r>
        <w:rPr>
          <w:rFonts w:ascii="Times New Roman;serif" w:hAnsi="Times New Roman;serif"/>
          <w:b w:val="false"/>
          <w:sz w:val="20"/>
        </w:rPr>
        <w:t>Executive Vice President and Chief Financial Officer</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8" w:name="man-ex32_1.htm"/>
      <w:bookmarkStart w:id="29" w:name="ksmanex32_1"/>
      <w:bookmarkEnd w:id="28"/>
      <w:bookmarkEnd w:id="29"/>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0" w:after="0"/>
        <w:jc w:val="both"/>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STATEMENT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Pursuant to ss. 906 of the Sarbanes-Oxley Act of 2002, 18 U.S.C. ss. 1350, the undersigned officer of ManpowerGroup Inc. (the “Company”), hereby certifies that to his knowledge:</w:t>
      </w:r>
    </w:p>
    <w:p>
      <w:pPr>
        <w:pStyle w:val="TextBody"/>
        <w:spacing w:before="200" w:after="0"/>
        <w:jc w:val="left"/>
        <w:rPr>
          <w:rFonts w:ascii="Times New Roman" w:hAnsi="Times New Roman"/>
          <w:b w:val="false"/>
          <w:sz w:val="20"/>
        </w:rPr>
      </w:pPr>
      <w:r>
        <w:rPr>
          <w:rFonts w:ascii="Times New Roman" w:hAnsi="Times New Roman"/>
          <w:b w:val="false"/>
          <w:sz w:val="20"/>
        </w:rPr>
        <w:t>1.</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Company’s Quarterly Report on Form 10-Q for the quarter ended March 31, 2023 fully complies with the requirements of Section 13(a) or 15(d), as applicable, of the Securities Exchange Act of 1934, and</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ManpowerGroup Inc.</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Dated: May 5, 2023</w:t>
      </w:r>
    </w:p>
    <w:p>
      <w:pPr>
        <w:pStyle w:val="TextBody"/>
        <w:spacing w:before="0" w:after="0"/>
        <w:jc w:val="both"/>
        <w:rPr/>
      </w:pPr>
      <w:r>
        <w:rPr/>
        <w:t> </w:t>
      </w:r>
    </w:p>
    <w:tbl>
      <w:tblPr>
        <w:tblW w:w="1471" w:type="dxa"/>
        <w:jc w:val="left"/>
        <w:tblInd w:w="0" w:type="dxa"/>
        <w:tblCellMar>
          <w:top w:w="28" w:type="dxa"/>
          <w:left w:w="28" w:type="dxa"/>
          <w:bottom w:w="28" w:type="dxa"/>
          <w:right w:w="28" w:type="dxa"/>
        </w:tblCellMar>
      </w:tblPr>
      <w:tblGrid>
        <w:gridCol w:w="1471"/>
      </w:tblGrid>
      <w:tr>
        <w:trPr/>
        <w:tc>
          <w:tcPr>
            <w:tcW w:w="1471" w:type="dxa"/>
            <w:tcBorders/>
            <w:shd w:fill="auto" w:val="clear"/>
            <w:vAlign w:val="center"/>
          </w:tcPr>
          <w:p>
            <w:pPr>
              <w:pStyle w:val="TableContents"/>
              <w:spacing w:before="0" w:after="283"/>
              <w:rPr>
                <w:sz w:val="4"/>
                <w:szCs w:val="4"/>
              </w:rPr>
            </w:pPr>
            <w:r>
              <w:rPr>
                <w:sz w:val="4"/>
                <w:szCs w:val="4"/>
              </w:rPr>
            </w:r>
          </w:p>
        </w:tc>
      </w:tr>
      <w:tr>
        <w:trPr/>
        <w:tc>
          <w:tcPr>
            <w:tcW w:w="147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Jonas Prising</w:t>
            </w:r>
          </w:p>
        </w:tc>
      </w:tr>
      <w:tr>
        <w:trPr/>
        <w:tc>
          <w:tcPr>
            <w:tcW w:w="14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Jonas Prising</w:t>
            </w:r>
          </w:p>
        </w:tc>
      </w:tr>
    </w:tbl>
    <w:p>
      <w:pPr>
        <w:pStyle w:val="TextBody"/>
        <w:spacing w:before="0" w:after="0"/>
        <w:jc w:val="both"/>
        <w:rPr>
          <w:rFonts w:ascii="Times New Roman;serif" w:hAnsi="Times New Roman;serif"/>
          <w:b w:val="false"/>
          <w:sz w:val="20"/>
        </w:rPr>
      </w:pPr>
      <w:r>
        <w:rPr>
          <w:rFonts w:ascii="Times New Roman;serif" w:hAnsi="Times New Roman;serif"/>
          <w:b w:val="false"/>
          <w:sz w:val="20"/>
        </w:rPr>
        <w:t>Chief Executive Officer</w:t>
      </w:r>
    </w:p>
    <w:p>
      <w:pPr>
        <w:pStyle w:val="TextBody"/>
        <w:spacing w:before="0" w:after="0"/>
        <w:jc w:val="both"/>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This certification accompanies this Quarterly Report on Form 10-Q pursuant to Section 906 of the Sarbanes-Oxley Act of 2002 and shall not be deemed filed by the Company for purposes of the Securities Exchange Act of 1934.</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30" w:name="man-ex32_2.htm"/>
      <w:bookmarkStart w:id="31" w:name="ksmanex32_2"/>
      <w:bookmarkEnd w:id="30"/>
      <w:bookmarkEnd w:id="31"/>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0" w:after="0"/>
        <w:jc w:val="both"/>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STATEMENT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Pursuant to ss. 906 of the Sarbanes-Oxley Act of 2002, 18 U.S.C. ss. 1350, the undersigned officer of ManpowerGroup Inc. (the “Company”), hereby certifies that to his knowledge:</w:t>
      </w:r>
    </w:p>
    <w:p>
      <w:pPr>
        <w:pStyle w:val="TextBody"/>
        <w:spacing w:before="200" w:after="0"/>
        <w:jc w:val="left"/>
        <w:rPr>
          <w:rFonts w:ascii="Times New Roman" w:hAnsi="Times New Roman"/>
          <w:b w:val="false"/>
          <w:sz w:val="20"/>
        </w:rPr>
      </w:pPr>
      <w:r>
        <w:rPr>
          <w:rFonts w:ascii="Times New Roman" w:hAnsi="Times New Roman"/>
          <w:b w:val="false"/>
          <w:sz w:val="20"/>
        </w:rPr>
        <w:t>1.</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Company’s Quarterly Report on Form 10-Q for the quarter ended March 31, 2023 fully complies with the requirements of Section 13(a) or 15(d), as applicable, of the Securities Exchange Act of 1934, and</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ManpowerGroup Inc.</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Dated: May 5, 2023</w:t>
      </w:r>
    </w:p>
    <w:p>
      <w:pPr>
        <w:pStyle w:val="TextBody"/>
        <w:spacing w:before="0" w:after="0"/>
        <w:jc w:val="both"/>
        <w:rPr/>
      </w:pPr>
      <w:r>
        <w:rPr/>
        <w:t> </w:t>
      </w:r>
    </w:p>
    <w:tbl>
      <w:tblPr>
        <w:tblW w:w="1861" w:type="dxa"/>
        <w:jc w:val="left"/>
        <w:tblInd w:w="0" w:type="dxa"/>
        <w:tblCellMar>
          <w:top w:w="28" w:type="dxa"/>
          <w:left w:w="28" w:type="dxa"/>
          <w:bottom w:w="28" w:type="dxa"/>
          <w:right w:w="28" w:type="dxa"/>
        </w:tblCellMar>
      </w:tblPr>
      <w:tblGrid>
        <w:gridCol w:w="1861"/>
      </w:tblGrid>
      <w:tr>
        <w:trPr/>
        <w:tc>
          <w:tcPr>
            <w:tcW w:w="1861" w:type="dxa"/>
            <w:tcBorders/>
            <w:shd w:fill="auto" w:val="clear"/>
            <w:vAlign w:val="center"/>
          </w:tcPr>
          <w:p>
            <w:pPr>
              <w:pStyle w:val="TableContents"/>
              <w:spacing w:before="0" w:after="283"/>
              <w:rPr>
                <w:sz w:val="4"/>
                <w:szCs w:val="4"/>
              </w:rPr>
            </w:pPr>
            <w:r>
              <w:rPr>
                <w:sz w:val="4"/>
                <w:szCs w:val="4"/>
              </w:rPr>
            </w:r>
          </w:p>
        </w:tc>
      </w:tr>
      <w:tr>
        <w:trPr/>
        <w:tc>
          <w:tcPr>
            <w:tcW w:w="186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T. McGinnis</w:t>
            </w:r>
          </w:p>
        </w:tc>
      </w:tr>
      <w:tr>
        <w:trPr/>
        <w:tc>
          <w:tcPr>
            <w:tcW w:w="18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T. McGinnis</w:t>
            </w:r>
          </w:p>
        </w:tc>
      </w:tr>
    </w:tbl>
    <w:p>
      <w:pPr>
        <w:pStyle w:val="TextBody"/>
        <w:spacing w:before="0" w:after="0"/>
        <w:jc w:val="both"/>
        <w:rPr>
          <w:rFonts w:ascii="Times New Roman;serif" w:hAnsi="Times New Roman;serif"/>
          <w:b w:val="false"/>
          <w:sz w:val="20"/>
        </w:rPr>
      </w:pPr>
      <w:r>
        <w:rPr>
          <w:rFonts w:ascii="Times New Roman;serif" w:hAnsi="Times New Roman;serif"/>
          <w:b w:val="false"/>
          <w:sz w:val="20"/>
        </w:rPr>
        <w:t>Executive Vice President and Chief Financial Officer</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This certification accompanies this Quarterly Report on Form 10-Q pursuant to Section 906 of the Sarbanes-Oxley Act of 2002 and shall not be deemed filed by the Company for purposes of the Securities Exchange Act of 1934.</w:t>
      </w:r>
      <w:r>
        <w:rPr>
          <w:rFonts w:ascii="Times New Roman" w:hAnsi="Times New Roman"/>
          <w:sz w:val="20"/>
        </w:rPr>
        <w:t xml:space="preserve"> </w:t>
      </w:r>
    </w:p>
    <w:p>
      <w:pPr>
        <w:pStyle w:val="TextBody"/>
        <w:spacing w:before="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16594</Words>
  <CharactersWithSpaces>108223</CharactersWithSpaces>
  <Paragraphs>6032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