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August 3, 2018</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2800" w:type="dxa"/>
            <w:vAlign w:val="bottom"/>
          </w:tcPr>
          <w:p>
            <w:pPr>
              <w:jc w:val="right"/>
              <w:ind w:right="1110"/>
              <w:spacing w:after="0"/>
              <w:rPr>
                <w:sz w:val="20"/>
                <w:szCs w:val="20"/>
                <w:color w:val="auto"/>
              </w:rPr>
            </w:pPr>
            <w:r>
              <w:rPr>
                <w:rFonts w:ascii="Arial" w:cs="Arial" w:eastAsia="Arial" w:hAnsi="Arial"/>
                <w:sz w:val="18"/>
                <w:szCs w:val="18"/>
                <w:b w:val="1"/>
                <w:bCs w:val="1"/>
                <w:color w:val="auto"/>
              </w:rPr>
              <w:t>1-10686</w:t>
            </w:r>
          </w:p>
        </w:tc>
        <w:tc>
          <w:tcPr>
            <w:tcW w:w="3540" w:type="dxa"/>
            <w:vAlign w:val="bottom"/>
          </w:tcPr>
          <w:p>
            <w:pPr>
              <w:jc w:val="right"/>
              <w:ind w:right="125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43"/>
        </w:trPr>
        <w:tc>
          <w:tcPr>
            <w:tcW w:w="47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(Commission File Number)</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918"/>
        </w:trPr>
        <w:tc>
          <w:tcPr>
            <w:tcW w:w="4760" w:type="dxa"/>
            <w:vAlign w:val="bottom"/>
          </w:tcPr>
          <w:p>
            <w:pPr>
              <w:jc w:val="center"/>
              <w:ind w:left="1170"/>
              <w:spacing w:after="0"/>
              <w:rPr>
                <w:sz w:val="20"/>
                <w:szCs w:val="20"/>
                <w:color w:val="auto"/>
              </w:rPr>
            </w:pPr>
            <w:r>
              <w:rPr>
                <w:rFonts w:ascii="Arial" w:cs="Arial" w:eastAsia="Arial" w:hAnsi="Arial"/>
                <w:sz w:val="18"/>
                <w:szCs w:val="18"/>
                <w:b w:val="1"/>
                <w:bCs w:val="1"/>
                <w:color w:val="auto"/>
                <w:w w:val="91"/>
              </w:rPr>
              <w:t>100 Manpower Place</w:t>
            </w:r>
          </w:p>
        </w:tc>
        <w:tc>
          <w:tcPr>
            <w:tcW w:w="28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70"/>
        </w:trPr>
        <w:tc>
          <w:tcPr>
            <w:tcW w:w="476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Milwaukee, Wisconsin</w:t>
            </w:r>
          </w:p>
        </w:tc>
        <w:tc>
          <w:tcPr>
            <w:tcW w:w="2800" w:type="dxa"/>
            <w:vAlign w:val="bottom"/>
          </w:tcPr>
          <w:p>
            <w:pPr>
              <w:spacing w:after="0"/>
              <w:rPr>
                <w:sz w:val="23"/>
                <w:szCs w:val="23"/>
                <w:color w:val="auto"/>
              </w:rPr>
            </w:pPr>
          </w:p>
        </w:tc>
        <w:tc>
          <w:tcPr>
            <w:tcW w:w="3540" w:type="dxa"/>
            <w:vAlign w:val="bottom"/>
          </w:tcPr>
          <w:p>
            <w:pPr>
              <w:jc w:val="right"/>
              <w:ind w:right="2230"/>
              <w:spacing w:after="0"/>
              <w:rPr>
                <w:sz w:val="20"/>
                <w:szCs w:val="20"/>
                <w:color w:val="auto"/>
              </w:rPr>
            </w:pPr>
            <w:r>
              <w:rPr>
                <w:rFonts w:ascii="Arial" w:cs="Arial" w:eastAsia="Arial" w:hAnsi="Arial"/>
                <w:sz w:val="18"/>
                <w:szCs w:val="18"/>
                <w:b w:val="1"/>
                <w:bCs w:val="1"/>
                <w:color w:val="auto"/>
              </w:rPr>
              <w:t>53212</w:t>
            </w:r>
          </w:p>
        </w:tc>
      </w:tr>
      <w:tr>
        <w:trPr>
          <w:trHeight w:val="34"/>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43"/>
        </w:trPr>
        <w:tc>
          <w:tcPr>
            <w:tcW w:w="4760" w:type="dxa"/>
            <w:vAlign w:val="bottom"/>
          </w:tcPr>
          <w:p>
            <w:pPr>
              <w:jc w:val="center"/>
              <w:ind w:left="11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800" w:type="dxa"/>
            <w:vAlign w:val="bottom"/>
          </w:tcPr>
          <w:p>
            <w:pPr>
              <w:spacing w:after="0"/>
              <w:rPr>
                <w:sz w:val="21"/>
                <w:szCs w:val="21"/>
                <w:color w:val="auto"/>
              </w:rPr>
            </w:pPr>
          </w:p>
        </w:tc>
        <w:tc>
          <w:tcPr>
            <w:tcW w:w="3540" w:type="dxa"/>
            <w:vAlign w:val="bottom"/>
          </w:tcPr>
          <w:p>
            <w:pPr>
              <w:jc w:val="center"/>
              <w:ind w:right="1470"/>
              <w:spacing w:after="0"/>
              <w:rPr>
                <w:sz w:val="20"/>
                <w:szCs w:val="20"/>
                <w:color w:val="auto"/>
              </w:rPr>
            </w:pPr>
            <w:r>
              <w:rPr>
                <w:rFonts w:ascii="Arial" w:cs="Arial" w:eastAsia="Arial" w:hAnsi="Arial"/>
                <w:sz w:val="18"/>
                <w:szCs w:val="18"/>
                <w:b w:val="1"/>
                <w:bCs w:val="1"/>
                <w:color w:val="auto"/>
                <w:w w:val="92"/>
              </w:rPr>
              <w:t>(Zip Code)</w:t>
            </w:r>
          </w:p>
        </w:tc>
      </w:tr>
    </w:tbl>
    <w:p>
      <w:pPr>
        <w:spacing w:after="0" w:line="26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6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3"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976"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97" w:lineRule="exact"/>
        <w:rPr>
          <w:sz w:val="20"/>
          <w:szCs w:val="20"/>
          <w:color w:val="auto"/>
        </w:rPr>
      </w:pPr>
    </w:p>
    <w:p>
      <w:pPr>
        <w:spacing w:after="0" w:line="336" w:lineRule="auto"/>
        <w:rPr>
          <w:sz w:val="20"/>
          <w:szCs w:val="20"/>
          <w:color w:val="auto"/>
        </w:rPr>
      </w:pPr>
      <w:r>
        <w:rPr>
          <w:rFonts w:ascii="Arial" w:cs="Arial" w:eastAsia="Arial" w:hAnsi="Arial"/>
          <w:sz w:val="17"/>
          <w:szCs w:val="17"/>
          <w:color w:val="auto"/>
        </w:rPr>
        <w:t>On August 3, 2018 the Board of Directors of the Company approved a new share repurchase program which gives the Company the ability to repurchase up to 6 million shares of its issued and outstanding common stock. This new repurchase program is in addition to the share repurchase program authorized in July 2016, of which approximately 1.8 million shares remained available for repurchase as of June 30, 2018.</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attached hereto as Exhibit 99.1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9720" w:type="dxa"/>
            <w:vAlign w:val="bottom"/>
            <w:gridSpan w:val="3"/>
          </w:tcPr>
          <w:p>
            <w:pPr>
              <w:ind w:left="480"/>
              <w:spacing w:after="0"/>
              <w:rPr>
                <w:sz w:val="20"/>
                <w:szCs w:val="20"/>
                <w:color w:val="auto"/>
              </w:rPr>
            </w:pPr>
            <w:r>
              <w:rPr>
                <w:rFonts w:ascii="Arial" w:cs="Arial" w:eastAsia="Arial" w:hAnsi="Arial"/>
                <w:sz w:val="18"/>
                <w:szCs w:val="18"/>
                <w:b w:val="1"/>
                <w:bCs w:val="1"/>
                <w:color w:val="auto"/>
              </w:rPr>
              <w:t>Exhibits</w:t>
            </w:r>
          </w:p>
        </w:tc>
      </w:tr>
      <w:tr>
        <w:trPr>
          <w:trHeight w:val="635"/>
        </w:trPr>
        <w:tc>
          <w:tcPr>
            <w:tcW w:w="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20" w:type="dxa"/>
            <w:vAlign w:val="bottom"/>
            <w:gridSpan w:val="3"/>
          </w:tcPr>
          <w:p>
            <w:pPr>
              <w:ind w:left="76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r>
      <w:tr>
        <w:trPr>
          <w:trHeight w:val="203"/>
        </w:trPr>
        <w:tc>
          <w:tcPr>
            <w:tcW w:w="360" w:type="dxa"/>
            <w:vAlign w:val="bottom"/>
            <w:gridSpan w:val="2"/>
          </w:tcPr>
          <w:p>
            <w:pPr>
              <w:ind w:left="40"/>
              <w:spacing w:after="0" w:line="202"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020" w:type="dxa"/>
            <w:vAlign w:val="bottom"/>
          </w:tcPr>
          <w:p>
            <w:pPr>
              <w:spacing w:after="0"/>
              <w:rPr>
                <w:sz w:val="17"/>
                <w:szCs w:val="17"/>
                <w:color w:val="auto"/>
              </w:rPr>
            </w:pPr>
          </w:p>
        </w:tc>
        <w:tc>
          <w:tcPr>
            <w:tcW w:w="9720" w:type="dxa"/>
            <w:vAlign w:val="bottom"/>
            <w:gridSpan w:val="3"/>
          </w:tcPr>
          <w:p>
            <w:pPr>
              <w:ind w:left="76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August 3, 2018</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7580" w:type="dxa"/>
            <w:vAlign w:val="bottom"/>
            <w:gridSpan w:val="2"/>
          </w:tcPr>
          <w:p>
            <w:pPr>
              <w:ind w:left="178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500"/>
        </w:trPr>
        <w:tc>
          <w:tcPr>
            <w:tcW w:w="3400" w:type="dxa"/>
            <w:vAlign w:val="bottom"/>
          </w:tcPr>
          <w:p>
            <w:pPr>
              <w:spacing w:after="0"/>
              <w:rPr>
                <w:sz w:val="20"/>
                <w:szCs w:val="20"/>
                <w:color w:val="auto"/>
              </w:rPr>
            </w:pPr>
            <w:r>
              <w:rPr>
                <w:rFonts w:ascii="Arial" w:cs="Arial" w:eastAsia="Arial" w:hAnsi="Arial"/>
                <w:sz w:val="18"/>
                <w:szCs w:val="18"/>
                <w:color w:val="auto"/>
              </w:rPr>
              <w:t>Dated: August 3, 2018</w:t>
            </w:r>
          </w:p>
        </w:tc>
        <w:tc>
          <w:tcPr>
            <w:tcW w:w="2760" w:type="dxa"/>
            <w:vAlign w:val="bottom"/>
          </w:tcPr>
          <w:p>
            <w:pPr>
              <w:ind w:left="1780"/>
              <w:spacing w:after="0"/>
              <w:rPr>
                <w:sz w:val="20"/>
                <w:szCs w:val="20"/>
                <w:color w:val="auto"/>
              </w:rPr>
            </w:pPr>
            <w:r>
              <w:rPr>
                <w:rFonts w:ascii="Arial" w:cs="Arial" w:eastAsia="Arial" w:hAnsi="Arial"/>
                <w:sz w:val="18"/>
                <w:szCs w:val="18"/>
                <w:color w:val="auto"/>
              </w:rPr>
              <w:t>By:</w:t>
            </w:r>
          </w:p>
        </w:tc>
        <w:tc>
          <w:tcPr>
            <w:tcW w:w="4820" w:type="dxa"/>
            <w:vAlign w:val="bottom"/>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760" w:type="dxa"/>
            <w:vAlign w:val="bottom"/>
            <w:vMerge w:val="restart"/>
          </w:tcPr>
          <w:p>
            <w:pPr>
              <w:ind w:left="1780"/>
              <w:spacing w:after="0"/>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2760" w:type="dxa"/>
            <w:vAlign w:val="bottom"/>
          </w:tcPr>
          <w:p>
            <w:pPr>
              <w:ind w:left="1780"/>
              <w:spacing w:after="0"/>
              <w:rPr>
                <w:sz w:val="20"/>
                <w:szCs w:val="20"/>
                <w:color w:val="auto"/>
              </w:rPr>
            </w:pPr>
            <w:r>
              <w:rPr>
                <w:rFonts w:ascii="Arial" w:cs="Arial" w:eastAsia="Arial" w:hAnsi="Arial"/>
                <w:sz w:val="18"/>
                <w:szCs w:val="18"/>
                <w:color w:val="auto"/>
              </w:rPr>
              <w:t>Title:</w:t>
            </w:r>
          </w:p>
        </w:tc>
        <w:tc>
          <w:tcPr>
            <w:tcW w:w="4820" w:type="dxa"/>
            <w:vAlign w:val="bottom"/>
          </w:tcPr>
          <w:p>
            <w:pPr>
              <w:ind w:left="1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260"/>
          </w:cols>
          <w:pgMar w:left="240" w:top="1134" w:right="399" w:bottom="1440" w:gutter="0" w:footer="0" w:header="0"/>
        </w:sectPr>
      </w:pPr>
    </w:p>
    <w:bookmarkStart w:id="2" w:name="page3"/>
    <w:bookmarkEnd w:id="2"/>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70" w:lineRule="exact"/>
        <w:rPr>
          <w:sz w:val="20"/>
          <w:szCs w:val="20"/>
          <w:color w:val="auto"/>
        </w:rPr>
      </w:pPr>
    </w:p>
    <w:p>
      <w:pPr>
        <w:spacing w:after="0"/>
        <w:tabs>
          <w:tab w:leader="none" w:pos="52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dated August 3, 2018</w:t>
        </w:r>
      </w:hyperlink>
    </w:p>
    <w:p>
      <w:pPr>
        <w:sectPr>
          <w:pgSz w:w="11900" w:h="16838" w:orient="portrait"/>
          <w:cols w:equalWidth="0" w:num="1">
            <w:col w:w="10219"/>
          </w:cols>
          <w:pgMar w:left="240" w:top="621"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5645785</wp:posOffset>
            </wp:positionH>
            <wp:positionV relativeFrom="page">
              <wp:posOffset>380365</wp:posOffset>
            </wp:positionV>
            <wp:extent cx="175831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5831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 IMMEDIATE RELEASE</w:t>
      </w:r>
    </w:p>
    <w:p>
      <w:pPr>
        <w:spacing w:after="0" w:line="270" w:lineRule="exact"/>
        <w:rPr>
          <w:sz w:val="20"/>
          <w:szCs w:val="20"/>
          <w:color w:val="auto"/>
        </w:rPr>
      </w:pPr>
    </w:p>
    <w:p>
      <w:pPr>
        <w:jc w:val="right"/>
        <w:ind w:right="500"/>
        <w:spacing w:after="0"/>
        <w:rPr>
          <w:sz w:val="20"/>
          <w:szCs w:val="20"/>
          <w:color w:val="auto"/>
        </w:rPr>
      </w:pPr>
      <w:r>
        <w:rPr>
          <w:rFonts w:ascii="Arial" w:cs="Arial" w:eastAsia="Arial" w:hAnsi="Arial"/>
          <w:sz w:val="20"/>
          <w:szCs w:val="20"/>
          <w:b w:val="1"/>
          <w:bCs w:val="1"/>
          <w:color w:val="auto"/>
        </w:rPr>
        <w:t>CONTACT:</w:t>
      </w:r>
    </w:p>
    <w:p>
      <w:pPr>
        <w:spacing w:after="0" w:line="64" w:lineRule="exact"/>
        <w:rPr>
          <w:sz w:val="20"/>
          <w:szCs w:val="20"/>
          <w:color w:val="auto"/>
        </w:rPr>
      </w:pPr>
    </w:p>
    <w:p>
      <w:pPr>
        <w:jc w:val="right"/>
        <w:ind w:right="500"/>
        <w:spacing w:after="0"/>
        <w:rPr>
          <w:sz w:val="20"/>
          <w:szCs w:val="20"/>
          <w:color w:val="auto"/>
        </w:rPr>
      </w:pPr>
      <w:r>
        <w:rPr>
          <w:rFonts w:ascii="Arial" w:cs="Arial" w:eastAsia="Arial" w:hAnsi="Arial"/>
          <w:sz w:val="20"/>
          <w:szCs w:val="20"/>
          <w:color w:val="auto"/>
        </w:rPr>
        <w:t>Jack McGinnis</w:t>
      </w:r>
    </w:p>
    <w:p>
      <w:pPr>
        <w:spacing w:after="0" w:line="40" w:lineRule="exact"/>
        <w:rPr>
          <w:sz w:val="20"/>
          <w:szCs w:val="20"/>
          <w:color w:val="auto"/>
        </w:rPr>
      </w:pPr>
    </w:p>
    <w:p>
      <w:pPr>
        <w:jc w:val="right"/>
        <w:ind w:right="500"/>
        <w:spacing w:after="0"/>
        <w:rPr>
          <w:sz w:val="20"/>
          <w:szCs w:val="20"/>
          <w:color w:val="auto"/>
        </w:rPr>
      </w:pPr>
      <w:r>
        <w:rPr>
          <w:rFonts w:ascii="Arial" w:cs="Arial" w:eastAsia="Arial" w:hAnsi="Arial"/>
          <w:sz w:val="20"/>
          <w:szCs w:val="20"/>
          <w:color w:val="auto"/>
        </w:rPr>
        <w:t>+1.414.906.7977</w:t>
      </w:r>
    </w:p>
    <w:p>
      <w:pPr>
        <w:spacing w:after="0" w:line="40" w:lineRule="exact"/>
        <w:rPr>
          <w:sz w:val="20"/>
          <w:szCs w:val="20"/>
          <w:color w:val="auto"/>
        </w:rPr>
      </w:pPr>
    </w:p>
    <w:p>
      <w:pPr>
        <w:ind w:left="7640"/>
        <w:spacing w:after="0"/>
        <w:rPr>
          <w:sz w:val="20"/>
          <w:szCs w:val="20"/>
          <w:color w:val="auto"/>
        </w:rPr>
      </w:pPr>
      <w:r>
        <w:rPr>
          <w:rFonts w:ascii="Arial" w:cs="Arial" w:eastAsia="Arial" w:hAnsi="Arial"/>
          <w:sz w:val="20"/>
          <w:szCs w:val="20"/>
          <w:color w:val="auto"/>
        </w:rPr>
        <w:t>jack.mcginnis@manpowergroup.com</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ManpowerGroup Announces New Share Repurchase Authorization</w:t>
      </w:r>
    </w:p>
    <w:p>
      <w:pPr>
        <w:spacing w:after="0" w:line="256" w:lineRule="exact"/>
        <w:rPr>
          <w:sz w:val="20"/>
          <w:szCs w:val="20"/>
          <w:color w:val="auto"/>
        </w:rPr>
      </w:pPr>
    </w:p>
    <w:p>
      <w:pPr>
        <w:jc w:val="both"/>
        <w:ind w:right="480"/>
        <w:spacing w:after="0" w:line="314" w:lineRule="auto"/>
        <w:rPr>
          <w:sz w:val="20"/>
          <w:szCs w:val="20"/>
          <w:color w:val="auto"/>
        </w:rPr>
      </w:pPr>
      <w:r>
        <w:rPr>
          <w:rFonts w:ascii="Arial" w:cs="Arial" w:eastAsia="Arial" w:hAnsi="Arial"/>
          <w:sz w:val="20"/>
          <w:szCs w:val="20"/>
          <w:b w:val="1"/>
          <w:bCs w:val="1"/>
          <w:color w:val="auto"/>
        </w:rPr>
        <w:t xml:space="preserve">MILWAUKEE (August 3, 2018) – </w:t>
      </w:r>
      <w:r>
        <w:rPr>
          <w:rFonts w:ascii="Arial" w:cs="Arial" w:eastAsia="Arial" w:hAnsi="Arial"/>
          <w:sz w:val="20"/>
          <w:szCs w:val="20"/>
          <w:color w:val="auto"/>
        </w:rPr>
        <w:t>ManpowerGroup (MAN) today announced that its Board of Directors has authorized a new</w:t>
      </w:r>
      <w:r>
        <w:rPr>
          <w:rFonts w:ascii="Arial" w:cs="Arial" w:eastAsia="Arial" w:hAnsi="Arial"/>
          <w:sz w:val="20"/>
          <w:szCs w:val="20"/>
          <w:b w:val="1"/>
          <w:bCs w:val="1"/>
          <w:color w:val="auto"/>
        </w:rPr>
        <w:t xml:space="preserve"> </w:t>
      </w:r>
      <w:r>
        <w:rPr>
          <w:rFonts w:ascii="Arial" w:cs="Arial" w:eastAsia="Arial" w:hAnsi="Arial"/>
          <w:sz w:val="20"/>
          <w:szCs w:val="20"/>
          <w:color w:val="auto"/>
        </w:rPr>
        <w:t>share repurchase program under which the Company may repurchase up to 6 million shares of its common stock.</w:t>
      </w:r>
    </w:p>
    <w:p>
      <w:pPr>
        <w:spacing w:after="0" w:line="138" w:lineRule="exact"/>
        <w:rPr>
          <w:sz w:val="20"/>
          <w:szCs w:val="20"/>
          <w:color w:val="auto"/>
        </w:rPr>
      </w:pPr>
    </w:p>
    <w:p>
      <w:pPr>
        <w:ind w:right="160"/>
        <w:spacing w:after="0" w:line="289" w:lineRule="auto"/>
        <w:rPr>
          <w:sz w:val="20"/>
          <w:szCs w:val="20"/>
          <w:color w:val="auto"/>
        </w:rPr>
      </w:pPr>
      <w:r>
        <w:rPr>
          <w:rFonts w:ascii="Arial" w:cs="Arial" w:eastAsia="Arial" w:hAnsi="Arial"/>
          <w:sz w:val="20"/>
          <w:szCs w:val="20"/>
          <w:color w:val="auto"/>
        </w:rPr>
        <w:t>The new repurchase program is in addition to the share repurchase program authorized in July 2016, of which approximately 1.8 million shares remained available for repurchase as of June 30, 2018.</w:t>
      </w:r>
    </w:p>
    <w:p>
      <w:pPr>
        <w:spacing w:after="0" w:line="162" w:lineRule="exact"/>
        <w:rPr>
          <w:sz w:val="20"/>
          <w:szCs w:val="20"/>
          <w:color w:val="auto"/>
        </w:rPr>
      </w:pPr>
    </w:p>
    <w:p>
      <w:pPr>
        <w:ind w:right="560"/>
        <w:spacing w:after="0" w:line="289" w:lineRule="auto"/>
        <w:rPr>
          <w:sz w:val="20"/>
          <w:szCs w:val="20"/>
          <w:color w:val="auto"/>
        </w:rPr>
      </w:pPr>
      <w:r>
        <w:rPr>
          <w:rFonts w:ascii="Arial" w:cs="Arial" w:eastAsia="Arial" w:hAnsi="Arial"/>
          <w:sz w:val="20"/>
          <w:szCs w:val="20"/>
          <w:color w:val="auto"/>
        </w:rPr>
        <w:t>Purchases under the new share repurchase program may be made from time to time through open market purchases, block transactions, privately negotiated transactions or other facilities.</w:t>
      </w:r>
    </w:p>
    <w:p>
      <w:pPr>
        <w:spacing w:after="0" w:line="135" w:lineRule="exact"/>
        <w:rPr>
          <w:sz w:val="20"/>
          <w:szCs w:val="20"/>
          <w:color w:val="auto"/>
        </w:rPr>
      </w:pPr>
    </w:p>
    <w:p>
      <w:pPr>
        <w:ind w:right="300"/>
        <w:spacing w:after="0" w:line="247" w:lineRule="auto"/>
        <w:rPr>
          <w:sz w:val="20"/>
          <w:szCs w:val="20"/>
          <w:color w:val="auto"/>
        </w:rPr>
      </w:pPr>
      <w:r>
        <w:rPr>
          <w:rFonts w:ascii="Arial" w:cs="Arial" w:eastAsia="Arial" w:hAnsi="Arial"/>
          <w:sz w:val="20"/>
          <w:szCs w:val="20"/>
          <w:color w:val="auto"/>
        </w:rPr>
        <w:t>Additional financial information about ManpowerGroup, including stock history and annual shareholder reports, can be found at http://investor.manpowergroup.com.</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MANPOWERGROUP</w:t>
      </w:r>
    </w:p>
    <w:p>
      <w:pPr>
        <w:spacing w:after="0" w:line="253"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 Manpower®, Experis®, Right Management® and ManpowerGroup® Solutions – creates substantially more value for candidates and clients across 80 countries and territories and has done so for 70 years. In 2018, ManpowerGroup was named one of the World's Most Ethical Companies for the ninth year and one of Fortune's Most Admired Companies for the sixteenth year, confirming our position as the most trusted and admired brand in the industry. See how ManpowerGroup is powering the future of work: www.manpowergroup.com</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ManpowerGroup • 100 Manpower Place, Milwaukee, WI 53212 • USA • Phone +1.414.961.1000 • www.manpowergroup.com</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2019-12-28T20:36:16Z</dcterms:created>
  <dcterms:modified xsi:type="dcterms:W3CDTF">2019-12-28T20:36:16Z</dcterms:modified>
</cp:coreProperties>
</file>