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378" w:lineRule="exact"/>
        <w:rPr>
          <w:sz w:val="24"/>
          <w:szCs w:val="24"/>
          <w:color w:val="auto"/>
        </w:rPr>
      </w:pPr>
    </w:p>
    <w:p>
      <w:pPr>
        <w:ind w:left="120"/>
        <w:spacing w:after="0" w:line="207" w:lineRule="exact"/>
        <w:tabs>
          <w:tab w:leader="none" w:pos="33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MANPOWERGROUP INC.</w:t>
      </w:r>
    </w:p>
    <w:p>
      <w:pPr>
        <w:spacing w:after="0" w:line="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6"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593725</wp:posOffset>
            </wp:positionV>
            <wp:extent cx="643763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Online</w:t>
      </w:r>
    </w:p>
    <w:p>
      <w:pPr>
        <w:spacing w:after="0" w:line="100" w:lineRule="exact"/>
        <w:rPr>
          <w:sz w:val="20"/>
          <w:szCs w:val="20"/>
          <w:color w:val="auto"/>
        </w:rPr>
      </w:pPr>
    </w:p>
    <w:p>
      <w:pPr>
        <w:jc w:val="both"/>
        <w:ind w:left="7500"/>
        <w:spacing w:after="0" w:line="301" w:lineRule="auto"/>
        <w:rPr>
          <w:sz w:val="20"/>
          <w:szCs w:val="20"/>
          <w:color w:val="auto"/>
        </w:rPr>
      </w:pPr>
      <w:r>
        <w:rPr>
          <w:rFonts w:ascii="Times New Roman" w:cs="Times New Roman" w:eastAsia="Times New Roman" w:hAnsi="Times New Roman"/>
          <w:sz w:val="16"/>
          <w:szCs w:val="16"/>
          <w:color w:val="auto"/>
        </w:rPr>
        <w:t xml:space="preserve">Go to </w:t>
      </w:r>
      <w:r>
        <w:rPr>
          <w:rFonts w:ascii="Times New Roman" w:cs="Times New Roman" w:eastAsia="Times New Roman" w:hAnsi="Times New Roman"/>
          <w:sz w:val="16"/>
          <w:szCs w:val="16"/>
          <w:b w:val="1"/>
          <w:bCs w:val="1"/>
          <w:color w:val="auto"/>
        </w:rPr>
        <w:t>www.envisionreports.com/MAN</w:t>
      </w:r>
      <w:r>
        <w:rPr>
          <w:rFonts w:ascii="Times New Roman" w:cs="Times New Roman" w:eastAsia="Times New Roman" w:hAnsi="Times New Roman"/>
          <w:sz w:val="16"/>
          <w:szCs w:val="16"/>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-265430</wp:posOffset>
            </wp:positionV>
            <wp:extent cx="31750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000000"/>
                        </a:clrFrom>
                        <a:clrTo>
                          <a:srgbClr val="000000">
                            <a:alpha val="0"/>
                          </a:srgbClr>
                        </a:clrTo>
                      </a:clrChange>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-265430</wp:posOffset>
            </wp:positionV>
            <wp:extent cx="31750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17500" cy="31750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497205</wp:posOffset>
            </wp:positionV>
            <wp:extent cx="688340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34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5"/>
          <w:szCs w:val="25"/>
          <w:b w:val="1"/>
          <w:bCs w:val="1"/>
          <w:color w:val="auto"/>
        </w:rPr>
        <w:t>Important Notice Regarding the Availability of Proxy Materials for the</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5"/>
          <w:szCs w:val="25"/>
          <w:b w:val="1"/>
          <w:bCs w:val="1"/>
          <w:color w:val="auto"/>
        </w:rPr>
        <w:t>ManpowerGroup Inc. Shareholder Meeting to be Held on May 5, 2023</w:t>
      </w:r>
    </w:p>
    <w:p>
      <w:pPr>
        <w:spacing w:after="0" w:line="153" w:lineRule="exact"/>
        <w:rPr>
          <w:sz w:val="20"/>
          <w:szCs w:val="20"/>
          <w:color w:val="auto"/>
        </w:rPr>
      </w:pPr>
    </w:p>
    <w:p>
      <w:pPr>
        <w:ind w:left="120" w:right="40"/>
        <w:spacing w:after="0" w:line="239" w:lineRule="auto"/>
        <w:rPr>
          <w:sz w:val="20"/>
          <w:szCs w:val="20"/>
          <w:color w:val="auto"/>
        </w:rPr>
      </w:pPr>
      <w:r>
        <w:rPr>
          <w:rFonts w:ascii="Times New Roman" w:cs="Times New Roman" w:eastAsia="Times New Roman" w:hAnsi="Times New Roman"/>
          <w:sz w:val="22"/>
          <w:szCs w:val="22"/>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instructions on how to attend the annual meeting, which will be held virtually, are on the reverse side. Your vote is important!</w:t>
      </w:r>
    </w:p>
    <w:p>
      <w:pPr>
        <w:spacing w:after="0" w:line="136" w:lineRule="exact"/>
        <w:rPr>
          <w:sz w:val="20"/>
          <w:szCs w:val="20"/>
          <w:color w:val="auto"/>
        </w:rPr>
      </w:pPr>
    </w:p>
    <w:p>
      <w:pPr>
        <w:ind w:left="120" w:right="280"/>
        <w:spacing w:after="0" w:line="246" w:lineRule="auto"/>
        <w:rPr>
          <w:sz w:val="20"/>
          <w:szCs w:val="20"/>
          <w:color w:val="auto"/>
        </w:rPr>
      </w:pPr>
      <w:r>
        <w:rPr>
          <w:rFonts w:ascii="Times New Roman" w:cs="Times New Roman" w:eastAsia="Times New Roman" w:hAnsi="Times New Roman"/>
          <w:sz w:val="22"/>
          <w:szCs w:val="22"/>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2023 Proxy Statement and 2022 Annual Report on Form 10-K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143510</wp:posOffset>
            </wp:positionV>
            <wp:extent cx="4757420"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3"/>
          <w:szCs w:val="23"/>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1722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548640"/>
                    </a:xfrm>
                    <a:prstGeom prst="rect">
                      <a:avLst/>
                    </a:prstGeom>
                    <a:noFill/>
                  </pic:spPr>
                </pic:pic>
              </a:graphicData>
            </a:graphic>
          </wp:anchor>
        </w:drawing>
      </w:r>
    </w:p>
    <w:p>
      <w:pPr>
        <w:spacing w:after="0" w:line="121" w:lineRule="exact"/>
        <w:rPr>
          <w:sz w:val="20"/>
          <w:szCs w:val="20"/>
          <w:color w:val="auto"/>
        </w:rPr>
      </w:pPr>
    </w:p>
    <w:p>
      <w:pPr>
        <w:ind w:left="144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Step 1:</w:t>
      </w:r>
      <w:r>
        <w:rPr>
          <w:sz w:val="20"/>
          <w:szCs w:val="20"/>
          <w:color w:val="auto"/>
        </w:rPr>
        <w:tab/>
      </w:r>
      <w:r>
        <w:rPr>
          <w:rFonts w:ascii="Times New Roman" w:cs="Times New Roman" w:eastAsia="Times New Roman" w:hAnsi="Times New Roman"/>
          <w:sz w:val="17"/>
          <w:szCs w:val="17"/>
          <w:color w:val="auto"/>
        </w:rPr>
        <w:t xml:space="preserve">Go to </w:t>
      </w:r>
      <w:r>
        <w:rPr>
          <w:rFonts w:ascii="Times New Roman" w:cs="Times New Roman" w:eastAsia="Times New Roman" w:hAnsi="Times New Roman"/>
          <w:sz w:val="17"/>
          <w:szCs w:val="17"/>
          <w:b w:val="1"/>
          <w:bCs w:val="1"/>
          <w:color w:val="auto"/>
        </w:rPr>
        <w:t>www.envisionreports.com/MAN.</w:t>
      </w:r>
    </w:p>
    <w:p>
      <w:pPr>
        <w:spacing w:after="0" w:line="31" w:lineRule="exact"/>
        <w:rPr>
          <w:sz w:val="20"/>
          <w:szCs w:val="20"/>
          <w:color w:val="auto"/>
        </w:rPr>
      </w:pPr>
    </w:p>
    <w:p>
      <w:pPr>
        <w:ind w:left="144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Step 2:</w:t>
      </w:r>
      <w:r>
        <w:rPr>
          <w:sz w:val="20"/>
          <w:szCs w:val="20"/>
          <w:color w:val="auto"/>
        </w:rPr>
        <w:tab/>
      </w:r>
      <w:r>
        <w:rPr>
          <w:rFonts w:ascii="Times New Roman" w:cs="Times New Roman" w:eastAsia="Times New Roman" w:hAnsi="Times New Roman"/>
          <w:sz w:val="17"/>
          <w:szCs w:val="17"/>
          <w:color w:val="auto"/>
        </w:rPr>
        <w:t xml:space="preserve">Click on </w:t>
      </w:r>
      <w:r>
        <w:rPr>
          <w:rFonts w:ascii="Times New Roman" w:cs="Times New Roman" w:eastAsia="Times New Roman" w:hAnsi="Times New Roman"/>
          <w:sz w:val="17"/>
          <w:szCs w:val="17"/>
          <w:b w:val="1"/>
          <w:bCs w:val="1"/>
          <w:color w:val="auto"/>
        </w:rPr>
        <w:t>Cast Your Vote or Request Materials</w:t>
      </w:r>
      <w:r>
        <w:rPr>
          <w:rFonts w:ascii="Times New Roman" w:cs="Times New Roman" w:eastAsia="Times New Roman" w:hAnsi="Times New Roman"/>
          <w:sz w:val="17"/>
          <w:szCs w:val="17"/>
          <w:color w:val="auto"/>
        </w:rPr>
        <w:t>.</w:t>
      </w:r>
    </w:p>
    <w:p>
      <w:pPr>
        <w:spacing w:after="0" w:line="23" w:lineRule="exact"/>
        <w:rPr>
          <w:sz w:val="20"/>
          <w:szCs w:val="20"/>
          <w:color w:val="auto"/>
        </w:rPr>
      </w:pPr>
    </w:p>
    <w:p>
      <w:pPr>
        <w:ind w:left="144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Step 3:</w:t>
      </w:r>
      <w:r>
        <w:rPr>
          <w:sz w:val="20"/>
          <w:szCs w:val="20"/>
          <w:color w:val="auto"/>
        </w:rPr>
        <w:tab/>
      </w:r>
      <w:r>
        <w:rPr>
          <w:rFonts w:ascii="Times New Roman" w:cs="Times New Roman" w:eastAsia="Times New Roman" w:hAnsi="Times New Roman"/>
          <w:sz w:val="17"/>
          <w:szCs w:val="17"/>
          <w:color w:val="auto"/>
        </w:rPr>
        <w:t>Follow the instructions on the screen to log in.</w:t>
      </w:r>
    </w:p>
    <w:p>
      <w:pPr>
        <w:spacing w:after="0" w:line="9" w:lineRule="exact"/>
        <w:rPr>
          <w:sz w:val="20"/>
          <w:szCs w:val="20"/>
          <w:color w:val="auto"/>
        </w:rPr>
      </w:pPr>
    </w:p>
    <w:p>
      <w:pPr>
        <w:ind w:left="144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Step 4:</w:t>
      </w:r>
      <w:r>
        <w:rPr>
          <w:sz w:val="20"/>
          <w:szCs w:val="20"/>
          <w:color w:val="auto"/>
        </w:rPr>
        <w:tab/>
      </w:r>
      <w:r>
        <w:rPr>
          <w:rFonts w:ascii="Times New Roman" w:cs="Times New Roman" w:eastAsia="Times New Roman" w:hAnsi="Times New Roman"/>
          <w:sz w:val="18"/>
          <w:szCs w:val="18"/>
          <w:color w:val="auto"/>
        </w:rPr>
        <w:t>Make your selections as instructed on each screen for your delivery preferences.</w:t>
      </w:r>
    </w:p>
    <w:p>
      <w:pPr>
        <w:spacing w:after="0" w:line="9" w:lineRule="exact"/>
        <w:rPr>
          <w:sz w:val="20"/>
          <w:szCs w:val="20"/>
          <w:color w:val="auto"/>
        </w:rPr>
      </w:pPr>
    </w:p>
    <w:p>
      <w:pPr>
        <w:ind w:left="144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Step 5:</w:t>
      </w:r>
      <w:r>
        <w:rPr>
          <w:sz w:val="20"/>
          <w:szCs w:val="20"/>
          <w:color w:val="auto"/>
        </w:rPr>
        <w:tab/>
      </w:r>
      <w:r>
        <w:rPr>
          <w:rFonts w:ascii="Times New Roman" w:cs="Times New Roman" w:eastAsia="Times New Roman" w:hAnsi="Times New Roman"/>
          <w:sz w:val="17"/>
          <w:szCs w:val="17"/>
          <w:color w:val="auto"/>
        </w:rPr>
        <w:t>Vote your shares.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2" w:lineRule="exact"/>
        <w:rPr>
          <w:sz w:val="20"/>
          <w:szCs w:val="20"/>
          <w:color w:val="auto"/>
        </w:rPr>
      </w:pPr>
    </w:p>
    <w:p>
      <w:pPr>
        <w:ind w:left="1440" w:right="60"/>
        <w:spacing w:after="0" w:line="246" w:lineRule="auto"/>
        <w:rPr>
          <w:sz w:val="20"/>
          <w:szCs w:val="20"/>
          <w:color w:val="auto"/>
        </w:rPr>
      </w:pPr>
      <w:r>
        <w:rPr>
          <w:rFonts w:ascii="Times New Roman" w:cs="Times New Roman" w:eastAsia="Times New Roman" w:hAnsi="Times New Roman"/>
          <w:sz w:val="22"/>
          <w:szCs w:val="22"/>
          <w:b w:val="1"/>
          <w:bCs w:val="1"/>
          <w:color w:val="auto"/>
        </w:rPr>
        <w:t>Obtaining a Copy of the Proxy Materials - If you want to receive a copy of the proxy materials, you must request one. There is no charge to you for requesting a copy. Please make your request as instructed on the reverse side on or before April 23, 2023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-473075</wp:posOffset>
            </wp:positionV>
            <wp:extent cx="41148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49720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194945</wp:posOffset>
            </wp:positionV>
            <wp:extent cx="6189345"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40322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3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5"/>
          <w:szCs w:val="25"/>
          <w:b w:val="1"/>
          <w:bCs w:val="1"/>
          <w:color w:val="auto"/>
        </w:rPr>
        <w:t>Shareholder Meeting Notice</w:t>
      </w:r>
    </w:p>
    <w:p>
      <w:pPr>
        <w:spacing w:after="0" w:line="304" w:lineRule="exact"/>
        <w:rPr>
          <w:sz w:val="20"/>
          <w:szCs w:val="20"/>
          <w:color w:val="auto"/>
        </w:rPr>
      </w:pPr>
    </w:p>
    <w:p>
      <w:pPr>
        <w:ind w:left="120" w:right="240"/>
        <w:spacing w:after="0" w:line="262" w:lineRule="auto"/>
        <w:rPr>
          <w:sz w:val="20"/>
          <w:szCs w:val="20"/>
          <w:color w:val="auto"/>
        </w:rPr>
      </w:pPr>
      <w:r>
        <w:rPr>
          <w:rFonts w:ascii="Times New Roman" w:cs="Times New Roman" w:eastAsia="Times New Roman" w:hAnsi="Times New Roman"/>
          <w:sz w:val="22"/>
          <w:szCs w:val="22"/>
          <w:b w:val="1"/>
          <w:bCs w:val="1"/>
          <w:color w:val="auto"/>
        </w:rPr>
        <w:t>ManpowerGroup Inc.’s Annual Meeting of Shareholders will be held on Friday, May 5, 2023, 9:00 a.m. Central time, virtually via the internet at www.meetnow.global/MYXC6R4.</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Proposals to be voted on at the meeting are listed below along with the Board of Directors’ recommendations.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and 3, and for </w:t>
      </w:r>
      <w:r>
        <w:rPr>
          <w:rFonts w:ascii="Times New Roman" w:cs="Times New Roman" w:eastAsia="Times New Roman" w:hAnsi="Times New Roman"/>
          <w:sz w:val="18"/>
          <w:szCs w:val="18"/>
          <w:b w:val="1"/>
          <w:bCs w:val="1"/>
          <w:u w:val="single" w:color="auto"/>
          <w:color w:val="auto"/>
        </w:rPr>
        <w:t>ONE YEAR</w:t>
      </w:r>
      <w:r>
        <w:rPr>
          <w:rFonts w:ascii="Times New Roman" w:cs="Times New Roman" w:eastAsia="Times New Roman" w:hAnsi="Times New Roman"/>
          <w:sz w:val="18"/>
          <w:szCs w:val="18"/>
          <w:b w:val="1"/>
          <w:bCs w:val="1"/>
          <w:color w:val="auto"/>
        </w:rPr>
        <w:t xml:space="preserve"> on Proposal 4:</w:t>
      </w:r>
    </w:p>
    <w:p>
      <w:pPr>
        <w:spacing w:after="0" w:line="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twelve individuals nominated by the Board of Directors of ManpowerGroup Inc. to serve until 2024 as directors.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Deloitte &amp; Touche LLP as our independent auditors for 2023.</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frequency of the advisory vote on the compensation of our named executive officers.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w:t>
      </w:r>
    </w:p>
    <w:p>
      <w:pPr>
        <w:spacing w:after="0" w:line="20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 YOU CANNOT VOTE BY RETURNING THIS NOTICE. To vote your shares you must go online or request a paper copy of the proxy materials to receive a proxy card. Please reference the proxy statement for instructions on how to attend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3472815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Here’s how to order a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394335"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4335" cy="480060"/>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Current and future delivery requests can be submitted using the options below.</w:t>
      </w:r>
    </w:p>
    <w:p>
      <w:pPr>
        <w:spacing w:after="0" w:line="1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If you request an email copy, you will receive an email with a link to the current meeting materials.</w:t>
      </w:r>
    </w:p>
    <w:p>
      <w:pPr>
        <w:spacing w:after="0" w:line="1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PLEASE NOTE: </w:t>
      </w:r>
      <w:r>
        <w:rPr>
          <w:rFonts w:ascii="Times New Roman" w:cs="Times New Roman" w:eastAsia="Times New Roman" w:hAnsi="Times New Roman"/>
          <w:sz w:val="18"/>
          <w:szCs w:val="18"/>
          <w:color w:val="auto"/>
        </w:rPr>
        <w:t>You must use the number in the shaded bar on the reverse side when requesting a copy of the proxy materials.</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b w:val="1"/>
          <w:bCs w:val="1"/>
          <w:color w:val="auto"/>
        </w:rPr>
        <w:t xml:space="preserve">Internet - </w:t>
      </w:r>
      <w:r>
        <w:rPr>
          <w:rFonts w:ascii="Times New Roman" w:cs="Times New Roman" w:eastAsia="Times New Roman" w:hAnsi="Times New Roman"/>
          <w:sz w:val="17"/>
          <w:szCs w:val="17"/>
          <w:color w:val="auto"/>
        </w:rPr>
        <w:t>Go to</w:t>
      </w:r>
      <w:r>
        <w:rPr>
          <w:rFonts w:ascii="Times New Roman" w:cs="Times New Roman" w:eastAsia="Times New Roman" w:hAnsi="Times New Roman"/>
          <w:sz w:val="17"/>
          <w:szCs w:val="17"/>
          <w:b w:val="1"/>
          <w:bCs w:val="1"/>
          <w:color w:val="auto"/>
        </w:rPr>
        <w:t xml:space="preserve"> www.envisionreports.com/MAN. </w:t>
      </w:r>
      <w:r>
        <w:rPr>
          <w:rFonts w:ascii="Times New Roman" w:cs="Times New Roman" w:eastAsia="Times New Roman" w:hAnsi="Times New Roman"/>
          <w:sz w:val="17"/>
          <w:szCs w:val="17"/>
          <w:color w:val="auto"/>
        </w:rPr>
        <w:t>Click Cast Your Vote or Request Materials.</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b w:val="1"/>
          <w:bCs w:val="1"/>
          <w:color w:val="auto"/>
        </w:rPr>
        <w:t xml:space="preserve">Phone - </w:t>
      </w:r>
      <w:r>
        <w:rPr>
          <w:rFonts w:ascii="Times New Roman" w:cs="Times New Roman" w:eastAsia="Times New Roman" w:hAnsi="Times New Roman"/>
          <w:sz w:val="17"/>
          <w:szCs w:val="17"/>
          <w:color w:val="auto"/>
        </w:rPr>
        <w:t>Call us free of charge at 1-866-641-4276.</w:t>
      </w:r>
    </w:p>
    <w:p>
      <w:pPr>
        <w:spacing w:after="0" w:line="117" w:lineRule="exact"/>
        <w:rPr>
          <w:sz w:val="20"/>
          <w:szCs w:val="20"/>
          <w:color w:val="auto"/>
        </w:rPr>
      </w:pPr>
    </w:p>
    <w:p>
      <w:pPr>
        <w:ind w:left="1780" w:hanging="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–Email - </w:t>
      </w:r>
      <w:r>
        <w:rPr>
          <w:rFonts w:ascii="Times New Roman" w:cs="Times New Roman" w:eastAsia="Times New Roman" w:hAnsi="Times New Roman"/>
          <w:sz w:val="18"/>
          <w:szCs w:val="18"/>
          <w:color w:val="auto"/>
        </w:rPr>
        <w:t>Send an email to investorvote@computershare.com with “Proxy Materials ManpowerGroup Inc.” in the subject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your full name and address, plus the number located in the shaded bar on the reverse side, and state that you want a paper copy of the meeting materials.</w:t>
      </w:r>
    </w:p>
    <w:p>
      <w:pPr>
        <w:spacing w:after="0" w:line="6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To facilitate timely delivery, all requests for a paper copy of proxy materials must be received by April 23, 2023.</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2023-03-09T18:16:06Z</dcterms:created>
  <dcterms:modified xsi:type="dcterms:W3CDTF">2023-03-09T18:16:06Z</dcterms:modified>
</cp:coreProperties>
</file>