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Washington, D.C. 20549</w:t>
      </w:r>
    </w:p>
    <w:p>
      <w:pPr>
        <w:spacing w:after="0" w:line="381"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8-K</w:t>
      </w:r>
    </w:p>
    <w:p>
      <w:pPr>
        <w:spacing w:after="0" w:line="190" w:lineRule="exact"/>
        <w:rPr>
          <w:sz w:val="24"/>
          <w:szCs w:val="24"/>
          <w:color w:val="auto"/>
        </w:rPr>
      </w:pPr>
    </w:p>
    <w:p>
      <w:pPr>
        <w:ind w:left="3280"/>
        <w:spacing w:after="0"/>
        <w:rPr>
          <w:sz w:val="20"/>
          <w:szCs w:val="20"/>
          <w:color w:val="auto"/>
        </w:rPr>
      </w:pPr>
      <w:r>
        <w:rPr>
          <w:rFonts w:ascii="Courier New" w:cs="Courier New" w:eastAsia="Courier New" w:hAnsi="Courier New"/>
          <w:sz w:val="17"/>
          <w:szCs w:val="17"/>
          <w:color w:val="auto"/>
        </w:rPr>
        <w:t>CURRENT REPORT</w:t>
      </w:r>
    </w:p>
    <w:p>
      <w:pPr>
        <w:spacing w:after="0" w:line="388"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95"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Date of Report (Date of earliest event reported): January 29, 2004</w:t>
      </w:r>
    </w:p>
    <w:p>
      <w:pPr>
        <w:spacing w:after="0" w:line="200" w:lineRule="exact"/>
        <w:rPr>
          <w:sz w:val="24"/>
          <w:szCs w:val="24"/>
          <w:color w:val="auto"/>
        </w:rPr>
      </w:pP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MANPOWER INC.</w:t>
      </w:r>
    </w:p>
    <w:p>
      <w:pPr>
        <w:ind w:left="2980"/>
        <w:spacing w:after="0" w:line="238" w:lineRule="auto"/>
        <w:rPr>
          <w:sz w:val="20"/>
          <w:szCs w:val="20"/>
          <w:color w:val="auto"/>
        </w:rPr>
      </w:pPr>
      <w:r>
        <w:rPr>
          <w:rFonts w:ascii="Courier New" w:cs="Courier New" w:eastAsia="Courier New" w:hAnsi="Courier New"/>
          <w:sz w:val="17"/>
          <w:szCs w:val="17"/>
          <w:color w:val="auto"/>
        </w:rPr>
        <w:t>-------------------</w:t>
      </w:r>
    </w:p>
    <w:p>
      <w:pPr>
        <w:ind w:left="130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428" w:right="1440" w:bottom="1440" w:gutter="0" w:footer="0" w:header="0"/>
        </w:sectPr>
      </w:pPr>
    </w:p>
    <w:p>
      <w:pPr>
        <w:spacing w:after="0" w:line="200" w:lineRule="exact"/>
        <w:rPr>
          <w:sz w:val="24"/>
          <w:szCs w:val="24"/>
          <w:color w:val="auto"/>
        </w:rPr>
      </w:pPr>
    </w:p>
    <w:p>
      <w:pPr>
        <w:spacing w:after="0" w:line="373"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Wisconsin</w:t>
      </w:r>
    </w:p>
    <w:p>
      <w:pPr>
        <w:ind w:left="900"/>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3"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3"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1-10686</w:t>
      </w:r>
    </w:p>
    <w:p>
      <w:pPr>
        <w:ind w:left="200"/>
        <w:spacing w:after="0" w:line="238"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(Commission</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3"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39-1672779</w:t>
      </w:r>
    </w:p>
    <w:p>
      <w:pPr>
        <w:ind w:left="500"/>
        <w:spacing w:after="0" w:line="238" w:lineRule="auto"/>
        <w:rPr>
          <w:sz w:val="20"/>
          <w:szCs w:val="20"/>
          <w:color w:val="auto"/>
        </w:rPr>
      </w:pPr>
      <w:r>
        <w:rPr>
          <w:rFonts w:ascii="Courier New" w:cs="Courier New" w:eastAsia="Courier New" w:hAnsi="Courier New"/>
          <w:sz w:val="17"/>
          <w:szCs w:val="17"/>
          <w:color w:val="auto"/>
        </w:rPr>
        <w:t>----------</w:t>
      </w:r>
    </w:p>
    <w:p>
      <w:pPr>
        <w:ind w:left="300"/>
        <w:spacing w:after="0" w:line="238" w:lineRule="auto"/>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4" w:lineRule="exact"/>
        <w:rPr>
          <w:sz w:val="24"/>
          <w:szCs w:val="24"/>
          <w:color w:val="auto"/>
        </w:rPr>
      </w:pPr>
    </w:p>
    <w:p>
      <w:pPr>
        <w:sectPr>
          <w:pgSz w:w="11900" w:h="16838" w:orient="portrait"/>
          <w:cols w:equalWidth="0" w:num="3">
            <w:col w:w="3060" w:space="720"/>
            <w:col w:w="1560" w:space="720"/>
            <w:col w:w="4159"/>
          </w:cols>
          <w:pgMar w:left="240" w:top="428" w:right="1440" w:bottom="1440" w:gutter="0" w:footer="0" w:header="0"/>
          <w:type w:val="continuous"/>
        </w:sectPr>
      </w:pPr>
    </w:p>
    <w:p>
      <w:pPr>
        <w:spacing w:after="0" w:line="181" w:lineRule="exact"/>
        <w:rPr>
          <w:sz w:val="24"/>
          <w:szCs w:val="24"/>
          <w:color w:val="auto"/>
        </w:rPr>
      </w:pPr>
    </w:p>
    <w:p>
      <w:pPr>
        <w:ind w:left="1600"/>
        <w:spacing w:after="0"/>
        <w:rPr>
          <w:sz w:val="20"/>
          <w:szCs w:val="20"/>
          <w:color w:val="auto"/>
        </w:rPr>
      </w:pPr>
      <w:r>
        <w:rPr>
          <w:rFonts w:ascii="Courier New" w:cs="Courier New" w:eastAsia="Courier New" w:hAnsi="Courier New"/>
          <w:sz w:val="17"/>
          <w:szCs w:val="17"/>
          <w:color w:val="auto"/>
        </w:rPr>
        <w:t>5301 North Ironwood Road</w:t>
      </w:r>
    </w:p>
    <w:p>
      <w:pPr>
        <w:ind w:left="1800"/>
        <w:spacing w:after="0" w:line="238" w:lineRule="auto"/>
        <w:rPr>
          <w:sz w:val="20"/>
          <w:szCs w:val="20"/>
          <w:color w:val="auto"/>
        </w:rPr>
      </w:pPr>
      <w:r>
        <w:rPr>
          <w:rFonts w:ascii="Courier New" w:cs="Courier New" w:eastAsia="Courier New" w:hAnsi="Courier New"/>
          <w:sz w:val="17"/>
          <w:szCs w:val="17"/>
          <w:color w:val="auto"/>
        </w:rPr>
        <w:t>Milwaukee, Wisconsin</w:t>
      </w:r>
    </w:p>
    <w:p>
      <w:pPr>
        <w:ind w:left="1800"/>
        <w:spacing w:after="0" w:line="238" w:lineRule="auto"/>
        <w:rPr>
          <w:sz w:val="20"/>
          <w:szCs w:val="20"/>
          <w:color w:val="auto"/>
        </w:rPr>
      </w:pPr>
      <w:r>
        <w:rPr>
          <w:rFonts w:ascii="Courier New" w:cs="Courier New" w:eastAsia="Courier New" w:hAnsi="Courier New"/>
          <w:sz w:val="17"/>
          <w:szCs w:val="17"/>
          <w:color w:val="auto"/>
        </w:rPr>
        <w:t>--------------------</w:t>
      </w:r>
    </w:p>
    <w:p>
      <w:pPr>
        <w:spacing w:after="0" w:line="6"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180"/>
        <w:spacing w:after="0"/>
        <w:rPr>
          <w:sz w:val="20"/>
          <w:szCs w:val="20"/>
          <w:color w:val="auto"/>
        </w:rPr>
      </w:pPr>
      <w:r>
        <w:rPr>
          <w:rFonts w:ascii="Courier New" w:cs="Courier New" w:eastAsia="Courier New" w:hAnsi="Courier New"/>
          <w:sz w:val="17"/>
          <w:szCs w:val="17"/>
          <w:color w:val="auto"/>
        </w:rPr>
        <w:t>53217</w:t>
      </w:r>
    </w:p>
    <w:p>
      <w:pPr>
        <w:ind w:left="180"/>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960" w:space="720"/>
            <w:col w:w="4539"/>
          </w:cols>
          <w:pgMar w:left="240" w:top="428" w:right="1440" w:bottom="1440" w:gutter="0" w:footer="0" w:header="0"/>
          <w:type w:val="continuous"/>
        </w:sectPr>
      </w:pPr>
    </w:p>
    <w:p>
      <w:pPr>
        <w:spacing w:after="0" w:line="193"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Registrant's telephone number, including area code: (414) 961-1000</w:t>
      </w:r>
    </w:p>
    <w:p>
      <w:pPr>
        <w:sectPr>
          <w:pgSz w:w="11900" w:h="16838" w:orient="portrait"/>
          <w:cols w:equalWidth="0" w:num="1">
            <w:col w:w="10219"/>
          </w:cols>
          <w:pgMar w:left="240" w:top="428" w:right="1440" w:bottom="1440" w:gutter="0" w:footer="0" w:header="0"/>
          <w:type w:val="continuous"/>
        </w:sectPr>
      </w:pPr>
    </w:p>
    <w:bookmarkStart w:id="1" w:name="page2"/>
    <w:bookmarkEnd w:id="1"/>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195" w:lineRule="exact"/>
        <w:rPr>
          <w:sz w:val="20"/>
          <w:szCs w:val="20"/>
          <w:color w:val="auto"/>
        </w:rPr>
      </w:pPr>
    </w:p>
    <w:p>
      <w:pPr>
        <w:sectPr>
          <w:pgSz w:w="11900" w:h="16838" w:orient="portrait"/>
          <w:cols w:equalWidth="0" w:num="2">
            <w:col w:w="700" w:space="200"/>
            <w:col w:w="9319"/>
          </w:cols>
          <w:pgMar w:left="240" w:top="1440" w:right="1440" w:bottom="1440" w:gutter="0" w:footer="0" w:header="0"/>
        </w:sectPr>
      </w:pP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Exhibit No.</w:t>
      </w:r>
    </w:p>
    <w:p>
      <w:pPr>
        <w:spacing w:after="0" w:line="10"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Description</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January 29, 2004</w:t>
      </w:r>
    </w:p>
    <w:p>
      <w:pPr>
        <w:spacing w:after="0" w:line="204" w:lineRule="exact"/>
        <w:rPr>
          <w:sz w:val="20"/>
          <w:szCs w:val="20"/>
          <w:color w:val="auto"/>
        </w:rPr>
      </w:pPr>
    </w:p>
    <w:p>
      <w:pPr>
        <w:sectPr>
          <w:pgSz w:w="11900" w:h="16838" w:orient="portrait"/>
          <w:cols w:equalWidth="0" w:num="2">
            <w:col w:w="2000" w:space="680"/>
            <w:col w:w="7539"/>
          </w:cols>
          <w:pgMar w:left="240" w:top="1440"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12. Results of Operations and Financial Condition.</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On January 29, 2004, Manpower Inc. issued a press release announcing</w:t>
      </w:r>
    </w:p>
    <w:p>
      <w:pPr>
        <w:sectPr>
          <w:pgSz w:w="11900" w:h="16838" w:orient="portrait"/>
          <w:cols w:equalWidth="0" w:num="1">
            <w:col w:w="10219"/>
          </w:cols>
          <w:pgMar w:left="240" w:top="1440" w:right="1440" w:bottom="1440" w:gutter="0" w:footer="0" w:header="0"/>
          <w:type w:val="continuous"/>
        </w:sectPr>
      </w:pPr>
    </w:p>
    <w:p>
      <w:pPr>
        <w:spacing w:after="0" w:line="10"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its results of operations for the three-month period and year ended December 31, 2003. A copy of the press release is attached hereto as Exhibit 99.1 and is incorporated herein by reference. This information is furnished under Item 12 of Form 8-K.</w:t>
      </w:r>
    </w:p>
    <w:p>
      <w:pPr>
        <w:spacing w:after="0" w:line="38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jc w:val="both"/>
        <w:ind w:right="2559" w:firstLine="895"/>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MANPOWER INC.</w:t>
      </w:r>
    </w:p>
    <w:p>
      <w:pPr>
        <w:sectPr>
          <w:pgSz w:w="11900" w:h="16838" w:orient="portrait"/>
          <w:cols w:equalWidth="0" w:num="1">
            <w:col w:w="10219"/>
          </w:cols>
          <w:pgMar w:left="240" w:top="1440" w:right="1440" w:bottom="1440" w:gutter="0" w:footer="0" w:header="0"/>
          <w:type w:val="continuous"/>
        </w:sectPr>
      </w:pP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spacing w:after="0" w:line="259" w:lineRule="auto"/>
        <w:rPr>
          <w:sz w:val="20"/>
          <w:szCs w:val="20"/>
          <w:color w:val="auto"/>
        </w:rPr>
      </w:pPr>
      <w:r>
        <w:rPr>
          <w:rFonts w:ascii="Courier New" w:cs="Courier New" w:eastAsia="Courier New" w:hAnsi="Courier New"/>
          <w:sz w:val="16"/>
          <w:szCs w:val="16"/>
          <w:color w:val="auto"/>
        </w:rPr>
        <w:t>January 29, 2004 ----------------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Michael J. Van Handel</w:t>
      </w:r>
    </w:p>
    <w:p>
      <w:pPr>
        <w:ind w:left="400"/>
        <w:spacing w:after="0" w:line="238" w:lineRule="auto"/>
        <w:rPr>
          <w:sz w:val="20"/>
          <w:szCs w:val="20"/>
          <w:color w:val="auto"/>
        </w:rPr>
      </w:pPr>
      <w:r>
        <w:rPr>
          <w:rFonts w:ascii="Courier New" w:cs="Courier New" w:eastAsia="Courier New" w:hAnsi="Courier New"/>
          <w:sz w:val="17"/>
          <w:szCs w:val="17"/>
          <w:color w:val="auto"/>
        </w:rPr>
        <w:t>-------------------------</w:t>
      </w:r>
    </w:p>
    <w:p>
      <w:pPr>
        <w:ind w:left="400"/>
        <w:spacing w:after="0" w:line="238" w:lineRule="auto"/>
        <w:rPr>
          <w:sz w:val="20"/>
          <w:szCs w:val="20"/>
          <w:color w:val="auto"/>
        </w:rPr>
      </w:pPr>
      <w:r>
        <w:rPr>
          <w:rFonts w:ascii="Courier New" w:cs="Courier New" w:eastAsia="Courier New" w:hAnsi="Courier New"/>
          <w:sz w:val="17"/>
          <w:szCs w:val="17"/>
          <w:color w:val="auto"/>
        </w:rPr>
        <w:t>Michael J. Van Handel</w:t>
      </w:r>
    </w:p>
    <w:p>
      <w:pPr>
        <w:ind w:left="400"/>
        <w:spacing w:after="0"/>
        <w:rPr>
          <w:sz w:val="20"/>
          <w:szCs w:val="20"/>
          <w:color w:val="auto"/>
        </w:rPr>
      </w:pPr>
      <w:r>
        <w:rPr>
          <w:rFonts w:ascii="Courier New" w:cs="Courier New" w:eastAsia="Courier New" w:hAnsi="Courier New"/>
          <w:sz w:val="17"/>
          <w:szCs w:val="17"/>
          <w:color w:val="auto"/>
        </w:rPr>
        <w:t>Executive Vice President</w:t>
      </w:r>
    </w:p>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Chief Financial Officer and Secretary</w:t>
      </w:r>
    </w:p>
    <w:p>
      <w:pPr>
        <w:spacing w:after="0" w:line="200" w:lineRule="exact"/>
        <w:rPr>
          <w:sz w:val="20"/>
          <w:szCs w:val="20"/>
          <w:color w:val="auto"/>
        </w:rPr>
      </w:pPr>
    </w:p>
    <w:p>
      <w:pPr>
        <w:sectPr>
          <w:pgSz w:w="11900" w:h="16838" w:orient="portrait"/>
          <w:cols w:equalWidth="0" w:num="3">
            <w:col w:w="1500" w:space="200"/>
            <w:col w:w="1580" w:space="500"/>
            <w:col w:w="6439"/>
          </w:cols>
          <w:pgMar w:left="240" w:top="1440" w:right="1440" w:bottom="1440" w:gutter="0" w:footer="0" w:header="0"/>
          <w:type w:val="continuous"/>
        </w:sectPr>
      </w:pPr>
    </w:p>
    <w:p>
      <w:pPr>
        <w:spacing w:after="0" w:line="19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40" w:right="1440" w:bottom="1440" w:gutter="0" w:footer="0" w:header="0"/>
          <w:type w:val="continuous"/>
        </w:sectPr>
      </w:pPr>
    </w:p>
    <w:p>
      <w:pPr>
        <w:spacing w:after="0" w:line="393"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Exhibit No.</w:t>
      </w:r>
    </w:p>
    <w:p>
      <w:pPr>
        <w:spacing w:after="0" w:line="10"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99.1</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January 29, 2004</w:t>
      </w:r>
    </w:p>
    <w:p>
      <w:pPr>
        <w:spacing w:after="0" w:line="204" w:lineRule="exact"/>
        <w:rPr>
          <w:sz w:val="20"/>
          <w:szCs w:val="20"/>
          <w:color w:val="auto"/>
        </w:rPr>
      </w:pPr>
    </w:p>
    <w:p>
      <w:pPr>
        <w:sectPr>
          <w:pgSz w:w="11900" w:h="16838" w:orient="portrait"/>
          <w:cols w:equalWidth="0" w:num="2">
            <w:col w:w="2000" w:space="680"/>
            <w:col w:w="7539"/>
          </w:cols>
          <w:pgMar w:left="240" w:top="1440" w:right="1440" w:bottom="1440" w:gutter="0" w:footer="0" w:header="0"/>
          <w:type w:val="continuous"/>
        </w:sectPr>
      </w:pPr>
    </w:p>
    <w:p>
      <w:pPr>
        <w:spacing w:after="0" w:line="188"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40" w:right="1440" w:bottom="1440" w:gutter="0" w:footer="0" w:header="0"/>
          <w:type w:val="continuous"/>
        </w:sectPr>
      </w:pPr>
    </w:p>
    <w:bookmarkStart w:id="2" w:name="page3"/>
    <w:bookmarkEnd w:id="2"/>
    <w:p>
      <w:pPr>
        <w:jc w:val="right"/>
        <w:ind w:right="2259"/>
        <w:spacing w:after="0"/>
        <w:rPr>
          <w:sz w:val="20"/>
          <w:szCs w:val="20"/>
          <w:color w:val="auto"/>
        </w:rPr>
      </w:pPr>
      <w:r>
        <w:rPr>
          <w:rFonts w:ascii="Courier New" w:cs="Courier New" w:eastAsia="Courier New" w:hAnsi="Courier New"/>
          <w:sz w:val="17"/>
          <w:szCs w:val="17"/>
          <w:color w:val="auto"/>
        </w:rPr>
        <w:t>Exhibit 99.1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(MANPOWER LOGO)</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IMMEDIATE RELEASE</w:t>
      </w:r>
    </w:p>
    <w:p>
      <w:pPr>
        <w:ind w:left="5580"/>
        <w:spacing w:after="0" w:line="238" w:lineRule="auto"/>
        <w:rPr>
          <w:sz w:val="20"/>
          <w:szCs w:val="20"/>
          <w:color w:val="auto"/>
        </w:rPr>
      </w:pPr>
      <w:r>
        <w:rPr>
          <w:rFonts w:ascii="Courier New" w:cs="Courier New" w:eastAsia="Courier New" w:hAnsi="Courier New"/>
          <w:sz w:val="17"/>
          <w:szCs w:val="17"/>
          <w:color w:val="auto"/>
        </w:rPr>
        <w:t>CONTACT:</w:t>
      </w:r>
    </w:p>
    <w:p>
      <w:pPr>
        <w:ind w:left="5580"/>
        <w:spacing w:after="0" w:line="238" w:lineRule="auto"/>
        <w:rPr>
          <w:sz w:val="20"/>
          <w:szCs w:val="20"/>
          <w:color w:val="auto"/>
        </w:rPr>
      </w:pPr>
      <w:r>
        <w:rPr>
          <w:rFonts w:ascii="Courier New" w:cs="Courier New" w:eastAsia="Courier New" w:hAnsi="Courier New"/>
          <w:sz w:val="17"/>
          <w:szCs w:val="17"/>
          <w:color w:val="auto"/>
        </w:rPr>
        <w:t>Mike Van Handel</w:t>
      </w:r>
    </w:p>
    <w:p>
      <w:pPr>
        <w:ind w:left="5580"/>
        <w:spacing w:after="0"/>
        <w:rPr>
          <w:sz w:val="20"/>
          <w:szCs w:val="20"/>
          <w:color w:val="auto"/>
        </w:rPr>
      </w:pPr>
      <w:r>
        <w:rPr>
          <w:rFonts w:ascii="Courier New" w:cs="Courier New" w:eastAsia="Courier New" w:hAnsi="Courier New"/>
          <w:sz w:val="17"/>
          <w:szCs w:val="17"/>
          <w:color w:val="auto"/>
        </w:rPr>
        <w:t>Chief Financial Officer</w:t>
      </w:r>
    </w:p>
    <w:p>
      <w:pPr>
        <w:ind w:left="5580"/>
        <w:spacing w:after="0" w:line="237" w:lineRule="auto"/>
        <w:rPr>
          <w:sz w:val="20"/>
          <w:szCs w:val="20"/>
          <w:color w:val="auto"/>
        </w:rPr>
      </w:pPr>
      <w:r>
        <w:rPr>
          <w:rFonts w:ascii="Courier New" w:cs="Courier New" w:eastAsia="Courier New" w:hAnsi="Courier New"/>
          <w:sz w:val="17"/>
          <w:szCs w:val="17"/>
          <w:color w:val="auto"/>
        </w:rPr>
        <w:t>(414) 906-6305</w:t>
      </w:r>
    </w:p>
    <w:p>
      <w:pPr>
        <w:spacing w:after="0" w:line="381"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MANPOWER REPORTS 4TH QUARTER AND FULL-YEAR 2003 RESULTS</w:t>
      </w:r>
    </w:p>
    <w:p>
      <w:pPr>
        <w:spacing w:after="0" w:line="196"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MILWAUKEE, WI, USA, January 29, 2004 - Manpower Inc. (NYSE: MAN) today reported that net income for the three months ended December 31, 2003 increased 24.6 percent to $49.9 million, or 63 cents per diluted share, from $40.1 million, or 52 cents per diluted share, a year earlier. Revenues for the fourth quarter totaled $3.3 billion, an increase of 15.9 percent from the year-earlier period.</w:t>
      </w:r>
    </w:p>
    <w:p>
      <w:pPr>
        <w:spacing w:after="0" w:line="188" w:lineRule="exact"/>
        <w:rPr>
          <w:sz w:val="20"/>
          <w:szCs w:val="20"/>
          <w:color w:val="auto"/>
        </w:rPr>
      </w:pPr>
    </w:p>
    <w:p>
      <w:pPr>
        <w:ind w:right="2459" w:firstLine="895"/>
        <w:spacing w:after="0" w:line="254" w:lineRule="auto"/>
        <w:rPr>
          <w:sz w:val="20"/>
          <w:szCs w:val="20"/>
          <w:color w:val="auto"/>
        </w:rPr>
      </w:pPr>
      <w:r>
        <w:rPr>
          <w:rFonts w:ascii="Courier New" w:cs="Courier New" w:eastAsia="Courier New" w:hAnsi="Courier New"/>
          <w:sz w:val="16"/>
          <w:szCs w:val="16"/>
          <w:color w:val="auto"/>
        </w:rPr>
        <w:t>Results for the fourth quarter were positively affected by relatively stronger foreign currencies compared to the prior year period. On a constant currency basis, earnings per diluted share for the quarter were 53 cents on a 2.8 percent revenue increase. Results were also favorably impacted by a net 8 cents as a result of a reduction in our estimated liability related to government payroll tax subsidies, partially offset by office closure costs.</w:t>
      </w:r>
    </w:p>
    <w:p>
      <w:pPr>
        <w:spacing w:after="0" w:line="18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Jeffrey A. Joerres, Manpower Chairman and Chief Executive Officer, said, "Throughout the fourth quarter of 2003 we continued to see positive signs. In several markets throughout the world the demand for our services is gradually improving, but more importantly, our infrastructure investments and execution of our strategies are clearly accelerating our performance.</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"Manpower France continues to perform very well. Germany, Canada, Japan, and Mexico also contributed nicely to the success of the quarter and full year. The U.S. market is more positive, though employers remain hesitant and reluctant to hire. On a full year basis, 2003 was unpredictable and difficult, and the Manpower team across the world responded superbly.</w:t>
      </w:r>
    </w:p>
    <w:p>
      <w:pPr>
        <w:spacing w:after="0" w:line="197" w:lineRule="exact"/>
        <w:rPr>
          <w:sz w:val="20"/>
          <w:szCs w:val="20"/>
          <w:color w:val="auto"/>
        </w:rPr>
      </w:pPr>
    </w:p>
    <w:p>
      <w:pPr>
        <w:ind w:right="2459" w:firstLine="895"/>
        <w:spacing w:after="0" w:line="255" w:lineRule="auto"/>
        <w:rPr>
          <w:sz w:val="20"/>
          <w:szCs w:val="20"/>
          <w:color w:val="auto"/>
        </w:rPr>
      </w:pPr>
      <w:r>
        <w:rPr>
          <w:rFonts w:ascii="Courier New" w:cs="Courier New" w:eastAsia="Courier New" w:hAnsi="Courier New"/>
          <w:sz w:val="16"/>
          <w:szCs w:val="16"/>
          <w:color w:val="auto"/>
        </w:rPr>
        <w:t>"We are anticipating the first quarter of 2004 fully diluted earnings per share to fall in the range of 23 to 27 cents. This includes an estimated positive currency impact of 4 cents and earnings accretion from the recently completed acquisition of Right Management Consultants of 3 cents."</w:t>
      </w:r>
    </w:p>
    <w:p>
      <w:pPr>
        <w:spacing w:after="0" w:line="200" w:lineRule="exact"/>
        <w:rPr>
          <w:sz w:val="20"/>
          <w:szCs w:val="20"/>
          <w:color w:val="auto"/>
        </w:rPr>
      </w:pPr>
    </w:p>
    <w:p>
      <w:pPr>
        <w:spacing w:after="0" w:line="36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 MORE -</w:t>
      </w:r>
    </w:p>
    <w:p>
      <w:pPr>
        <w:spacing w:after="0" w:line="38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MANPOWER INC. o P.O. BOX 2053 o 5301 N. IRONWOOD RD., MILWAUKEE, WI 53201 o USA</w:t>
      </w:r>
    </w:p>
    <w:p>
      <w:pPr>
        <w:spacing w:after="0" w:line="3"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o PHONE +1.414-961-1000 o www.manpower.com</w:t>
      </w:r>
    </w:p>
    <w:p>
      <w:pPr>
        <w:sectPr>
          <w:pgSz w:w="11900" w:h="16838" w:orient="portrait"/>
          <w:cols w:equalWidth="0" w:num="1">
            <w:col w:w="10219"/>
          </w:cols>
          <w:pgMar w:left="240" w:top="32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MANPOWER REPORTS 4TH QUARTER AND FULL-YEAR 2002/PAGE 2</w:t>
      </w:r>
    </w:p>
    <w:p>
      <w:pPr>
        <w:spacing w:after="0" w:line="196"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Net income for the year ended December 31, 2003 totaled $137.7 million or $1.74 per diluted share, up 21.7 percent from $113.2 million, or $1.46 per diluted share in 2002. Revenues for the year were $12.2 billion, an increase of 14.8 percent from the prior year. On a constant currency basis, earnings per diluted share for the year were $1.45 on a revenue increase of 2.2 percent.</w:t>
      </w:r>
    </w:p>
    <w:p>
      <w:pPr>
        <w:spacing w:after="0" w:line="188"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In conjunction with its fourth quarter earnings release, Manpower will broadcast its conference call live over the Internet on January 29 at 8:00 a.m. CST (9:00 a.m. EST). Interested parties are invited to listen by logging on to http://investor.manpower.com.</w:t>
      </w:r>
    </w:p>
    <w:p>
      <w:pPr>
        <w:spacing w:after="0" w:line="199" w:lineRule="exact"/>
        <w:rPr>
          <w:sz w:val="20"/>
          <w:szCs w:val="20"/>
          <w:color w:val="auto"/>
        </w:rPr>
      </w:pPr>
    </w:p>
    <w:p>
      <w:pPr>
        <w:ind w:right="2559" w:firstLine="895"/>
        <w:spacing w:after="0" w:line="235" w:lineRule="auto"/>
        <w:rPr>
          <w:sz w:val="20"/>
          <w:szCs w:val="20"/>
          <w:color w:val="auto"/>
        </w:rPr>
      </w:pPr>
      <w:r>
        <w:rPr>
          <w:rFonts w:ascii="Courier New" w:cs="Courier New" w:eastAsia="Courier New" w:hAnsi="Courier New"/>
          <w:sz w:val="17"/>
          <w:szCs w:val="17"/>
          <w:color w:val="auto"/>
        </w:rPr>
        <w:t>Supplemental financial information referenced in the conference call can be found at http://investor.manpower.com.</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 #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MANPOWER INC.</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Manpower Inc. (NYSE: MAN) is a world leader in the employment services industry, offering customers a continuum of services to meet their needs throughout the employment and business cycle. The company specializes in permanent, temporary and contract recruitment; employee assessment; training; career transition and organizational consulting services. Manpower's worldwide network of 4,300 offices in 66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 quality, efficiency and cost-reduction, enabling customers to concentrate on their core business activities. In addition to the Manpower brand, the company operates under the brand names of Right Management Consultants, Jefferson Wells, Elan, Brook Street and Empower. More information on Manpower Inc. is available at www.manpower.com.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 can be found in the Company's reports filed with the SEC, including its Annual Report on Form 10-K for the year ended December 31, 2002, which information is incorporated herein by reference.</w:t>
      </w:r>
    </w:p>
    <w:p>
      <w:pPr>
        <w:sectPr>
          <w:pgSz w:w="11900" w:h="16838" w:orient="portrait"/>
          <w:cols w:equalWidth="0" w:num="1">
            <w:col w:w="10219"/>
          </w:cols>
          <w:pgMar w:left="240" w:top="875" w:right="1440" w:bottom="144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7"/>
          <w:szCs w:val="17"/>
          <w:color w:val="auto"/>
        </w:rPr>
        <w:t>Manpower Inc.</w:t>
      </w:r>
    </w:p>
    <w:p>
      <w:pPr>
        <w:ind w:left="2980"/>
        <w:spacing w:after="0" w:line="238" w:lineRule="auto"/>
        <w:rPr>
          <w:sz w:val="20"/>
          <w:szCs w:val="20"/>
          <w:color w:val="auto"/>
        </w:rPr>
      </w:pPr>
      <w:r>
        <w:rPr>
          <w:rFonts w:ascii="Courier New" w:cs="Courier New" w:eastAsia="Courier New" w:hAnsi="Courier New"/>
          <w:sz w:val="17"/>
          <w:szCs w:val="17"/>
          <w:color w:val="auto"/>
        </w:rPr>
        <w:t>Results of Operations</w:t>
      </w:r>
    </w:p>
    <w:p>
      <w:pPr>
        <w:ind w:left="2180"/>
        <w:spacing w:after="0" w:line="238" w:lineRule="auto"/>
        <w:rPr>
          <w:sz w:val="20"/>
          <w:szCs w:val="20"/>
          <w:color w:val="auto"/>
        </w:rPr>
      </w:pPr>
      <w:r>
        <w:rPr>
          <w:rFonts w:ascii="Courier New" w:cs="Courier New" w:eastAsia="Courier New" w:hAnsi="Courier New"/>
          <w:sz w:val="17"/>
          <w:szCs w:val="17"/>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THREE MONTHS ENDED DECEMBER 31</w:t>
            </w:r>
          </w:p>
        </w:tc>
        <w:tc>
          <w:tcPr>
            <w:tcW w:w="100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5280" w:type="dxa"/>
            <w:vAlign w:val="bottom"/>
            <w:gridSpan w:val="6"/>
          </w:tcPr>
          <w:p>
            <w:pPr>
              <w:ind w:left="40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0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 VARIANCE</w:t>
            </w:r>
          </w:p>
        </w:tc>
      </w:tr>
      <w:tr>
        <w:trPr>
          <w:trHeight w:val="191"/>
        </w:trPr>
        <w:tc>
          <w:tcPr>
            <w:tcW w:w="3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AMOUNT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CONSTANT</w:t>
            </w:r>
          </w:p>
        </w:tc>
      </w:tr>
      <w:tr>
        <w:trPr>
          <w:trHeight w:val="191"/>
        </w:trPr>
        <w:tc>
          <w:tcPr>
            <w:tcW w:w="3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2003</w:t>
            </w:r>
          </w:p>
        </w:tc>
        <w:tc>
          <w:tcPr>
            <w:tcW w:w="400" w:type="dxa"/>
            <w:vAlign w:val="bottom"/>
          </w:tcPr>
          <w:p>
            <w:pPr>
              <w:spacing w:after="0"/>
              <w:rPr>
                <w:sz w:val="16"/>
                <w:szCs w:val="16"/>
                <w:color w:val="auto"/>
              </w:rPr>
            </w:pP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2002</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REPORTED</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CURRENCY</w:t>
            </w:r>
          </w:p>
        </w:tc>
      </w:tr>
      <w:tr>
        <w:trPr>
          <w:trHeight w:val="191"/>
        </w:trPr>
        <w:tc>
          <w:tcPr>
            <w:tcW w:w="3880" w:type="dxa"/>
            <w:vAlign w:val="bottom"/>
          </w:tcPr>
          <w:p>
            <w:pPr>
              <w:spacing w:after="0"/>
              <w:rPr>
                <w:sz w:val="16"/>
                <w:szCs w:val="16"/>
                <w:color w:val="auto"/>
              </w:rPr>
            </w:pPr>
          </w:p>
        </w:tc>
        <w:tc>
          <w:tcPr>
            <w:tcW w:w="5280" w:type="dxa"/>
            <w:vAlign w:val="bottom"/>
            <w:gridSpan w:val="6"/>
          </w:tcPr>
          <w:p>
            <w:pPr>
              <w:ind w:left="40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gridSpan w:val="2"/>
          </w:tcPr>
          <w:p>
            <w:pPr>
              <w:ind w:left="440"/>
              <w:spacing w:after="0" w:line="191" w:lineRule="exact"/>
              <w:rPr>
                <w:sz w:val="20"/>
                <w:szCs w:val="20"/>
                <w:color w:val="auto"/>
              </w:rPr>
            </w:pPr>
            <w:r>
              <w:rPr>
                <w:rFonts w:ascii="Courier New" w:cs="Courier New" w:eastAsia="Courier New" w:hAnsi="Courier New"/>
                <w:sz w:val="17"/>
                <w:szCs w:val="17"/>
                <w:color w:val="auto"/>
              </w:rPr>
              <w:t>(Unaudited)</w:t>
            </w:r>
          </w:p>
        </w:tc>
        <w:tc>
          <w:tcPr>
            <w:tcW w:w="1000" w:type="dxa"/>
            <w:vAlign w:val="bottom"/>
          </w:tcPr>
          <w:p>
            <w:pPr>
              <w:spacing w:after="0"/>
              <w:rPr>
                <w:sz w:val="16"/>
                <w:szCs w:val="16"/>
                <w:color w:val="auto"/>
              </w:rPr>
            </w:pPr>
          </w:p>
        </w:tc>
      </w:tr>
      <w:tr>
        <w:trPr>
          <w:trHeight w:val="574"/>
        </w:trPr>
        <w:tc>
          <w:tcPr>
            <w:tcW w:w="3880" w:type="dxa"/>
            <w:vAlign w:val="bottom"/>
          </w:tcPr>
          <w:p>
            <w:pPr>
              <w:spacing w:after="0"/>
              <w:rPr>
                <w:sz w:val="20"/>
                <w:szCs w:val="20"/>
                <w:color w:val="auto"/>
              </w:rPr>
            </w:pPr>
            <w:r>
              <w:rPr>
                <w:rFonts w:ascii="Courier New" w:cs="Courier New" w:eastAsia="Courier New" w:hAnsi="Courier New"/>
                <w:sz w:val="17"/>
                <w:szCs w:val="17"/>
                <w:color w:val="auto"/>
              </w:rPr>
              <w:t>Revenues from services (a)</w:t>
            </w:r>
          </w:p>
        </w:tc>
        <w:tc>
          <w:tcPr>
            <w:tcW w:w="16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$ 3,289.2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2,838.1</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15.9%</w:t>
            </w:r>
          </w:p>
        </w:tc>
        <w:tc>
          <w:tcPr>
            <w:tcW w:w="10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2.8%</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Cost of services</w:t>
            </w:r>
          </w:p>
        </w:tc>
        <w:tc>
          <w:tcPr>
            <w:tcW w:w="54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2,689.5</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2,322.4</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15.8%</w:t>
            </w:r>
          </w:p>
        </w:tc>
        <w:tc>
          <w:tcPr>
            <w:tcW w:w="1000" w:type="dxa"/>
            <w:vAlign w:val="bottom"/>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3"/>
        </w:trPr>
        <w:tc>
          <w:tcPr>
            <w:tcW w:w="3880" w:type="dxa"/>
            <w:vAlign w:val="bottom"/>
          </w:tcPr>
          <w:p>
            <w:pPr>
              <w:ind w:left="200"/>
              <w:spacing w:after="0"/>
              <w:rPr>
                <w:sz w:val="20"/>
                <w:szCs w:val="20"/>
                <w:color w:val="auto"/>
              </w:rPr>
            </w:pPr>
            <w:r>
              <w:rPr>
                <w:rFonts w:ascii="Courier New" w:cs="Courier New" w:eastAsia="Courier New" w:hAnsi="Courier New"/>
                <w:sz w:val="17"/>
                <w:szCs w:val="17"/>
                <w:color w:val="auto"/>
              </w:rPr>
              <w:t>Gross profit</w:t>
            </w:r>
          </w:p>
        </w:tc>
        <w:tc>
          <w:tcPr>
            <w:tcW w:w="54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599.7</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515.7</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16.3%</w:t>
            </w:r>
          </w:p>
        </w:tc>
        <w:tc>
          <w:tcPr>
            <w:tcW w:w="10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3.3%</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Selling and administrative expenses</w:t>
            </w:r>
          </w:p>
        </w:tc>
        <w:tc>
          <w:tcPr>
            <w:tcW w:w="54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510.6</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428.6</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19.1%</w:t>
            </w:r>
          </w:p>
        </w:tc>
        <w:tc>
          <w:tcPr>
            <w:tcW w:w="10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6.6%</w:t>
            </w:r>
          </w:p>
        </w:tc>
      </w:tr>
      <w:tr>
        <w:trPr>
          <w:trHeight w:val="191"/>
        </w:trPr>
        <w:tc>
          <w:tcPr>
            <w:tcW w:w="3880" w:type="dxa"/>
            <w:vAlign w:val="bottom"/>
          </w:tcPr>
          <w:p>
            <w:pPr>
              <w:spacing w:after="0"/>
              <w:rPr>
                <w:sz w:val="16"/>
                <w:szCs w:val="16"/>
                <w:color w:val="auto"/>
              </w:rPr>
            </w:pPr>
          </w:p>
        </w:tc>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3"/>
        </w:trPr>
        <w:tc>
          <w:tcPr>
            <w:tcW w:w="3880" w:type="dxa"/>
            <w:vAlign w:val="bottom"/>
          </w:tcPr>
          <w:p>
            <w:pPr>
              <w:ind w:left="200"/>
              <w:spacing w:after="0"/>
              <w:rPr>
                <w:sz w:val="20"/>
                <w:szCs w:val="20"/>
                <w:color w:val="auto"/>
              </w:rPr>
            </w:pPr>
            <w:r>
              <w:rPr>
                <w:rFonts w:ascii="Courier New" w:cs="Courier New" w:eastAsia="Courier New" w:hAnsi="Courier New"/>
                <w:sz w:val="17"/>
                <w:szCs w:val="17"/>
                <w:color w:val="auto"/>
              </w:rPr>
              <w:t>Operating profit</w:t>
            </w:r>
          </w:p>
        </w:tc>
        <w:tc>
          <w:tcPr>
            <w:tcW w:w="54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89.1</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87.1</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2.4%</w:t>
            </w:r>
          </w:p>
        </w:tc>
        <w:tc>
          <w:tcPr>
            <w:tcW w:w="1000" w:type="dxa"/>
            <w:vAlign w:val="bottom"/>
          </w:tcPr>
          <w:p>
            <w:pPr>
              <w:jc w:val="right"/>
              <w:ind w:right="317"/>
              <w:spacing w:after="0"/>
              <w:rPr>
                <w:sz w:val="20"/>
                <w:szCs w:val="20"/>
                <w:color w:val="auto"/>
              </w:rPr>
            </w:pPr>
            <w:r>
              <w:rPr>
                <w:rFonts w:ascii="Courier New" w:cs="Courier New" w:eastAsia="Courier New" w:hAnsi="Courier New"/>
                <w:sz w:val="17"/>
                <w:szCs w:val="17"/>
                <w:color w:val="auto"/>
                <w:w w:val="94"/>
              </w:rPr>
              <w:t>-12.8%</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Interest and other expenses</w:t>
            </w:r>
          </w:p>
        </w:tc>
        <w:tc>
          <w:tcPr>
            <w:tcW w:w="54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8.6</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17.9</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-52.2%</w:t>
            </w:r>
          </w:p>
        </w:tc>
        <w:tc>
          <w:tcPr>
            <w:tcW w:w="1000" w:type="dxa"/>
            <w:vAlign w:val="bottom"/>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2"/>
        </w:trPr>
        <w:tc>
          <w:tcPr>
            <w:tcW w:w="3880" w:type="dxa"/>
            <w:vAlign w:val="bottom"/>
          </w:tcPr>
          <w:p>
            <w:pPr>
              <w:ind w:left="200"/>
              <w:spacing w:after="0"/>
              <w:rPr>
                <w:sz w:val="20"/>
                <w:szCs w:val="20"/>
                <w:color w:val="auto"/>
              </w:rPr>
            </w:pPr>
            <w:r>
              <w:rPr>
                <w:rFonts w:ascii="Courier New" w:cs="Courier New" w:eastAsia="Courier New" w:hAnsi="Courier New"/>
                <w:sz w:val="17"/>
                <w:szCs w:val="17"/>
                <w:color w:val="auto"/>
              </w:rPr>
              <w:t>Earnings before income taxes</w:t>
            </w:r>
          </w:p>
        </w:tc>
        <w:tc>
          <w:tcPr>
            <w:tcW w:w="54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80.5</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69.2</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16.4%</w:t>
            </w:r>
          </w:p>
        </w:tc>
        <w:tc>
          <w:tcPr>
            <w:tcW w:w="1000" w:type="dxa"/>
            <w:vAlign w:val="bottom"/>
          </w:tcPr>
          <w:p>
            <w:pPr>
              <w:spacing w:after="0"/>
              <w:rPr>
                <w:sz w:val="24"/>
                <w:szCs w:val="24"/>
                <w:color w:val="auto"/>
              </w:rPr>
            </w:pP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54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30.6</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29.1</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5.2%</w:t>
            </w:r>
          </w:p>
        </w:tc>
        <w:tc>
          <w:tcPr>
            <w:tcW w:w="1000" w:type="dxa"/>
            <w:vAlign w:val="bottom"/>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3"/>
        </w:trPr>
        <w:tc>
          <w:tcPr>
            <w:tcW w:w="3880" w:type="dxa"/>
            <w:vAlign w:val="bottom"/>
          </w:tcPr>
          <w:p>
            <w:pPr>
              <w:ind w:left="200"/>
              <w:spacing w:after="0"/>
              <w:rPr>
                <w:sz w:val="20"/>
                <w:szCs w:val="20"/>
                <w:color w:val="auto"/>
              </w:rPr>
            </w:pPr>
            <w:r>
              <w:rPr>
                <w:rFonts w:ascii="Courier New" w:cs="Courier New" w:eastAsia="Courier New" w:hAnsi="Courier New"/>
                <w:sz w:val="17"/>
                <w:szCs w:val="17"/>
                <w:color w:val="auto"/>
              </w:rPr>
              <w:t>Net earnings</w:t>
            </w:r>
          </w:p>
        </w:tc>
        <w:tc>
          <w:tcPr>
            <w:tcW w:w="54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49.9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40.1</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24.6%</w:t>
            </w:r>
          </w:p>
        </w:tc>
        <w:tc>
          <w:tcPr>
            <w:tcW w:w="10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6.1%</w:t>
            </w:r>
          </w:p>
        </w:tc>
      </w:tr>
      <w:tr>
        <w:trPr>
          <w:trHeight w:val="191"/>
        </w:trPr>
        <w:tc>
          <w:tcPr>
            <w:tcW w:w="3880" w:type="dxa"/>
            <w:vAlign w:val="bottom"/>
          </w:tcPr>
          <w:p>
            <w:pPr>
              <w:spacing w:after="0"/>
              <w:rPr>
                <w:sz w:val="16"/>
                <w:szCs w:val="16"/>
                <w:color w:val="auto"/>
              </w:rPr>
            </w:pPr>
          </w:p>
        </w:tc>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4"/>
        </w:trPr>
        <w:tc>
          <w:tcPr>
            <w:tcW w:w="3880" w:type="dxa"/>
            <w:vAlign w:val="bottom"/>
          </w:tcPr>
          <w:p>
            <w:pPr>
              <w:spacing w:after="0"/>
              <w:rPr>
                <w:sz w:val="20"/>
                <w:szCs w:val="20"/>
                <w:color w:val="auto"/>
              </w:rPr>
            </w:pPr>
            <w:r>
              <w:rPr>
                <w:rFonts w:ascii="Courier New" w:cs="Courier New" w:eastAsia="Courier New" w:hAnsi="Courier New"/>
                <w:sz w:val="17"/>
                <w:szCs w:val="17"/>
                <w:color w:val="auto"/>
              </w:rPr>
              <w:t>Net earnings per share - basic</w:t>
            </w:r>
          </w:p>
        </w:tc>
        <w:tc>
          <w:tcPr>
            <w:tcW w:w="54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0.64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ind w:left="440"/>
              <w:spacing w:after="0"/>
              <w:rPr>
                <w:sz w:val="20"/>
                <w:szCs w:val="20"/>
                <w:color w:val="auto"/>
              </w:rPr>
            </w:pPr>
            <w:r>
              <w:rPr>
                <w:rFonts w:ascii="Courier New" w:cs="Courier New" w:eastAsia="Courier New" w:hAnsi="Courier New"/>
                <w:sz w:val="17"/>
                <w:szCs w:val="17"/>
                <w:color w:val="auto"/>
              </w:rPr>
              <w:t>0.52</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23.1%</w:t>
            </w:r>
          </w:p>
        </w:tc>
        <w:tc>
          <w:tcPr>
            <w:tcW w:w="1000" w:type="dxa"/>
            <w:vAlign w:val="bottom"/>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Net earnings per share - diluted</w:t>
            </w:r>
          </w:p>
        </w:tc>
        <w:tc>
          <w:tcPr>
            <w:tcW w:w="54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0.63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ind w:left="440"/>
              <w:spacing w:after="0"/>
              <w:rPr>
                <w:sz w:val="20"/>
                <w:szCs w:val="20"/>
                <w:color w:val="auto"/>
              </w:rPr>
            </w:pPr>
            <w:r>
              <w:rPr>
                <w:rFonts w:ascii="Courier New" w:cs="Courier New" w:eastAsia="Courier New" w:hAnsi="Courier New"/>
                <w:sz w:val="17"/>
                <w:szCs w:val="17"/>
                <w:color w:val="auto"/>
              </w:rPr>
              <w:t>0.52</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21.2%</w:t>
            </w:r>
          </w:p>
        </w:tc>
        <w:tc>
          <w:tcPr>
            <w:tcW w:w="10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w:t>
            </w:r>
          </w:p>
        </w:tc>
      </w:tr>
      <w:tr>
        <w:trPr>
          <w:trHeight w:val="191"/>
        </w:trPr>
        <w:tc>
          <w:tcPr>
            <w:tcW w:w="3880" w:type="dxa"/>
            <w:vAlign w:val="bottom"/>
          </w:tcPr>
          <w:p>
            <w:pPr>
              <w:spacing w:after="0"/>
              <w:rPr>
                <w:sz w:val="16"/>
                <w:szCs w:val="16"/>
                <w:color w:val="auto"/>
              </w:rPr>
            </w:pPr>
          </w:p>
        </w:tc>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74"/>
        </w:trPr>
        <w:tc>
          <w:tcPr>
            <w:tcW w:w="3880" w:type="dxa"/>
            <w:vAlign w:val="bottom"/>
          </w:tcPr>
          <w:p>
            <w:pPr>
              <w:spacing w:after="0"/>
              <w:rPr>
                <w:sz w:val="20"/>
                <w:szCs w:val="20"/>
                <w:color w:val="auto"/>
              </w:rPr>
            </w:pPr>
            <w:r>
              <w:rPr>
                <w:rFonts w:ascii="Courier New" w:cs="Courier New" w:eastAsia="Courier New" w:hAnsi="Courier New"/>
                <w:sz w:val="17"/>
                <w:szCs w:val="17"/>
                <w:color w:val="auto"/>
              </w:rPr>
              <w:t>Weighted average shares - basic</w:t>
            </w:r>
          </w:p>
        </w:tc>
        <w:tc>
          <w:tcPr>
            <w:tcW w:w="54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78.2</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76.9</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1.7%</w:t>
            </w:r>
          </w:p>
        </w:tc>
        <w:tc>
          <w:tcPr>
            <w:tcW w:w="1000" w:type="dxa"/>
            <w:vAlign w:val="bottom"/>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Weighted average shares - diluted</w:t>
            </w:r>
          </w:p>
        </w:tc>
        <w:tc>
          <w:tcPr>
            <w:tcW w:w="54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79.8</w:t>
            </w:r>
          </w:p>
        </w:tc>
        <w:tc>
          <w:tcPr>
            <w:tcW w:w="40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77.6</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2.9%</w:t>
            </w:r>
          </w:p>
        </w:tc>
        <w:tc>
          <w:tcPr>
            <w:tcW w:w="1000" w:type="dxa"/>
            <w:vAlign w:val="bottom"/>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298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200" w:lineRule="exact"/>
        <w:rPr>
          <w:sz w:val="20"/>
          <w:szCs w:val="20"/>
          <w:color w:val="auto"/>
        </w:rPr>
      </w:pPr>
    </w:p>
    <w:p>
      <w:pPr>
        <w:spacing w:after="0" w:line="379" w:lineRule="exact"/>
        <w:rPr>
          <w:sz w:val="20"/>
          <w:szCs w:val="20"/>
          <w:color w:val="auto"/>
        </w:rPr>
      </w:pPr>
    </w:p>
    <w:p>
      <w:pPr>
        <w:ind w:left="600" w:right="2259" w:hanging="598"/>
        <w:spacing w:after="0" w:line="237" w:lineRule="auto"/>
        <w:tabs>
          <w:tab w:leader="none" w:pos="6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Revenues from services include fees received from our franchise offices of $7.7 million and $7.6 million for the three months ended December 31, 2003 and 2002, respectively. These fees are primarily based on revenues generated by the franchise offices, which were $339.6 million and $317.9 million for the three months ended December 31, 2003 and 2002, respectively.</w:t>
      </w:r>
    </w:p>
    <w:p>
      <w:pPr>
        <w:sectPr>
          <w:pgSz w:w="11900" w:h="16838" w:orient="portrait"/>
          <w:cols w:equalWidth="0" w:num="1">
            <w:col w:w="10219"/>
          </w:cols>
          <w:pgMar w:left="240" w:top="683" w:right="1440" w:bottom="1440" w:gutter="0" w:footer="0" w:header="0"/>
        </w:sectPr>
      </w:pPr>
    </w:p>
    <w:bookmarkStart w:id="5" w:name="page6"/>
    <w:bookmarkEnd w:id="5"/>
    <w:p>
      <w:pPr>
        <w:spacing w:after="0" w:line="9"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Manpower Inc.</w:t>
      </w:r>
    </w:p>
    <w:p>
      <w:pPr>
        <w:ind w:left="2880"/>
        <w:spacing w:after="0" w:line="238" w:lineRule="auto"/>
        <w:rPr>
          <w:sz w:val="20"/>
          <w:szCs w:val="20"/>
          <w:color w:val="auto"/>
        </w:rPr>
      </w:pPr>
      <w:r>
        <w:rPr>
          <w:rFonts w:ascii="Courier New" w:cs="Courier New" w:eastAsia="Courier New" w:hAnsi="Courier New"/>
          <w:sz w:val="17"/>
          <w:szCs w:val="17"/>
          <w:color w:val="auto"/>
        </w:rPr>
        <w:t>Operating Unit Results</w:t>
      </w:r>
    </w:p>
    <w:p>
      <w:pPr>
        <w:ind w:left="3380"/>
        <w:spacing w:after="0" w:line="238" w:lineRule="auto"/>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THREE MONTHS ENDED DECEMBER 31</w:t>
            </w:r>
          </w:p>
        </w:tc>
        <w:tc>
          <w:tcPr>
            <w:tcW w:w="96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5620" w:type="dxa"/>
            <w:vAlign w:val="bottom"/>
            <w:gridSpan w:val="6"/>
          </w:tcPr>
          <w:p>
            <w:pPr>
              <w:ind w:left="44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0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 VARIANCE</w:t>
            </w:r>
          </w:p>
        </w:tc>
      </w:tr>
      <w:tr>
        <w:trPr>
          <w:trHeight w:val="191"/>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AMOUNT</w:t>
            </w:r>
          </w:p>
        </w:tc>
        <w:tc>
          <w:tcPr>
            <w:tcW w:w="9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CONSTANT</w:t>
            </w:r>
          </w:p>
        </w:tc>
      </w:tr>
      <w:tr>
        <w:trPr>
          <w:trHeight w:val="191"/>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2003</w:t>
            </w:r>
          </w:p>
        </w:tc>
        <w:tc>
          <w:tcPr>
            <w:tcW w:w="600" w:type="dxa"/>
            <w:vAlign w:val="bottom"/>
          </w:tcPr>
          <w:p>
            <w:pPr>
              <w:spacing w:after="0"/>
              <w:rPr>
                <w:sz w:val="16"/>
                <w:szCs w:val="16"/>
                <w:color w:val="auto"/>
              </w:rPr>
            </w:pP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2002</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REPORTED</w:t>
            </w:r>
          </w:p>
        </w:tc>
        <w:tc>
          <w:tcPr>
            <w:tcW w:w="9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CURRENCY</w:t>
            </w:r>
          </w:p>
        </w:tc>
      </w:tr>
      <w:tr>
        <w:trPr>
          <w:trHeight w:val="191"/>
        </w:trPr>
        <w:tc>
          <w:tcPr>
            <w:tcW w:w="3640" w:type="dxa"/>
            <w:vAlign w:val="bottom"/>
          </w:tcPr>
          <w:p>
            <w:pPr>
              <w:spacing w:after="0"/>
              <w:rPr>
                <w:sz w:val="16"/>
                <w:szCs w:val="16"/>
                <w:color w:val="auto"/>
              </w:rPr>
            </w:pPr>
          </w:p>
        </w:tc>
        <w:tc>
          <w:tcPr>
            <w:tcW w:w="5620" w:type="dxa"/>
            <w:vAlign w:val="bottom"/>
            <w:gridSpan w:val="6"/>
          </w:tcPr>
          <w:p>
            <w:pPr>
              <w:ind w:left="44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20" w:type="dxa"/>
            <w:vAlign w:val="bottom"/>
            <w:gridSpan w:val="2"/>
          </w:tcPr>
          <w:p>
            <w:pPr>
              <w:jc w:val="right"/>
              <w:ind w:right="857"/>
              <w:spacing w:after="0" w:line="191" w:lineRule="exact"/>
              <w:rPr>
                <w:sz w:val="20"/>
                <w:szCs w:val="20"/>
                <w:color w:val="auto"/>
              </w:rPr>
            </w:pPr>
            <w:r>
              <w:rPr>
                <w:rFonts w:ascii="Courier New" w:cs="Courier New" w:eastAsia="Courier New" w:hAnsi="Courier New"/>
                <w:sz w:val="17"/>
                <w:szCs w:val="17"/>
                <w:color w:val="auto"/>
              </w:rPr>
              <w:t>(Unaudited)</w:t>
            </w:r>
          </w:p>
        </w:tc>
        <w:tc>
          <w:tcPr>
            <w:tcW w:w="960" w:type="dxa"/>
            <w:vAlign w:val="bottom"/>
          </w:tcPr>
          <w:p>
            <w:pPr>
              <w:spacing w:after="0"/>
              <w:rPr>
                <w:sz w:val="16"/>
                <w:szCs w:val="16"/>
                <w:color w:val="auto"/>
              </w:rPr>
            </w:pPr>
          </w:p>
        </w:tc>
      </w:tr>
      <w:tr>
        <w:trPr>
          <w:trHeight w:val="383"/>
        </w:trPr>
        <w:tc>
          <w:tcPr>
            <w:tcW w:w="3640" w:type="dxa"/>
            <w:vAlign w:val="bottom"/>
          </w:tcPr>
          <w:p>
            <w:pPr>
              <w:spacing w:after="0"/>
              <w:rPr>
                <w:sz w:val="20"/>
                <w:szCs w:val="20"/>
                <w:color w:val="auto"/>
              </w:rPr>
            </w:pPr>
            <w:r>
              <w:rPr>
                <w:rFonts w:ascii="Courier New" w:cs="Courier New" w:eastAsia="Courier New" w:hAnsi="Courier New"/>
                <w:sz w:val="17"/>
                <w:szCs w:val="17"/>
                <w:color w:val="auto"/>
              </w:rPr>
              <w:t>Revenues from services:</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United States (a)</w:t>
            </w:r>
          </w:p>
        </w:tc>
        <w:tc>
          <w:tcPr>
            <w:tcW w:w="6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497.8</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495.0</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0.6%</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0.6%</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France</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1,233.1</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1,034.5</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19.2%</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0.2%</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EMEA</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1,089.5</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934.0</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16.7%</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Operations</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468.8</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374.6</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25.1%</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13.7%</w:t>
            </w:r>
          </w:p>
        </w:tc>
      </w:tr>
      <w:tr>
        <w:trPr>
          <w:trHeight w:val="191"/>
        </w:trPr>
        <w:tc>
          <w:tcPr>
            <w:tcW w:w="3640" w:type="dxa"/>
            <w:vAlign w:val="bottom"/>
          </w:tcPr>
          <w:p>
            <w:pPr>
              <w:spacing w:after="0"/>
              <w:rPr>
                <w:sz w:val="16"/>
                <w:szCs w:val="16"/>
                <w:color w:val="auto"/>
              </w:rPr>
            </w:pPr>
          </w:p>
        </w:tc>
        <w:tc>
          <w:tcPr>
            <w:tcW w:w="3120" w:type="dxa"/>
            <w:vAlign w:val="bottom"/>
            <w:gridSpan w:val="4"/>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6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3,289.2</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2,838.1</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15.9%</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w:t>
            </w:r>
          </w:p>
        </w:tc>
      </w:tr>
      <w:tr>
        <w:trPr>
          <w:trHeight w:val="191"/>
        </w:trPr>
        <w:tc>
          <w:tcPr>
            <w:tcW w:w="3640" w:type="dxa"/>
            <w:vAlign w:val="bottom"/>
          </w:tcPr>
          <w:p>
            <w:pPr>
              <w:spacing w:after="0"/>
              <w:rPr>
                <w:sz w:val="16"/>
                <w:szCs w:val="16"/>
                <w:color w:val="auto"/>
              </w:rPr>
            </w:pPr>
          </w:p>
        </w:tc>
        <w:tc>
          <w:tcPr>
            <w:tcW w:w="3120" w:type="dxa"/>
            <w:vAlign w:val="bottom"/>
            <w:gridSpan w:val="4"/>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83"/>
        </w:trPr>
        <w:tc>
          <w:tcPr>
            <w:tcW w:w="3640" w:type="dxa"/>
            <w:vAlign w:val="bottom"/>
          </w:tcPr>
          <w:p>
            <w:pPr>
              <w:spacing w:after="0"/>
              <w:rPr>
                <w:sz w:val="20"/>
                <w:szCs w:val="20"/>
                <w:color w:val="auto"/>
              </w:rPr>
            </w:pPr>
            <w:r>
              <w:rPr>
                <w:rFonts w:ascii="Courier New" w:cs="Courier New" w:eastAsia="Courier New" w:hAnsi="Courier New"/>
                <w:sz w:val="17"/>
                <w:szCs w:val="17"/>
                <w:color w:val="auto"/>
              </w:rPr>
              <w:t>Operating Unit Profit:</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United States</w:t>
            </w:r>
          </w:p>
        </w:tc>
        <w:tc>
          <w:tcPr>
            <w:tcW w:w="6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13.4</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-28.1%</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-28.1%</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France</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63.9</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48.1</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32.9%</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11.3%</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EMEA</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17.0</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26.8</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-36.7%</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-44.9%</w:t>
            </w:r>
          </w:p>
        </w:tc>
      </w:tr>
      <w:tr>
        <w:trPr>
          <w:trHeight w:val="191"/>
        </w:trPr>
        <w:tc>
          <w:tcPr>
            <w:tcW w:w="3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Operations</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11.4</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187.5%</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173.0%</w:t>
            </w:r>
          </w:p>
        </w:tc>
      </w:tr>
      <w:tr>
        <w:trPr>
          <w:trHeight w:val="191"/>
        </w:trPr>
        <w:tc>
          <w:tcPr>
            <w:tcW w:w="3640" w:type="dxa"/>
            <w:vAlign w:val="bottom"/>
          </w:tcPr>
          <w:p>
            <w:pPr>
              <w:spacing w:after="0"/>
              <w:rPr>
                <w:sz w:val="16"/>
                <w:szCs w:val="16"/>
                <w:color w:val="auto"/>
              </w:rPr>
            </w:pPr>
          </w:p>
        </w:tc>
        <w:tc>
          <w:tcPr>
            <w:tcW w:w="3120" w:type="dxa"/>
            <w:vAlign w:val="bottom"/>
            <w:gridSpan w:val="4"/>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102.0</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92.4</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rPr>
              <w:t>Corporate expenses</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5.3</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3120" w:type="dxa"/>
            <w:vAlign w:val="bottom"/>
            <w:gridSpan w:val="4"/>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3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Operating profit</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89.1</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87.1</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2.4%</w:t>
            </w:r>
          </w:p>
        </w:tc>
        <w:tc>
          <w:tcPr>
            <w:tcW w:w="9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-12.8%</w:t>
            </w:r>
          </w:p>
        </w:tc>
      </w:tr>
      <w:tr>
        <w:trPr>
          <w:trHeight w:val="191"/>
        </w:trPr>
        <w:tc>
          <w:tcPr>
            <w:tcW w:w="36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and other expenses (b)</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w:t>
            </w:r>
          </w:p>
        </w:tc>
        <w:tc>
          <w:tcPr>
            <w:tcW w:w="60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17.9</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3120" w:type="dxa"/>
            <w:vAlign w:val="bottom"/>
            <w:gridSpan w:val="4"/>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3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Earnings before income taxes</w:t>
            </w:r>
          </w:p>
        </w:tc>
        <w:tc>
          <w:tcPr>
            <w:tcW w:w="6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80.5</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69.2</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3120" w:type="dxa"/>
            <w:vAlign w:val="bottom"/>
            <w:gridSpan w:val="4"/>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200" w:lineRule="exact"/>
        <w:rPr>
          <w:sz w:val="20"/>
          <w:szCs w:val="20"/>
          <w:color w:val="auto"/>
        </w:rPr>
      </w:pPr>
    </w:p>
    <w:p>
      <w:pPr>
        <w:spacing w:after="0" w:line="379" w:lineRule="exact"/>
        <w:rPr>
          <w:sz w:val="20"/>
          <w:szCs w:val="20"/>
          <w:color w:val="auto"/>
        </w:rPr>
      </w:pPr>
    </w:p>
    <w:p>
      <w:pPr>
        <w:ind w:left="600" w:right="2259" w:hanging="598"/>
        <w:spacing w:after="0" w:line="237" w:lineRule="auto"/>
        <w:tabs>
          <w:tab w:leader="none" w:pos="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United States, revenues from services include fees received from the related franchise offices of $6.2 million and $5.8 million for the three months ended December 31, 2003 and 2002, respectively. These fees are primarily based on revenues generated by the franchise offices, which were $286.8 million and $254.2 million for the three months ended December 31, 2003 and 2002, respectively.</w:t>
      </w:r>
    </w:p>
    <w:p>
      <w:pPr>
        <w:spacing w:after="0" w:line="191"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components of interest and other expense (income) were:</w:t>
      </w:r>
    </w:p>
    <w:p>
      <w:pPr>
        <w:spacing w:after="0" w:line="200" w:lineRule="exact"/>
        <w:rPr>
          <w:sz w:val="20"/>
          <w:szCs w:val="20"/>
          <w:color w:val="auto"/>
        </w:rPr>
      </w:pPr>
    </w:p>
    <w:p>
      <w:pPr>
        <w:spacing w:after="0" w:line="372"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284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10.4</w:t>
            </w:r>
          </w:p>
        </w:tc>
        <w:tc>
          <w:tcPr>
            <w:tcW w:w="5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10.5</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9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w:t>
            </w:r>
          </w:p>
        </w:tc>
        <w:tc>
          <w:tcPr>
            <w:tcW w:w="5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exchange gains</w:t>
            </w:r>
          </w:p>
        </w:tc>
        <w:tc>
          <w:tcPr>
            <w:tcW w:w="9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(0.4)</w:t>
            </w:r>
          </w:p>
        </w:tc>
        <w:tc>
          <w:tcPr>
            <w:tcW w:w="5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Miscellaneous, net</w:t>
            </w:r>
          </w:p>
        </w:tc>
        <w:tc>
          <w:tcPr>
            <w:tcW w:w="9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0.6</w:t>
            </w:r>
          </w:p>
        </w:tc>
        <w:tc>
          <w:tcPr>
            <w:tcW w:w="54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10.8</w:t>
            </w:r>
          </w:p>
        </w:tc>
      </w:tr>
      <w:tr>
        <w:trPr>
          <w:trHeight w:val="191"/>
        </w:trPr>
        <w:tc>
          <w:tcPr>
            <w:tcW w:w="2840" w:type="dxa"/>
            <w:vAlign w:val="bottom"/>
          </w:tcPr>
          <w:p>
            <w:pPr>
              <w:spacing w:after="0"/>
              <w:rPr>
                <w:sz w:val="16"/>
                <w:szCs w:val="16"/>
                <w:color w:val="auto"/>
              </w:rPr>
            </w:pPr>
          </w:p>
        </w:tc>
        <w:tc>
          <w:tcPr>
            <w:tcW w:w="322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40" w:type="dxa"/>
            <w:vAlign w:val="bottom"/>
          </w:tcPr>
          <w:p>
            <w:pPr>
              <w:spacing w:after="0"/>
              <w:rPr>
                <w:sz w:val="16"/>
                <w:szCs w:val="16"/>
                <w:color w:val="auto"/>
              </w:rPr>
            </w:pPr>
          </w:p>
        </w:tc>
        <w:tc>
          <w:tcPr>
            <w:tcW w:w="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8.6</w:t>
            </w:r>
          </w:p>
        </w:tc>
        <w:tc>
          <w:tcPr>
            <w:tcW w:w="5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17.9</w:t>
            </w:r>
          </w:p>
        </w:tc>
      </w:tr>
      <w:tr>
        <w:trPr>
          <w:trHeight w:val="191"/>
        </w:trPr>
        <w:tc>
          <w:tcPr>
            <w:tcW w:w="2840" w:type="dxa"/>
            <w:vAlign w:val="bottom"/>
          </w:tcPr>
          <w:p>
            <w:pPr>
              <w:spacing w:after="0"/>
              <w:rPr>
                <w:sz w:val="16"/>
                <w:szCs w:val="16"/>
                <w:color w:val="auto"/>
              </w:rPr>
            </w:pPr>
          </w:p>
        </w:tc>
        <w:tc>
          <w:tcPr>
            <w:tcW w:w="322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440" w:right="1440" w:bottom="1440" w:gutter="0" w:footer="0" w:header="0"/>
        </w:sectPr>
      </w:pPr>
    </w:p>
    <w:bookmarkStart w:id="6" w:name="page7"/>
    <w:bookmarkEnd w:id="6"/>
    <w:p>
      <w:pPr>
        <w:spacing w:after="0" w:line="9"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Manpower Inc.</w:t>
      </w:r>
    </w:p>
    <w:p>
      <w:pPr>
        <w:jc w:val="center"/>
        <w:ind w:right="3460"/>
        <w:spacing w:after="0" w:line="238" w:lineRule="auto"/>
        <w:rPr>
          <w:sz w:val="20"/>
          <w:szCs w:val="20"/>
          <w:color w:val="auto"/>
        </w:rPr>
      </w:pPr>
      <w:r>
        <w:rPr>
          <w:rFonts w:ascii="Courier New" w:cs="Courier New" w:eastAsia="Courier New" w:hAnsi="Courier New"/>
          <w:sz w:val="17"/>
          <w:szCs w:val="17"/>
          <w:color w:val="auto"/>
        </w:rPr>
        <w:t>Results of Operations</w:t>
      </w:r>
    </w:p>
    <w:tbl>
      <w:tblPr>
        <w:tblLayout w:type="fixed"/>
        <w:tblInd w:w="0" w:type="dxa"/>
        <w:tblCellMar>
          <w:top w:w="0" w:type="dxa"/>
          <w:left w:w="0" w:type="dxa"/>
          <w:bottom w:w="0" w:type="dxa"/>
          <w:right w:w="0" w:type="dxa"/>
        </w:tblCellMar>
      </w:tblPr>
      <w:tr>
        <w:trPr>
          <w:trHeight w:val="192"/>
        </w:trPr>
        <w:tc>
          <w:tcPr>
            <w:tcW w:w="6220" w:type="dxa"/>
            <w:vAlign w:val="bottom"/>
          </w:tcPr>
          <w:p>
            <w:pPr>
              <w:ind w:left="2180"/>
              <w:spacing w:after="0" w:line="191" w:lineRule="exact"/>
              <w:rPr>
                <w:sz w:val="20"/>
                <w:szCs w:val="20"/>
                <w:color w:val="auto"/>
              </w:rPr>
            </w:pPr>
            <w:r>
              <w:rPr>
                <w:rFonts w:ascii="Courier New" w:cs="Courier New" w:eastAsia="Courier New" w:hAnsi="Courier New"/>
                <w:sz w:val="17"/>
                <w:szCs w:val="17"/>
                <w:color w:val="auto"/>
              </w:rPr>
              <w:t>(In millions, except per share data)</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956"/>
        </w:trPr>
        <w:tc>
          <w:tcPr>
            <w:tcW w:w="6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0" w:type="dxa"/>
            <w:vAlign w:val="bottom"/>
            <w:gridSpan w:val="3"/>
          </w:tcPr>
          <w:p>
            <w:pPr>
              <w:jc w:val="right"/>
              <w:ind w:right="77"/>
              <w:spacing w:after="0"/>
              <w:rPr>
                <w:sz w:val="20"/>
                <w:szCs w:val="20"/>
                <w:color w:val="auto"/>
              </w:rPr>
            </w:pPr>
            <w:r>
              <w:rPr>
                <w:rFonts w:ascii="Courier New" w:cs="Courier New" w:eastAsia="Courier New" w:hAnsi="Courier New"/>
                <w:sz w:val="17"/>
                <w:szCs w:val="17"/>
                <w:color w:val="auto"/>
              </w:rPr>
              <w:t>YEAR ENDED DECEMBER 31</w:t>
            </w:r>
          </w:p>
        </w:tc>
        <w:tc>
          <w:tcPr>
            <w:tcW w:w="1120" w:type="dxa"/>
            <w:vAlign w:val="bottom"/>
          </w:tcPr>
          <w:p>
            <w:pPr>
              <w:spacing w:after="0"/>
              <w:rPr>
                <w:sz w:val="24"/>
                <w:szCs w:val="24"/>
                <w:color w:val="auto"/>
              </w:rPr>
            </w:pPr>
          </w:p>
        </w:tc>
      </w:tr>
      <w:tr>
        <w:trPr>
          <w:trHeight w:val="191"/>
        </w:trPr>
        <w:tc>
          <w:tcPr>
            <w:tcW w:w="6220" w:type="dxa"/>
            <w:vAlign w:val="bottom"/>
          </w:tcPr>
          <w:p>
            <w:pPr>
              <w:spacing w:after="0"/>
              <w:rPr>
                <w:sz w:val="16"/>
                <w:szCs w:val="16"/>
                <w:color w:val="auto"/>
              </w:rPr>
            </w:pPr>
          </w:p>
        </w:tc>
        <w:tc>
          <w:tcPr>
            <w:tcW w:w="5300" w:type="dxa"/>
            <w:vAlign w:val="bottom"/>
            <w:gridSpan w:val="6"/>
          </w:tcPr>
          <w:p>
            <w:pPr>
              <w:ind w:left="4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6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20" w:type="dxa"/>
            <w:vAlign w:val="bottom"/>
            <w:gridSpan w:val="2"/>
          </w:tcPr>
          <w:p>
            <w:pPr>
              <w:jc w:val="right"/>
              <w:ind w:right="597"/>
              <w:spacing w:after="0" w:line="191" w:lineRule="exact"/>
              <w:rPr>
                <w:sz w:val="20"/>
                <w:szCs w:val="20"/>
                <w:color w:val="auto"/>
              </w:rPr>
            </w:pPr>
            <w:r>
              <w:rPr>
                <w:rFonts w:ascii="Courier New" w:cs="Courier New" w:eastAsia="Courier New" w:hAnsi="Courier New"/>
                <w:sz w:val="17"/>
                <w:szCs w:val="17"/>
                <w:color w:val="auto"/>
              </w:rPr>
              <w:t>% VARIANCE</w:t>
            </w:r>
          </w:p>
        </w:tc>
      </w:tr>
      <w:tr>
        <w:trPr>
          <w:trHeight w:val="191"/>
        </w:trPr>
        <w:tc>
          <w:tcPr>
            <w:tcW w:w="6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AMOUNT</w:t>
            </w:r>
          </w:p>
        </w:tc>
        <w:tc>
          <w:tcPr>
            <w:tcW w:w="11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CONSTANT</w:t>
            </w:r>
          </w:p>
        </w:tc>
      </w:tr>
      <w:tr>
        <w:trPr>
          <w:trHeight w:val="191"/>
        </w:trPr>
        <w:tc>
          <w:tcPr>
            <w:tcW w:w="6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2003</w:t>
            </w:r>
          </w:p>
        </w:tc>
        <w:tc>
          <w:tcPr>
            <w:tcW w:w="46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2002</w:t>
            </w:r>
          </w:p>
        </w:tc>
        <w:tc>
          <w:tcPr>
            <w:tcW w:w="12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REPORTED</w:t>
            </w:r>
          </w:p>
        </w:tc>
        <w:tc>
          <w:tcPr>
            <w:tcW w:w="112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CURRENCY</w:t>
            </w:r>
          </w:p>
        </w:tc>
      </w:tr>
      <w:tr>
        <w:trPr>
          <w:trHeight w:val="191"/>
        </w:trPr>
        <w:tc>
          <w:tcPr>
            <w:tcW w:w="6220" w:type="dxa"/>
            <w:vAlign w:val="bottom"/>
          </w:tcPr>
          <w:p>
            <w:pPr>
              <w:spacing w:after="0"/>
              <w:rPr>
                <w:sz w:val="16"/>
                <w:szCs w:val="16"/>
                <w:color w:val="auto"/>
              </w:rPr>
            </w:pPr>
          </w:p>
        </w:tc>
        <w:tc>
          <w:tcPr>
            <w:tcW w:w="5300" w:type="dxa"/>
            <w:vAlign w:val="bottom"/>
            <w:gridSpan w:val="6"/>
          </w:tcPr>
          <w:p>
            <w:pPr>
              <w:ind w:left="4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Revenues from services (a)</w:t>
            </w:r>
          </w:p>
        </w:tc>
        <w:tc>
          <w:tcPr>
            <w:tcW w:w="1580" w:type="dxa"/>
            <w:vAlign w:val="bottom"/>
            <w:gridSpan w:val="2"/>
          </w:tcPr>
          <w:p>
            <w:pPr>
              <w:jc w:val="right"/>
              <w:ind w:right="157"/>
              <w:spacing w:after="0"/>
              <w:rPr>
                <w:sz w:val="20"/>
                <w:szCs w:val="20"/>
                <w:color w:val="auto"/>
              </w:rPr>
            </w:pPr>
            <w:r>
              <w:rPr>
                <w:rFonts w:ascii="Courier New" w:cs="Courier New" w:eastAsia="Courier New" w:hAnsi="Courier New"/>
                <w:sz w:val="17"/>
                <w:szCs w:val="17"/>
                <w:color w:val="auto"/>
              </w:rPr>
              <w:t>$12,184.5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5"/>
              </w:rPr>
              <w:t>10,610.9</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14.8%</w:t>
            </w:r>
          </w:p>
        </w:tc>
        <w:tc>
          <w:tcPr>
            <w:tcW w:w="112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2.2%</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Cost of services</w:t>
            </w:r>
          </w:p>
        </w:tc>
        <w:tc>
          <w:tcPr>
            <w:tcW w:w="540" w:type="dxa"/>
            <w:vAlign w:val="bottom"/>
          </w:tcPr>
          <w:p>
            <w:pPr>
              <w:spacing w:after="0"/>
              <w:rPr>
                <w:sz w:val="24"/>
                <w:szCs w:val="24"/>
                <w:color w:val="auto"/>
              </w:rPr>
            </w:pP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w w:val="95"/>
              </w:rPr>
              <w:t>10,047.7</w:t>
            </w:r>
          </w:p>
        </w:tc>
        <w:tc>
          <w:tcPr>
            <w:tcW w:w="46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8,700.5</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15.5%</w:t>
            </w:r>
          </w:p>
        </w:tc>
        <w:tc>
          <w:tcPr>
            <w:tcW w:w="1120" w:type="dxa"/>
            <w:vAlign w:val="bottom"/>
          </w:tcPr>
          <w:p>
            <w:pPr>
              <w:spacing w:after="0"/>
              <w:rPr>
                <w:sz w:val="24"/>
                <w:szCs w:val="24"/>
                <w:color w:val="auto"/>
              </w:rPr>
            </w:pPr>
          </w:p>
        </w:tc>
      </w:tr>
      <w:tr>
        <w:trPr>
          <w:trHeight w:val="191"/>
        </w:trPr>
        <w:tc>
          <w:tcPr>
            <w:tcW w:w="6220" w:type="dxa"/>
            <w:vAlign w:val="bottom"/>
          </w:tcPr>
          <w:p>
            <w:pPr>
              <w:spacing w:after="0"/>
              <w:rPr>
                <w:sz w:val="16"/>
                <w:szCs w:val="16"/>
                <w:color w:val="auto"/>
              </w:rPr>
            </w:pPr>
          </w:p>
        </w:tc>
        <w:tc>
          <w:tcPr>
            <w:tcW w:w="29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3"/>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Gross profit</w:t>
            </w:r>
          </w:p>
        </w:tc>
        <w:tc>
          <w:tcPr>
            <w:tcW w:w="540" w:type="dxa"/>
            <w:vAlign w:val="bottom"/>
          </w:tcPr>
          <w:p>
            <w:pPr>
              <w:spacing w:after="0"/>
              <w:rPr>
                <w:sz w:val="24"/>
                <w:szCs w:val="24"/>
                <w:color w:val="auto"/>
              </w:rPr>
            </w:pP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2,136.8</w:t>
            </w:r>
          </w:p>
        </w:tc>
        <w:tc>
          <w:tcPr>
            <w:tcW w:w="46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1,910.4</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11.9%</w:t>
            </w:r>
          </w:p>
        </w:tc>
        <w:tc>
          <w:tcPr>
            <w:tcW w:w="112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-0.3%</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Selling and administrative expenses</w:t>
            </w:r>
          </w:p>
        </w:tc>
        <w:tc>
          <w:tcPr>
            <w:tcW w:w="540" w:type="dxa"/>
            <w:vAlign w:val="bottom"/>
          </w:tcPr>
          <w:p>
            <w:pPr>
              <w:spacing w:after="0"/>
              <w:rPr>
                <w:sz w:val="24"/>
                <w:szCs w:val="24"/>
                <w:color w:val="auto"/>
              </w:rPr>
            </w:pP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1,878.9</w:t>
            </w:r>
          </w:p>
        </w:tc>
        <w:tc>
          <w:tcPr>
            <w:tcW w:w="46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1,675.6</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12.1%</w:t>
            </w:r>
          </w:p>
        </w:tc>
        <w:tc>
          <w:tcPr>
            <w:tcW w:w="112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0.6%</w:t>
            </w:r>
          </w:p>
        </w:tc>
      </w:tr>
      <w:tr>
        <w:trPr>
          <w:trHeight w:val="191"/>
        </w:trPr>
        <w:tc>
          <w:tcPr>
            <w:tcW w:w="6220" w:type="dxa"/>
            <w:vAlign w:val="bottom"/>
          </w:tcPr>
          <w:p>
            <w:pPr>
              <w:spacing w:after="0"/>
              <w:rPr>
                <w:sz w:val="16"/>
                <w:szCs w:val="16"/>
                <w:color w:val="auto"/>
              </w:rPr>
            </w:pPr>
          </w:p>
        </w:tc>
        <w:tc>
          <w:tcPr>
            <w:tcW w:w="29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3"/>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Operating profit</w:t>
            </w:r>
          </w:p>
        </w:tc>
        <w:tc>
          <w:tcPr>
            <w:tcW w:w="540" w:type="dxa"/>
            <w:vAlign w:val="bottom"/>
          </w:tcPr>
          <w:p>
            <w:pPr>
              <w:spacing w:after="0"/>
              <w:rPr>
                <w:sz w:val="24"/>
                <w:szCs w:val="24"/>
                <w:color w:val="auto"/>
              </w:rPr>
            </w:pP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257.9</w:t>
            </w:r>
          </w:p>
        </w:tc>
        <w:tc>
          <w:tcPr>
            <w:tcW w:w="46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234.8</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9.9%</w:t>
            </w:r>
          </w:p>
        </w:tc>
        <w:tc>
          <w:tcPr>
            <w:tcW w:w="112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-6.6%</w:t>
            </w:r>
          </w:p>
        </w:tc>
      </w:tr>
      <w:tr>
        <w:trPr>
          <w:trHeight w:val="382"/>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Interest and other expenses</w:t>
            </w:r>
          </w:p>
        </w:tc>
        <w:tc>
          <w:tcPr>
            <w:tcW w:w="540" w:type="dxa"/>
            <w:vAlign w:val="bottom"/>
          </w:tcPr>
          <w:p>
            <w:pPr>
              <w:spacing w:after="0"/>
              <w:rPr>
                <w:sz w:val="24"/>
                <w:szCs w:val="24"/>
                <w:color w:val="auto"/>
              </w:rPr>
            </w:pP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35.8</w:t>
            </w:r>
          </w:p>
        </w:tc>
        <w:tc>
          <w:tcPr>
            <w:tcW w:w="46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46.8</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-23.6%</w:t>
            </w:r>
          </w:p>
        </w:tc>
        <w:tc>
          <w:tcPr>
            <w:tcW w:w="1120" w:type="dxa"/>
            <w:vAlign w:val="bottom"/>
          </w:tcPr>
          <w:p>
            <w:pPr>
              <w:spacing w:after="0"/>
              <w:rPr>
                <w:sz w:val="24"/>
                <w:szCs w:val="24"/>
                <w:color w:val="auto"/>
              </w:rPr>
            </w:pPr>
          </w:p>
        </w:tc>
      </w:tr>
      <w:tr>
        <w:trPr>
          <w:trHeight w:val="191"/>
        </w:trPr>
        <w:tc>
          <w:tcPr>
            <w:tcW w:w="6220" w:type="dxa"/>
            <w:vAlign w:val="bottom"/>
          </w:tcPr>
          <w:p>
            <w:pPr>
              <w:spacing w:after="0"/>
              <w:rPr>
                <w:sz w:val="16"/>
                <w:szCs w:val="16"/>
                <w:color w:val="auto"/>
              </w:rPr>
            </w:pPr>
          </w:p>
        </w:tc>
        <w:tc>
          <w:tcPr>
            <w:tcW w:w="29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3"/>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Earnings before income taxes</w:t>
            </w:r>
          </w:p>
        </w:tc>
        <w:tc>
          <w:tcPr>
            <w:tcW w:w="540" w:type="dxa"/>
            <w:vAlign w:val="bottom"/>
          </w:tcPr>
          <w:p>
            <w:pPr>
              <w:spacing w:after="0"/>
              <w:rPr>
                <w:sz w:val="24"/>
                <w:szCs w:val="24"/>
                <w:color w:val="auto"/>
              </w:rPr>
            </w:pP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222.1</w:t>
            </w:r>
          </w:p>
        </w:tc>
        <w:tc>
          <w:tcPr>
            <w:tcW w:w="46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188.0</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18.2%</w:t>
            </w:r>
          </w:p>
        </w:tc>
        <w:tc>
          <w:tcPr>
            <w:tcW w:w="1120" w:type="dxa"/>
            <w:vAlign w:val="bottom"/>
          </w:tcPr>
          <w:p>
            <w:pPr>
              <w:spacing w:after="0"/>
              <w:rPr>
                <w:sz w:val="24"/>
                <w:szCs w:val="24"/>
                <w:color w:val="auto"/>
              </w:rPr>
            </w:pP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540" w:type="dxa"/>
            <w:vAlign w:val="bottom"/>
          </w:tcPr>
          <w:p>
            <w:pPr>
              <w:spacing w:after="0"/>
              <w:rPr>
                <w:sz w:val="24"/>
                <w:szCs w:val="24"/>
                <w:color w:val="auto"/>
              </w:rPr>
            </w:pP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84.4</w:t>
            </w:r>
          </w:p>
        </w:tc>
        <w:tc>
          <w:tcPr>
            <w:tcW w:w="46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74.8</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12.8%</w:t>
            </w:r>
          </w:p>
        </w:tc>
        <w:tc>
          <w:tcPr>
            <w:tcW w:w="1120" w:type="dxa"/>
            <w:vAlign w:val="bottom"/>
          </w:tcPr>
          <w:p>
            <w:pPr>
              <w:spacing w:after="0"/>
              <w:rPr>
                <w:sz w:val="24"/>
                <w:szCs w:val="24"/>
                <w:color w:val="auto"/>
              </w:rPr>
            </w:pPr>
          </w:p>
        </w:tc>
      </w:tr>
      <w:tr>
        <w:trPr>
          <w:trHeight w:val="191"/>
        </w:trPr>
        <w:tc>
          <w:tcPr>
            <w:tcW w:w="6220" w:type="dxa"/>
            <w:vAlign w:val="bottom"/>
          </w:tcPr>
          <w:p>
            <w:pPr>
              <w:spacing w:after="0"/>
              <w:rPr>
                <w:sz w:val="16"/>
                <w:szCs w:val="16"/>
                <w:color w:val="auto"/>
              </w:rPr>
            </w:pPr>
          </w:p>
        </w:tc>
        <w:tc>
          <w:tcPr>
            <w:tcW w:w="29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3"/>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Net earnings</w:t>
            </w:r>
          </w:p>
        </w:tc>
        <w:tc>
          <w:tcPr>
            <w:tcW w:w="540" w:type="dxa"/>
            <w:vAlign w:val="bottom"/>
          </w:tcPr>
          <w:p>
            <w:pPr>
              <w:ind w:left="44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137.7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113.2</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21.7%</w:t>
            </w:r>
          </w:p>
        </w:tc>
        <w:tc>
          <w:tcPr>
            <w:tcW w:w="112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1.4%</w:t>
            </w:r>
          </w:p>
        </w:tc>
      </w:tr>
      <w:tr>
        <w:trPr>
          <w:trHeight w:val="191"/>
        </w:trPr>
        <w:tc>
          <w:tcPr>
            <w:tcW w:w="6220" w:type="dxa"/>
            <w:vAlign w:val="bottom"/>
          </w:tcPr>
          <w:p>
            <w:pPr>
              <w:spacing w:after="0"/>
              <w:rPr>
                <w:sz w:val="16"/>
                <w:szCs w:val="16"/>
                <w:color w:val="auto"/>
              </w:rPr>
            </w:pPr>
          </w:p>
        </w:tc>
        <w:tc>
          <w:tcPr>
            <w:tcW w:w="29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65"/>
        </w:trPr>
        <w:tc>
          <w:tcPr>
            <w:tcW w:w="6220" w:type="dxa"/>
            <w:vAlign w:val="bottom"/>
          </w:tcPr>
          <w:p>
            <w:pPr>
              <w:spacing w:after="0"/>
              <w:rPr>
                <w:sz w:val="20"/>
                <w:szCs w:val="20"/>
                <w:color w:val="auto"/>
              </w:rPr>
            </w:pPr>
            <w:r>
              <w:rPr>
                <w:rFonts w:ascii="Courier New" w:cs="Courier New" w:eastAsia="Courier New" w:hAnsi="Courier New"/>
                <w:sz w:val="17"/>
                <w:szCs w:val="17"/>
                <w:color w:val="auto"/>
              </w:rPr>
              <w:t>Net earnings per share - basic</w:t>
            </w:r>
          </w:p>
        </w:tc>
        <w:tc>
          <w:tcPr>
            <w:tcW w:w="540" w:type="dxa"/>
            <w:vAlign w:val="bottom"/>
          </w:tcPr>
          <w:p>
            <w:pPr>
              <w:ind w:left="44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1.77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1.48</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19.6%</w:t>
            </w:r>
          </w:p>
        </w:tc>
        <w:tc>
          <w:tcPr>
            <w:tcW w:w="1120" w:type="dxa"/>
            <w:vAlign w:val="bottom"/>
          </w:tcPr>
          <w:p>
            <w:pPr>
              <w:spacing w:after="0"/>
              <w:rPr>
                <w:sz w:val="24"/>
                <w:szCs w:val="24"/>
                <w:color w:val="auto"/>
              </w:rPr>
            </w:pPr>
          </w:p>
        </w:tc>
      </w:tr>
      <w:tr>
        <w:trPr>
          <w:trHeight w:val="191"/>
        </w:trPr>
        <w:tc>
          <w:tcPr>
            <w:tcW w:w="6220" w:type="dxa"/>
            <w:vAlign w:val="bottom"/>
          </w:tcPr>
          <w:p>
            <w:pPr>
              <w:spacing w:after="0"/>
              <w:rPr>
                <w:sz w:val="16"/>
                <w:szCs w:val="16"/>
                <w:color w:val="auto"/>
              </w:rPr>
            </w:pPr>
          </w:p>
        </w:tc>
        <w:tc>
          <w:tcPr>
            <w:tcW w:w="29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Net earnings per share - diluted</w:t>
            </w:r>
          </w:p>
        </w:tc>
        <w:tc>
          <w:tcPr>
            <w:tcW w:w="540" w:type="dxa"/>
            <w:vAlign w:val="bottom"/>
          </w:tcPr>
          <w:p>
            <w:pPr>
              <w:ind w:left="44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1.74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1.46</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19.2%</w:t>
            </w:r>
          </w:p>
        </w:tc>
        <w:tc>
          <w:tcPr>
            <w:tcW w:w="112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-0.7%</w:t>
            </w:r>
          </w:p>
        </w:tc>
      </w:tr>
      <w:tr>
        <w:trPr>
          <w:trHeight w:val="191"/>
        </w:trPr>
        <w:tc>
          <w:tcPr>
            <w:tcW w:w="6220" w:type="dxa"/>
            <w:vAlign w:val="bottom"/>
          </w:tcPr>
          <w:p>
            <w:pPr>
              <w:spacing w:after="0"/>
              <w:rPr>
                <w:sz w:val="16"/>
                <w:szCs w:val="16"/>
                <w:color w:val="auto"/>
              </w:rPr>
            </w:pPr>
          </w:p>
        </w:tc>
        <w:tc>
          <w:tcPr>
            <w:tcW w:w="29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74"/>
        </w:trPr>
        <w:tc>
          <w:tcPr>
            <w:tcW w:w="6220" w:type="dxa"/>
            <w:vAlign w:val="bottom"/>
          </w:tcPr>
          <w:p>
            <w:pPr>
              <w:spacing w:after="0"/>
              <w:rPr>
                <w:sz w:val="20"/>
                <w:szCs w:val="20"/>
                <w:color w:val="auto"/>
              </w:rPr>
            </w:pPr>
            <w:r>
              <w:rPr>
                <w:rFonts w:ascii="Courier New" w:cs="Courier New" w:eastAsia="Courier New" w:hAnsi="Courier New"/>
                <w:sz w:val="17"/>
                <w:szCs w:val="17"/>
                <w:color w:val="auto"/>
              </w:rPr>
              <w:t>Weighted average shares - basic</w:t>
            </w:r>
          </w:p>
        </w:tc>
        <w:tc>
          <w:tcPr>
            <w:tcW w:w="540" w:type="dxa"/>
            <w:vAlign w:val="bottom"/>
          </w:tcPr>
          <w:p>
            <w:pPr>
              <w:spacing w:after="0"/>
              <w:rPr>
                <w:sz w:val="24"/>
                <w:szCs w:val="24"/>
                <w:color w:val="auto"/>
              </w:rPr>
            </w:pP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77.7</w:t>
            </w:r>
          </w:p>
        </w:tc>
        <w:tc>
          <w:tcPr>
            <w:tcW w:w="46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76.4</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1.7%</w:t>
            </w:r>
          </w:p>
        </w:tc>
        <w:tc>
          <w:tcPr>
            <w:tcW w:w="1120" w:type="dxa"/>
            <w:vAlign w:val="bottom"/>
          </w:tcPr>
          <w:p>
            <w:pPr>
              <w:spacing w:after="0"/>
              <w:rPr>
                <w:sz w:val="24"/>
                <w:szCs w:val="24"/>
                <w:color w:val="auto"/>
              </w:rPr>
            </w:pPr>
          </w:p>
        </w:tc>
      </w:tr>
      <w:tr>
        <w:trPr>
          <w:trHeight w:val="191"/>
        </w:trPr>
        <w:tc>
          <w:tcPr>
            <w:tcW w:w="6220" w:type="dxa"/>
            <w:vAlign w:val="bottom"/>
          </w:tcPr>
          <w:p>
            <w:pPr>
              <w:spacing w:after="0"/>
              <w:rPr>
                <w:sz w:val="16"/>
                <w:szCs w:val="16"/>
                <w:color w:val="auto"/>
              </w:rPr>
            </w:pPr>
          </w:p>
        </w:tc>
        <w:tc>
          <w:tcPr>
            <w:tcW w:w="29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Weighted average shares - diluted</w:t>
            </w:r>
          </w:p>
        </w:tc>
        <w:tc>
          <w:tcPr>
            <w:tcW w:w="540" w:type="dxa"/>
            <w:vAlign w:val="bottom"/>
          </w:tcPr>
          <w:p>
            <w:pPr>
              <w:spacing w:after="0"/>
              <w:rPr>
                <w:sz w:val="24"/>
                <w:szCs w:val="24"/>
                <w:color w:val="auto"/>
              </w:rPr>
            </w:pPr>
          </w:p>
        </w:tc>
        <w:tc>
          <w:tcPr>
            <w:tcW w:w="10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79.3</w:t>
            </w:r>
          </w:p>
        </w:tc>
        <w:tc>
          <w:tcPr>
            <w:tcW w:w="46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77.7</w:t>
            </w:r>
          </w:p>
        </w:tc>
        <w:tc>
          <w:tcPr>
            <w:tcW w:w="12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2.0%</w:t>
            </w:r>
          </w:p>
        </w:tc>
        <w:tc>
          <w:tcPr>
            <w:tcW w:w="1120" w:type="dxa"/>
            <w:vAlign w:val="bottom"/>
          </w:tcPr>
          <w:p>
            <w:pPr>
              <w:spacing w:after="0"/>
              <w:rPr>
                <w:sz w:val="24"/>
                <w:szCs w:val="24"/>
                <w:color w:val="auto"/>
              </w:rPr>
            </w:pPr>
          </w:p>
        </w:tc>
      </w:tr>
      <w:tr>
        <w:trPr>
          <w:trHeight w:val="191"/>
        </w:trPr>
        <w:tc>
          <w:tcPr>
            <w:tcW w:w="6220" w:type="dxa"/>
            <w:vAlign w:val="bottom"/>
          </w:tcPr>
          <w:p>
            <w:pPr>
              <w:spacing w:after="0"/>
              <w:rPr>
                <w:sz w:val="16"/>
                <w:szCs w:val="16"/>
                <w:color w:val="auto"/>
              </w:rPr>
            </w:pPr>
          </w:p>
        </w:tc>
        <w:tc>
          <w:tcPr>
            <w:tcW w:w="298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00" w:lineRule="exact"/>
        <w:rPr>
          <w:sz w:val="20"/>
          <w:szCs w:val="20"/>
          <w:color w:val="auto"/>
        </w:rPr>
      </w:pPr>
    </w:p>
    <w:p>
      <w:pPr>
        <w:spacing w:after="0" w:line="379" w:lineRule="exact"/>
        <w:rPr>
          <w:sz w:val="20"/>
          <w:szCs w:val="20"/>
          <w:color w:val="auto"/>
        </w:rPr>
      </w:pPr>
    </w:p>
    <w:p>
      <w:pPr>
        <w:ind w:left="600" w:right="3560" w:hanging="598"/>
        <w:spacing w:after="0" w:line="237" w:lineRule="auto"/>
        <w:tabs>
          <w:tab w:leader="none" w:pos="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Revenues from services include fees received from our franchise offices of $26.5 million and $25.8 million for the year ended December 31, 2003 and 2002, respectively. These fees are primarily based on revenues generated by the franchise offices (unaudited), which were $1,214.4 million and $1,179.8 million for the year ended December 31, 2003 and 2002, respectively.</w:t>
      </w:r>
    </w:p>
    <w:p>
      <w:pPr>
        <w:sectPr>
          <w:pgSz w:w="11900" w:h="16838" w:orient="portrait"/>
          <w:cols w:equalWidth="0" w:num="1">
            <w:col w:w="11520"/>
          </w:cols>
          <w:pgMar w:left="240" w:top="1440" w:right="139" w:bottom="1440"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7"/>
          <w:szCs w:val="17"/>
          <w:color w:val="auto"/>
        </w:rPr>
        <w:t>Manpower Inc.</w:t>
      </w:r>
    </w:p>
    <w:p>
      <w:pPr>
        <w:ind w:left="2880"/>
        <w:spacing w:after="0" w:line="238" w:lineRule="auto"/>
        <w:rPr>
          <w:sz w:val="20"/>
          <w:szCs w:val="20"/>
          <w:color w:val="auto"/>
        </w:rPr>
      </w:pPr>
      <w:r>
        <w:rPr>
          <w:rFonts w:ascii="Courier New" w:cs="Courier New" w:eastAsia="Courier New" w:hAnsi="Courier New"/>
          <w:sz w:val="17"/>
          <w:szCs w:val="17"/>
          <w:color w:val="auto"/>
        </w:rPr>
        <w:t>Operating Unit Results</w:t>
      </w:r>
    </w:p>
    <w:p>
      <w:pPr>
        <w:ind w:left="3380"/>
        <w:spacing w:after="0" w:line="238" w:lineRule="auto"/>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gridSpan w:val="2"/>
          </w:tcPr>
          <w:p>
            <w:pPr>
              <w:jc w:val="right"/>
              <w:ind w:right="497"/>
              <w:spacing w:after="0"/>
              <w:rPr>
                <w:sz w:val="20"/>
                <w:szCs w:val="20"/>
                <w:color w:val="auto"/>
              </w:rPr>
            </w:pPr>
            <w:r>
              <w:rPr>
                <w:rFonts w:ascii="Courier New" w:cs="Courier New" w:eastAsia="Courier New" w:hAnsi="Courier New"/>
                <w:sz w:val="17"/>
                <w:szCs w:val="17"/>
                <w:color w:val="auto"/>
              </w:rPr>
              <w:t>YEAR ENDED DECEMBER 31</w:t>
            </w:r>
          </w:p>
        </w:tc>
        <w:tc>
          <w:tcPr>
            <w:tcW w:w="1000" w:type="dxa"/>
            <w:vAlign w:val="bottom"/>
          </w:tcPr>
          <w:p>
            <w:pPr>
              <w:spacing w:after="0"/>
              <w:rPr>
                <w:sz w:val="16"/>
                <w:szCs w:val="16"/>
                <w:color w:val="auto"/>
              </w:rPr>
            </w:pPr>
          </w:p>
        </w:tc>
      </w:tr>
      <w:tr>
        <w:trPr>
          <w:trHeight w:val="191"/>
        </w:trPr>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6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VARIANCE</w:t>
            </w:r>
          </w:p>
        </w:tc>
        <w:tc>
          <w:tcPr>
            <w:tcW w:w="1000" w:type="dxa"/>
            <w:vAlign w:val="bottom"/>
          </w:tcPr>
          <w:p>
            <w:pPr>
              <w:spacing w:after="0"/>
              <w:rPr>
                <w:sz w:val="16"/>
                <w:szCs w:val="16"/>
                <w:color w:val="auto"/>
              </w:rPr>
            </w:pPr>
          </w:p>
        </w:tc>
      </w:tr>
      <w:tr>
        <w:trPr>
          <w:trHeight w:val="191"/>
        </w:trPr>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AMOUNT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CONSTANT</w:t>
            </w:r>
          </w:p>
        </w:tc>
      </w:tr>
      <w:tr>
        <w:trPr>
          <w:trHeight w:val="191"/>
        </w:trPr>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2003</w:t>
            </w:r>
          </w:p>
        </w:tc>
        <w:tc>
          <w:tcPr>
            <w:tcW w:w="400" w:type="dxa"/>
            <w:vAlign w:val="bottom"/>
          </w:tcPr>
          <w:p>
            <w:pPr>
              <w:spacing w:after="0"/>
              <w:rPr>
                <w:sz w:val="16"/>
                <w:szCs w:val="16"/>
                <w:color w:val="auto"/>
              </w:rPr>
            </w:pPr>
          </w:p>
        </w:tc>
        <w:tc>
          <w:tcPr>
            <w:tcW w:w="11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2002</w:t>
            </w:r>
          </w:p>
        </w:tc>
        <w:tc>
          <w:tcPr>
            <w:tcW w:w="194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REPORTED</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CURRENCY</w:t>
            </w:r>
          </w:p>
        </w:tc>
      </w:tr>
      <w:tr>
        <w:trPr>
          <w:trHeight w:val="191"/>
        </w:trPr>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6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4520" w:type="dxa"/>
            <w:vAlign w:val="bottom"/>
          </w:tcPr>
          <w:p>
            <w:pPr>
              <w:spacing w:after="0"/>
              <w:rPr>
                <w:sz w:val="20"/>
                <w:szCs w:val="20"/>
                <w:color w:val="auto"/>
              </w:rPr>
            </w:pPr>
            <w:r>
              <w:rPr>
                <w:rFonts w:ascii="Courier New" w:cs="Courier New" w:eastAsia="Courier New" w:hAnsi="Courier New"/>
                <w:sz w:val="17"/>
                <w:szCs w:val="17"/>
                <w:color w:val="auto"/>
              </w:rPr>
              <w:t>Revenues from services:</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4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United States (a)</w:t>
            </w:r>
          </w:p>
        </w:tc>
        <w:tc>
          <w:tcPr>
            <w:tcW w:w="18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$ 1,945.8</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1,911.4</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1.8%</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4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France</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4,638.8</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3,848.2</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20.5%</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0.9%</w:t>
            </w:r>
          </w:p>
        </w:tc>
      </w:tr>
      <w:tr>
        <w:trPr>
          <w:trHeight w:val="191"/>
        </w:trPr>
        <w:tc>
          <w:tcPr>
            <w:tcW w:w="4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EMEA</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3,920.2</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3,434.9</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14.1%</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-0.3%</w:t>
            </w:r>
          </w:p>
        </w:tc>
      </w:tr>
      <w:tr>
        <w:trPr>
          <w:trHeight w:val="191"/>
        </w:trPr>
        <w:tc>
          <w:tcPr>
            <w:tcW w:w="4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Operations</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1,679.7</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1,416.4</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18.6%</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12.4%</w:t>
            </w:r>
          </w:p>
        </w:tc>
      </w:tr>
      <w:tr>
        <w:trPr>
          <w:trHeight w:val="191"/>
        </w:trPr>
        <w:tc>
          <w:tcPr>
            <w:tcW w:w="4520" w:type="dxa"/>
            <w:vAlign w:val="bottom"/>
          </w:tcPr>
          <w:p>
            <w:pPr>
              <w:spacing w:after="0"/>
              <w:rPr>
                <w:sz w:val="16"/>
                <w:szCs w:val="16"/>
                <w:color w:val="auto"/>
              </w:rPr>
            </w:pPr>
          </w:p>
        </w:tc>
        <w:tc>
          <w:tcPr>
            <w:tcW w:w="338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520" w:type="dxa"/>
            <w:vAlign w:val="bottom"/>
          </w:tcPr>
          <w:p>
            <w:pPr>
              <w:spacing w:after="0"/>
              <w:rPr>
                <w:sz w:val="16"/>
                <w:szCs w:val="16"/>
                <w:color w:val="auto"/>
              </w:rPr>
            </w:pPr>
          </w:p>
        </w:tc>
        <w:tc>
          <w:tcPr>
            <w:tcW w:w="18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$12,184.5</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10,610.9</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14.8%</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2.2%</w:t>
            </w:r>
          </w:p>
        </w:tc>
      </w:tr>
      <w:tr>
        <w:trPr>
          <w:trHeight w:val="191"/>
        </w:trPr>
        <w:tc>
          <w:tcPr>
            <w:tcW w:w="4520" w:type="dxa"/>
            <w:vAlign w:val="bottom"/>
          </w:tcPr>
          <w:p>
            <w:pPr>
              <w:spacing w:after="0"/>
              <w:rPr>
                <w:sz w:val="16"/>
                <w:szCs w:val="16"/>
                <w:color w:val="auto"/>
              </w:rPr>
            </w:pPr>
          </w:p>
        </w:tc>
        <w:tc>
          <w:tcPr>
            <w:tcW w:w="338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3"/>
        </w:trPr>
        <w:tc>
          <w:tcPr>
            <w:tcW w:w="4520" w:type="dxa"/>
            <w:vAlign w:val="bottom"/>
          </w:tcPr>
          <w:p>
            <w:pPr>
              <w:spacing w:after="0"/>
              <w:rPr>
                <w:sz w:val="20"/>
                <w:szCs w:val="20"/>
                <w:color w:val="auto"/>
              </w:rPr>
            </w:pPr>
            <w:r>
              <w:rPr>
                <w:rFonts w:ascii="Courier New" w:cs="Courier New" w:eastAsia="Courier New" w:hAnsi="Courier New"/>
                <w:sz w:val="17"/>
                <w:szCs w:val="17"/>
                <w:color w:val="auto"/>
              </w:rPr>
              <w:t>Operating Unit Profit:</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4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United States</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33.7</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29.2</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15.2%</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15.2%</w:t>
            </w:r>
          </w:p>
        </w:tc>
      </w:tr>
      <w:tr>
        <w:trPr>
          <w:trHeight w:val="191"/>
        </w:trPr>
        <w:tc>
          <w:tcPr>
            <w:tcW w:w="4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France</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184.0</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143.6</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28.2%</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7.4%</w:t>
            </w:r>
          </w:p>
        </w:tc>
      </w:tr>
      <w:tr>
        <w:trPr>
          <w:trHeight w:val="191"/>
        </w:trPr>
        <w:tc>
          <w:tcPr>
            <w:tcW w:w="4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EMEA</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51.7</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83.0</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-37.7%</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-45.4%</w:t>
            </w:r>
          </w:p>
        </w:tc>
      </w:tr>
      <w:tr>
        <w:trPr>
          <w:trHeight w:val="191"/>
        </w:trPr>
        <w:tc>
          <w:tcPr>
            <w:tcW w:w="45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Operations</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27.9</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6.6</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324.1%</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288.8%</w:t>
            </w:r>
          </w:p>
        </w:tc>
      </w:tr>
      <w:tr>
        <w:trPr>
          <w:trHeight w:val="191"/>
        </w:trPr>
        <w:tc>
          <w:tcPr>
            <w:tcW w:w="4520" w:type="dxa"/>
            <w:vAlign w:val="bottom"/>
          </w:tcPr>
          <w:p>
            <w:pPr>
              <w:spacing w:after="0"/>
              <w:rPr>
                <w:sz w:val="16"/>
                <w:szCs w:val="16"/>
                <w:color w:val="auto"/>
              </w:rPr>
            </w:pPr>
          </w:p>
        </w:tc>
        <w:tc>
          <w:tcPr>
            <w:tcW w:w="338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297.3</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262.4</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Corporate expenses</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39.4</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27.5</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Amortization of other intangible assets</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0.1</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520" w:type="dxa"/>
            <w:vAlign w:val="bottom"/>
          </w:tcPr>
          <w:p>
            <w:pPr>
              <w:spacing w:after="0"/>
              <w:rPr>
                <w:sz w:val="16"/>
                <w:szCs w:val="16"/>
                <w:color w:val="auto"/>
              </w:rPr>
            </w:pPr>
          </w:p>
        </w:tc>
        <w:tc>
          <w:tcPr>
            <w:tcW w:w="338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5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Operating profit</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257.9</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234.8</w:t>
            </w:r>
          </w:p>
        </w:tc>
        <w:tc>
          <w:tcPr>
            <w:tcW w:w="19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9.9%</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-6.6%</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and other expenses (b)</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35.8</w:t>
            </w:r>
          </w:p>
        </w:tc>
        <w:tc>
          <w:tcPr>
            <w:tcW w:w="4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46.8</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520" w:type="dxa"/>
            <w:vAlign w:val="bottom"/>
          </w:tcPr>
          <w:p>
            <w:pPr>
              <w:spacing w:after="0"/>
              <w:rPr>
                <w:sz w:val="16"/>
                <w:szCs w:val="16"/>
                <w:color w:val="auto"/>
              </w:rPr>
            </w:pPr>
          </w:p>
        </w:tc>
        <w:tc>
          <w:tcPr>
            <w:tcW w:w="338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5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Earnings before income taxes</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222.1</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188.0</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520" w:type="dxa"/>
            <w:vAlign w:val="bottom"/>
          </w:tcPr>
          <w:p>
            <w:pPr>
              <w:spacing w:after="0"/>
              <w:rPr>
                <w:sz w:val="16"/>
                <w:szCs w:val="16"/>
                <w:color w:val="auto"/>
              </w:rPr>
            </w:pPr>
          </w:p>
        </w:tc>
        <w:tc>
          <w:tcPr>
            <w:tcW w:w="3380" w:type="dxa"/>
            <w:vAlign w:val="bottom"/>
            <w:gridSpan w:val="4"/>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200" w:lineRule="exact"/>
        <w:rPr>
          <w:sz w:val="20"/>
          <w:szCs w:val="20"/>
          <w:color w:val="auto"/>
        </w:rPr>
      </w:pPr>
    </w:p>
    <w:p>
      <w:pPr>
        <w:spacing w:after="0" w:line="379" w:lineRule="exact"/>
        <w:rPr>
          <w:sz w:val="20"/>
          <w:szCs w:val="20"/>
          <w:color w:val="auto"/>
        </w:rPr>
      </w:pPr>
    </w:p>
    <w:p>
      <w:pPr>
        <w:ind w:left="600" w:right="2880" w:hanging="598"/>
        <w:spacing w:after="0" w:line="237" w:lineRule="auto"/>
        <w:tabs>
          <w:tab w:leader="none" w:pos="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United States, revenues from services include fees received from the related franchise offices of $21.9 million and $21.7 million for the year ended December 31, 2003 and 2002, respectively. These fees are primarily based on revenues generated by the franchise offices (unaudited), which were $1,026.2 million and $1,015.8 million for the year ended December 31, 2003 and 2002, respectively.</w:t>
      </w:r>
    </w:p>
    <w:p>
      <w:pPr>
        <w:spacing w:after="0" w:line="191"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components of interest and other expense (income) were:</w:t>
      </w:r>
    </w:p>
    <w:p>
      <w:pPr>
        <w:spacing w:after="0" w:line="200" w:lineRule="exact"/>
        <w:rPr>
          <w:sz w:val="20"/>
          <w:szCs w:val="20"/>
          <w:color w:val="auto"/>
        </w:rPr>
      </w:pPr>
    </w:p>
    <w:p>
      <w:pPr>
        <w:spacing w:after="0" w:line="372"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338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41.4</w:t>
            </w:r>
          </w:p>
        </w:tc>
        <w:tc>
          <w:tcPr>
            <w:tcW w:w="5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42.4</w:t>
            </w:r>
          </w:p>
        </w:tc>
      </w:tr>
      <w:tr>
        <w:trPr>
          <w:trHeight w:val="191"/>
        </w:trPr>
        <w:tc>
          <w:tcPr>
            <w:tcW w:w="33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15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(8.0)</w:t>
            </w:r>
          </w:p>
        </w:tc>
        <w:tc>
          <w:tcPr>
            <w:tcW w:w="5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(9.0)</w:t>
            </w:r>
          </w:p>
        </w:tc>
      </w:tr>
      <w:tr>
        <w:trPr>
          <w:trHeight w:val="191"/>
        </w:trPr>
        <w:tc>
          <w:tcPr>
            <w:tcW w:w="3380" w:type="dxa"/>
            <w:vAlign w:val="bottom"/>
          </w:tcPr>
          <w:p>
            <w:pPr>
              <w:spacing w:after="0" w:line="191" w:lineRule="exact"/>
              <w:rPr>
                <w:sz w:val="20"/>
                <w:szCs w:val="20"/>
                <w:color w:val="auto"/>
              </w:rPr>
            </w:pPr>
            <w:r>
              <w:rPr>
                <w:rFonts w:ascii="Courier New" w:cs="Courier New" w:eastAsia="Courier New" w:hAnsi="Courier New"/>
                <w:sz w:val="17"/>
                <w:szCs w:val="17"/>
                <w:color w:val="auto"/>
              </w:rPr>
              <w:t>Foreign exchange gains</w:t>
            </w:r>
          </w:p>
        </w:tc>
        <w:tc>
          <w:tcPr>
            <w:tcW w:w="1500" w:type="dxa"/>
            <w:vAlign w:val="bottom"/>
          </w:tcPr>
          <w:p>
            <w:pPr>
              <w:spacing w:after="0"/>
              <w:rPr>
                <w:sz w:val="16"/>
                <w:szCs w:val="16"/>
                <w:color w:val="auto"/>
              </w:rPr>
            </w:pPr>
          </w:p>
        </w:tc>
        <w:tc>
          <w:tcPr>
            <w:tcW w:w="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(1.3)</w:t>
            </w:r>
          </w:p>
        </w:tc>
        <w:tc>
          <w:tcPr>
            <w:tcW w:w="5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3380" w:type="dxa"/>
            <w:vAlign w:val="bottom"/>
          </w:tcPr>
          <w:p>
            <w:pPr>
              <w:spacing w:after="0" w:line="191" w:lineRule="exact"/>
              <w:rPr>
                <w:sz w:val="20"/>
                <w:szCs w:val="20"/>
                <w:color w:val="auto"/>
              </w:rPr>
            </w:pPr>
            <w:r>
              <w:rPr>
                <w:rFonts w:ascii="Courier New" w:cs="Courier New" w:eastAsia="Courier New" w:hAnsi="Courier New"/>
                <w:sz w:val="17"/>
                <w:szCs w:val="17"/>
                <w:color w:val="auto"/>
              </w:rPr>
              <w:t>Miscellaneous, net</w:t>
            </w:r>
          </w:p>
        </w:tc>
        <w:tc>
          <w:tcPr>
            <w:tcW w:w="1500" w:type="dxa"/>
            <w:vAlign w:val="bottom"/>
          </w:tcPr>
          <w:p>
            <w:pPr>
              <w:spacing w:after="0"/>
              <w:rPr>
                <w:sz w:val="16"/>
                <w:szCs w:val="16"/>
                <w:color w:val="auto"/>
              </w:rPr>
            </w:pP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3.7</w:t>
            </w:r>
          </w:p>
        </w:tc>
        <w:tc>
          <w:tcPr>
            <w:tcW w:w="5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15.2</w:t>
            </w:r>
          </w:p>
        </w:tc>
      </w:tr>
      <w:tr>
        <w:trPr>
          <w:trHeight w:val="191"/>
        </w:trPr>
        <w:tc>
          <w:tcPr>
            <w:tcW w:w="3380" w:type="dxa"/>
            <w:vAlign w:val="bottom"/>
          </w:tcPr>
          <w:p>
            <w:pPr>
              <w:spacing w:after="0"/>
              <w:rPr>
                <w:sz w:val="16"/>
                <w:szCs w:val="16"/>
                <w:color w:val="auto"/>
              </w:rPr>
            </w:pPr>
          </w:p>
        </w:tc>
        <w:tc>
          <w:tcPr>
            <w:tcW w:w="368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80" w:type="dxa"/>
            <w:vAlign w:val="bottom"/>
          </w:tcPr>
          <w:p>
            <w:pPr>
              <w:spacing w:after="0"/>
              <w:rPr>
                <w:sz w:val="16"/>
                <w:szCs w:val="16"/>
                <w:color w:val="auto"/>
              </w:rPr>
            </w:pP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35.8</w:t>
            </w:r>
          </w:p>
        </w:tc>
        <w:tc>
          <w:tcPr>
            <w:tcW w:w="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46.8</w:t>
            </w:r>
          </w:p>
        </w:tc>
      </w:tr>
      <w:tr>
        <w:trPr>
          <w:trHeight w:val="191"/>
        </w:trPr>
        <w:tc>
          <w:tcPr>
            <w:tcW w:w="3380" w:type="dxa"/>
            <w:vAlign w:val="bottom"/>
          </w:tcPr>
          <w:p>
            <w:pPr>
              <w:spacing w:after="0"/>
              <w:rPr>
                <w:sz w:val="16"/>
                <w:szCs w:val="16"/>
                <w:color w:val="auto"/>
              </w:rPr>
            </w:pPr>
          </w:p>
        </w:tc>
        <w:tc>
          <w:tcPr>
            <w:tcW w:w="368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7"/>
          <w:szCs w:val="17"/>
          <w:color w:val="auto"/>
        </w:rPr>
        <w:t>Manpower Inc.</w:t>
      </w:r>
    </w:p>
    <w:p>
      <w:pPr>
        <w:jc w:val="center"/>
        <w:ind w:right="2780"/>
        <w:spacing w:after="0" w:line="238" w:lineRule="auto"/>
        <w:rPr>
          <w:sz w:val="20"/>
          <w:szCs w:val="20"/>
          <w:color w:val="auto"/>
        </w:rPr>
      </w:pPr>
      <w:r>
        <w:rPr>
          <w:rFonts w:ascii="Courier New" w:cs="Courier New" w:eastAsia="Courier New" w:hAnsi="Courier New"/>
          <w:sz w:val="17"/>
          <w:szCs w:val="17"/>
          <w:color w:val="auto"/>
        </w:rPr>
        <w:t>Consolidated Balance Sheets</w:t>
      </w:r>
    </w:p>
    <w:p>
      <w:pPr>
        <w:jc w:val="center"/>
        <w:ind w:right="2780"/>
        <w:spacing w:after="0" w:line="238" w:lineRule="auto"/>
        <w:rPr>
          <w:sz w:val="20"/>
          <w:szCs w:val="20"/>
          <w:color w:val="auto"/>
        </w:rPr>
      </w:pPr>
      <w:r>
        <w:rPr>
          <w:rFonts w:ascii="Courier New" w:cs="Courier New" w:eastAsia="Courier New" w:hAnsi="Courier New"/>
          <w:sz w:val="17"/>
          <w:szCs w:val="17"/>
          <w:color w:val="auto"/>
        </w:rPr>
        <w:t>(In millions)</w:t>
      </w:r>
    </w:p>
    <w:p>
      <w:pPr>
        <w:sectPr>
          <w:pgSz w:w="11900" w:h="16838" w:orient="portrait"/>
          <w:cols w:equalWidth="0" w:num="1">
            <w:col w:w="10840"/>
          </w:cols>
          <w:pgMar w:left="240" w:top="492" w:right="8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7360"/>
        <w:spacing w:after="0"/>
        <w:rPr>
          <w:sz w:val="20"/>
          <w:szCs w:val="20"/>
          <w:color w:val="auto"/>
        </w:rPr>
      </w:pPr>
      <w:r>
        <w:rPr>
          <w:rFonts w:ascii="Courier New" w:cs="Courier New" w:eastAsia="Courier New" w:hAnsi="Courier New"/>
          <w:sz w:val="17"/>
          <w:szCs w:val="17"/>
          <w:color w:val="auto"/>
        </w:rPr>
        <w:t>DEC. 31</w:t>
      </w:r>
    </w:p>
    <w:p>
      <w:pPr>
        <w:jc w:val="center"/>
        <w:ind w:left="7260"/>
        <w:spacing w:after="0" w:line="238" w:lineRule="auto"/>
        <w:rPr>
          <w:sz w:val="20"/>
          <w:szCs w:val="20"/>
          <w:color w:val="auto"/>
        </w:rPr>
      </w:pPr>
      <w:r>
        <w:rPr>
          <w:rFonts w:ascii="Courier New" w:cs="Courier New" w:eastAsia="Courier New" w:hAnsi="Courier New"/>
          <w:sz w:val="17"/>
          <w:szCs w:val="17"/>
          <w:color w:val="auto"/>
        </w:rPr>
        <w:t>2003</w:t>
      </w:r>
    </w:p>
    <w:p>
      <w:pPr>
        <w:spacing w:after="0" w:line="5" w:lineRule="exact"/>
        <w:rPr>
          <w:sz w:val="20"/>
          <w:szCs w:val="20"/>
          <w:color w:val="auto"/>
        </w:rPr>
      </w:pPr>
    </w:p>
    <w:p>
      <w:pPr>
        <w:jc w:val="center"/>
        <w:ind w:left="72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7"/>
          <w:szCs w:val="17"/>
          <w:color w:val="auto"/>
        </w:rPr>
        <w:t>DEC. 31</w:t>
      </w:r>
    </w:p>
    <w:p>
      <w:pPr>
        <w:jc w:val="center"/>
        <w:ind w:right="900"/>
        <w:spacing w:after="0" w:line="238" w:lineRule="auto"/>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260" w:space="700"/>
            <w:col w:w="1880"/>
          </w:cols>
          <w:pgMar w:left="240" w:top="492" w:right="819"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ectPr>
          <w:pgSz w:w="11900" w:h="16838" w:orient="portrait"/>
          <w:cols w:equalWidth="0" w:num="1">
            <w:col w:w="10840"/>
          </w:cols>
          <w:pgMar w:left="240" w:top="492" w:right="81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63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426.2</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284.0</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receivable, net</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2,609.4</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2,214.2</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Prepaid expenses and other assets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100.1</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76.0</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Future income tax benefits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101.4</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79.1</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3,237.1</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2,653.3</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Goodwill and other intangible assets, net</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573.8</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545.7</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Investments in licensees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66.2</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60.5</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assets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320.7</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253.4</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other assets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960.7</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859.6</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PROPERTY AND EQUIPMENT:</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Land, buildings, leasehold improvements and equipment</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606.3</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533.4</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Less:  accumulated depreciation and amortization</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419.2</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344.6</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Net property and equipment</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187.1</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188.8</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Total assets</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4,384.9</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3,701.7</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636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payable</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555.4</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447.0</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Employee compensation payable</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105.6</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96.2</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Accrued liabilities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360.0</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295.7</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Accrued payroll taxes and insurance</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476.6</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391.6</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Value added taxes payable</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368.2</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309.0</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Short-term borrowings and current</w:t>
            </w: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63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maturities of long-term debt</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12.1</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22.8</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1,877.9</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1,562.3</w:t>
            </w:r>
          </w:p>
        </w:tc>
      </w:tr>
      <w:tr>
        <w:trPr>
          <w:trHeight w:val="382"/>
        </w:trPr>
        <w:tc>
          <w:tcPr>
            <w:tcW w:w="636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Long-term debt</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829.6</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799.0</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long-term liabilities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367.1</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340.5</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other liabilities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1,196.7</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1,139.5</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stock</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0.9</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0.9</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Capital in excess of par value</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1,732.5</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1,696.2</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Accumulated deficit</w:t>
            </w:r>
          </w:p>
        </w:tc>
        <w:tc>
          <w:tcPr>
            <w:tcW w:w="110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(167.6)</w:t>
            </w:r>
          </w:p>
        </w:tc>
        <w:tc>
          <w:tcPr>
            <w:tcW w:w="5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(289.7)</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Accumulated other comprehensive income (loss)</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28.3</w:t>
            </w:r>
          </w:p>
        </w:tc>
        <w:tc>
          <w:tcPr>
            <w:tcW w:w="5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(123.7)</w:t>
            </w: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Treasury stock, at cost</w:t>
            </w:r>
          </w:p>
        </w:tc>
        <w:tc>
          <w:tcPr>
            <w:tcW w:w="110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(283.8)</w:t>
            </w:r>
          </w:p>
        </w:tc>
        <w:tc>
          <w:tcPr>
            <w:tcW w:w="5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(283.8)</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Total shareholders' equity</w:t>
            </w:r>
          </w:p>
        </w:tc>
        <w:tc>
          <w:tcPr>
            <w:tcW w:w="11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1,310.3</w:t>
            </w:r>
          </w:p>
        </w:tc>
        <w:tc>
          <w:tcPr>
            <w:tcW w:w="50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999.9</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Total liabilities and shareholders' equity</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4,384.9</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3,701.7</w:t>
            </w:r>
          </w:p>
        </w:tc>
      </w:tr>
      <w:tr>
        <w:trPr>
          <w:trHeight w:val="191"/>
        </w:trPr>
        <w:tc>
          <w:tcPr>
            <w:tcW w:w="6360" w:type="dxa"/>
            <w:vAlign w:val="bottom"/>
          </w:tcPr>
          <w:p>
            <w:pPr>
              <w:spacing w:after="0"/>
              <w:rPr>
                <w:sz w:val="16"/>
                <w:szCs w:val="16"/>
                <w:color w:val="auto"/>
              </w:rPr>
            </w:pPr>
          </w:p>
        </w:tc>
        <w:tc>
          <w:tcPr>
            <w:tcW w:w="23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35" w:right="1440" w:bottom="1440" w:gutter="0" w:footer="0" w:header="0"/>
        </w:sectPr>
      </w:pPr>
    </w:p>
    <w:bookmarkStart w:id="9" w:name="page10"/>
    <w:bookmarkEnd w:id="9"/>
    <w:p>
      <w:pPr>
        <w:jc w:val="center"/>
        <w:ind w:right="2159"/>
        <w:spacing w:after="0"/>
        <w:rPr>
          <w:sz w:val="20"/>
          <w:szCs w:val="20"/>
          <w:color w:val="auto"/>
        </w:rPr>
      </w:pPr>
      <w:r>
        <w:rPr>
          <w:rFonts w:ascii="Courier New" w:cs="Courier New" w:eastAsia="Courier New" w:hAnsi="Courier New"/>
          <w:sz w:val="17"/>
          <w:szCs w:val="17"/>
          <w:color w:val="auto"/>
        </w:rPr>
        <w:t>Manpower Inc.</w:t>
      </w:r>
    </w:p>
    <w:p>
      <w:pPr>
        <w:jc w:val="center"/>
        <w:ind w:right="2159"/>
        <w:spacing w:after="0" w:line="238" w:lineRule="auto"/>
        <w:rPr>
          <w:sz w:val="20"/>
          <w:szCs w:val="20"/>
          <w:color w:val="auto"/>
        </w:rPr>
      </w:pPr>
      <w:r>
        <w:rPr>
          <w:rFonts w:ascii="Courier New" w:cs="Courier New" w:eastAsia="Courier New" w:hAnsi="Courier New"/>
          <w:sz w:val="17"/>
          <w:szCs w:val="17"/>
          <w:color w:val="auto"/>
        </w:rPr>
        <w:t>Consolidated Statements of Cash Flows</w:t>
      </w:r>
    </w:p>
    <w:p>
      <w:pPr>
        <w:jc w:val="center"/>
        <w:ind w:right="2159"/>
        <w:spacing w:after="0" w:line="238" w:lineRule="auto"/>
        <w:rPr>
          <w:sz w:val="20"/>
          <w:szCs w:val="20"/>
          <w:color w:val="auto"/>
        </w:rPr>
      </w:pPr>
      <w:r>
        <w:rPr>
          <w:rFonts w:ascii="Courier New" w:cs="Courier New" w:eastAsia="Courier New" w:hAnsi="Courier New"/>
          <w:sz w:val="17"/>
          <w:szCs w:val="17"/>
          <w:color w:val="auto"/>
        </w:rPr>
        <w:t>(In millions)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6"/>
              </w:rPr>
              <w:t>YEAR ENDED</w:t>
            </w:r>
          </w:p>
        </w:tc>
        <w:tc>
          <w:tcPr>
            <w:tcW w:w="680" w:type="dxa"/>
            <w:vAlign w:val="bottom"/>
          </w:tcPr>
          <w:p>
            <w:pPr>
              <w:spacing w:after="0"/>
              <w:rPr>
                <w:sz w:val="16"/>
                <w:szCs w:val="16"/>
                <w:color w:val="auto"/>
              </w:rPr>
            </w:pPr>
          </w:p>
        </w:tc>
      </w:tr>
      <w:tr>
        <w:trPr>
          <w:trHeight w:val="191"/>
        </w:trPr>
        <w:tc>
          <w:tcPr>
            <w:tcW w:w="6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80" w:type="dxa"/>
            <w:vAlign w:val="bottom"/>
            <w:gridSpan w:val="3"/>
          </w:tcPr>
          <w:p>
            <w:pPr>
              <w:ind w:left="400"/>
              <w:spacing w:after="0" w:line="191" w:lineRule="exact"/>
              <w:rPr>
                <w:sz w:val="20"/>
                <w:szCs w:val="20"/>
                <w:color w:val="auto"/>
              </w:rPr>
            </w:pPr>
            <w:r>
              <w:rPr>
                <w:rFonts w:ascii="Courier New" w:cs="Courier New" w:eastAsia="Courier New" w:hAnsi="Courier New"/>
                <w:sz w:val="17"/>
                <w:szCs w:val="17"/>
                <w:color w:val="auto"/>
              </w:rPr>
              <w:t>DECEMBER 31</w:t>
            </w:r>
          </w:p>
        </w:tc>
      </w:tr>
      <w:tr>
        <w:trPr>
          <w:trHeight w:val="191"/>
        </w:trPr>
        <w:tc>
          <w:tcPr>
            <w:tcW w:w="6420" w:type="dxa"/>
            <w:vAlign w:val="bottom"/>
          </w:tcPr>
          <w:p>
            <w:pPr>
              <w:spacing w:after="0"/>
              <w:rPr>
                <w:sz w:val="16"/>
                <w:szCs w:val="16"/>
                <w:color w:val="auto"/>
              </w:rPr>
            </w:pPr>
          </w:p>
        </w:tc>
        <w:tc>
          <w:tcPr>
            <w:tcW w:w="312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2003</w:t>
            </w:r>
          </w:p>
        </w:tc>
        <w:tc>
          <w:tcPr>
            <w:tcW w:w="460" w:type="dxa"/>
            <w:vAlign w:val="bottom"/>
          </w:tcPr>
          <w:p>
            <w:pPr>
              <w:spacing w:after="0"/>
              <w:rPr>
                <w:sz w:val="16"/>
                <w:szCs w:val="16"/>
                <w:color w:val="auto"/>
              </w:rPr>
            </w:pPr>
          </w:p>
        </w:tc>
        <w:tc>
          <w:tcPr>
            <w:tcW w:w="6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2002</w:t>
            </w:r>
          </w:p>
        </w:tc>
      </w:tr>
      <w:tr>
        <w:trPr>
          <w:trHeight w:val="191"/>
        </w:trPr>
        <w:tc>
          <w:tcPr>
            <w:tcW w:w="6420" w:type="dxa"/>
            <w:vAlign w:val="bottom"/>
          </w:tcPr>
          <w:p>
            <w:pPr>
              <w:spacing w:after="0"/>
              <w:rPr>
                <w:sz w:val="16"/>
                <w:szCs w:val="16"/>
                <w:color w:val="auto"/>
              </w:rPr>
            </w:pPr>
          </w:p>
        </w:tc>
        <w:tc>
          <w:tcPr>
            <w:tcW w:w="312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earnings</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137.7</w:t>
            </w:r>
          </w:p>
        </w:tc>
        <w:tc>
          <w:tcPr>
            <w:tcW w:w="4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113.2</w:t>
            </w: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Adjustments to reconcile net earnings to net</w:t>
            </w: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64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cash provided by operating activities:</w:t>
            </w: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64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0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64.4</w:t>
            </w:r>
          </w:p>
        </w:tc>
        <w:tc>
          <w:tcPr>
            <w:tcW w:w="460" w:type="dxa"/>
            <w:vAlign w:val="bottom"/>
          </w:tcPr>
          <w:p>
            <w:pPr>
              <w:spacing w:after="0"/>
              <w:rPr>
                <w:sz w:val="16"/>
                <w:szCs w:val="16"/>
                <w:color w:val="auto"/>
              </w:rPr>
            </w:pP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65.4</w:t>
            </w:r>
          </w:p>
        </w:tc>
      </w:tr>
      <w:tr>
        <w:trPr>
          <w:trHeight w:val="191"/>
        </w:trPr>
        <w:tc>
          <w:tcPr>
            <w:tcW w:w="64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Amortization of discount on convertible debentures</w:t>
            </w:r>
          </w:p>
        </w:tc>
        <w:tc>
          <w:tcPr>
            <w:tcW w:w="10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7.6</w:t>
            </w:r>
          </w:p>
        </w:tc>
        <w:tc>
          <w:tcPr>
            <w:tcW w:w="460" w:type="dxa"/>
            <w:vAlign w:val="bottom"/>
          </w:tcPr>
          <w:p>
            <w:pPr>
              <w:spacing w:after="0"/>
              <w:rPr>
                <w:sz w:val="16"/>
                <w:szCs w:val="16"/>
                <w:color w:val="auto"/>
              </w:rPr>
            </w:pP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w:t>
            </w:r>
          </w:p>
        </w:tc>
      </w:tr>
      <w:tr>
        <w:trPr>
          <w:trHeight w:val="191"/>
        </w:trPr>
        <w:tc>
          <w:tcPr>
            <w:tcW w:w="64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10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(1.4)</w:t>
            </w:r>
          </w:p>
        </w:tc>
        <w:tc>
          <w:tcPr>
            <w:tcW w:w="4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(0.2)</w:t>
            </w:r>
          </w:p>
        </w:tc>
      </w:tr>
      <w:tr>
        <w:trPr>
          <w:trHeight w:val="191"/>
        </w:trPr>
        <w:tc>
          <w:tcPr>
            <w:tcW w:w="64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Provision for doubtful accounts</w:t>
            </w:r>
          </w:p>
        </w:tc>
        <w:tc>
          <w:tcPr>
            <w:tcW w:w="10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16.7</w:t>
            </w:r>
          </w:p>
        </w:tc>
        <w:tc>
          <w:tcPr>
            <w:tcW w:w="460" w:type="dxa"/>
            <w:vAlign w:val="bottom"/>
          </w:tcPr>
          <w:p>
            <w:pPr>
              <w:spacing w:after="0"/>
              <w:rPr>
                <w:sz w:val="16"/>
                <w:szCs w:val="16"/>
                <w:color w:val="auto"/>
              </w:rPr>
            </w:pP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18.2</w:t>
            </w:r>
          </w:p>
        </w:tc>
      </w:tr>
      <w:tr>
        <w:trPr>
          <w:trHeight w:val="191"/>
        </w:trPr>
        <w:tc>
          <w:tcPr>
            <w:tcW w:w="64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Changes in operating assets and liabilities:</w:t>
            </w: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642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10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(71.1)</w:t>
            </w:r>
          </w:p>
        </w:tc>
        <w:tc>
          <w:tcPr>
            <w:tcW w:w="4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(54.4)</w:t>
            </w:r>
          </w:p>
        </w:tc>
      </w:tr>
      <w:tr>
        <w:trPr>
          <w:trHeight w:val="191"/>
        </w:trPr>
        <w:tc>
          <w:tcPr>
            <w:tcW w:w="642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Other assets</w:t>
            </w:r>
          </w:p>
        </w:tc>
        <w:tc>
          <w:tcPr>
            <w:tcW w:w="10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(37.4)</w:t>
            </w:r>
          </w:p>
        </w:tc>
        <w:tc>
          <w:tcPr>
            <w:tcW w:w="460" w:type="dxa"/>
            <w:vAlign w:val="bottom"/>
          </w:tcPr>
          <w:p>
            <w:pPr>
              <w:spacing w:after="0"/>
              <w:rPr>
                <w:sz w:val="16"/>
                <w:szCs w:val="16"/>
                <w:color w:val="auto"/>
              </w:rPr>
            </w:pP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41.6</w:t>
            </w:r>
          </w:p>
        </w:tc>
      </w:tr>
      <w:tr>
        <w:trPr>
          <w:trHeight w:val="191"/>
        </w:trPr>
        <w:tc>
          <w:tcPr>
            <w:tcW w:w="642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Other liabilities</w:t>
            </w:r>
          </w:p>
        </w:tc>
        <w:tc>
          <w:tcPr>
            <w:tcW w:w="10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106.9</w:t>
            </w:r>
          </w:p>
        </w:tc>
        <w:tc>
          <w:tcPr>
            <w:tcW w:w="460" w:type="dxa"/>
            <w:vAlign w:val="bottom"/>
          </w:tcPr>
          <w:p>
            <w:pPr>
              <w:spacing w:after="0"/>
              <w:rPr>
                <w:sz w:val="16"/>
                <w:szCs w:val="16"/>
                <w:color w:val="auto"/>
              </w:rPr>
            </w:pP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36.8</w:t>
            </w:r>
          </w:p>
        </w:tc>
      </w:tr>
      <w:tr>
        <w:trPr>
          <w:trHeight w:val="191"/>
        </w:trPr>
        <w:tc>
          <w:tcPr>
            <w:tcW w:w="6420" w:type="dxa"/>
            <w:vAlign w:val="bottom"/>
          </w:tcPr>
          <w:p>
            <w:pPr>
              <w:spacing w:after="0"/>
              <w:rPr>
                <w:sz w:val="16"/>
                <w:szCs w:val="16"/>
                <w:color w:val="auto"/>
              </w:rPr>
            </w:pPr>
          </w:p>
        </w:tc>
        <w:tc>
          <w:tcPr>
            <w:tcW w:w="19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Cash provided by operating activities</w:t>
            </w:r>
          </w:p>
        </w:tc>
        <w:tc>
          <w:tcPr>
            <w:tcW w:w="10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223.4</w:t>
            </w:r>
          </w:p>
        </w:tc>
        <w:tc>
          <w:tcPr>
            <w:tcW w:w="460" w:type="dxa"/>
            <w:vAlign w:val="bottom"/>
          </w:tcPr>
          <w:p>
            <w:pPr>
              <w:spacing w:after="0"/>
              <w:rPr>
                <w:sz w:val="16"/>
                <w:szCs w:val="16"/>
                <w:color w:val="auto"/>
              </w:rPr>
            </w:pP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227.9</w:t>
            </w:r>
          </w:p>
        </w:tc>
      </w:tr>
      <w:tr>
        <w:trPr>
          <w:trHeight w:val="191"/>
        </w:trPr>
        <w:tc>
          <w:tcPr>
            <w:tcW w:w="6420" w:type="dxa"/>
            <w:vAlign w:val="bottom"/>
          </w:tcPr>
          <w:p>
            <w:pPr>
              <w:spacing w:after="0"/>
              <w:rPr>
                <w:sz w:val="16"/>
                <w:szCs w:val="16"/>
                <w:color w:val="auto"/>
              </w:rPr>
            </w:pPr>
          </w:p>
        </w:tc>
        <w:tc>
          <w:tcPr>
            <w:tcW w:w="19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4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10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(55.5)</w:t>
            </w:r>
          </w:p>
        </w:tc>
        <w:tc>
          <w:tcPr>
            <w:tcW w:w="4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(58.5)</w:t>
            </w: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Acquisitions of business, net of cash acquired</w:t>
            </w:r>
          </w:p>
        </w:tc>
        <w:tc>
          <w:tcPr>
            <w:tcW w:w="10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(6.7)</w:t>
            </w:r>
          </w:p>
        </w:tc>
        <w:tc>
          <w:tcPr>
            <w:tcW w:w="4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(33.5)</w:t>
            </w: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Proceeds from the sale of property and equipment</w:t>
            </w:r>
          </w:p>
        </w:tc>
        <w:tc>
          <w:tcPr>
            <w:tcW w:w="10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6.0</w:t>
            </w:r>
          </w:p>
        </w:tc>
        <w:tc>
          <w:tcPr>
            <w:tcW w:w="460" w:type="dxa"/>
            <w:vAlign w:val="bottom"/>
          </w:tcPr>
          <w:p>
            <w:pPr>
              <w:spacing w:after="0"/>
              <w:rPr>
                <w:sz w:val="16"/>
                <w:szCs w:val="16"/>
                <w:color w:val="auto"/>
              </w:rPr>
            </w:pP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w:t>
            </w:r>
          </w:p>
        </w:tc>
      </w:tr>
      <w:tr>
        <w:trPr>
          <w:trHeight w:val="191"/>
        </w:trPr>
        <w:tc>
          <w:tcPr>
            <w:tcW w:w="6420" w:type="dxa"/>
            <w:vAlign w:val="bottom"/>
          </w:tcPr>
          <w:p>
            <w:pPr>
              <w:spacing w:after="0"/>
              <w:rPr>
                <w:sz w:val="16"/>
                <w:szCs w:val="16"/>
                <w:color w:val="auto"/>
              </w:rPr>
            </w:pPr>
          </w:p>
        </w:tc>
        <w:tc>
          <w:tcPr>
            <w:tcW w:w="19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Cash used by investing activities</w:t>
            </w:r>
          </w:p>
        </w:tc>
        <w:tc>
          <w:tcPr>
            <w:tcW w:w="10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(56.2)</w:t>
            </w:r>
          </w:p>
        </w:tc>
        <w:tc>
          <w:tcPr>
            <w:tcW w:w="4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(86.7)</w:t>
            </w:r>
          </w:p>
        </w:tc>
      </w:tr>
      <w:tr>
        <w:trPr>
          <w:trHeight w:val="191"/>
        </w:trPr>
        <w:tc>
          <w:tcPr>
            <w:tcW w:w="6420" w:type="dxa"/>
            <w:vAlign w:val="bottom"/>
          </w:tcPr>
          <w:p>
            <w:pPr>
              <w:spacing w:after="0"/>
              <w:rPr>
                <w:sz w:val="16"/>
                <w:szCs w:val="16"/>
                <w:color w:val="auto"/>
              </w:rPr>
            </w:pPr>
          </w:p>
        </w:tc>
        <w:tc>
          <w:tcPr>
            <w:tcW w:w="19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repayments of short-term</w:t>
            </w: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64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facilities and long-term debt</w:t>
            </w:r>
          </w:p>
        </w:tc>
        <w:tc>
          <w:tcPr>
            <w:tcW w:w="10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(84.5)</w:t>
            </w:r>
          </w:p>
        </w:tc>
        <w:tc>
          <w:tcPr>
            <w:tcW w:w="4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(115.0)</w:t>
            </w: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Proceeds from stock option and purchase plans</w:t>
            </w:r>
          </w:p>
        </w:tc>
        <w:tc>
          <w:tcPr>
            <w:tcW w:w="10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35.6</w:t>
            </w:r>
          </w:p>
        </w:tc>
        <w:tc>
          <w:tcPr>
            <w:tcW w:w="460" w:type="dxa"/>
            <w:vAlign w:val="bottom"/>
          </w:tcPr>
          <w:p>
            <w:pPr>
              <w:spacing w:after="0"/>
              <w:rPr>
                <w:sz w:val="16"/>
                <w:szCs w:val="16"/>
                <w:color w:val="auto"/>
              </w:rPr>
            </w:pP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29.4</w:t>
            </w: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Repurchase of common stock</w:t>
            </w:r>
          </w:p>
        </w:tc>
        <w:tc>
          <w:tcPr>
            <w:tcW w:w="10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(30.7)</w:t>
            </w: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paid</w:t>
            </w:r>
          </w:p>
        </w:tc>
        <w:tc>
          <w:tcPr>
            <w:tcW w:w="10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(15.6)</w:t>
            </w:r>
          </w:p>
        </w:tc>
        <w:tc>
          <w:tcPr>
            <w:tcW w:w="4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w:t>
            </w:r>
          </w:p>
        </w:tc>
      </w:tr>
      <w:tr>
        <w:trPr>
          <w:trHeight w:val="191"/>
        </w:trPr>
        <w:tc>
          <w:tcPr>
            <w:tcW w:w="6420" w:type="dxa"/>
            <w:vAlign w:val="bottom"/>
          </w:tcPr>
          <w:p>
            <w:pPr>
              <w:spacing w:after="0"/>
              <w:rPr>
                <w:sz w:val="16"/>
                <w:szCs w:val="16"/>
                <w:color w:val="auto"/>
              </w:rPr>
            </w:pPr>
          </w:p>
        </w:tc>
        <w:tc>
          <w:tcPr>
            <w:tcW w:w="19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Cash used by financing activities</w:t>
            </w:r>
          </w:p>
        </w:tc>
        <w:tc>
          <w:tcPr>
            <w:tcW w:w="10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(64.5)</w:t>
            </w:r>
          </w:p>
        </w:tc>
        <w:tc>
          <w:tcPr>
            <w:tcW w:w="4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(131.6)</w:t>
            </w:r>
          </w:p>
        </w:tc>
      </w:tr>
      <w:tr>
        <w:trPr>
          <w:trHeight w:val="191"/>
        </w:trPr>
        <w:tc>
          <w:tcPr>
            <w:tcW w:w="6420" w:type="dxa"/>
            <w:vAlign w:val="bottom"/>
          </w:tcPr>
          <w:p>
            <w:pPr>
              <w:spacing w:after="0"/>
              <w:rPr>
                <w:sz w:val="16"/>
                <w:szCs w:val="16"/>
                <w:color w:val="auto"/>
              </w:rPr>
            </w:pPr>
          </w:p>
        </w:tc>
        <w:tc>
          <w:tcPr>
            <w:tcW w:w="19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20" w:type="dxa"/>
            <w:vAlign w:val="bottom"/>
          </w:tcPr>
          <w:p>
            <w:pPr>
              <w:spacing w:after="0"/>
              <w:rPr>
                <w:sz w:val="20"/>
                <w:szCs w:val="20"/>
                <w:color w:val="auto"/>
              </w:rPr>
            </w:pPr>
            <w:r>
              <w:rPr>
                <w:rFonts w:ascii="Courier New" w:cs="Courier New" w:eastAsia="Courier New" w:hAnsi="Courier New"/>
                <w:sz w:val="17"/>
                <w:szCs w:val="17"/>
                <w:color w:val="auto"/>
              </w:rPr>
              <w:t>Effect of exchange rate changes on cash</w:t>
            </w:r>
          </w:p>
        </w:tc>
        <w:tc>
          <w:tcPr>
            <w:tcW w:w="1040" w:type="dxa"/>
            <w:vAlign w:val="bottom"/>
          </w:tcPr>
          <w:p>
            <w:pPr>
              <w:spacing w:after="0"/>
              <w:rPr>
                <w:sz w:val="24"/>
                <w:szCs w:val="24"/>
                <w:color w:val="auto"/>
              </w:rPr>
            </w:pPr>
          </w:p>
        </w:tc>
        <w:tc>
          <w:tcPr>
            <w:tcW w:w="9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39.5</w:t>
            </w:r>
          </w:p>
        </w:tc>
        <w:tc>
          <w:tcPr>
            <w:tcW w:w="46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28.6</w:t>
            </w:r>
          </w:p>
        </w:tc>
      </w:tr>
      <w:tr>
        <w:trPr>
          <w:trHeight w:val="191"/>
        </w:trPr>
        <w:tc>
          <w:tcPr>
            <w:tcW w:w="6420" w:type="dxa"/>
            <w:vAlign w:val="bottom"/>
          </w:tcPr>
          <w:p>
            <w:pPr>
              <w:spacing w:after="0"/>
              <w:rPr>
                <w:sz w:val="16"/>
                <w:szCs w:val="16"/>
                <w:color w:val="auto"/>
              </w:rPr>
            </w:pPr>
          </w:p>
        </w:tc>
        <w:tc>
          <w:tcPr>
            <w:tcW w:w="19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spacing w:after="0" w:line="191" w:lineRule="exact"/>
              <w:rPr>
                <w:sz w:val="20"/>
                <w:szCs w:val="20"/>
                <w:color w:val="auto"/>
              </w:rPr>
            </w:pPr>
            <w:r>
              <w:rPr>
                <w:rFonts w:ascii="Courier New" w:cs="Courier New" w:eastAsia="Courier New" w:hAnsi="Courier New"/>
                <w:sz w:val="17"/>
                <w:szCs w:val="17"/>
                <w:color w:val="auto"/>
              </w:rPr>
              <w:t>Change in cash and cash equivalents</w:t>
            </w:r>
          </w:p>
        </w:tc>
        <w:tc>
          <w:tcPr>
            <w:tcW w:w="10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142.2</w:t>
            </w:r>
          </w:p>
        </w:tc>
        <w:tc>
          <w:tcPr>
            <w:tcW w:w="460" w:type="dxa"/>
            <w:vAlign w:val="bottom"/>
          </w:tcPr>
          <w:p>
            <w:pPr>
              <w:spacing w:after="0"/>
              <w:rPr>
                <w:sz w:val="16"/>
                <w:szCs w:val="16"/>
                <w:color w:val="auto"/>
              </w:rPr>
            </w:pP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38.2</w:t>
            </w:r>
          </w:p>
        </w:tc>
      </w:tr>
      <w:tr>
        <w:trPr>
          <w:trHeight w:val="382"/>
        </w:trPr>
        <w:tc>
          <w:tcPr>
            <w:tcW w:w="642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 of period</w:t>
            </w:r>
          </w:p>
        </w:tc>
        <w:tc>
          <w:tcPr>
            <w:tcW w:w="1040" w:type="dxa"/>
            <w:vAlign w:val="bottom"/>
          </w:tcPr>
          <w:p>
            <w:pPr>
              <w:spacing w:after="0"/>
              <w:rPr>
                <w:sz w:val="24"/>
                <w:szCs w:val="24"/>
                <w:color w:val="auto"/>
              </w:rPr>
            </w:pPr>
          </w:p>
        </w:tc>
        <w:tc>
          <w:tcPr>
            <w:tcW w:w="9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284.0</w:t>
            </w:r>
          </w:p>
        </w:tc>
        <w:tc>
          <w:tcPr>
            <w:tcW w:w="46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245.8</w:t>
            </w:r>
          </w:p>
        </w:tc>
      </w:tr>
      <w:tr>
        <w:trPr>
          <w:trHeight w:val="191"/>
        </w:trPr>
        <w:tc>
          <w:tcPr>
            <w:tcW w:w="6420" w:type="dxa"/>
            <w:vAlign w:val="bottom"/>
          </w:tcPr>
          <w:p>
            <w:pPr>
              <w:spacing w:after="0"/>
              <w:rPr>
                <w:sz w:val="16"/>
                <w:szCs w:val="16"/>
                <w:color w:val="auto"/>
              </w:rPr>
            </w:pPr>
          </w:p>
        </w:tc>
        <w:tc>
          <w:tcPr>
            <w:tcW w:w="19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cash equivalents, end of period</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426.2</w:t>
            </w:r>
          </w:p>
        </w:tc>
        <w:tc>
          <w:tcPr>
            <w:tcW w:w="4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284.0</w:t>
            </w:r>
          </w:p>
        </w:tc>
      </w:tr>
      <w:tr>
        <w:trPr>
          <w:trHeight w:val="191"/>
        </w:trPr>
        <w:tc>
          <w:tcPr>
            <w:tcW w:w="6420" w:type="dxa"/>
            <w:vAlign w:val="bottom"/>
          </w:tcPr>
          <w:p>
            <w:pPr>
              <w:spacing w:after="0"/>
              <w:rPr>
                <w:sz w:val="16"/>
                <w:szCs w:val="16"/>
                <w:color w:val="auto"/>
              </w:rPr>
            </w:pPr>
          </w:p>
        </w:tc>
        <w:tc>
          <w:tcPr>
            <w:tcW w:w="19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257" w:right="1440" w:bottom="1440" w:gutter="0" w:footer="0" w:header="0"/>
        </w:sectPr>
      </w:pPr>
    </w:p>
    <w:bookmarkStart w:id="10" w:name="page11"/>
    <w:bookmarkEnd w:id="10"/>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2019-12-11T21:34:35Z</dcterms:created>
  <dcterms:modified xsi:type="dcterms:W3CDTF">2019-12-11T21:34:35Z</dcterms:modified>
</cp:coreProperties>
</file>