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5"/>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9" w:lineRule="exact"/>
        <w:rPr>
          <w:sz w:val="24"/>
          <w:szCs w:val="24"/>
          <w:color w:val="auto"/>
        </w:rPr>
      </w:pPr>
    </w:p>
    <w:p>
      <w:pPr>
        <w:jc w:val="center"/>
        <w:ind w:right="-1125"/>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Washington, D.C. 20549</w:t>
      </w:r>
    </w:p>
    <w:p>
      <w:pPr>
        <w:spacing w:after="0" w:line="101" w:lineRule="exact"/>
        <w:rPr>
          <w:sz w:val="24"/>
          <w:szCs w:val="24"/>
          <w:color w:val="auto"/>
        </w:rPr>
      </w:pPr>
    </w:p>
    <w:p>
      <w:pPr>
        <w:jc w:val="center"/>
        <w:ind w:right="-1125"/>
        <w:spacing w:after="0"/>
        <w:rPr>
          <w:sz w:val="20"/>
          <w:szCs w:val="20"/>
          <w:color w:val="auto"/>
        </w:rPr>
      </w:pPr>
      <w:r>
        <w:rPr>
          <w:rFonts w:ascii="Arial" w:cs="Arial" w:eastAsia="Arial" w:hAnsi="Arial"/>
          <w:sz w:val="28"/>
          <w:szCs w:val="28"/>
          <w:b w:val="1"/>
          <w:bCs w:val="1"/>
          <w:color w:val="auto"/>
        </w:rPr>
        <w:t>FORM 8-K</w:t>
      </w:r>
    </w:p>
    <w:p>
      <w:pPr>
        <w:spacing w:after="0" w:line="148"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CURRENT REPORT</w:t>
      </w:r>
    </w:p>
    <w:p>
      <w:pPr>
        <w:spacing w:after="0" w:line="134"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52" w:lineRule="exact"/>
        <w:rPr>
          <w:sz w:val="24"/>
          <w:szCs w:val="24"/>
          <w:color w:val="auto"/>
        </w:rPr>
      </w:pPr>
    </w:p>
    <w:p>
      <w:pPr>
        <w:jc w:val="center"/>
        <w:ind w:right="-1125"/>
        <w:spacing w:after="0"/>
        <w:rPr>
          <w:sz w:val="20"/>
          <w:szCs w:val="20"/>
          <w:color w:val="auto"/>
        </w:rPr>
      </w:pPr>
      <w:r>
        <w:rPr>
          <w:rFonts w:ascii="Arial" w:cs="Arial" w:eastAsia="Arial" w:hAnsi="Arial"/>
          <w:sz w:val="15"/>
          <w:szCs w:val="15"/>
          <w:color w:val="auto"/>
        </w:rPr>
        <w:t>Date of Report (Date of earliest event reported): October 21, 2008</w:t>
      </w:r>
    </w:p>
    <w:p>
      <w:pPr>
        <w:spacing w:after="0" w:line="126" w:lineRule="exact"/>
        <w:rPr>
          <w:sz w:val="24"/>
          <w:szCs w:val="24"/>
          <w:color w:val="auto"/>
        </w:rPr>
      </w:pPr>
    </w:p>
    <w:p>
      <w:pPr>
        <w:jc w:val="center"/>
        <w:ind w:right="-1125"/>
        <w:spacing w:after="0"/>
        <w:rPr>
          <w:sz w:val="20"/>
          <w:szCs w:val="20"/>
          <w:color w:val="auto"/>
        </w:rPr>
      </w:pPr>
      <w:r>
        <w:rPr>
          <w:rFonts w:ascii="Arial" w:cs="Arial" w:eastAsia="Arial" w:hAnsi="Arial"/>
          <w:sz w:val="38"/>
          <w:szCs w:val="38"/>
          <w:b w:val="1"/>
          <w:bCs w:val="1"/>
          <w:color w:val="auto"/>
        </w:rPr>
        <w:t>MANPOWER INC.</w:t>
      </w:r>
    </w:p>
    <w:p>
      <w:pPr>
        <w:spacing w:after="0" w:line="37" w:lineRule="exact"/>
        <w:rPr>
          <w:sz w:val="24"/>
          <w:szCs w:val="24"/>
          <w:color w:val="auto"/>
        </w:rPr>
      </w:pPr>
    </w:p>
    <w:p>
      <w:pPr>
        <w:ind w:left="4426"/>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56" w:lineRule="exact"/>
        <w:rPr>
          <w:sz w:val="24"/>
          <w:szCs w:val="24"/>
          <w:color w:val="auto"/>
        </w:rPr>
      </w:pPr>
    </w:p>
    <w:tbl>
      <w:tblPr>
        <w:tblLayout w:type="fixed"/>
        <w:tblInd w:w="1266" w:type="dxa"/>
        <w:tblCellMar>
          <w:top w:w="0" w:type="dxa"/>
          <w:left w:w="0" w:type="dxa"/>
          <w:bottom w:w="0" w:type="dxa"/>
          <w:right w:w="0" w:type="dxa"/>
        </w:tblCellMar>
      </w:tblPr>
      <w:tr>
        <w:trPr>
          <w:trHeight w:val="188"/>
        </w:trPr>
        <w:tc>
          <w:tcPr>
            <w:tcW w:w="3400" w:type="dxa"/>
            <w:vAlign w:val="bottom"/>
          </w:tcPr>
          <w:p>
            <w:pPr>
              <w:jc w:val="center"/>
              <w:ind w:right="1972"/>
              <w:spacing w:after="0"/>
              <w:rPr>
                <w:sz w:val="20"/>
                <w:szCs w:val="20"/>
                <w:color w:val="auto"/>
              </w:rPr>
            </w:pPr>
            <w:r>
              <w:rPr>
                <w:rFonts w:ascii="Arial" w:cs="Arial" w:eastAsia="Arial" w:hAnsi="Arial"/>
                <w:sz w:val="15"/>
                <w:szCs w:val="15"/>
                <w:b w:val="1"/>
                <w:bCs w:val="1"/>
                <w:color w:val="auto"/>
                <w:w w:val="90"/>
              </w:rPr>
              <w:t>Wisconsin</w:t>
            </w:r>
          </w:p>
        </w:tc>
        <w:tc>
          <w:tcPr>
            <w:tcW w:w="2640" w:type="dxa"/>
            <w:vAlign w:val="bottom"/>
          </w:tcPr>
          <w:p>
            <w:pPr>
              <w:jc w:val="center"/>
              <w:ind w:right="215"/>
              <w:spacing w:after="0"/>
              <w:rPr>
                <w:sz w:val="20"/>
                <w:szCs w:val="20"/>
                <w:color w:val="auto"/>
              </w:rPr>
            </w:pPr>
            <w:r>
              <w:rPr>
                <w:rFonts w:ascii="Arial" w:cs="Arial" w:eastAsia="Arial" w:hAnsi="Arial"/>
                <w:sz w:val="15"/>
                <w:szCs w:val="15"/>
                <w:b w:val="1"/>
                <w:bCs w:val="1"/>
                <w:color w:val="auto"/>
                <w:w w:val="94"/>
              </w:rPr>
              <w:t>1-10686</w:t>
            </w:r>
          </w:p>
        </w:tc>
        <w:tc>
          <w:tcPr>
            <w:tcW w:w="2760" w:type="dxa"/>
            <w:vAlign w:val="bottom"/>
          </w:tcPr>
          <w:p>
            <w:pPr>
              <w:jc w:val="center"/>
              <w:ind w:left="1794"/>
              <w:spacing w:after="0"/>
              <w:rPr>
                <w:sz w:val="20"/>
                <w:szCs w:val="20"/>
                <w:color w:val="auto"/>
              </w:rPr>
            </w:pPr>
            <w:r>
              <w:rPr>
                <w:rFonts w:ascii="Arial" w:cs="Arial" w:eastAsia="Arial" w:hAnsi="Arial"/>
                <w:sz w:val="15"/>
                <w:szCs w:val="15"/>
                <w:b w:val="1"/>
                <w:bCs w:val="1"/>
                <w:color w:val="auto"/>
                <w:w w:val="92"/>
              </w:rPr>
              <w:t>39-1672779</w:t>
            </w:r>
          </w:p>
        </w:tc>
      </w:tr>
      <w:tr>
        <w:trPr>
          <w:trHeight w:val="129"/>
        </w:trPr>
        <w:tc>
          <w:tcPr>
            <w:tcW w:w="3400" w:type="dxa"/>
            <w:vAlign w:val="bottom"/>
          </w:tcPr>
          <w:p>
            <w:pPr>
              <w:jc w:val="center"/>
              <w:ind w:right="1972"/>
              <w:spacing w:after="0" w:line="129" w:lineRule="exact"/>
              <w:rPr>
                <w:sz w:val="20"/>
                <w:szCs w:val="20"/>
                <w:color w:val="auto"/>
              </w:rPr>
            </w:pPr>
            <w:r>
              <w:rPr>
                <w:rFonts w:ascii="Arial" w:cs="Arial" w:eastAsia="Arial" w:hAnsi="Arial"/>
                <w:sz w:val="12"/>
                <w:szCs w:val="12"/>
                <w:b w:val="1"/>
                <w:bCs w:val="1"/>
                <w:color w:val="auto"/>
                <w:w w:val="90"/>
              </w:rPr>
              <w:t>(State or other jurisdiction</w:t>
            </w:r>
          </w:p>
        </w:tc>
        <w:tc>
          <w:tcPr>
            <w:tcW w:w="2640" w:type="dxa"/>
            <w:vAlign w:val="bottom"/>
          </w:tcPr>
          <w:p>
            <w:pPr>
              <w:jc w:val="center"/>
              <w:ind w:right="235"/>
              <w:spacing w:after="0" w:line="129" w:lineRule="exact"/>
              <w:rPr>
                <w:sz w:val="20"/>
                <w:szCs w:val="20"/>
                <w:color w:val="auto"/>
              </w:rPr>
            </w:pPr>
            <w:r>
              <w:rPr>
                <w:rFonts w:ascii="Arial" w:cs="Arial" w:eastAsia="Arial" w:hAnsi="Arial"/>
                <w:sz w:val="12"/>
                <w:szCs w:val="12"/>
                <w:b w:val="1"/>
                <w:bCs w:val="1"/>
                <w:color w:val="auto"/>
                <w:w w:val="86"/>
              </w:rPr>
              <w:t>(Commission</w:t>
            </w:r>
          </w:p>
        </w:tc>
        <w:tc>
          <w:tcPr>
            <w:tcW w:w="2760" w:type="dxa"/>
            <w:vAlign w:val="bottom"/>
          </w:tcPr>
          <w:p>
            <w:pPr>
              <w:jc w:val="center"/>
              <w:ind w:left="1774"/>
              <w:spacing w:after="0" w:line="129" w:lineRule="exact"/>
              <w:rPr>
                <w:sz w:val="20"/>
                <w:szCs w:val="20"/>
                <w:color w:val="auto"/>
              </w:rPr>
            </w:pPr>
            <w:r>
              <w:rPr>
                <w:rFonts w:ascii="Arial" w:cs="Arial" w:eastAsia="Arial" w:hAnsi="Arial"/>
                <w:sz w:val="12"/>
                <w:szCs w:val="12"/>
                <w:b w:val="1"/>
                <w:bCs w:val="1"/>
                <w:color w:val="auto"/>
                <w:w w:val="92"/>
              </w:rPr>
              <w:t>(IRS Employer</w:t>
            </w:r>
          </w:p>
        </w:tc>
      </w:tr>
      <w:tr>
        <w:trPr>
          <w:trHeight w:val="151"/>
        </w:trPr>
        <w:tc>
          <w:tcPr>
            <w:tcW w:w="3400" w:type="dxa"/>
            <w:vAlign w:val="bottom"/>
          </w:tcPr>
          <w:p>
            <w:pPr>
              <w:jc w:val="center"/>
              <w:ind w:right="1972"/>
              <w:spacing w:after="0"/>
              <w:rPr>
                <w:sz w:val="20"/>
                <w:szCs w:val="20"/>
                <w:color w:val="auto"/>
              </w:rPr>
            </w:pPr>
            <w:r>
              <w:rPr>
                <w:rFonts w:ascii="Arial" w:cs="Arial" w:eastAsia="Arial" w:hAnsi="Arial"/>
                <w:sz w:val="12"/>
                <w:szCs w:val="12"/>
                <w:b w:val="1"/>
                <w:bCs w:val="1"/>
                <w:color w:val="auto"/>
                <w:w w:val="87"/>
              </w:rPr>
              <w:t>of incorporation)</w:t>
            </w:r>
          </w:p>
        </w:tc>
        <w:tc>
          <w:tcPr>
            <w:tcW w:w="2640" w:type="dxa"/>
            <w:vAlign w:val="bottom"/>
          </w:tcPr>
          <w:p>
            <w:pPr>
              <w:jc w:val="center"/>
              <w:ind w:right="215"/>
              <w:spacing w:after="0"/>
              <w:rPr>
                <w:sz w:val="20"/>
                <w:szCs w:val="20"/>
                <w:color w:val="auto"/>
              </w:rPr>
            </w:pPr>
            <w:r>
              <w:rPr>
                <w:rFonts w:ascii="Arial" w:cs="Arial" w:eastAsia="Arial" w:hAnsi="Arial"/>
                <w:sz w:val="12"/>
                <w:szCs w:val="12"/>
                <w:b w:val="1"/>
                <w:bCs w:val="1"/>
                <w:color w:val="auto"/>
                <w:w w:val="92"/>
              </w:rPr>
              <w:t>File Number)</w:t>
            </w:r>
          </w:p>
        </w:tc>
        <w:tc>
          <w:tcPr>
            <w:tcW w:w="2760" w:type="dxa"/>
            <w:vAlign w:val="bottom"/>
          </w:tcPr>
          <w:p>
            <w:pPr>
              <w:jc w:val="center"/>
              <w:ind w:left="1774"/>
              <w:spacing w:after="0"/>
              <w:rPr>
                <w:sz w:val="20"/>
                <w:szCs w:val="20"/>
                <w:color w:val="auto"/>
              </w:rPr>
            </w:pPr>
            <w:r>
              <w:rPr>
                <w:rFonts w:ascii="Arial" w:cs="Arial" w:eastAsia="Arial" w:hAnsi="Arial"/>
                <w:sz w:val="12"/>
                <w:szCs w:val="12"/>
                <w:b w:val="1"/>
                <w:bCs w:val="1"/>
                <w:color w:val="auto"/>
                <w:w w:val="90"/>
              </w:rPr>
              <w:t>Identification No.)</w:t>
            </w:r>
          </w:p>
        </w:tc>
      </w:tr>
      <w:tr>
        <w:trPr>
          <w:trHeight w:val="343"/>
        </w:trPr>
        <w:tc>
          <w:tcPr>
            <w:tcW w:w="3400" w:type="dxa"/>
            <w:vAlign w:val="bottom"/>
          </w:tcPr>
          <w:p>
            <w:pPr>
              <w:jc w:val="center"/>
              <w:ind w:right="132"/>
              <w:spacing w:after="0"/>
              <w:rPr>
                <w:sz w:val="20"/>
                <w:szCs w:val="20"/>
                <w:color w:val="auto"/>
              </w:rPr>
            </w:pPr>
            <w:r>
              <w:rPr>
                <w:rFonts w:ascii="Arial" w:cs="Arial" w:eastAsia="Arial" w:hAnsi="Arial"/>
                <w:sz w:val="15"/>
                <w:szCs w:val="15"/>
                <w:b w:val="1"/>
                <w:bCs w:val="1"/>
                <w:color w:val="auto"/>
                <w:w w:val="92"/>
              </w:rPr>
              <w:t>100 Manpower Place</w:t>
            </w:r>
          </w:p>
        </w:tc>
        <w:tc>
          <w:tcPr>
            <w:tcW w:w="26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00"/>
        </w:trPr>
        <w:tc>
          <w:tcPr>
            <w:tcW w:w="3400" w:type="dxa"/>
            <w:vAlign w:val="bottom"/>
          </w:tcPr>
          <w:p>
            <w:pPr>
              <w:jc w:val="center"/>
              <w:ind w:right="132"/>
              <w:spacing w:after="0"/>
              <w:rPr>
                <w:sz w:val="20"/>
                <w:szCs w:val="20"/>
                <w:color w:val="auto"/>
              </w:rPr>
            </w:pPr>
            <w:r>
              <w:rPr>
                <w:rFonts w:ascii="Arial" w:cs="Arial" w:eastAsia="Arial" w:hAnsi="Arial"/>
                <w:sz w:val="15"/>
                <w:szCs w:val="15"/>
                <w:b w:val="1"/>
                <w:bCs w:val="1"/>
                <w:color w:val="auto"/>
                <w:w w:val="93"/>
              </w:rPr>
              <w:t>Milwaukee, Wisconsin</w:t>
            </w:r>
          </w:p>
        </w:tc>
        <w:tc>
          <w:tcPr>
            <w:tcW w:w="2640" w:type="dxa"/>
            <w:vAlign w:val="bottom"/>
          </w:tcPr>
          <w:p>
            <w:pPr>
              <w:spacing w:after="0"/>
              <w:rPr>
                <w:sz w:val="17"/>
                <w:szCs w:val="17"/>
                <w:color w:val="auto"/>
              </w:rPr>
            </w:pPr>
          </w:p>
        </w:tc>
        <w:tc>
          <w:tcPr>
            <w:tcW w:w="2760" w:type="dxa"/>
            <w:vAlign w:val="bottom"/>
          </w:tcPr>
          <w:p>
            <w:pPr>
              <w:jc w:val="right"/>
              <w:ind w:right="1114"/>
              <w:spacing w:after="0"/>
              <w:rPr>
                <w:sz w:val="20"/>
                <w:szCs w:val="20"/>
                <w:color w:val="auto"/>
              </w:rPr>
            </w:pPr>
            <w:r>
              <w:rPr>
                <w:rFonts w:ascii="Arial" w:cs="Arial" w:eastAsia="Arial" w:hAnsi="Arial"/>
                <w:sz w:val="15"/>
                <w:szCs w:val="15"/>
                <w:b w:val="1"/>
                <w:bCs w:val="1"/>
                <w:color w:val="auto"/>
              </w:rPr>
              <w:t>53212</w:t>
            </w:r>
          </w:p>
        </w:tc>
      </w:tr>
      <w:tr>
        <w:trPr>
          <w:trHeight w:val="151"/>
        </w:trPr>
        <w:tc>
          <w:tcPr>
            <w:tcW w:w="3400" w:type="dxa"/>
            <w:vAlign w:val="bottom"/>
          </w:tcPr>
          <w:p>
            <w:pPr>
              <w:jc w:val="center"/>
              <w:ind w:right="152"/>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2640" w:type="dxa"/>
            <w:vAlign w:val="bottom"/>
          </w:tcPr>
          <w:p>
            <w:pPr>
              <w:spacing w:after="0"/>
              <w:rPr>
                <w:sz w:val="13"/>
                <w:szCs w:val="13"/>
                <w:color w:val="auto"/>
              </w:rPr>
            </w:pPr>
          </w:p>
        </w:tc>
        <w:tc>
          <w:tcPr>
            <w:tcW w:w="2760" w:type="dxa"/>
            <w:vAlign w:val="bottom"/>
          </w:tcPr>
          <w:p>
            <w:pPr>
              <w:jc w:val="center"/>
              <w:spacing w:after="0"/>
              <w:rPr>
                <w:sz w:val="20"/>
                <w:szCs w:val="20"/>
                <w:color w:val="auto"/>
              </w:rPr>
            </w:pPr>
            <w:r>
              <w:rPr>
                <w:rFonts w:ascii="Arial" w:cs="Arial" w:eastAsia="Arial" w:hAnsi="Arial"/>
                <w:sz w:val="12"/>
                <w:szCs w:val="12"/>
                <w:b w:val="1"/>
                <w:bCs w:val="1"/>
                <w:color w:val="auto"/>
                <w:w w:val="90"/>
              </w:rPr>
              <w:t>(Zip Code)</w:t>
            </w:r>
          </w:p>
        </w:tc>
      </w:tr>
    </w:tbl>
    <w:p>
      <w:pPr>
        <w:spacing w:after="0" w:line="124" w:lineRule="exact"/>
        <w:rPr>
          <w:sz w:val="24"/>
          <w:szCs w:val="24"/>
          <w:color w:val="auto"/>
        </w:rPr>
      </w:pPr>
    </w:p>
    <w:p>
      <w:pPr>
        <w:ind w:left="3626"/>
        <w:spacing w:after="0"/>
        <w:rPr>
          <w:sz w:val="20"/>
          <w:szCs w:val="20"/>
          <w:color w:val="auto"/>
        </w:rPr>
      </w:pPr>
      <w:r>
        <w:rPr>
          <w:rFonts w:ascii="Arial" w:cs="Arial" w:eastAsia="Arial" w:hAnsi="Arial"/>
          <w:sz w:val="15"/>
          <w:szCs w:val="15"/>
          <w:color w:val="auto"/>
        </w:rPr>
        <w:t>Registrant’s telephone number, including area code: (414) 961-1000</w:t>
      </w:r>
    </w:p>
    <w:p>
      <w:pPr>
        <w:spacing w:after="0" w:line="157"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Securities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72644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245745</wp:posOffset>
            </wp:positionV>
            <wp:extent cx="72644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0306"/>
          </w:cols>
          <w:pgMar w:left="234" w:top="538" w:right="135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2.02</w:t>
      </w:r>
      <w:r>
        <w:rPr>
          <w:sz w:val="20"/>
          <w:szCs w:val="20"/>
          <w:color w:val="auto"/>
        </w:rPr>
        <w:tab/>
      </w:r>
      <w:r>
        <w:rPr>
          <w:rFonts w:ascii="Arial" w:cs="Arial" w:eastAsia="Arial" w:hAnsi="Arial"/>
          <w:sz w:val="13"/>
          <w:szCs w:val="13"/>
          <w:b w:val="1"/>
          <w:bCs w:val="1"/>
          <w:color w:val="auto"/>
        </w:rPr>
        <w:t>Results of Operations and Financial Condition</w:t>
      </w:r>
    </w:p>
    <w:p>
      <w:pPr>
        <w:spacing w:after="0" w:line="90"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On October 21, 2008, we issued a press release announcing our results of operations for the three- and nine- month periods ended September 30, 2008. A copy of the press release is attached hereto as Exhibit 99.1 and is incorporated herein by reference.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b w:val="1"/>
                <w:bCs w:val="1"/>
                <w:color w:val="auto"/>
              </w:rPr>
              <w:t>Item 9.01.</w:t>
            </w:r>
          </w:p>
        </w:tc>
        <w:tc>
          <w:tcPr>
            <w:tcW w:w="720" w:type="dxa"/>
            <w:vAlign w:val="bottom"/>
            <w:gridSpan w:val="2"/>
          </w:tcPr>
          <w:p>
            <w:pPr>
              <w:ind w:left="60"/>
              <w:spacing w:after="0"/>
              <w:rPr>
                <w:sz w:val="20"/>
                <w:szCs w:val="20"/>
                <w:color w:val="auto"/>
              </w:rPr>
            </w:pPr>
            <w:r>
              <w:rPr>
                <w:rFonts w:ascii="Arial" w:cs="Arial" w:eastAsia="Arial" w:hAnsi="Arial"/>
                <w:sz w:val="15"/>
                <w:szCs w:val="15"/>
                <w:b w:val="1"/>
                <w:bCs w:val="1"/>
                <w:color w:val="auto"/>
              </w:rPr>
              <w:t>Exhibits.</w:t>
            </w:r>
          </w:p>
        </w:tc>
        <w:tc>
          <w:tcPr>
            <w:tcW w:w="80" w:type="dxa"/>
            <w:vAlign w:val="bottom"/>
          </w:tcPr>
          <w:p>
            <w:pPr>
              <w:spacing w:after="0"/>
              <w:rPr>
                <w:sz w:val="17"/>
                <w:szCs w:val="17"/>
                <w:color w:val="auto"/>
              </w:rPr>
            </w:pPr>
          </w:p>
        </w:tc>
        <w:tc>
          <w:tcPr>
            <w:tcW w:w="9220" w:type="dxa"/>
            <w:vAlign w:val="bottom"/>
          </w:tcPr>
          <w:p>
            <w:pPr>
              <w:spacing w:after="0"/>
              <w:rPr>
                <w:sz w:val="17"/>
                <w:szCs w:val="17"/>
                <w:color w:val="auto"/>
              </w:rPr>
            </w:pPr>
          </w:p>
        </w:tc>
      </w:tr>
      <w:tr>
        <w:trPr>
          <w:trHeight w:val="318"/>
        </w:trPr>
        <w:tc>
          <w:tcPr>
            <w:tcW w:w="460" w:type="dxa"/>
            <w:vAlign w:val="bottom"/>
          </w:tcPr>
          <w:p>
            <w:pPr>
              <w:spacing w:after="0"/>
              <w:rPr>
                <w:sz w:val="24"/>
                <w:szCs w:val="2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Exhibit No.</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273"/>
        </w:trPr>
        <w:tc>
          <w:tcPr>
            <w:tcW w:w="960" w:type="dxa"/>
            <w:vAlign w:val="bottom"/>
            <w:gridSpan w:val="2"/>
          </w:tcPr>
          <w:p>
            <w:pPr>
              <w:jc w:val="center"/>
              <w:ind w:left="484"/>
              <w:spacing w:after="0"/>
              <w:rPr>
                <w:sz w:val="20"/>
                <w:szCs w:val="20"/>
                <w:color w:val="auto"/>
              </w:rPr>
            </w:pPr>
            <w:r>
              <w:rPr>
                <w:rFonts w:ascii="Arial" w:cs="Arial" w:eastAsia="Arial" w:hAnsi="Arial"/>
                <w:sz w:val="15"/>
                <w:szCs w:val="15"/>
                <w:color w:val="auto"/>
                <w:w w:val="95"/>
              </w:rPr>
              <w:t>99.1</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300" w:type="dxa"/>
            <w:vAlign w:val="bottom"/>
            <w:gridSpan w:val="2"/>
          </w:tcPr>
          <w:p>
            <w:pPr>
              <w:ind w:left="80"/>
              <w:spacing w:after="0"/>
              <w:rPr>
                <w:sz w:val="20"/>
                <w:szCs w:val="20"/>
                <w:color w:val="auto"/>
              </w:rPr>
            </w:pPr>
            <w:r>
              <w:rPr>
                <w:rFonts w:ascii="Arial" w:cs="Arial" w:eastAsia="Arial" w:hAnsi="Arial"/>
                <w:sz w:val="15"/>
                <w:szCs w:val="15"/>
                <w:color w:val="auto"/>
              </w:rPr>
              <w:t>Press Release dated October 21, 2008</w:t>
            </w:r>
          </w:p>
        </w:tc>
      </w:tr>
      <w:tr>
        <w:trPr>
          <w:trHeight w:val="282"/>
        </w:trPr>
        <w:tc>
          <w:tcPr>
            <w:tcW w:w="960" w:type="dxa"/>
            <w:vAlign w:val="bottom"/>
            <w:gridSpan w:val="2"/>
          </w:tcPr>
          <w:p>
            <w:pPr>
              <w:jc w:val="center"/>
              <w:ind w:left="484"/>
              <w:spacing w:after="0"/>
              <w:rPr>
                <w:sz w:val="20"/>
                <w:szCs w:val="20"/>
                <w:color w:val="auto"/>
              </w:rPr>
            </w:pPr>
            <w:r>
              <w:rPr>
                <w:rFonts w:ascii="Arial" w:cs="Arial" w:eastAsia="Arial" w:hAnsi="Arial"/>
                <w:sz w:val="15"/>
                <w:szCs w:val="15"/>
                <w:color w:val="auto"/>
                <w:w w:val="95"/>
              </w:rPr>
              <w:t>99.2</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00" w:type="dxa"/>
            <w:vAlign w:val="bottom"/>
            <w:gridSpan w:val="2"/>
          </w:tcPr>
          <w:p>
            <w:pPr>
              <w:ind w:left="80"/>
              <w:spacing w:after="0"/>
              <w:rPr>
                <w:sz w:val="20"/>
                <w:szCs w:val="20"/>
                <w:color w:val="auto"/>
              </w:rPr>
            </w:pPr>
            <w:r>
              <w:rPr>
                <w:rFonts w:ascii="Arial" w:cs="Arial" w:eastAsia="Arial" w:hAnsi="Arial"/>
                <w:sz w:val="15"/>
                <w:szCs w:val="15"/>
                <w:color w:val="auto"/>
              </w:rPr>
              <w:t>Presentation materials for October 21, 2008 conference call</w:t>
            </w:r>
          </w:p>
        </w:tc>
      </w:tr>
      <w:tr>
        <w:trPr>
          <w:trHeight w:val="282"/>
        </w:trPr>
        <w:tc>
          <w:tcPr>
            <w:tcW w:w="960" w:type="dxa"/>
            <w:vAlign w:val="bottom"/>
            <w:gridSpan w:val="2"/>
          </w:tcPr>
          <w:p>
            <w:pPr>
              <w:jc w:val="center"/>
              <w:ind w:left="484"/>
              <w:spacing w:after="0"/>
              <w:rPr>
                <w:sz w:val="20"/>
                <w:szCs w:val="20"/>
                <w:color w:val="auto"/>
              </w:rPr>
            </w:pPr>
            <w:r>
              <w:rPr>
                <w:rFonts w:ascii="Arial" w:cs="Arial" w:eastAsia="Arial" w:hAnsi="Arial"/>
                <w:sz w:val="15"/>
                <w:szCs w:val="15"/>
                <w:color w:val="auto"/>
                <w:w w:val="95"/>
              </w:rPr>
              <w:t>99.3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00" w:type="dxa"/>
            <w:vAlign w:val="bottom"/>
            <w:gridSpan w:val="2"/>
          </w:tcPr>
          <w:p>
            <w:pPr>
              <w:ind w:left="80"/>
              <w:spacing w:after="0"/>
              <w:rPr>
                <w:sz w:val="20"/>
                <w:szCs w:val="20"/>
                <w:color w:val="auto"/>
              </w:rPr>
            </w:pPr>
            <w:r>
              <w:rPr>
                <w:rFonts w:ascii="Arial" w:cs="Arial" w:eastAsia="Arial" w:hAnsi="Arial"/>
                <w:sz w:val="15"/>
                <w:szCs w:val="15"/>
                <w:color w:val="auto"/>
              </w:rPr>
              <w:t>Earnings, As Adjusted</w:t>
            </w:r>
          </w:p>
        </w:tc>
      </w:tr>
    </w:tbl>
    <w:p>
      <w:pPr>
        <w:sectPr>
          <w:pgSz w:w="11900" w:h="16838" w:orient="portrait"/>
          <w:cols w:equalWidth="0" w:num="1">
            <w:col w:w="11360"/>
          </w:cols>
          <w:pgMar w:left="240" w:top="258"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SIGNATURES</w:t>
      </w:r>
    </w:p>
    <w:p>
      <w:pPr>
        <w:spacing w:after="0" w:line="161" w:lineRule="exact"/>
        <w:rPr>
          <w:sz w:val="20"/>
          <w:szCs w:val="20"/>
          <w:color w:val="auto"/>
        </w:rPr>
      </w:pPr>
    </w:p>
    <w:p>
      <w:pPr>
        <w:ind w:right="500" w:firstLine="457"/>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tbl>
      <w:tblPr>
        <w:tblLayout w:type="fixed"/>
        <w:tblInd w:w="380" w:type="dxa"/>
        <w:tblCellMar>
          <w:top w:w="0" w:type="dxa"/>
          <w:left w:w="0" w:type="dxa"/>
          <w:bottom w:w="0" w:type="dxa"/>
          <w:right w:w="0" w:type="dxa"/>
        </w:tblCellMar>
      </w:tblPr>
      <w:tr>
        <w:trPr>
          <w:trHeight w:val="194"/>
        </w:trPr>
        <w:tc>
          <w:tcPr>
            <w:tcW w:w="3680" w:type="dxa"/>
            <w:vAlign w:val="bottom"/>
          </w:tcPr>
          <w:p>
            <w:pPr>
              <w:spacing w:after="0"/>
              <w:rPr>
                <w:sz w:val="16"/>
                <w:szCs w:val="16"/>
                <w:color w:val="auto"/>
              </w:rPr>
            </w:pPr>
          </w:p>
        </w:tc>
        <w:tc>
          <w:tcPr>
            <w:tcW w:w="7380" w:type="dxa"/>
            <w:vAlign w:val="bottom"/>
            <w:gridSpan w:val="2"/>
          </w:tcPr>
          <w:p>
            <w:pPr>
              <w:ind w:left="2160"/>
              <w:spacing w:after="0"/>
              <w:rPr>
                <w:sz w:val="20"/>
                <w:szCs w:val="20"/>
                <w:color w:val="auto"/>
              </w:rPr>
            </w:pPr>
            <w:r>
              <w:rPr>
                <w:rFonts w:ascii="Arial" w:cs="Arial" w:eastAsia="Arial" w:hAnsi="Arial"/>
                <w:sz w:val="15"/>
                <w:szCs w:val="15"/>
                <w:color w:val="auto"/>
              </w:rPr>
              <w:t>MANPOWER INC.</w:t>
            </w:r>
          </w:p>
        </w:tc>
      </w:tr>
      <w:tr>
        <w:trPr>
          <w:trHeight w:val="377"/>
        </w:trPr>
        <w:tc>
          <w:tcPr>
            <w:tcW w:w="3680" w:type="dxa"/>
            <w:vAlign w:val="bottom"/>
          </w:tcPr>
          <w:p>
            <w:pPr>
              <w:spacing w:after="0"/>
              <w:rPr>
                <w:sz w:val="20"/>
                <w:szCs w:val="20"/>
                <w:color w:val="auto"/>
              </w:rPr>
            </w:pPr>
            <w:r>
              <w:rPr>
                <w:rFonts w:ascii="Arial" w:cs="Arial" w:eastAsia="Arial" w:hAnsi="Arial"/>
                <w:sz w:val="15"/>
                <w:szCs w:val="15"/>
                <w:color w:val="auto"/>
              </w:rPr>
              <w:t>Dated: October 21, 2008</w:t>
            </w:r>
          </w:p>
        </w:tc>
        <w:tc>
          <w:tcPr>
            <w:tcW w:w="7380" w:type="dxa"/>
            <w:vAlign w:val="bottom"/>
            <w:gridSpan w:val="2"/>
          </w:tcPr>
          <w:p>
            <w:pPr>
              <w:ind w:left="2160"/>
              <w:spacing w:after="0"/>
              <w:rPr>
                <w:sz w:val="20"/>
                <w:szCs w:val="20"/>
                <w:color w:val="auto"/>
              </w:rPr>
            </w:pPr>
            <w:r>
              <w:rPr>
                <w:rFonts w:ascii="Arial" w:cs="Arial" w:eastAsia="Arial" w:hAnsi="Arial"/>
                <w:sz w:val="15"/>
                <w:szCs w:val="15"/>
                <w:color w:val="auto"/>
              </w:rPr>
              <w:t>By:  /s/ Michael J. Van Handel</w:t>
            </w:r>
          </w:p>
        </w:tc>
      </w:tr>
      <w:tr>
        <w:trPr>
          <w:trHeight w:val="173"/>
        </w:trPr>
        <w:tc>
          <w:tcPr>
            <w:tcW w:w="3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000" w:type="dxa"/>
            <w:vAlign w:val="bottom"/>
            <w:tcBorders>
              <w:top w:val="single" w:sz="8" w:color="auto"/>
            </w:tcBorders>
          </w:tcPr>
          <w:p>
            <w:pPr>
              <w:ind w:left="120"/>
              <w:spacing w:after="0"/>
              <w:rPr>
                <w:sz w:val="20"/>
                <w:szCs w:val="20"/>
                <w:color w:val="auto"/>
              </w:rPr>
            </w:pPr>
            <w:r>
              <w:rPr>
                <w:rFonts w:ascii="Arial" w:cs="Arial" w:eastAsia="Arial" w:hAnsi="Arial"/>
                <w:sz w:val="15"/>
                <w:szCs w:val="15"/>
                <w:color w:val="auto"/>
              </w:rPr>
              <w:t>Michael J. Van Handel</w:t>
            </w:r>
          </w:p>
        </w:tc>
      </w:tr>
      <w:tr>
        <w:trPr>
          <w:trHeight w:val="188"/>
        </w:trPr>
        <w:tc>
          <w:tcPr>
            <w:tcW w:w="36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00" w:type="dxa"/>
            <w:vAlign w:val="bottom"/>
          </w:tcPr>
          <w:p>
            <w:pPr>
              <w:ind w:left="120"/>
              <w:spacing w:after="0"/>
              <w:rPr>
                <w:sz w:val="20"/>
                <w:szCs w:val="20"/>
                <w:color w:val="auto"/>
              </w:rPr>
            </w:pPr>
            <w:r>
              <w:rPr>
                <w:rFonts w:ascii="Arial" w:cs="Arial" w:eastAsia="Arial" w:hAnsi="Arial"/>
                <w:sz w:val="15"/>
                <w:szCs w:val="15"/>
                <w:color w:val="auto"/>
              </w:rPr>
              <w:t>Executive Vice President and</w:t>
            </w:r>
          </w:p>
        </w:tc>
      </w:tr>
      <w:tr>
        <w:trPr>
          <w:trHeight w:val="194"/>
        </w:trPr>
        <w:tc>
          <w:tcPr>
            <w:tcW w:w="36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00" w:type="dxa"/>
            <w:vAlign w:val="bottom"/>
          </w:tcPr>
          <w:p>
            <w:pPr>
              <w:ind w:left="120"/>
              <w:spacing w:after="0"/>
              <w:rPr>
                <w:sz w:val="20"/>
                <w:szCs w:val="20"/>
                <w:color w:val="auto"/>
              </w:rPr>
            </w:pPr>
            <w:r>
              <w:rPr>
                <w:rFonts w:ascii="Arial" w:cs="Arial" w:eastAsia="Arial" w:hAnsi="Arial"/>
                <w:sz w:val="15"/>
                <w:szCs w:val="15"/>
                <w:color w:val="auto"/>
              </w:rPr>
              <w:t>Chief Financial Officer</w:t>
            </w:r>
          </w:p>
        </w:tc>
      </w:tr>
    </w:tbl>
    <w:p>
      <w:pPr>
        <w:sectPr>
          <w:pgSz w:w="11900" w:h="16838" w:orient="portrait"/>
          <w:cols w:equalWidth="0" w:num="1">
            <w:col w:w="11440"/>
          </w:cols>
          <w:pgMar w:left="240" w:top="258" w:right="2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EXHIBIT INDEX</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Exhibit No.</w:t>
            </w:r>
          </w:p>
        </w:tc>
        <w:tc>
          <w:tcPr>
            <w:tcW w:w="780" w:type="dxa"/>
            <w:vAlign w:val="bottom"/>
          </w:tcPr>
          <w:p>
            <w:pPr>
              <w:spacing w:after="0"/>
              <w:rPr>
                <w:sz w:val="13"/>
                <w:szCs w:val="13"/>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273"/>
        </w:trPr>
        <w:tc>
          <w:tcPr>
            <w:tcW w:w="600" w:type="dxa"/>
            <w:vAlign w:val="bottom"/>
          </w:tcPr>
          <w:p>
            <w:pPr>
              <w:jc w:val="center"/>
              <w:spacing w:after="0"/>
              <w:rPr>
                <w:sz w:val="20"/>
                <w:szCs w:val="20"/>
                <w:color w:val="auto"/>
              </w:rPr>
            </w:pPr>
            <w:r>
              <w:rPr>
                <w:rFonts w:ascii="Arial" w:cs="Arial" w:eastAsia="Arial" w:hAnsi="Arial"/>
                <w:sz w:val="15"/>
                <w:szCs w:val="15"/>
                <w:color w:val="auto"/>
                <w:w w:val="95"/>
              </w:rPr>
              <w:t>99.1</w:t>
            </w:r>
          </w:p>
        </w:tc>
        <w:tc>
          <w:tcPr>
            <w:tcW w:w="10840" w:type="dxa"/>
            <w:vAlign w:val="bottom"/>
            <w:gridSpan w:val="2"/>
          </w:tcPr>
          <w:p>
            <w:pPr>
              <w:ind w:left="780"/>
              <w:spacing w:after="0"/>
              <w:rPr>
                <w:sz w:val="20"/>
                <w:szCs w:val="20"/>
                <w:color w:val="auto"/>
              </w:rPr>
            </w:pPr>
            <w:r>
              <w:rPr>
                <w:rFonts w:ascii="Arial" w:cs="Arial" w:eastAsia="Arial" w:hAnsi="Arial"/>
                <w:sz w:val="15"/>
                <w:szCs w:val="15"/>
                <w:color w:val="auto"/>
              </w:rPr>
              <w:t>Press Release dated October 21, 2008</w:t>
            </w:r>
          </w:p>
        </w:tc>
      </w:tr>
      <w:tr>
        <w:trPr>
          <w:trHeight w:val="282"/>
        </w:trPr>
        <w:tc>
          <w:tcPr>
            <w:tcW w:w="600" w:type="dxa"/>
            <w:vAlign w:val="bottom"/>
          </w:tcPr>
          <w:p>
            <w:pPr>
              <w:jc w:val="center"/>
              <w:spacing w:after="0"/>
              <w:rPr>
                <w:sz w:val="20"/>
                <w:szCs w:val="20"/>
                <w:color w:val="auto"/>
              </w:rPr>
            </w:pPr>
            <w:r>
              <w:rPr>
                <w:rFonts w:ascii="Arial" w:cs="Arial" w:eastAsia="Arial" w:hAnsi="Arial"/>
                <w:sz w:val="15"/>
                <w:szCs w:val="15"/>
                <w:color w:val="auto"/>
                <w:w w:val="95"/>
              </w:rPr>
              <w:t>99.2</w:t>
            </w:r>
          </w:p>
        </w:tc>
        <w:tc>
          <w:tcPr>
            <w:tcW w:w="10840" w:type="dxa"/>
            <w:vAlign w:val="bottom"/>
            <w:gridSpan w:val="2"/>
          </w:tcPr>
          <w:p>
            <w:pPr>
              <w:ind w:left="780"/>
              <w:spacing w:after="0"/>
              <w:rPr>
                <w:sz w:val="20"/>
                <w:szCs w:val="20"/>
                <w:color w:val="auto"/>
              </w:rPr>
            </w:pPr>
            <w:r>
              <w:rPr>
                <w:rFonts w:ascii="Arial" w:cs="Arial" w:eastAsia="Arial" w:hAnsi="Arial"/>
                <w:sz w:val="15"/>
                <w:szCs w:val="15"/>
                <w:color w:val="auto"/>
              </w:rPr>
              <w:t>Presentation materials for October 21, 2008 conference call</w:t>
            </w:r>
          </w:p>
        </w:tc>
      </w:tr>
      <w:tr>
        <w:trPr>
          <w:trHeight w:val="282"/>
        </w:trPr>
        <w:tc>
          <w:tcPr>
            <w:tcW w:w="600" w:type="dxa"/>
            <w:vAlign w:val="bottom"/>
          </w:tcPr>
          <w:p>
            <w:pPr>
              <w:jc w:val="center"/>
              <w:spacing w:after="0"/>
              <w:rPr>
                <w:sz w:val="20"/>
                <w:szCs w:val="20"/>
                <w:color w:val="auto"/>
              </w:rPr>
            </w:pPr>
            <w:r>
              <w:rPr>
                <w:rFonts w:ascii="Arial" w:cs="Arial" w:eastAsia="Arial" w:hAnsi="Arial"/>
                <w:sz w:val="15"/>
                <w:szCs w:val="15"/>
                <w:color w:val="auto"/>
                <w:w w:val="95"/>
              </w:rPr>
              <w:t>99.3</w:t>
            </w:r>
          </w:p>
        </w:tc>
        <w:tc>
          <w:tcPr>
            <w:tcW w:w="10840" w:type="dxa"/>
            <w:vAlign w:val="bottom"/>
            <w:gridSpan w:val="2"/>
          </w:tcPr>
          <w:p>
            <w:pPr>
              <w:ind w:left="780"/>
              <w:spacing w:after="0"/>
              <w:rPr>
                <w:sz w:val="20"/>
                <w:szCs w:val="20"/>
                <w:color w:val="auto"/>
              </w:rPr>
            </w:pPr>
            <w:r>
              <w:rPr>
                <w:rFonts w:ascii="Arial" w:cs="Arial" w:eastAsia="Arial" w:hAnsi="Arial"/>
                <w:sz w:val="15"/>
                <w:szCs w:val="15"/>
                <w:color w:val="auto"/>
              </w:rPr>
              <w:t>Earnings, As Adjusted</w:t>
            </w:r>
          </w:p>
        </w:tc>
      </w:tr>
    </w:tbl>
    <w:p>
      <w:pPr>
        <w:sectPr>
          <w:pgSz w:w="11900" w:h="16838" w:orient="portrait"/>
          <w:cols w:equalWidth="0" w:num="1">
            <w:col w:w="11440"/>
          </w:cols>
          <w:pgMar w:left="240" w:top="258"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858520" cy="798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8520" cy="79883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Mike Van Handel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Manpower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+1.414.906.6305</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michael.vanhandel@manpower.com</w:t>
      </w:r>
    </w:p>
    <w:p>
      <w:pPr>
        <w:spacing w:after="0" w:line="200" w:lineRule="exact"/>
        <w:rPr>
          <w:sz w:val="20"/>
          <w:szCs w:val="20"/>
          <w:color w:val="auto"/>
        </w:rPr>
      </w:pPr>
    </w:p>
    <w:p>
      <w:pPr>
        <w:sectPr>
          <w:pgSz w:w="11900" w:h="16838" w:orient="portrait"/>
          <w:cols w:equalWidth="0" w:num="2">
            <w:col w:w="5220" w:space="720"/>
            <w:col w:w="5500"/>
          </w:cols>
          <w:pgMar w:left="240" w:top="132" w:right="219" w:bottom="1440" w:gutter="0" w:footer="0" w:header="0"/>
          <w:type w:val="continuous"/>
        </w:sectPr>
      </w:pP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Manpower Inc. Reports 3</w:t>
      </w:r>
      <w:r>
        <w:rPr>
          <w:rFonts w:ascii="Arial" w:cs="Arial" w:eastAsia="Arial" w:hAnsi="Arial"/>
          <w:sz w:val="8"/>
          <w:szCs w:val="8"/>
          <w:color w:val="auto"/>
        </w:rPr>
        <w:t>rd</w:t>
      </w:r>
      <w:r>
        <w:rPr>
          <w:rFonts w:ascii="Arial" w:cs="Arial" w:eastAsia="Arial" w:hAnsi="Arial"/>
          <w:sz w:val="13"/>
          <w:szCs w:val="13"/>
          <w:color w:val="auto"/>
        </w:rPr>
        <w:t xml:space="preserve"> Quarter 2008 Results</w:t>
      </w:r>
    </w:p>
    <w:p>
      <w:pPr>
        <w:sectPr>
          <w:pgSz w:w="11900" w:h="16838" w:orient="portrait"/>
          <w:cols w:equalWidth="0" w:num="1">
            <w:col w:w="11440"/>
          </w:cols>
          <w:pgMar w:left="240" w:top="132" w:right="219" w:bottom="1440" w:gutter="0" w:footer="0" w:header="0"/>
          <w:type w:val="continuous"/>
        </w:sectPr>
      </w:pPr>
    </w:p>
    <w:p>
      <w:pPr>
        <w:spacing w:after="0" w:line="203" w:lineRule="exact"/>
        <w:rPr>
          <w:sz w:val="20"/>
          <w:szCs w:val="20"/>
          <w:color w:val="auto"/>
        </w:rPr>
      </w:pPr>
    </w:p>
    <w:p>
      <w:pPr>
        <w:ind w:right="40"/>
        <w:spacing w:after="0" w:line="329" w:lineRule="auto"/>
        <w:rPr>
          <w:sz w:val="20"/>
          <w:szCs w:val="20"/>
          <w:color w:val="auto"/>
        </w:rPr>
      </w:pPr>
      <w:r>
        <w:rPr>
          <w:rFonts w:ascii="Arial" w:cs="Arial" w:eastAsia="Arial" w:hAnsi="Arial"/>
          <w:sz w:val="14"/>
          <w:szCs w:val="14"/>
          <w:color w:val="auto"/>
        </w:rPr>
        <w:t>MILWAUKEE, WI, USA, October 21, 2008 – Manpower Inc. (NYSE: MAN) today reported that earnings per diluted share for the three months ended September 30, 2008 were a loss of 55 cents compared to income of $1.57 in the prior year period. Revenues for the third quarter were $5.7 billion, an increase of 7 percent from the year earlier period.</w:t>
      </w:r>
    </w:p>
    <w:p>
      <w:pPr>
        <w:spacing w:after="0" w:line="76" w:lineRule="exact"/>
        <w:rPr>
          <w:sz w:val="20"/>
          <w:szCs w:val="20"/>
          <w:color w:val="auto"/>
        </w:rPr>
      </w:pPr>
    </w:p>
    <w:p>
      <w:pPr>
        <w:ind w:right="640" w:firstLine="457"/>
        <w:spacing w:after="0" w:line="329" w:lineRule="auto"/>
        <w:rPr>
          <w:sz w:val="20"/>
          <w:szCs w:val="20"/>
          <w:color w:val="auto"/>
        </w:rPr>
      </w:pPr>
      <w:r>
        <w:rPr>
          <w:rFonts w:ascii="Arial" w:cs="Arial" w:eastAsia="Arial" w:hAnsi="Arial"/>
          <w:sz w:val="14"/>
          <w:szCs w:val="14"/>
          <w:color w:val="auto"/>
        </w:rPr>
        <w:t>Third quarter 2008 results include a goodwill and intangible asset impairment charge of $163.1 million ($154.6 million after tax) or $1.97 per diluted share related to our investment in Right Management. Excluding this impairment charge, third quarter net earnings per diluted share would have been $1.42, with net earnings of $111.4 million.</w:t>
      </w:r>
    </w:p>
    <w:p>
      <w:pPr>
        <w:spacing w:after="0" w:line="76" w:lineRule="exact"/>
        <w:rPr>
          <w:sz w:val="20"/>
          <w:szCs w:val="20"/>
          <w:color w:val="auto"/>
        </w:rPr>
      </w:pPr>
    </w:p>
    <w:p>
      <w:pPr>
        <w:ind w:right="340" w:firstLine="457"/>
        <w:spacing w:after="0" w:line="291" w:lineRule="auto"/>
        <w:rPr>
          <w:sz w:val="20"/>
          <w:szCs w:val="20"/>
          <w:color w:val="auto"/>
        </w:rPr>
      </w:pPr>
      <w:r>
        <w:rPr>
          <w:rFonts w:ascii="Arial" w:cs="Arial" w:eastAsia="Arial" w:hAnsi="Arial"/>
          <w:sz w:val="15"/>
          <w:szCs w:val="15"/>
          <w:color w:val="auto"/>
        </w:rPr>
        <w:t>Third quarter results were favorably impacted by 11 cents per diluted share as foreign currencies were relatively stronger compared to the third quarter of 2007. On a constant currency basis, revenues increased 1% over the prior year period.</w:t>
      </w:r>
    </w:p>
    <w:p>
      <w:pPr>
        <w:spacing w:after="0" w:line="99" w:lineRule="exact"/>
        <w:rPr>
          <w:sz w:val="20"/>
          <w:szCs w:val="20"/>
          <w:color w:val="auto"/>
        </w:rPr>
      </w:pPr>
    </w:p>
    <w:p>
      <w:pPr>
        <w:ind w:right="420" w:firstLine="457"/>
        <w:spacing w:after="0" w:line="291" w:lineRule="auto"/>
        <w:rPr>
          <w:sz w:val="20"/>
          <w:szCs w:val="20"/>
          <w:color w:val="auto"/>
        </w:rPr>
      </w:pPr>
      <w:r>
        <w:rPr>
          <w:rFonts w:ascii="Arial" w:cs="Arial" w:eastAsia="Arial" w:hAnsi="Arial"/>
          <w:sz w:val="15"/>
          <w:szCs w:val="15"/>
          <w:color w:val="auto"/>
        </w:rPr>
        <w:t>Third quarter 2007 results were positively impacted $27.0 million ($16.1 million after tax) or 19 cents per diluted share as a result of a non-recurring favorable change in the calculation of French payroll taxes.</w:t>
      </w:r>
    </w:p>
    <w:p>
      <w:pPr>
        <w:spacing w:after="0" w:line="99" w:lineRule="exact"/>
        <w:rPr>
          <w:sz w:val="20"/>
          <w:szCs w:val="20"/>
          <w:color w:val="auto"/>
        </w:rPr>
      </w:pPr>
    </w:p>
    <w:p>
      <w:pPr>
        <w:ind w:right="180" w:firstLine="457"/>
        <w:spacing w:after="0" w:line="276" w:lineRule="auto"/>
        <w:rPr>
          <w:sz w:val="20"/>
          <w:szCs w:val="20"/>
          <w:color w:val="auto"/>
        </w:rPr>
      </w:pPr>
      <w:r>
        <w:rPr>
          <w:rFonts w:ascii="Arial" w:cs="Arial" w:eastAsia="Arial" w:hAnsi="Arial"/>
          <w:sz w:val="15"/>
          <w:szCs w:val="15"/>
          <w:color w:val="auto"/>
        </w:rPr>
        <w:t>Jeffrey A. Joerres, Manpower Inc. Chairman and Chief Executive Officer, said, “The slowdown that we have been experiencing in the U.S. has now moved to Europe. While we are still seeing year-over-year growth in some of our European operations, we expect the full impact of the economic slowdown has yet to be felt by the labor market. Our emerging markets continue to grow at a rapid pace.</w:t>
      </w:r>
    </w:p>
    <w:p>
      <w:pPr>
        <w:spacing w:after="0" w:line="110" w:lineRule="exact"/>
        <w:rPr>
          <w:sz w:val="20"/>
          <w:szCs w:val="20"/>
          <w:color w:val="auto"/>
        </w:rPr>
      </w:pPr>
    </w:p>
    <w:p>
      <w:pPr>
        <w:ind w:right="20" w:firstLine="457"/>
        <w:spacing w:after="0" w:line="291" w:lineRule="auto"/>
        <w:rPr>
          <w:sz w:val="20"/>
          <w:szCs w:val="20"/>
          <w:color w:val="auto"/>
        </w:rPr>
      </w:pPr>
      <w:r>
        <w:rPr>
          <w:rFonts w:ascii="Arial" w:cs="Arial" w:eastAsia="Arial" w:hAnsi="Arial"/>
          <w:sz w:val="15"/>
          <w:szCs w:val="15"/>
          <w:color w:val="auto"/>
        </w:rPr>
        <w:t>“We will continue to benefit from a geographically balanced business, diverse portfolio of services and well-equipped Manpower team that will take advantage of the opportunities that are presented in an economic downturn.</w:t>
      </w:r>
    </w:p>
    <w:p>
      <w:pPr>
        <w:spacing w:after="0" w:line="99" w:lineRule="exact"/>
        <w:rPr>
          <w:sz w:val="20"/>
          <w:szCs w:val="20"/>
          <w:color w:val="auto"/>
        </w:rPr>
      </w:pPr>
    </w:p>
    <w:p>
      <w:pPr>
        <w:ind w:right="380" w:firstLine="457"/>
        <w:spacing w:after="0" w:line="291" w:lineRule="auto"/>
        <w:rPr>
          <w:sz w:val="20"/>
          <w:szCs w:val="20"/>
          <w:color w:val="auto"/>
        </w:rPr>
      </w:pPr>
      <w:r>
        <w:rPr>
          <w:rFonts w:ascii="Arial" w:cs="Arial" w:eastAsia="Arial" w:hAnsi="Arial"/>
          <w:sz w:val="15"/>
          <w:szCs w:val="15"/>
          <w:color w:val="auto"/>
        </w:rPr>
        <w:t>“While the current dynamic economic environment makes forecasting demand for our services more difficult, we are presently anticipating the fourth quarter of 2008 diluted earnings per share to be in the range of $.97 to $1.01, which includes an estimated negative currency impact of 6 cents,” Joerres stated.</w:t>
      </w:r>
    </w:p>
    <w:p>
      <w:pPr>
        <w:sectPr>
          <w:pgSz w:w="11900" w:h="16838" w:orient="portrait"/>
          <w:cols w:equalWidth="0" w:num="1">
            <w:col w:w="11440"/>
          </w:cols>
          <w:pgMar w:left="240" w:top="132" w:right="219" w:bottom="1440" w:gutter="0" w:footer="0" w:header="0"/>
          <w:type w:val="continuous"/>
        </w:sectPr>
      </w:pPr>
    </w:p>
    <w:bookmarkStart w:id="5" w:name="page6"/>
    <w:bookmarkEnd w:id="5"/>
    <w:p>
      <w:pPr>
        <w:jc w:val="both"/>
        <w:ind w:right="60" w:firstLine="457"/>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Earnings per diluted share for the nine months ended September 30, 2008 were $1.75 compared to $4.10 per diluted share in 2007. Net earnings were $139.7 million compared to $351.6 million in the prior year. Revenues for the nine-month period were $17.0 billion, an increase of 14 percent from the prior year or 5 percent in constant currency. Foreign currency exchange rates had a favorable impact of 45 cents for the nine-month period.</w:t>
      </w:r>
    </w:p>
    <w:p>
      <w:pPr>
        <w:spacing w:after="0" w:line="110" w:lineRule="exact"/>
        <w:rPr>
          <w:sz w:val="20"/>
          <w:szCs w:val="20"/>
          <w:color w:val="auto"/>
        </w:rPr>
      </w:pPr>
    </w:p>
    <w:p>
      <w:pPr>
        <w:ind w:right="140" w:firstLine="457"/>
        <w:spacing w:after="0" w:line="305" w:lineRule="auto"/>
        <w:rPr>
          <w:sz w:val="20"/>
          <w:szCs w:val="20"/>
          <w:color w:val="auto"/>
        </w:rPr>
      </w:pPr>
      <w:r>
        <w:rPr>
          <w:rFonts w:ascii="Arial" w:cs="Arial" w:eastAsia="Arial" w:hAnsi="Arial"/>
          <w:sz w:val="14"/>
          <w:szCs w:val="14"/>
          <w:color w:val="auto"/>
        </w:rPr>
        <w:t>Earnings per diluted share for the nine month period in 2008 include the goodwill and intangible asset impairment charge of $1.93 (based on the weighted average shares for the nine-month period) and a net charge of 18 cents recorded in the second quarter related to an increase in our legal reserve and recoverable 2005 payroll taxes in France. Earnings per diluted share for the nine-month period in 2007 include a favorable impact of 85 cents related to the revised calculation in French payroll taxes.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conjunction with its third quarter earnings release, Manpower will broadcast its conference call live over the Internet on October 21, 2008 at 7:30 a.m. CDT (8:30 a.m. EDT).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Interested parties are invited to listen to the webcast and view the presentation by logging on to http://investor.manpower.com.</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Supplemental financial information referenced in the conference call can be found at http://investor.manpower.com.</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Manpower Inc.</w:t>
      </w:r>
    </w:p>
    <w:p>
      <w:pPr>
        <w:spacing w:after="0" w:line="90"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 xml:space="preserve">Manpower Inc. (NYSE: MAN) is a world leader in the employment services industry; creating and delivering services that enable its clients to win in the changing world of work. Celebrating its 60th anniversary in 2008, the $21 billion company offers employers a range of services for the entire employment and business cycle including permanent, temporary and contract recruitment; employee assessment and selection; training; outplacement; outsourcing and consulting. Manpower’s worldwide network of 4,500 offices in 80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t>
      </w:r>
      <w:r>
        <w:rPr>
          <w:rFonts w:ascii="Arial" w:cs="Arial" w:eastAsia="Arial" w:hAnsi="Arial"/>
          <w:sz w:val="15"/>
          <w:szCs w:val="15"/>
          <w:u w:val="single" w:color="auto"/>
          <w:color w:val="auto"/>
        </w:rPr>
        <w:t>http://www.manpower.com/.</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90" w:lineRule="exact"/>
        <w:rPr>
          <w:sz w:val="20"/>
          <w:szCs w:val="20"/>
          <w:color w:val="auto"/>
        </w:rPr>
      </w:pPr>
    </w:p>
    <w:p>
      <w:pPr>
        <w:ind w:right="20"/>
        <w:spacing w:after="0" w:line="296" w:lineRule="auto"/>
        <w:rPr>
          <w:sz w:val="20"/>
          <w:szCs w:val="20"/>
          <w:color w:val="auto"/>
        </w:rPr>
      </w:pPr>
      <w:r>
        <w:rPr>
          <w:rFonts w:ascii="Arial" w:cs="Arial" w:eastAsia="Arial" w:hAnsi="Arial"/>
          <w:sz w:val="14"/>
          <w:szCs w:val="14"/>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2007, which information is incorporated herein by reference.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 -</w:t>
      </w:r>
    </w:p>
    <w:p>
      <w:pPr>
        <w:sectPr>
          <w:pgSz w:w="11900" w:h="16838" w:orient="portrait"/>
          <w:cols w:equalWidth="0" w:num="1">
            <w:col w:w="11400"/>
          </w:cols>
          <w:pgMar w:left="240" w:top="262" w:right="259" w:bottom="1440" w:gutter="0" w:footer="0" w:header="0"/>
        </w:sectPr>
      </w:pPr>
    </w:p>
    <w:bookmarkStart w:id="6" w:name="page7"/>
    <w:bookmarkEnd w:id="6"/>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Results of Operations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 except per share data)</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58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2"/>
                <w:szCs w:val="12"/>
                <w:b w:val="1"/>
                <w:bCs w:val="1"/>
                <w:color w:val="auto"/>
                <w:w w:val="91"/>
              </w:rPr>
              <w:t>Three Months Ended September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8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8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8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5"/>
              <w:spacing w:after="0"/>
              <w:rPr>
                <w:sz w:val="20"/>
                <w:szCs w:val="20"/>
                <w:color w:val="auto"/>
              </w:rPr>
            </w:pPr>
            <w:r>
              <w:rPr>
                <w:rFonts w:ascii="Arial" w:cs="Arial" w:eastAsia="Arial" w:hAnsi="Arial"/>
                <w:sz w:val="12"/>
                <w:szCs w:val="12"/>
                <w:b w:val="1"/>
                <w:bCs w:val="1"/>
                <w:color w:val="auto"/>
              </w:rPr>
              <w:t>2008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6"/>
              <w:spacing w:after="0"/>
              <w:rPr>
                <w:sz w:val="20"/>
                <w:szCs w:val="20"/>
                <w:color w:val="auto"/>
              </w:rPr>
            </w:pPr>
            <w:r>
              <w:rPr>
                <w:rFonts w:ascii="Arial" w:cs="Arial" w:eastAsia="Arial" w:hAnsi="Arial"/>
                <w:sz w:val="12"/>
                <w:szCs w:val="12"/>
                <w:b w:val="1"/>
                <w:bCs w:val="1"/>
                <w:color w:val="auto"/>
              </w:rPr>
              <w:t>2007</w:t>
            </w:r>
          </w:p>
        </w:tc>
        <w:tc>
          <w:tcPr>
            <w:tcW w:w="34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83"/>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8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4"/>
          </w:tcPr>
          <w:p>
            <w:pPr>
              <w:jc w:val="right"/>
              <w:ind w:right="82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86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5,668.4</w:t>
            </w:r>
          </w:p>
        </w:tc>
        <w:tc>
          <w:tcPr>
            <w:tcW w:w="1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w w:val="87"/>
              </w:rPr>
              <w:t>5,295.4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7.0%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20"/>
                <w:szCs w:val="20"/>
                <w:color w:val="auto"/>
              </w:rPr>
            </w:pPr>
            <w:r>
              <w:rPr>
                <w:rFonts w:ascii="Arial" w:cs="Arial" w:eastAsia="Arial" w:hAnsi="Arial"/>
                <w:sz w:val="15"/>
                <w:szCs w:val="15"/>
                <w:color w:val="auto"/>
              </w:rPr>
              <w:t>Cost of services</w:t>
            </w: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4,640.8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w w:val="87"/>
              </w:rPr>
              <w:t>4,321.0</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7.4%</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1,027.6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974.4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5.5%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20"/>
                <w:szCs w:val="20"/>
                <w:color w:val="auto"/>
              </w:rPr>
            </w:pPr>
            <w:r>
              <w:rPr>
                <w:rFonts w:ascii="Arial" w:cs="Arial" w:eastAsia="Arial" w:hAnsi="Arial"/>
                <w:sz w:val="15"/>
                <w:szCs w:val="15"/>
                <w:color w:val="auto"/>
              </w:rPr>
              <w:t>Selling and administrative expenses, excluding impairment</w:t>
            </w: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843.5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752.5</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12.1%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88"/>
        </w:trPr>
        <w:tc>
          <w:tcPr>
            <w:tcW w:w="5860" w:type="dxa"/>
            <w:vAlign w:val="bottom"/>
            <w:shd w:val="clear" w:color="auto" w:fill="CCEEFF"/>
          </w:tcPr>
          <w:p>
            <w:pPr>
              <w:spacing w:after="0"/>
              <w:rPr>
                <w:sz w:val="20"/>
                <w:szCs w:val="20"/>
                <w:color w:val="auto"/>
              </w:rPr>
            </w:pPr>
            <w:r>
              <w:rPr>
                <w:rFonts w:ascii="Arial" w:cs="Arial" w:eastAsia="Arial" w:hAnsi="Arial"/>
                <w:sz w:val="15"/>
                <w:szCs w:val="15"/>
                <w:color w:val="auto"/>
              </w:rPr>
              <w:t>Goodwill and intangible asset impairment (b)</w:t>
            </w:r>
          </w:p>
        </w:tc>
        <w:tc>
          <w:tcPr>
            <w:tcW w:w="22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N/A</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1"/>
        </w:trPr>
        <w:tc>
          <w:tcPr>
            <w:tcW w:w="5860" w:type="dxa"/>
            <w:vAlign w:val="bottom"/>
          </w:tcPr>
          <w:p>
            <w:pPr>
              <w:ind w:left="380"/>
              <w:spacing w:after="0"/>
              <w:rPr>
                <w:sz w:val="20"/>
                <w:szCs w:val="20"/>
                <w:color w:val="auto"/>
              </w:rPr>
            </w:pPr>
            <w:r>
              <w:rPr>
                <w:rFonts w:ascii="Arial" w:cs="Arial" w:eastAsia="Arial" w:hAnsi="Arial"/>
                <w:sz w:val="15"/>
                <w:szCs w:val="15"/>
                <w:color w:val="auto"/>
              </w:rPr>
              <w:t>Selling and administrative expenses</w:t>
            </w: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1,006.6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752.5</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33.8%</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221.9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-90.5%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-96.4%</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9.1</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50.1%</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212.8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-96.5%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-102.9%</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81.1</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-37.5%</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(loss) earnings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131.7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-132.8%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-139.6%</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5"/>
                <w:szCs w:val="15"/>
                <w:color w:val="auto"/>
              </w:rPr>
              <w:t>Net (loss) earnings per share - basic</w:t>
            </w: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-134.6%</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60" w:type="dxa"/>
            <w:vAlign w:val="bottom"/>
            <w:vMerge w:val="continue"/>
          </w:tcPr>
          <w:p>
            <w:pPr>
              <w:spacing w:after="0"/>
              <w:rPr>
                <w:sz w:val="15"/>
                <w:szCs w:val="15"/>
                <w:color w:val="auto"/>
              </w:rPr>
            </w:pPr>
          </w:p>
        </w:tc>
        <w:tc>
          <w:tcPr>
            <w:tcW w:w="2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(0.55)</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1.59</w:t>
            </w:r>
          </w:p>
        </w:tc>
        <w:tc>
          <w:tcPr>
            <w:tcW w:w="9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60" w:type="dxa"/>
            <w:vAlign w:val="bottom"/>
            <w:shd w:val="clear" w:color="auto" w:fill="CCEEFF"/>
          </w:tcPr>
          <w:p>
            <w:pPr>
              <w:spacing w:after="0"/>
              <w:rPr>
                <w:sz w:val="20"/>
                <w:szCs w:val="20"/>
                <w:color w:val="auto"/>
              </w:rPr>
            </w:pPr>
            <w:r>
              <w:rPr>
                <w:rFonts w:ascii="Arial" w:cs="Arial" w:eastAsia="Arial" w:hAnsi="Arial"/>
                <w:sz w:val="15"/>
                <w:szCs w:val="15"/>
                <w:color w:val="auto"/>
              </w:rPr>
              <w:t>Net (loss) earnings per share - diluted</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1.57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-135.0%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-142.0%</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5"/>
                <w:szCs w:val="15"/>
                <w:color w:val="auto"/>
              </w:rPr>
              <w:t>Weighted average shares - basic</w:t>
            </w: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-5.3%</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6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82.7</w:t>
            </w:r>
          </w:p>
        </w:tc>
        <w:tc>
          <w:tcPr>
            <w:tcW w:w="9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6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2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84.1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-6.6%</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jc w:val="both"/>
        <w:ind w:left="446" w:right="180" w:hanging="446"/>
        <w:spacing w:after="0" w:line="276" w:lineRule="auto"/>
        <w:tabs>
          <w:tab w:leader="none" w:pos="446" w:val="left"/>
        </w:tabs>
        <w:numPr>
          <w:ilvl w:val="0"/>
          <w:numId w:val="2"/>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$8.0 million and $9.4 million for the three months ended September 30, 2008 and 2007, respectively. These fees are primarily based on revenues generated by the franchise offices which were $282.2 million and $387.4 million for the three months ended September 30, 2008 and 2007, respectively.</w:t>
      </w:r>
    </w:p>
    <w:p>
      <w:pPr>
        <w:spacing w:after="0" w:line="39" w:lineRule="exact"/>
        <w:rPr>
          <w:rFonts w:ascii="Arial" w:cs="Arial" w:eastAsia="Arial" w:hAnsi="Arial"/>
          <w:sz w:val="15"/>
          <w:szCs w:val="15"/>
          <w:color w:val="auto"/>
        </w:rPr>
      </w:pPr>
    </w:p>
    <w:p>
      <w:pPr>
        <w:ind w:left="446" w:hanging="446"/>
        <w:spacing w:after="0"/>
        <w:tabs>
          <w:tab w:leader="none" w:pos="446"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goodwill and intangible asset impairment relates to our investment in Right Management. The impact on net earnings is $154.6 million, or $1.97 per diluted share.</w:t>
      </w:r>
    </w:p>
    <w:p>
      <w:pPr>
        <w:sectPr>
          <w:pgSz w:w="11900" w:h="16838" w:orient="portrait"/>
          <w:cols w:equalWidth="0" w:num="1">
            <w:col w:w="11446"/>
          </w:cols>
          <w:pgMar w:left="234" w:top="262" w:right="219" w:bottom="1440" w:gutter="0" w:footer="0" w:header="0"/>
        </w:sectPr>
      </w:pPr>
    </w:p>
    <w:bookmarkStart w:id="7" w:name="page8"/>
    <w:bookmarkEnd w:id="7"/>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Operating Unit Results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8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2"/>
                <w:szCs w:val="12"/>
                <w:b w:val="1"/>
                <w:bCs w:val="1"/>
                <w:color w:val="auto"/>
                <w:w w:val="91"/>
              </w:rPr>
              <w:t>Three Months Ended September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8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8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4"/>
              <w:spacing w:after="0"/>
              <w:rPr>
                <w:sz w:val="20"/>
                <w:szCs w:val="20"/>
                <w:color w:val="auto"/>
              </w:rPr>
            </w:pPr>
            <w:r>
              <w:rPr>
                <w:rFonts w:ascii="Arial" w:cs="Arial" w:eastAsia="Arial" w:hAnsi="Arial"/>
                <w:sz w:val="12"/>
                <w:szCs w:val="12"/>
                <w:b w:val="1"/>
                <w:bCs w:val="1"/>
                <w:color w:val="auto"/>
              </w:rPr>
              <w:t>2007</w:t>
            </w:r>
          </w:p>
        </w:tc>
        <w:tc>
          <w:tcPr>
            <w:tcW w:w="220" w:type="dxa"/>
            <w:vAlign w:val="bottom"/>
          </w:tcPr>
          <w:p>
            <w:pPr>
              <w:spacing w:after="0"/>
              <w:rPr>
                <w:sz w:val="12"/>
                <w:szCs w:val="12"/>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121"/>
        </w:trPr>
        <w:tc>
          <w:tcPr>
            <w:tcW w:w="80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80" w:type="dxa"/>
            <w:vAlign w:val="bottom"/>
            <w:gridSpan w:val="2"/>
          </w:tcPr>
          <w:p>
            <w:pPr>
              <w:spacing w:after="0"/>
              <w:rPr>
                <w:sz w:val="20"/>
                <w:szCs w:val="20"/>
                <w:color w:val="auto"/>
              </w:rPr>
            </w:pPr>
            <w:r>
              <w:rPr>
                <w:rFonts w:ascii="Arial" w:cs="Arial" w:eastAsia="Arial" w:hAnsi="Arial"/>
                <w:sz w:val="9"/>
                <w:szCs w:val="9"/>
                <w:b w:val="1"/>
                <w:bCs w:val="1"/>
                <w:color w:val="auto"/>
                <w:w w:val="71"/>
              </w:rPr>
              <w:t>(Unaudited)</w:t>
            </w:r>
          </w:p>
        </w:tc>
        <w:tc>
          <w:tcPr>
            <w:tcW w:w="4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808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80" w:type="dxa"/>
            <w:vAlign w:val="bottom"/>
          </w:tcPr>
          <w:p>
            <w:pPr>
              <w:ind w:left="380"/>
              <w:spacing w:after="0"/>
              <w:rPr>
                <w:sz w:val="20"/>
                <w:szCs w:val="20"/>
                <w:color w:val="auto"/>
              </w:rPr>
            </w:pPr>
            <w:r>
              <w:rPr>
                <w:rFonts w:ascii="Arial" w:cs="Arial" w:eastAsia="Arial" w:hAnsi="Arial"/>
                <w:sz w:val="15"/>
                <w:szCs w:val="15"/>
                <w:color w:val="auto"/>
              </w:rPr>
              <w:t>United States (a)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519.8</w:t>
            </w:r>
          </w:p>
        </w:tc>
        <w:tc>
          <w:tcPr>
            <w:tcW w:w="10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502.2</w:t>
            </w:r>
          </w:p>
        </w:tc>
        <w:tc>
          <w:tcPr>
            <w:tcW w:w="22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3.5%</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88"/>
        </w:trPr>
        <w:tc>
          <w:tcPr>
            <w:tcW w:w="8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1,892.1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1,871.3</w:t>
            </w:r>
          </w:p>
        </w:tc>
        <w:tc>
          <w:tcPr>
            <w:tcW w:w="2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88"/>
        </w:trPr>
        <w:tc>
          <w:tcPr>
            <w:tcW w:w="8080" w:type="dxa"/>
            <w:vAlign w:val="bottom"/>
          </w:tcPr>
          <w:p>
            <w:pPr>
              <w:ind w:left="380"/>
              <w:spacing w:after="0"/>
              <w:rPr>
                <w:sz w:val="20"/>
                <w:szCs w:val="20"/>
                <w:color w:val="auto"/>
              </w:rPr>
            </w:pPr>
            <w:r>
              <w:rPr>
                <w:rFonts w:ascii="Arial" w:cs="Arial" w:eastAsia="Arial" w:hAnsi="Arial"/>
                <w:sz w:val="15"/>
                <w:szCs w:val="15"/>
                <w:color w:val="auto"/>
              </w:rPr>
              <w:t>Other EMEA</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1,951.7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1,740.3</w:t>
            </w:r>
          </w:p>
        </w:tc>
        <w:tc>
          <w:tcPr>
            <w:tcW w:w="22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12.1%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88"/>
        </w:trPr>
        <w:tc>
          <w:tcPr>
            <w:tcW w:w="8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Italy</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334.5</w:t>
            </w:r>
          </w:p>
        </w:tc>
        <w:tc>
          <w:tcPr>
            <w:tcW w:w="2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12.3%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88"/>
        </w:trPr>
        <w:tc>
          <w:tcPr>
            <w:tcW w:w="8080" w:type="dxa"/>
            <w:vAlign w:val="bottom"/>
          </w:tcPr>
          <w:p>
            <w:pPr>
              <w:ind w:left="380"/>
              <w:spacing w:after="0"/>
              <w:rPr>
                <w:sz w:val="20"/>
                <w:szCs w:val="20"/>
                <w:color w:val="auto"/>
              </w:rPr>
            </w:pPr>
            <w:r>
              <w:rPr>
                <w:rFonts w:ascii="Arial" w:cs="Arial" w:eastAsia="Arial" w:hAnsi="Arial"/>
                <w:sz w:val="15"/>
                <w:szCs w:val="15"/>
                <w:color w:val="auto"/>
              </w:rPr>
              <w:t>Jefferson Wells</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85.5</w:t>
            </w:r>
          </w:p>
        </w:tc>
        <w:tc>
          <w:tcPr>
            <w:tcW w:w="22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-13.3%</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r>
        <w:trPr>
          <w:trHeight w:val="188"/>
        </w:trPr>
        <w:tc>
          <w:tcPr>
            <w:tcW w:w="8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Right Management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w:t>
            </w:r>
          </w:p>
        </w:tc>
        <w:tc>
          <w:tcPr>
            <w:tcW w:w="2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9.1%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92"/>
        </w:trPr>
        <w:tc>
          <w:tcPr>
            <w:tcW w:w="8080" w:type="dxa"/>
            <w:vAlign w:val="bottom"/>
          </w:tcPr>
          <w:p>
            <w:pPr>
              <w:ind w:left="380"/>
              <w:spacing w:after="0"/>
              <w:rPr>
                <w:sz w:val="20"/>
                <w:szCs w:val="20"/>
                <w:color w:val="auto"/>
              </w:rPr>
            </w:pPr>
            <w:r>
              <w:rPr>
                <w:rFonts w:ascii="Arial" w:cs="Arial" w:eastAsia="Arial" w:hAnsi="Arial"/>
                <w:sz w:val="15"/>
                <w:szCs w:val="15"/>
                <w:color w:val="auto"/>
              </w:rPr>
              <w:t>Other Operations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662.9</w:t>
            </w:r>
          </w:p>
        </w:tc>
        <w:tc>
          <w:tcPr>
            <w:tcW w:w="22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12.7%</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88"/>
        </w:trPr>
        <w:tc>
          <w:tcPr>
            <w:tcW w:w="80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5,668.4</w:t>
            </w:r>
          </w:p>
        </w:tc>
        <w:tc>
          <w:tcPr>
            <w:tcW w:w="1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5,295.4</w:t>
            </w:r>
          </w:p>
        </w:tc>
        <w:tc>
          <w:tcPr>
            <w:tcW w:w="2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7.0%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5"/>
                <w:szCs w:val="15"/>
                <w:color w:val="auto"/>
              </w:rPr>
              <w:t>Operating Unit Profit: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2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-49.6%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-49.6%</w:t>
            </w:r>
          </w:p>
        </w:tc>
        <w:tc>
          <w:tcPr>
            <w:tcW w:w="0" w:type="dxa"/>
            <w:vAlign w:val="bottom"/>
          </w:tcPr>
          <w:p>
            <w:pPr>
              <w:spacing w:after="0"/>
              <w:rPr>
                <w:sz w:val="1"/>
                <w:szCs w:val="1"/>
                <w:color w:val="auto"/>
              </w:rPr>
            </w:pPr>
          </w:p>
        </w:tc>
      </w:tr>
      <w:tr>
        <w:trPr>
          <w:trHeight w:val="188"/>
        </w:trPr>
        <w:tc>
          <w:tcPr>
            <w:tcW w:w="8080" w:type="dxa"/>
            <w:vAlign w:val="bottom"/>
          </w:tcPr>
          <w:p>
            <w:pPr>
              <w:ind w:left="380"/>
              <w:spacing w:after="0"/>
              <w:rPr>
                <w:sz w:val="20"/>
                <w:szCs w:val="20"/>
                <w:color w:val="auto"/>
              </w:rPr>
            </w:pPr>
            <w:r>
              <w:rPr>
                <w:rFonts w:ascii="Arial" w:cs="Arial" w:eastAsia="Arial" w:hAnsi="Arial"/>
                <w:sz w:val="15"/>
                <w:szCs w:val="15"/>
                <w:color w:val="auto"/>
              </w:rPr>
              <w:t>France</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100.7</w:t>
            </w:r>
          </w:p>
        </w:tc>
        <w:tc>
          <w:tcPr>
            <w:tcW w:w="22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-34.4%</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188"/>
        </w:trPr>
        <w:tc>
          <w:tcPr>
            <w:tcW w:w="8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EMEA</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2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88"/>
        </w:trPr>
        <w:tc>
          <w:tcPr>
            <w:tcW w:w="8080" w:type="dxa"/>
            <w:vAlign w:val="bottom"/>
          </w:tcPr>
          <w:p>
            <w:pPr>
              <w:ind w:left="380"/>
              <w:spacing w:after="0"/>
              <w:rPr>
                <w:sz w:val="20"/>
                <w:szCs w:val="20"/>
                <w:color w:val="auto"/>
              </w:rPr>
            </w:pPr>
            <w:r>
              <w:rPr>
                <w:rFonts w:ascii="Arial" w:cs="Arial" w:eastAsia="Arial" w:hAnsi="Arial"/>
                <w:sz w:val="15"/>
                <w:szCs w:val="15"/>
                <w:color w:val="auto"/>
              </w:rPr>
              <w:t>Italy</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24.6</w:t>
            </w:r>
          </w:p>
        </w:tc>
        <w:tc>
          <w:tcPr>
            <w:tcW w:w="22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19.1%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88"/>
        </w:trPr>
        <w:tc>
          <w:tcPr>
            <w:tcW w:w="8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(1.7)</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N/A</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8"/>
        </w:trPr>
        <w:tc>
          <w:tcPr>
            <w:tcW w:w="808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5.7</w:t>
            </w:r>
          </w:p>
        </w:tc>
        <w:tc>
          <w:tcPr>
            <w:tcW w:w="22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33.5%</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39.4%</w:t>
            </w:r>
          </w:p>
        </w:tc>
        <w:tc>
          <w:tcPr>
            <w:tcW w:w="0" w:type="dxa"/>
            <w:vAlign w:val="bottom"/>
          </w:tcPr>
          <w:p>
            <w:pPr>
              <w:spacing w:after="0"/>
              <w:rPr>
                <w:sz w:val="1"/>
                <w:szCs w:val="1"/>
                <w:color w:val="auto"/>
              </w:rPr>
            </w:pPr>
          </w:p>
        </w:tc>
      </w:tr>
      <w:tr>
        <w:trPr>
          <w:trHeight w:val="188"/>
        </w:trPr>
        <w:tc>
          <w:tcPr>
            <w:tcW w:w="8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2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-23.8%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-32.4%</w:t>
            </w:r>
          </w:p>
        </w:tc>
        <w:tc>
          <w:tcPr>
            <w:tcW w:w="0" w:type="dxa"/>
            <w:vAlign w:val="bottom"/>
          </w:tcPr>
          <w:p>
            <w:pPr>
              <w:spacing w:after="0"/>
              <w:rPr>
                <w:sz w:val="1"/>
                <w:szCs w:val="1"/>
                <w:color w:val="auto"/>
              </w:rPr>
            </w:pPr>
          </w:p>
        </w:tc>
      </w:tr>
      <w:tr>
        <w:trPr>
          <w:trHeight w:val="191"/>
        </w:trPr>
        <w:tc>
          <w:tcPr>
            <w:tcW w:w="8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204.0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246.6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80" w:type="dxa"/>
            <w:vAlign w:val="bottom"/>
          </w:tcPr>
          <w:p>
            <w:pPr>
              <w:spacing w:after="0"/>
              <w:rPr>
                <w:sz w:val="20"/>
                <w:szCs w:val="20"/>
                <w:color w:val="auto"/>
              </w:rPr>
            </w:pPr>
            <w:r>
              <w:rPr>
                <w:rFonts w:ascii="Arial" w:cs="Arial" w:eastAsia="Arial" w:hAnsi="Arial"/>
                <w:sz w:val="15"/>
                <w:szCs w:val="15"/>
                <w:color w:val="auto"/>
              </w:rPr>
              <w:t>Goodwill and intangible asset impairment</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163.1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8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intangible assets</w:t>
            </w: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80" w:type="dxa"/>
            <w:vAlign w:val="bottom"/>
          </w:tcPr>
          <w:p>
            <w:pPr>
              <w:ind w:left="380"/>
              <w:spacing w:after="0"/>
              <w:rPr>
                <w:sz w:val="20"/>
                <w:szCs w:val="20"/>
                <w:color w:val="auto"/>
              </w:rPr>
            </w:pPr>
            <w:r>
              <w:rPr>
                <w:rFonts w:ascii="Arial" w:cs="Arial" w:eastAsia="Arial" w:hAnsi="Arial"/>
                <w:sz w:val="15"/>
                <w:szCs w:val="15"/>
                <w:color w:val="auto"/>
              </w:rPr>
              <w:t>Operating profit</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221.9</w:t>
            </w:r>
          </w:p>
        </w:tc>
        <w:tc>
          <w:tcPr>
            <w:tcW w:w="22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-90.5%</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-96.4%</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rPr>
                <w:sz w:val="20"/>
                <w:szCs w:val="20"/>
                <w:color w:val="auto"/>
              </w:rPr>
            </w:pPr>
            <w:r>
              <w:rPr>
                <w:rFonts w:ascii="Arial" w:cs="Arial" w:eastAsia="Arial" w:hAnsi="Arial"/>
                <w:sz w:val="15"/>
                <w:szCs w:val="15"/>
                <w:color w:val="auto"/>
              </w:rPr>
              <w:t>Interest and other expenses (b)</w:t>
            </w: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80" w:type="dxa"/>
            <w:vAlign w:val="bottom"/>
          </w:tcPr>
          <w:p>
            <w:pPr>
              <w:ind w:left="380"/>
              <w:spacing w:after="0"/>
              <w:rPr>
                <w:sz w:val="20"/>
                <w:szCs w:val="20"/>
                <w:color w:val="auto"/>
              </w:rPr>
            </w:pPr>
            <w:r>
              <w:rPr>
                <w:rFonts w:ascii="Arial" w:cs="Arial" w:eastAsia="Arial" w:hAnsi="Arial"/>
                <w:sz w:val="15"/>
                <w:szCs w:val="15"/>
                <w:color w:val="auto"/>
              </w:rPr>
              <w:t>Earnings before income taxes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212.8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446" w:right="160" w:hanging="446"/>
        <w:spacing w:after="0" w:line="276" w:lineRule="auto"/>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our franchise offices of $4.5 million and $6.5 million for the three months ended September 30, 2008 and 2007, respectively. These fees are primarily based on revenues generated by the franchise offices, which were $175.4 million and $270.7 million for the three months ended September 30, 2008 and 2007, respectively.</w:t>
      </w:r>
    </w:p>
    <w:p>
      <w:pPr>
        <w:spacing w:after="0" w:line="39" w:lineRule="exact"/>
        <w:rPr>
          <w:rFonts w:ascii="Arial" w:cs="Arial" w:eastAsia="Arial" w:hAnsi="Arial"/>
          <w:sz w:val="15"/>
          <w:szCs w:val="15"/>
          <w:color w:val="auto"/>
        </w:rPr>
      </w:pPr>
    </w:p>
    <w:p>
      <w:pPr>
        <w:ind w:left="446" w:hanging="446"/>
        <w:spacing w:after="0"/>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188" w:lineRule="exact"/>
        <w:rPr>
          <w:sz w:val="20"/>
          <w:szCs w:val="20"/>
          <w:color w:val="auto"/>
        </w:rPr>
      </w:pPr>
    </w:p>
    <w:tbl>
      <w:tblPr>
        <w:tblLayout w:type="fixed"/>
        <w:tblInd w:w="466" w:type="dxa"/>
        <w:tblCellMar>
          <w:top w:w="0" w:type="dxa"/>
          <w:left w:w="0" w:type="dxa"/>
          <w:bottom w:w="0" w:type="dxa"/>
          <w:right w:w="0" w:type="dxa"/>
        </w:tblCellMar>
      </w:tblPr>
      <w:tr>
        <w:trPr>
          <w:trHeight w:val="140"/>
        </w:trPr>
        <w:tc>
          <w:tcPr>
            <w:tcW w:w="9380" w:type="dxa"/>
            <w:vAlign w:val="bottom"/>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2007</w:t>
            </w:r>
          </w:p>
        </w:tc>
        <w:tc>
          <w:tcPr>
            <w:tcW w:w="60" w:type="dxa"/>
            <w:vAlign w:val="bottom"/>
          </w:tcPr>
          <w:p>
            <w:pPr>
              <w:spacing w:after="0"/>
              <w:rPr>
                <w:sz w:val="12"/>
                <w:szCs w:val="12"/>
                <w:color w:val="auto"/>
              </w:rPr>
            </w:pPr>
          </w:p>
        </w:tc>
      </w:tr>
      <w:tr>
        <w:trPr>
          <w:trHeight w:val="180"/>
        </w:trPr>
        <w:tc>
          <w:tcPr>
            <w:tcW w:w="93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$16.2</w:t>
            </w:r>
          </w:p>
        </w:tc>
        <w:tc>
          <w:tcPr>
            <w:tcW w:w="2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14.2</w:t>
            </w:r>
          </w:p>
        </w:tc>
        <w:tc>
          <w:tcPr>
            <w:tcW w:w="60" w:type="dxa"/>
            <w:vAlign w:val="bottom"/>
            <w:shd w:val="clear" w:color="auto" w:fill="CCEEFF"/>
          </w:tcPr>
          <w:p>
            <w:pPr>
              <w:spacing w:after="0"/>
              <w:rPr>
                <w:sz w:val="15"/>
                <w:szCs w:val="15"/>
                <w:color w:val="auto"/>
              </w:rPr>
            </w:pPr>
          </w:p>
        </w:tc>
      </w:tr>
      <w:tr>
        <w:trPr>
          <w:trHeight w:val="188"/>
        </w:trPr>
        <w:tc>
          <w:tcPr>
            <w:tcW w:w="9380" w:type="dxa"/>
            <w:vAlign w:val="bottom"/>
          </w:tcPr>
          <w:p>
            <w:pPr>
              <w:spacing w:after="0"/>
              <w:rPr>
                <w:sz w:val="20"/>
                <w:szCs w:val="20"/>
                <w:color w:val="auto"/>
              </w:rPr>
            </w:pPr>
            <w:r>
              <w:rPr>
                <w:rFonts w:ascii="Arial" w:cs="Arial" w:eastAsia="Arial" w:hAnsi="Arial"/>
                <w:sz w:val="15"/>
                <w:szCs w:val="15"/>
                <w:color w:val="auto"/>
              </w:rPr>
              <w:t>Interest income</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(5.4)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5"/>
                <w:szCs w:val="15"/>
                <w:color w:val="auto"/>
                <w:w w:val="97"/>
              </w:rPr>
              <w:t>(5.9)</w:t>
            </w:r>
          </w:p>
        </w:tc>
      </w:tr>
      <w:tr>
        <w:trPr>
          <w:trHeight w:val="188"/>
        </w:trPr>
        <w:tc>
          <w:tcPr>
            <w:tcW w:w="938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gains</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7"/>
              </w:rPr>
              <w:t>(0.1)</w:t>
            </w:r>
          </w:p>
        </w:tc>
      </w:tr>
      <w:tr>
        <w:trPr>
          <w:trHeight w:val="192"/>
        </w:trPr>
        <w:tc>
          <w:tcPr>
            <w:tcW w:w="9380" w:type="dxa"/>
            <w:vAlign w:val="bottom"/>
          </w:tcPr>
          <w:p>
            <w:pPr>
              <w:spacing w:after="0"/>
              <w:rPr>
                <w:sz w:val="20"/>
                <w:szCs w:val="20"/>
                <w:color w:val="auto"/>
              </w:rPr>
            </w:pPr>
            <w:r>
              <w:rPr>
                <w:rFonts w:ascii="Arial" w:cs="Arial" w:eastAsia="Arial" w:hAnsi="Arial"/>
                <w:sz w:val="15"/>
                <w:szCs w:val="15"/>
                <w:color w:val="auto"/>
              </w:rPr>
              <w:t>Miscellaneous expenses, net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w:t>
            </w:r>
          </w:p>
        </w:tc>
        <w:tc>
          <w:tcPr>
            <w:tcW w:w="60" w:type="dxa"/>
            <w:vAlign w:val="bottom"/>
          </w:tcPr>
          <w:p>
            <w:pPr>
              <w:spacing w:after="0"/>
              <w:rPr>
                <w:sz w:val="16"/>
                <w:szCs w:val="16"/>
                <w:color w:val="auto"/>
              </w:rPr>
            </w:pPr>
          </w:p>
        </w:tc>
      </w:tr>
      <w:tr>
        <w:trPr>
          <w:trHeight w:val="188"/>
        </w:trPr>
        <w:tc>
          <w:tcPr>
            <w:tcW w:w="93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90"/>
              </w:rPr>
              <w:t>$</w:t>
            </w:r>
            <w:r>
              <w:rPr>
                <w:rFonts w:ascii="Arial" w:cs="Arial" w:eastAsia="Arial" w:hAnsi="Arial"/>
                <w:sz w:val="15"/>
                <w:szCs w:val="15"/>
                <w:color w:val="auto"/>
                <w:w w:val="90"/>
              </w:rPr>
              <w:t>13.4</w:t>
            </w:r>
          </w:p>
        </w:tc>
        <w:tc>
          <w:tcPr>
            <w:tcW w:w="2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60" w:type="dxa"/>
            <w:vAlign w:val="bottom"/>
            <w:shd w:val="clear" w:color="auto" w:fill="CCEEFF"/>
          </w:tcPr>
          <w:p>
            <w:pPr>
              <w:spacing w:after="0"/>
              <w:rPr>
                <w:sz w:val="16"/>
                <w:szCs w:val="16"/>
                <w:color w:val="auto"/>
              </w:rPr>
            </w:pPr>
          </w:p>
        </w:tc>
      </w:tr>
      <w:tr>
        <w:trPr>
          <w:trHeight w:val="20"/>
        </w:trPr>
        <w:tc>
          <w:tcPr>
            <w:tcW w:w="9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6"/>
          </w:cols>
          <w:pgMar w:left="234" w:top="262" w:right="219" w:bottom="1440" w:gutter="0" w:footer="0" w:header="0"/>
        </w:sectPr>
      </w:pPr>
    </w:p>
    <w:bookmarkStart w:id="8" w:name="page9"/>
    <w:bookmarkEnd w:id="8"/>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Results of Operations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 except per share data)</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80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2"/>
                <w:szCs w:val="12"/>
                <w:b w:val="1"/>
                <w:bCs w:val="1"/>
                <w:color w:val="auto"/>
                <w:w w:val="92"/>
              </w:rPr>
              <w:t>Nine Months Ended September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8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8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5"/>
              <w:spacing w:after="0"/>
              <w:rPr>
                <w:sz w:val="20"/>
                <w:szCs w:val="20"/>
                <w:color w:val="auto"/>
              </w:rPr>
            </w:pPr>
            <w:r>
              <w:rPr>
                <w:rFonts w:ascii="Arial" w:cs="Arial" w:eastAsia="Arial" w:hAnsi="Arial"/>
                <w:sz w:val="12"/>
                <w:szCs w:val="12"/>
                <w:b w:val="1"/>
                <w:bCs w:val="1"/>
                <w:color w:val="auto"/>
              </w:rPr>
              <w:t>2008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6"/>
              <w:spacing w:after="0"/>
              <w:rPr>
                <w:sz w:val="20"/>
                <w:szCs w:val="20"/>
                <w:color w:val="auto"/>
              </w:rPr>
            </w:pPr>
            <w:r>
              <w:rPr>
                <w:rFonts w:ascii="Arial" w:cs="Arial" w:eastAsia="Arial" w:hAnsi="Arial"/>
                <w:sz w:val="12"/>
                <w:szCs w:val="12"/>
                <w:b w:val="1"/>
                <w:bCs w:val="1"/>
                <w:color w:val="auto"/>
              </w:rPr>
              <w:t>2007</w:t>
            </w:r>
          </w:p>
        </w:tc>
        <w:tc>
          <w:tcPr>
            <w:tcW w:w="3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7"/>
              </w:rPr>
              <w:t>Reported</w:t>
            </w:r>
          </w:p>
        </w:tc>
        <w:tc>
          <w:tcPr>
            <w:tcW w:w="4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4"/>
          </w:tcPr>
          <w:p>
            <w:pPr>
              <w:ind w:left="30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8"/>
              </w:rPr>
              <w:t>16,959.9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14,865.4</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14.1%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88"/>
        </w:trPr>
        <w:tc>
          <w:tcPr>
            <w:tcW w:w="8000" w:type="dxa"/>
            <w:vAlign w:val="bottom"/>
          </w:tcPr>
          <w:p>
            <w:pPr>
              <w:spacing w:after="0"/>
              <w:rPr>
                <w:sz w:val="20"/>
                <w:szCs w:val="20"/>
                <w:color w:val="auto"/>
              </w:rPr>
            </w:pPr>
            <w:r>
              <w:rPr>
                <w:rFonts w:ascii="Arial" w:cs="Arial" w:eastAsia="Arial" w:hAnsi="Arial"/>
                <w:sz w:val="15"/>
                <w:szCs w:val="15"/>
                <w:color w:val="auto"/>
              </w:rPr>
              <w:t>Cost of services</w:t>
            </w:r>
          </w:p>
        </w:tc>
        <w:tc>
          <w:tcPr>
            <w:tcW w:w="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w w:val="88"/>
              </w:rPr>
              <w:t>13,811.0</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88"/>
              </w:rPr>
              <w:t>12,066.9</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14.5%</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0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3,148.9</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2,798.5</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12.5%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88"/>
        </w:trPr>
        <w:tc>
          <w:tcPr>
            <w:tcW w:w="8000" w:type="dxa"/>
            <w:vAlign w:val="bottom"/>
          </w:tcPr>
          <w:p>
            <w:pPr>
              <w:spacing w:after="0"/>
              <w:rPr>
                <w:sz w:val="20"/>
                <w:szCs w:val="20"/>
                <w:color w:val="auto"/>
              </w:rPr>
            </w:pPr>
            <w:r>
              <w:rPr>
                <w:rFonts w:ascii="Arial" w:cs="Arial" w:eastAsia="Arial" w:hAnsi="Arial"/>
                <w:sz w:val="15"/>
                <w:szCs w:val="15"/>
                <w:color w:val="auto"/>
              </w:rPr>
              <w:t>Selling and administrative expenses, excluding impairment charge</w:t>
            </w:r>
          </w:p>
        </w:tc>
        <w:tc>
          <w:tcPr>
            <w:tcW w:w="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2,625.5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2,196.3</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19.5%</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spacing w:after="0"/>
              <w:rPr>
                <w:sz w:val="20"/>
                <w:szCs w:val="20"/>
                <w:color w:val="auto"/>
              </w:rPr>
            </w:pPr>
            <w:r>
              <w:rPr>
                <w:rFonts w:ascii="Arial" w:cs="Arial" w:eastAsia="Arial" w:hAnsi="Arial"/>
                <w:sz w:val="15"/>
                <w:szCs w:val="15"/>
                <w:color w:val="auto"/>
              </w:rPr>
              <w:t>Goodwill and intangible asset impairment (b)</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163.1</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N/A</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380"/>
              <w:spacing w:after="0"/>
              <w:rPr>
                <w:sz w:val="20"/>
                <w:szCs w:val="20"/>
                <w:color w:val="auto"/>
              </w:rPr>
            </w:pPr>
            <w:r>
              <w:rPr>
                <w:rFonts w:ascii="Arial" w:cs="Arial" w:eastAsia="Arial" w:hAnsi="Arial"/>
                <w:sz w:val="15"/>
                <w:szCs w:val="15"/>
                <w:color w:val="auto"/>
              </w:rPr>
              <w:t>Selling and administrative expenses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27.0%</w:t>
            </w:r>
          </w:p>
        </w:tc>
        <w:tc>
          <w:tcPr>
            <w:tcW w:w="620" w:type="dxa"/>
            <w:vAlign w:val="bottom"/>
            <w:gridSpan w:val="2"/>
            <w:vMerge w:val="restart"/>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line="20" w:lineRule="exact"/>
              <w:rPr>
                <w:sz w:val="1"/>
                <w:szCs w:val="1"/>
                <w:color w:val="auto"/>
              </w:rPr>
            </w:pPr>
          </w:p>
        </w:tc>
      </w:tr>
      <w:tr>
        <w:trPr>
          <w:trHeight w:val="191"/>
        </w:trPr>
        <w:tc>
          <w:tcPr>
            <w:tcW w:w="8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2,788.6</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2,196.3</w:t>
            </w:r>
          </w:p>
        </w:tc>
        <w:tc>
          <w:tcPr>
            <w:tcW w:w="1240" w:type="dxa"/>
            <w:vAlign w:val="bottom"/>
            <w:gridSpan w:val="3"/>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360.3</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602.2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-40.2%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-49.7%</w:t>
            </w:r>
          </w:p>
        </w:tc>
        <w:tc>
          <w:tcPr>
            <w:tcW w:w="0" w:type="dxa"/>
            <w:vAlign w:val="bottom"/>
          </w:tcPr>
          <w:p>
            <w:pPr>
              <w:spacing w:after="0"/>
              <w:rPr>
                <w:sz w:val="1"/>
                <w:szCs w:val="1"/>
                <w:color w:val="auto"/>
              </w:rPr>
            </w:pPr>
          </w:p>
        </w:tc>
      </w:tr>
      <w:tr>
        <w:trPr>
          <w:trHeight w:val="188"/>
        </w:trPr>
        <w:tc>
          <w:tcPr>
            <w:tcW w:w="800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38.6</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26.4</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46.6%</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0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321.7</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575.8</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-44.1%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-54.3%</w:t>
            </w:r>
          </w:p>
        </w:tc>
        <w:tc>
          <w:tcPr>
            <w:tcW w:w="0" w:type="dxa"/>
            <w:vAlign w:val="bottom"/>
          </w:tcPr>
          <w:p>
            <w:pPr>
              <w:spacing w:after="0"/>
              <w:rPr>
                <w:sz w:val="1"/>
                <w:szCs w:val="1"/>
                <w:color w:val="auto"/>
              </w:rPr>
            </w:pPr>
          </w:p>
        </w:tc>
      </w:tr>
      <w:tr>
        <w:trPr>
          <w:trHeight w:val="188"/>
        </w:trPr>
        <w:tc>
          <w:tcPr>
            <w:tcW w:w="800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182.0</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224.2</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-18.9%</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0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139.7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351.6</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-60.3%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-70.4%</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5"/>
                <w:szCs w:val="15"/>
                <w:color w:val="auto"/>
              </w:rPr>
              <w:t>Net earnings per share -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-57.8%</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1.77</w:t>
            </w:r>
          </w:p>
        </w:tc>
        <w:tc>
          <w:tcPr>
            <w:tcW w:w="3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4.19</w:t>
            </w:r>
          </w:p>
        </w:tc>
        <w:tc>
          <w:tcPr>
            <w:tcW w:w="12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0" w:type="dxa"/>
            <w:vAlign w:val="bottom"/>
            <w:shd w:val="clear" w:color="auto" w:fill="CCEEFF"/>
          </w:tcPr>
          <w:p>
            <w:pPr>
              <w:spacing w:after="0"/>
              <w:rPr>
                <w:sz w:val="20"/>
                <w:szCs w:val="20"/>
                <w:color w:val="auto"/>
              </w:rPr>
            </w:pPr>
            <w:r>
              <w:rPr>
                <w:rFonts w:ascii="Arial" w:cs="Arial" w:eastAsia="Arial" w:hAnsi="Arial"/>
                <w:sz w:val="15"/>
                <w:szCs w:val="15"/>
                <w:color w:val="auto"/>
              </w:rPr>
              <w:t>Net earnings per share -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-57.3%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5"/>
                <w:szCs w:val="15"/>
                <w:color w:val="auto"/>
              </w:rPr>
              <w:t>Weighted average shares -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-5.8%</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79.1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84.0</w:t>
            </w:r>
          </w:p>
        </w:tc>
        <w:tc>
          <w:tcPr>
            <w:tcW w:w="12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80.0</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-6.7%</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jc w:val="both"/>
        <w:ind w:left="446" w:right="80" w:hanging="446"/>
        <w:spacing w:after="0" w:line="264" w:lineRule="auto"/>
        <w:tabs>
          <w:tab w:leader="none" w:pos="446" w:val="left"/>
        </w:tabs>
        <w:numPr>
          <w:ilvl w:val="0"/>
          <w:numId w:val="4"/>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$23.6 million and $26.8 million for the nine months ended September 30, 2008 and 2007, respectively. These fees are primarily based on revenues generated by the franchise offices, which were $911.6 million and $1,111.6 million for the nine months ended September 30, 2008 and 2007,</w:t>
      </w:r>
    </w:p>
    <w:p>
      <w:pPr>
        <w:spacing w:after="0" w:line="1" w:lineRule="exact"/>
        <w:rPr>
          <w:rFonts w:ascii="Arial" w:cs="Arial" w:eastAsia="Arial" w:hAnsi="Arial"/>
          <w:sz w:val="15"/>
          <w:szCs w:val="15"/>
          <w:color w:val="auto"/>
        </w:rPr>
      </w:pPr>
    </w:p>
    <w:p>
      <w:pPr>
        <w:ind w:left="466"/>
        <w:spacing w:after="0"/>
        <w:rPr>
          <w:rFonts w:ascii="Arial" w:cs="Arial" w:eastAsia="Arial" w:hAnsi="Arial"/>
          <w:sz w:val="15"/>
          <w:szCs w:val="15"/>
          <w:color w:val="auto"/>
        </w:rPr>
      </w:pPr>
      <w:r>
        <w:rPr>
          <w:rFonts w:ascii="Arial" w:cs="Arial" w:eastAsia="Arial" w:hAnsi="Arial"/>
          <w:sz w:val="15"/>
          <w:szCs w:val="15"/>
          <w:color w:val="auto"/>
        </w:rPr>
        <w:t>respectively.</w:t>
      </w:r>
    </w:p>
    <w:p>
      <w:pPr>
        <w:spacing w:after="0" w:line="80" w:lineRule="exact"/>
        <w:rPr>
          <w:rFonts w:ascii="Arial" w:cs="Arial" w:eastAsia="Arial" w:hAnsi="Arial"/>
          <w:sz w:val="15"/>
          <w:szCs w:val="15"/>
          <w:color w:val="auto"/>
        </w:rPr>
      </w:pPr>
    </w:p>
    <w:p>
      <w:pPr>
        <w:ind w:left="446" w:hanging="446"/>
        <w:spacing w:after="0"/>
        <w:tabs>
          <w:tab w:leader="none" w:pos="44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goodwill and intangible asset impairment relates to our investment in Right Management. The impact on net earnings is $154.6 million, or $1.93 per diluted share.</w:t>
      </w:r>
    </w:p>
    <w:p>
      <w:pPr>
        <w:sectPr>
          <w:pgSz w:w="11900" w:h="16838" w:orient="portrait"/>
          <w:cols w:equalWidth="0" w:num="1">
            <w:col w:w="11446"/>
          </w:cols>
          <w:pgMar w:left="234" w:top="262" w:right="219" w:bottom="1440" w:gutter="0" w:footer="0" w:header="0"/>
        </w:sectPr>
      </w:pPr>
    </w:p>
    <w:bookmarkStart w:id="9" w:name="page10"/>
    <w:bookmarkEnd w:id="9"/>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Operating Unit Results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79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2"/>
                <w:szCs w:val="12"/>
                <w:b w:val="1"/>
                <w:bCs w:val="1"/>
                <w:color w:val="auto"/>
                <w:w w:val="91"/>
              </w:rPr>
              <w:t>Nine Months Ended September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7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7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4"/>
              <w:spacing w:after="0"/>
              <w:rPr>
                <w:sz w:val="20"/>
                <w:szCs w:val="20"/>
                <w:color w:val="auto"/>
              </w:rPr>
            </w:pPr>
            <w:r>
              <w:rPr>
                <w:rFonts w:ascii="Arial" w:cs="Arial" w:eastAsia="Arial" w:hAnsi="Arial"/>
                <w:sz w:val="12"/>
                <w:szCs w:val="12"/>
                <w:b w:val="1"/>
                <w:bCs w:val="1"/>
                <w:color w:val="auto"/>
              </w:rPr>
              <w:t>2008</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5"/>
              <w:spacing w:after="0"/>
              <w:rPr>
                <w:sz w:val="20"/>
                <w:szCs w:val="20"/>
                <w:color w:val="auto"/>
              </w:rPr>
            </w:pPr>
            <w:r>
              <w:rPr>
                <w:rFonts w:ascii="Arial" w:cs="Arial" w:eastAsia="Arial" w:hAnsi="Arial"/>
                <w:sz w:val="12"/>
                <w:szCs w:val="12"/>
                <w:b w:val="1"/>
                <w:bCs w:val="1"/>
                <w:color w:val="auto"/>
              </w:rPr>
              <w:t>2007</w:t>
            </w:r>
          </w:p>
        </w:tc>
        <w:tc>
          <w:tcPr>
            <w:tcW w:w="3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7"/>
              </w:rPr>
              <w:t>Reported</w:t>
            </w:r>
          </w:p>
        </w:tc>
        <w:tc>
          <w:tcPr>
            <w:tcW w:w="4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7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4"/>
          </w:tcPr>
          <w:p>
            <w:pPr>
              <w:jc w:val="right"/>
              <w:ind w:right="88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960" w:type="dxa"/>
            <w:vAlign w:val="bottom"/>
          </w:tcPr>
          <w:p>
            <w:pPr>
              <w:ind w:left="380"/>
              <w:spacing w:after="0"/>
              <w:rPr>
                <w:sz w:val="20"/>
                <w:szCs w:val="20"/>
                <w:color w:val="auto"/>
              </w:rPr>
            </w:pPr>
            <w:r>
              <w:rPr>
                <w:rFonts w:ascii="Arial" w:cs="Arial" w:eastAsia="Arial" w:hAnsi="Arial"/>
                <w:sz w:val="15"/>
                <w:szCs w:val="15"/>
                <w:color w:val="auto"/>
              </w:rPr>
              <w:t>United States (a)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1,482.9</w:t>
            </w:r>
          </w:p>
        </w:tc>
        <w:tc>
          <w:tcPr>
            <w:tcW w:w="1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1,474.4</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0.6%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5,584.2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5,149.2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8.4%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88"/>
        </w:trPr>
        <w:tc>
          <w:tcPr>
            <w:tcW w:w="7960" w:type="dxa"/>
            <w:vAlign w:val="bottom"/>
          </w:tcPr>
          <w:p>
            <w:pPr>
              <w:ind w:left="380"/>
              <w:spacing w:after="0"/>
              <w:rPr>
                <w:sz w:val="20"/>
                <w:szCs w:val="20"/>
                <w:color w:val="auto"/>
              </w:rPr>
            </w:pPr>
            <w:r>
              <w:rPr>
                <w:rFonts w:ascii="Arial" w:cs="Arial" w:eastAsia="Arial" w:hAnsi="Arial"/>
                <w:sz w:val="15"/>
                <w:szCs w:val="15"/>
                <w:color w:val="auto"/>
              </w:rPr>
              <w:t>Other EMEA</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5,856.1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4,798.7</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22.0%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Italy</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1,218.3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993.1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22.7%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88"/>
        </w:trPr>
        <w:tc>
          <w:tcPr>
            <w:tcW w:w="7960" w:type="dxa"/>
            <w:vAlign w:val="bottom"/>
          </w:tcPr>
          <w:p>
            <w:pPr>
              <w:ind w:left="380"/>
              <w:spacing w:after="0"/>
              <w:rPr>
                <w:sz w:val="20"/>
                <w:szCs w:val="20"/>
                <w:color w:val="auto"/>
              </w:rPr>
            </w:pPr>
            <w:r>
              <w:rPr>
                <w:rFonts w:ascii="Arial" w:cs="Arial" w:eastAsia="Arial" w:hAnsi="Arial"/>
                <w:sz w:val="15"/>
                <w:szCs w:val="15"/>
                <w:color w:val="auto"/>
              </w:rPr>
              <w:t>Jefferson Wells</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250.6</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-9.3%</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Right Management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298.4</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9.5%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92"/>
        </w:trPr>
        <w:tc>
          <w:tcPr>
            <w:tcW w:w="7960" w:type="dxa"/>
            <w:vAlign w:val="bottom"/>
          </w:tcPr>
          <w:p>
            <w:pPr>
              <w:ind w:left="380"/>
              <w:spacing w:after="0"/>
              <w:rPr>
                <w:sz w:val="20"/>
                <w:szCs w:val="20"/>
                <w:color w:val="auto"/>
              </w:rPr>
            </w:pPr>
            <w:r>
              <w:rPr>
                <w:rFonts w:ascii="Arial" w:cs="Arial" w:eastAsia="Arial" w:hAnsi="Arial"/>
                <w:sz w:val="15"/>
                <w:szCs w:val="15"/>
                <w:color w:val="auto"/>
              </w:rPr>
              <w:t>Other Operations</w:t>
            </w: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1,901.0</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19.1%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16,959.9</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14,865.4</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14.1%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5"/>
                <w:szCs w:val="15"/>
                <w:color w:val="auto"/>
              </w:rPr>
              <w:t>Operating Unit Profit: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-44.7%</w:t>
            </w:r>
          </w:p>
        </w:tc>
        <w:tc>
          <w:tcPr>
            <w:tcW w:w="0" w:type="dxa"/>
            <w:vAlign w:val="bottom"/>
          </w:tcPr>
          <w:p>
            <w:pPr>
              <w:spacing w:after="0"/>
              <w:rPr>
                <w:sz w:val="1"/>
                <w:szCs w:val="1"/>
                <w:color w:val="auto"/>
              </w:rPr>
            </w:pPr>
          </w:p>
        </w:tc>
      </w:tr>
      <w:tr>
        <w:trPr>
          <w:trHeight w:val="188"/>
        </w:trPr>
        <w:tc>
          <w:tcPr>
            <w:tcW w:w="7960" w:type="dxa"/>
            <w:vAlign w:val="bottom"/>
          </w:tcPr>
          <w:p>
            <w:pPr>
              <w:ind w:left="380"/>
              <w:spacing w:after="0"/>
              <w:rPr>
                <w:sz w:val="20"/>
                <w:szCs w:val="20"/>
                <w:color w:val="auto"/>
              </w:rPr>
            </w:pPr>
            <w:r>
              <w:rPr>
                <w:rFonts w:ascii="Arial" w:cs="Arial" w:eastAsia="Arial" w:hAnsi="Arial"/>
                <w:sz w:val="15"/>
                <w:szCs w:val="15"/>
                <w:color w:val="auto"/>
              </w:rPr>
              <w:t>France</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189.9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308.3</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-38.4%</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-45.6%</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EMEA</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166.8</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25.4%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188"/>
        </w:trPr>
        <w:tc>
          <w:tcPr>
            <w:tcW w:w="7960" w:type="dxa"/>
            <w:vAlign w:val="bottom"/>
          </w:tcPr>
          <w:p>
            <w:pPr>
              <w:ind w:left="380"/>
              <w:spacing w:after="0"/>
              <w:rPr>
                <w:sz w:val="20"/>
                <w:szCs w:val="20"/>
                <w:color w:val="auto"/>
              </w:rPr>
            </w:pPr>
            <w:r>
              <w:rPr>
                <w:rFonts w:ascii="Arial" w:cs="Arial" w:eastAsia="Arial" w:hAnsi="Arial"/>
                <w:sz w:val="15"/>
                <w:szCs w:val="15"/>
                <w:color w:val="auto"/>
              </w:rPr>
              <w:t>Italy</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70.1</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36.9%</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(5.8)</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N/A</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8"/>
        </w:trPr>
        <w:tc>
          <w:tcPr>
            <w:tcW w:w="796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22.8</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21.0%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46.6</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1"/>
        </w:trPr>
        <w:tc>
          <w:tcPr>
            <w:tcW w:w="7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603.0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676.7</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6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960" w:type="dxa"/>
            <w:vAlign w:val="bottom"/>
          </w:tcPr>
          <w:p>
            <w:pPr>
              <w:spacing w:after="0"/>
              <w:rPr>
                <w:sz w:val="20"/>
                <w:szCs w:val="20"/>
                <w:color w:val="auto"/>
              </w:rPr>
            </w:pPr>
            <w:r>
              <w:rPr>
                <w:rFonts w:ascii="Arial" w:cs="Arial" w:eastAsia="Arial" w:hAnsi="Arial"/>
                <w:sz w:val="15"/>
                <w:szCs w:val="15"/>
                <w:color w:val="auto"/>
              </w:rPr>
              <w:t>Goodwill and intangible asset impairment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163.1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intangible assets</w:t>
            </w: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960" w:type="dxa"/>
            <w:vAlign w:val="bottom"/>
          </w:tcPr>
          <w:p>
            <w:pPr>
              <w:ind w:left="380"/>
              <w:spacing w:after="0"/>
              <w:rPr>
                <w:sz w:val="20"/>
                <w:szCs w:val="20"/>
                <w:color w:val="auto"/>
              </w:rPr>
            </w:pPr>
            <w:r>
              <w:rPr>
                <w:rFonts w:ascii="Arial" w:cs="Arial" w:eastAsia="Arial" w:hAnsi="Arial"/>
                <w:sz w:val="15"/>
                <w:szCs w:val="15"/>
                <w:color w:val="auto"/>
              </w:rPr>
              <w:t>Operating profit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360.3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602.2</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-40.2%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-49.7%</w:t>
            </w:r>
          </w:p>
        </w:tc>
        <w:tc>
          <w:tcPr>
            <w:tcW w:w="0" w:type="dxa"/>
            <w:vAlign w:val="bottom"/>
          </w:tcPr>
          <w:p>
            <w:pPr>
              <w:spacing w:after="0"/>
              <w:rPr>
                <w:sz w:val="1"/>
                <w:szCs w:val="1"/>
                <w:color w:val="auto"/>
              </w:rPr>
            </w:pPr>
          </w:p>
        </w:tc>
      </w:tr>
      <w:tr>
        <w:trPr>
          <w:trHeight w:val="189"/>
        </w:trPr>
        <w:tc>
          <w:tcPr>
            <w:tcW w:w="7960" w:type="dxa"/>
            <w:vAlign w:val="bottom"/>
            <w:shd w:val="clear" w:color="auto" w:fill="CCEEFF"/>
          </w:tcPr>
          <w:p>
            <w:pPr>
              <w:spacing w:after="0"/>
              <w:rPr>
                <w:sz w:val="20"/>
                <w:szCs w:val="20"/>
                <w:color w:val="auto"/>
              </w:rPr>
            </w:pPr>
            <w:r>
              <w:rPr>
                <w:rFonts w:ascii="Arial" w:cs="Arial" w:eastAsia="Arial" w:hAnsi="Arial"/>
                <w:sz w:val="15"/>
                <w:szCs w:val="15"/>
                <w:color w:val="auto"/>
              </w:rPr>
              <w:t>Interest and other expenses (b)</w:t>
            </w: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960" w:type="dxa"/>
            <w:vAlign w:val="bottom"/>
          </w:tcPr>
          <w:p>
            <w:pPr>
              <w:ind w:left="380"/>
              <w:spacing w:after="0"/>
              <w:rPr>
                <w:sz w:val="20"/>
                <w:szCs w:val="20"/>
                <w:color w:val="auto"/>
              </w:rPr>
            </w:pPr>
            <w:r>
              <w:rPr>
                <w:rFonts w:ascii="Arial" w:cs="Arial" w:eastAsia="Arial" w:hAnsi="Arial"/>
                <w:sz w:val="15"/>
                <w:szCs w:val="15"/>
                <w:color w:val="auto"/>
              </w:rPr>
              <w:t>Earnings before 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321.7</w:t>
            </w:r>
          </w:p>
        </w:tc>
        <w:tc>
          <w:tcPr>
            <w:tcW w:w="1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575.8</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446" w:right="40" w:hanging="446"/>
        <w:spacing w:after="0" w:line="276" w:lineRule="auto"/>
        <w:tabs>
          <w:tab w:leader="none" w:pos="446"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our franchise offices of $13.8 million and $18.3 million for the nine months ended September 30, 2008 and 2007, respectively. These fees are primarily based on revenues generated by the franchise offices, which were $602.7 million and $818.3 million for the nine months ended September 30, 2008 and 2007, respectively.</w:t>
      </w:r>
    </w:p>
    <w:p>
      <w:pPr>
        <w:spacing w:after="0" w:line="39" w:lineRule="exact"/>
        <w:rPr>
          <w:rFonts w:ascii="Arial" w:cs="Arial" w:eastAsia="Arial" w:hAnsi="Arial"/>
          <w:sz w:val="15"/>
          <w:szCs w:val="15"/>
          <w:color w:val="auto"/>
        </w:rPr>
      </w:pPr>
    </w:p>
    <w:p>
      <w:pPr>
        <w:ind w:left="446" w:hanging="446"/>
        <w:spacing w:after="0"/>
        <w:tabs>
          <w:tab w:leader="none" w:pos="446"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188" w:lineRule="exact"/>
        <w:rPr>
          <w:sz w:val="20"/>
          <w:szCs w:val="20"/>
          <w:color w:val="auto"/>
        </w:rPr>
      </w:pPr>
    </w:p>
    <w:tbl>
      <w:tblPr>
        <w:tblLayout w:type="fixed"/>
        <w:tblInd w:w="466" w:type="dxa"/>
        <w:tblCellMar>
          <w:top w:w="0" w:type="dxa"/>
          <w:left w:w="0" w:type="dxa"/>
          <w:bottom w:w="0" w:type="dxa"/>
          <w:right w:w="0" w:type="dxa"/>
        </w:tblCellMar>
      </w:tblPr>
      <w:tr>
        <w:trPr>
          <w:trHeight w:val="140"/>
        </w:trPr>
        <w:tc>
          <w:tcPr>
            <w:tcW w:w="54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w w:val="82"/>
              </w:rPr>
              <w:t>2008</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b w:val="1"/>
                <w:bCs w:val="1"/>
                <w:color w:val="auto"/>
                <w:w w:val="82"/>
              </w:rPr>
              <w:t>2007</w:t>
            </w:r>
          </w:p>
        </w:tc>
        <w:tc>
          <w:tcPr>
            <w:tcW w:w="60" w:type="dxa"/>
            <w:vAlign w:val="bottom"/>
          </w:tcPr>
          <w:p>
            <w:pPr>
              <w:spacing w:after="0"/>
              <w:rPr>
                <w:sz w:val="12"/>
                <w:szCs w:val="12"/>
                <w:color w:val="auto"/>
              </w:rPr>
            </w:pPr>
          </w:p>
        </w:tc>
      </w:tr>
      <w:tr>
        <w:trPr>
          <w:trHeight w:val="180"/>
        </w:trPr>
        <w:tc>
          <w:tcPr>
            <w:tcW w:w="54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48.9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w:t>
            </w:r>
          </w:p>
        </w:tc>
        <w:tc>
          <w:tcPr>
            <w:tcW w:w="60" w:type="dxa"/>
            <w:vAlign w:val="bottom"/>
            <w:shd w:val="clear" w:color="auto" w:fill="CCEEFF"/>
          </w:tcPr>
          <w:p>
            <w:pPr>
              <w:spacing w:after="0"/>
              <w:rPr>
                <w:sz w:val="15"/>
                <w:szCs w:val="15"/>
                <w:color w:val="auto"/>
              </w:rPr>
            </w:pPr>
          </w:p>
        </w:tc>
      </w:tr>
      <w:tr>
        <w:trPr>
          <w:trHeight w:val="188"/>
        </w:trPr>
        <w:tc>
          <w:tcPr>
            <w:tcW w:w="5460" w:type="dxa"/>
            <w:vAlign w:val="bottom"/>
          </w:tcPr>
          <w:p>
            <w:pPr>
              <w:spacing w:after="0"/>
              <w:rPr>
                <w:sz w:val="20"/>
                <w:szCs w:val="20"/>
                <w:color w:val="auto"/>
              </w:rPr>
            </w:pPr>
            <w:r>
              <w:rPr>
                <w:rFonts w:ascii="Arial" w:cs="Arial" w:eastAsia="Arial" w:hAnsi="Arial"/>
                <w:sz w:val="15"/>
                <w:szCs w:val="15"/>
                <w:color w:val="auto"/>
              </w:rPr>
              <w:t>Interest income</w:t>
            </w:r>
          </w:p>
        </w:tc>
        <w:tc>
          <w:tcPr>
            <w:tcW w:w="3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5"/>
                <w:szCs w:val="15"/>
                <w:color w:val="auto"/>
                <w:w w:val="91"/>
              </w:rPr>
              <w:t>(16.5)</w:t>
            </w:r>
          </w:p>
        </w:tc>
        <w:tc>
          <w:tcPr>
            <w:tcW w:w="8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5"/>
                <w:szCs w:val="15"/>
                <w:color w:val="auto"/>
                <w:w w:val="91"/>
              </w:rPr>
              <w:t>(17.1)</w:t>
            </w:r>
          </w:p>
        </w:tc>
      </w:tr>
      <w:tr>
        <w:trPr>
          <w:trHeight w:val="188"/>
        </w:trPr>
        <w:tc>
          <w:tcPr>
            <w:tcW w:w="546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(gain) loss</w:t>
            </w:r>
          </w:p>
        </w:tc>
        <w:tc>
          <w:tcPr>
            <w:tcW w:w="3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60" w:type="dxa"/>
            <w:vAlign w:val="bottom"/>
            <w:shd w:val="clear" w:color="auto" w:fill="CCEEFF"/>
          </w:tcPr>
          <w:p>
            <w:pPr>
              <w:spacing w:after="0"/>
              <w:rPr>
                <w:sz w:val="16"/>
                <w:szCs w:val="16"/>
                <w:color w:val="auto"/>
              </w:rPr>
            </w:pPr>
          </w:p>
        </w:tc>
      </w:tr>
      <w:tr>
        <w:trPr>
          <w:trHeight w:val="188"/>
        </w:trPr>
        <w:tc>
          <w:tcPr>
            <w:tcW w:w="5460" w:type="dxa"/>
            <w:vAlign w:val="bottom"/>
          </w:tcPr>
          <w:p>
            <w:pPr>
              <w:spacing w:after="0"/>
              <w:rPr>
                <w:sz w:val="20"/>
                <w:szCs w:val="20"/>
                <w:color w:val="auto"/>
              </w:rPr>
            </w:pPr>
            <w:r>
              <w:rPr>
                <w:rFonts w:ascii="Arial" w:cs="Arial" w:eastAsia="Arial" w:hAnsi="Arial"/>
                <w:sz w:val="15"/>
                <w:szCs w:val="15"/>
                <w:color w:val="auto"/>
              </w:rPr>
              <w:t>Miscellaneous expenses, net</w:t>
            </w:r>
          </w:p>
        </w:tc>
        <w:tc>
          <w:tcPr>
            <w:tcW w:w="3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4.1</w:t>
            </w:r>
          </w:p>
        </w:tc>
        <w:tc>
          <w:tcPr>
            <w:tcW w:w="60" w:type="dxa"/>
            <w:vAlign w:val="bottom"/>
          </w:tcPr>
          <w:p>
            <w:pPr>
              <w:spacing w:after="0"/>
              <w:rPr>
                <w:sz w:val="16"/>
                <w:szCs w:val="16"/>
                <w:color w:val="auto"/>
              </w:rPr>
            </w:pPr>
          </w:p>
        </w:tc>
      </w:tr>
      <w:tr>
        <w:trPr>
          <w:trHeight w:val="24"/>
        </w:trPr>
        <w:tc>
          <w:tcPr>
            <w:tcW w:w="54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8"/>
        </w:trPr>
        <w:tc>
          <w:tcPr>
            <w:tcW w:w="5460" w:type="dxa"/>
            <w:vAlign w:val="bottom"/>
            <w:shd w:val="clear" w:color="auto" w:fill="CCEEFF"/>
          </w:tcPr>
          <w:p>
            <w:pPr>
              <w:spacing w:after="0"/>
              <w:rPr>
                <w:sz w:val="16"/>
                <w:szCs w:val="16"/>
                <w:color w:val="auto"/>
              </w:rPr>
            </w:pP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38.6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60" w:type="dxa"/>
            <w:vAlign w:val="bottom"/>
            <w:shd w:val="clear" w:color="auto" w:fill="CCEEFF"/>
          </w:tcPr>
          <w:p>
            <w:pPr>
              <w:spacing w:after="0"/>
              <w:rPr>
                <w:sz w:val="16"/>
                <w:szCs w:val="16"/>
                <w:color w:val="auto"/>
              </w:rPr>
            </w:pPr>
          </w:p>
        </w:tc>
      </w:tr>
      <w:tr>
        <w:trPr>
          <w:trHeight w:val="20"/>
        </w:trPr>
        <w:tc>
          <w:tcPr>
            <w:tcW w:w="54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6"/>
          </w:cols>
          <w:pgMar w:left="234" w:top="262"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Balance Sheets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93"/>
              <w:spacing w:after="0"/>
              <w:rPr>
                <w:sz w:val="20"/>
                <w:szCs w:val="20"/>
                <w:color w:val="auto"/>
              </w:rPr>
            </w:pPr>
            <w:r>
              <w:rPr>
                <w:rFonts w:ascii="Arial" w:cs="Arial" w:eastAsia="Arial" w:hAnsi="Arial"/>
                <w:sz w:val="12"/>
                <w:szCs w:val="12"/>
                <w:b w:val="1"/>
                <w:bCs w:val="1"/>
                <w:color w:val="auto"/>
                <w:w w:val="85"/>
              </w:rPr>
              <w:t>Sep.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5"/>
              </w:rPr>
              <w:t>Dec. 31</w:t>
            </w:r>
          </w:p>
        </w:tc>
        <w:tc>
          <w:tcPr>
            <w:tcW w:w="0" w:type="dxa"/>
            <w:vAlign w:val="bottom"/>
          </w:tcPr>
          <w:p>
            <w:pPr>
              <w:spacing w:after="0"/>
              <w:rPr>
                <w:sz w:val="1"/>
                <w:szCs w:val="1"/>
                <w:color w:val="auto"/>
              </w:rPr>
            </w:pPr>
          </w:p>
        </w:tc>
      </w:tr>
      <w:tr>
        <w:trPr>
          <w:trHeight w:val="140"/>
        </w:trPr>
        <w:tc>
          <w:tcPr>
            <w:tcW w:w="9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auto"/>
              </w:rPr>
              <w:t>2008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gridSpan w:val="2"/>
          </w:tcPr>
          <w:p>
            <w:pPr>
              <w:spacing w:after="0"/>
              <w:rPr>
                <w:sz w:val="20"/>
                <w:szCs w:val="20"/>
                <w:color w:val="auto"/>
              </w:rPr>
            </w:pPr>
            <w:r>
              <w:rPr>
                <w:rFonts w:ascii="Arial" w:cs="Arial" w:eastAsia="Arial" w:hAnsi="Arial"/>
                <w:sz w:val="9"/>
                <w:szCs w:val="9"/>
                <w:b w:val="1"/>
                <w:bCs w:val="1"/>
                <w:color w:val="auto"/>
                <w:w w:val="75"/>
              </w:rPr>
              <w:t>(Unaudited)</w:t>
            </w:r>
          </w:p>
        </w:tc>
        <w:tc>
          <w:tcPr>
            <w:tcW w:w="6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78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632.0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537.5</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w w:val="95"/>
              </w:rPr>
              <w:t>4,290.2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4,478.8</w:t>
            </w: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Prepaid expenses and other assets</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177.9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122.2</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Future income tax benefits</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63.3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76.3</w:t>
            </w:r>
          </w:p>
        </w:tc>
        <w:tc>
          <w:tcPr>
            <w:tcW w:w="0" w:type="dxa"/>
            <w:vAlign w:val="bottom"/>
          </w:tcPr>
          <w:p>
            <w:pPr>
              <w:spacing w:after="0"/>
              <w:rPr>
                <w:sz w:val="1"/>
                <w:szCs w:val="1"/>
                <w:color w:val="auto"/>
              </w:rPr>
            </w:pPr>
          </w:p>
        </w:tc>
      </w:tr>
      <w:tr>
        <w:trPr>
          <w:trHeight w:val="24"/>
        </w:trPr>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78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current assets</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5,163.4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5,214.8</w:t>
            </w:r>
          </w:p>
        </w:tc>
        <w:tc>
          <w:tcPr>
            <w:tcW w:w="0" w:type="dxa"/>
            <w:vAlign w:val="bottom"/>
          </w:tcPr>
          <w:p>
            <w:pPr>
              <w:spacing w:after="0"/>
              <w:rPr>
                <w:sz w:val="1"/>
                <w:szCs w:val="1"/>
                <w:color w:val="auto"/>
              </w:rPr>
            </w:pPr>
          </w:p>
        </w:tc>
      </w:tr>
      <w:tr>
        <w:trPr>
          <w:trHeight w:val="188"/>
        </w:trPr>
        <w:tc>
          <w:tcPr>
            <w:tcW w:w="978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Goodwill and other intangible assets, net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1,410.8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1,410.7</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321.2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377.7</w:t>
            </w:r>
          </w:p>
        </w:tc>
        <w:tc>
          <w:tcPr>
            <w:tcW w:w="0" w:type="dxa"/>
            <w:vAlign w:val="bottom"/>
          </w:tcPr>
          <w:p>
            <w:pPr>
              <w:spacing w:after="0"/>
              <w:rPr>
                <w:sz w:val="1"/>
                <w:szCs w:val="1"/>
                <w:color w:val="auto"/>
              </w:rPr>
            </w:pPr>
          </w:p>
        </w:tc>
      </w:tr>
      <w:tr>
        <w:trPr>
          <w:trHeight w:val="24"/>
        </w:trPr>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78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other assets</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1,732.0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1,788.4</w:t>
            </w:r>
          </w:p>
        </w:tc>
        <w:tc>
          <w:tcPr>
            <w:tcW w:w="0" w:type="dxa"/>
            <w:vAlign w:val="bottom"/>
          </w:tcPr>
          <w:p>
            <w:pPr>
              <w:spacing w:after="0"/>
              <w:rPr>
                <w:sz w:val="1"/>
                <w:szCs w:val="1"/>
                <w:color w:val="auto"/>
              </w:rPr>
            </w:pPr>
          </w:p>
        </w:tc>
      </w:tr>
      <w:tr>
        <w:trPr>
          <w:trHeight w:val="188"/>
        </w:trPr>
        <w:tc>
          <w:tcPr>
            <w:tcW w:w="9780" w:type="dxa"/>
            <w:vAlign w:val="bottom"/>
          </w:tcPr>
          <w:p>
            <w:pPr>
              <w:spacing w:after="0"/>
              <w:rPr>
                <w:sz w:val="20"/>
                <w:szCs w:val="20"/>
                <w:color w:val="auto"/>
              </w:rPr>
            </w:pPr>
            <w:r>
              <w:rPr>
                <w:rFonts w:ascii="Arial" w:cs="Arial" w:eastAsia="Arial" w:hAnsi="Arial"/>
                <w:sz w:val="15"/>
                <w:szCs w:val="15"/>
                <w:b w:val="1"/>
                <w:bCs w:val="1"/>
                <w:color w:val="auto"/>
              </w:rPr>
              <w:t>Property and equipment: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Land, buildings, leasehold improvements and equipment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789.6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760.8</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Less: accumulated depreciation and amortization</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570.6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539.6</w:t>
            </w:r>
          </w:p>
        </w:tc>
        <w:tc>
          <w:tcPr>
            <w:tcW w:w="0" w:type="dxa"/>
            <w:vAlign w:val="bottom"/>
          </w:tcPr>
          <w:p>
            <w:pPr>
              <w:spacing w:after="0"/>
              <w:rPr>
                <w:sz w:val="1"/>
                <w:szCs w:val="1"/>
                <w:color w:val="auto"/>
              </w:rPr>
            </w:pPr>
          </w:p>
        </w:tc>
      </w:tr>
      <w:tr>
        <w:trPr>
          <w:trHeight w:val="24"/>
        </w:trPr>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7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Net property and equipment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219.0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221.2</w:t>
            </w:r>
          </w:p>
        </w:tc>
        <w:tc>
          <w:tcPr>
            <w:tcW w:w="0" w:type="dxa"/>
            <w:vAlign w:val="bottom"/>
          </w:tcPr>
          <w:p>
            <w:pPr>
              <w:spacing w:after="0"/>
              <w:rPr>
                <w:sz w:val="1"/>
                <w:szCs w:val="1"/>
                <w:color w:val="auto"/>
              </w:rPr>
            </w:pPr>
          </w:p>
        </w:tc>
      </w:tr>
      <w:tr>
        <w:trPr>
          <w:trHeight w:val="20"/>
        </w:trPr>
        <w:tc>
          <w:tcPr>
            <w:tcW w:w="9780" w:type="dxa"/>
            <w:vAlign w:val="bottom"/>
            <w:vMerge w:val="restart"/>
          </w:tcPr>
          <w:p>
            <w:pPr>
              <w:ind w:left="1120"/>
              <w:spacing w:after="0"/>
              <w:rPr>
                <w:sz w:val="20"/>
                <w:szCs w:val="20"/>
                <w:color w:val="auto"/>
              </w:rPr>
            </w:pPr>
            <w:r>
              <w:rPr>
                <w:rFonts w:ascii="Arial" w:cs="Arial" w:eastAsia="Arial" w:hAnsi="Arial"/>
                <w:sz w:val="15"/>
                <w:szCs w:val="15"/>
                <w:color w:val="auto"/>
              </w:rPr>
              <w:t>Total assets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78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w w:val="95"/>
              </w:rPr>
              <w:t>7,114.4</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7,224.4</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78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1,071.9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1,014.4</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Employee compensation payable</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222.0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213.6</w:t>
            </w: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liabilities</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684.4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679.4</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Accrued payroll taxes and insurance</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641.3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724.7</w:t>
            </w: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Value added taxes payable</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586.2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583.7</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Short-term borrowings and current maturities of long-term debt</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127.5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39.7</w:t>
            </w:r>
          </w:p>
        </w:tc>
        <w:tc>
          <w:tcPr>
            <w:tcW w:w="0" w:type="dxa"/>
            <w:vAlign w:val="bottom"/>
          </w:tcPr>
          <w:p>
            <w:pPr>
              <w:spacing w:after="0"/>
              <w:rPr>
                <w:sz w:val="1"/>
                <w:szCs w:val="1"/>
                <w:color w:val="auto"/>
              </w:rPr>
            </w:pPr>
          </w:p>
        </w:tc>
      </w:tr>
      <w:tr>
        <w:trPr>
          <w:trHeight w:val="24"/>
        </w:trPr>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78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current liabilities</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3,333.3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3,255.5</w:t>
            </w:r>
          </w:p>
        </w:tc>
        <w:tc>
          <w:tcPr>
            <w:tcW w:w="0" w:type="dxa"/>
            <w:vAlign w:val="bottom"/>
          </w:tcPr>
          <w:p>
            <w:pPr>
              <w:spacing w:after="0"/>
              <w:rPr>
                <w:sz w:val="1"/>
                <w:szCs w:val="1"/>
                <w:color w:val="auto"/>
              </w:rPr>
            </w:pPr>
          </w:p>
        </w:tc>
      </w:tr>
      <w:tr>
        <w:trPr>
          <w:trHeight w:val="188"/>
        </w:trPr>
        <w:tc>
          <w:tcPr>
            <w:tcW w:w="978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Long-term debt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844.8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874.8</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Other long-term liabilities</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366.2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424.8</w:t>
            </w:r>
          </w:p>
        </w:tc>
        <w:tc>
          <w:tcPr>
            <w:tcW w:w="0" w:type="dxa"/>
            <w:vAlign w:val="bottom"/>
          </w:tcPr>
          <w:p>
            <w:pPr>
              <w:spacing w:after="0"/>
              <w:rPr>
                <w:sz w:val="1"/>
                <w:szCs w:val="1"/>
                <w:color w:val="auto"/>
              </w:rPr>
            </w:pPr>
          </w:p>
        </w:tc>
      </w:tr>
      <w:tr>
        <w:trPr>
          <w:trHeight w:val="24"/>
        </w:trPr>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78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other liabilities</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1,211.0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1,299.6</w:t>
            </w:r>
          </w:p>
        </w:tc>
        <w:tc>
          <w:tcPr>
            <w:tcW w:w="0" w:type="dxa"/>
            <w:vAlign w:val="bottom"/>
          </w:tcPr>
          <w:p>
            <w:pPr>
              <w:spacing w:after="0"/>
              <w:rPr>
                <w:sz w:val="1"/>
                <w:szCs w:val="1"/>
                <w:color w:val="auto"/>
              </w:rPr>
            </w:pPr>
          </w:p>
        </w:tc>
      </w:tr>
      <w:tr>
        <w:trPr>
          <w:trHeight w:val="188"/>
        </w:trPr>
        <w:tc>
          <w:tcPr>
            <w:tcW w:w="978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Common stock</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Capital in excess of par value</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w w:val="95"/>
              </w:rPr>
              <w:t>2,507.0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2,481.8</w:t>
            </w: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1,150.8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1,040.3</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Accumulated other comprehensive income</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135.6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257.6</w:t>
            </w: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Treasury stock, at cost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33"/>
              <w:spacing w:after="0"/>
              <w:rPr>
                <w:sz w:val="20"/>
                <w:szCs w:val="20"/>
                <w:color w:val="auto"/>
              </w:rPr>
            </w:pPr>
            <w:r>
              <w:rPr>
                <w:rFonts w:ascii="Arial" w:cs="Arial" w:eastAsia="Arial" w:hAnsi="Arial"/>
                <w:sz w:val="15"/>
                <w:szCs w:val="15"/>
                <w:color w:val="auto"/>
                <w:w w:val="89"/>
              </w:rPr>
              <w:t>(1,224.3)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6"/>
              </w:rPr>
              <w:t>(1,111.4)</w:t>
            </w:r>
          </w:p>
        </w:tc>
        <w:tc>
          <w:tcPr>
            <w:tcW w:w="0" w:type="dxa"/>
            <w:vAlign w:val="bottom"/>
          </w:tcPr>
          <w:p>
            <w:pPr>
              <w:spacing w:after="0"/>
              <w:rPr>
                <w:sz w:val="1"/>
                <w:szCs w:val="1"/>
                <w:color w:val="auto"/>
              </w:rPr>
            </w:pPr>
          </w:p>
        </w:tc>
      </w:tr>
      <w:tr>
        <w:trPr>
          <w:trHeight w:val="20"/>
        </w:trPr>
        <w:tc>
          <w:tcPr>
            <w:tcW w:w="9780" w:type="dxa"/>
            <w:vAlign w:val="bottom"/>
            <w:vMerge w:val="restart"/>
          </w:tcPr>
          <w:p>
            <w:pPr>
              <w:ind w:left="1120"/>
              <w:spacing w:after="0"/>
              <w:rPr>
                <w:sz w:val="20"/>
                <w:szCs w:val="20"/>
                <w:color w:val="auto"/>
              </w:rPr>
            </w:pPr>
            <w:r>
              <w:rPr>
                <w:rFonts w:ascii="Arial" w:cs="Arial" w:eastAsia="Arial" w:hAnsi="Arial"/>
                <w:sz w:val="15"/>
                <w:szCs w:val="15"/>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w w:val="95"/>
              </w:rPr>
              <w:t>2,570.1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2,669.3</w:t>
            </w:r>
          </w:p>
        </w:tc>
        <w:tc>
          <w:tcPr>
            <w:tcW w:w="0" w:type="dxa"/>
            <w:vAlign w:val="bottom"/>
          </w:tcPr>
          <w:p>
            <w:pPr>
              <w:spacing w:after="0"/>
              <w:rPr>
                <w:sz w:val="1"/>
                <w:szCs w:val="1"/>
                <w:color w:val="auto"/>
              </w:rPr>
            </w:pPr>
          </w:p>
        </w:tc>
      </w:tr>
      <w:tr>
        <w:trPr>
          <w:trHeight w:val="24"/>
        </w:trPr>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78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7,114.4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7,224.4</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262"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Statements of Cash Flows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142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89"/>
              </w:rPr>
              <w:t>Nine Months 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Sep. 30</w:t>
            </w:r>
          </w:p>
        </w:tc>
        <w:tc>
          <w:tcPr>
            <w:tcW w:w="4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00" w:type="dxa"/>
            <w:vAlign w:val="bottom"/>
          </w:tcPr>
          <w:p>
            <w:pPr>
              <w:spacing w:after="0"/>
              <w:rPr>
                <w:sz w:val="10"/>
                <w:szCs w:val="10"/>
                <w:color w:val="auto"/>
              </w:rPr>
            </w:pPr>
          </w:p>
        </w:tc>
        <w:tc>
          <w:tcPr>
            <w:tcW w:w="480" w:type="dxa"/>
            <w:vAlign w:val="bottom"/>
            <w:tcBorders>
              <w:bottom w:val="single" w:sz="8" w:color="auto"/>
            </w:tcBorders>
          </w:tcPr>
          <w:p>
            <w:pPr>
              <w:jc w:val="right"/>
              <w:ind w:right="45"/>
              <w:spacing w:after="0" w:line="121" w:lineRule="exact"/>
              <w:rPr>
                <w:sz w:val="20"/>
                <w:szCs w:val="20"/>
                <w:color w:val="auto"/>
              </w:rPr>
            </w:pPr>
            <w:r>
              <w:rPr>
                <w:rFonts w:ascii="Arial" w:cs="Arial" w:eastAsia="Arial" w:hAnsi="Arial"/>
                <w:sz w:val="12"/>
                <w:szCs w:val="12"/>
                <w:b w:val="1"/>
                <w:bCs w:val="1"/>
                <w:color w:val="auto"/>
              </w:rPr>
              <w:t>2008</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Borders>
              <w:bottom w:val="single" w:sz="8" w:color="auto"/>
            </w:tcBorders>
          </w:tcPr>
          <w:p>
            <w:pPr>
              <w:jc w:val="right"/>
              <w:ind w:right="44"/>
              <w:spacing w:after="0" w:line="121" w:lineRule="exact"/>
              <w:rPr>
                <w:sz w:val="20"/>
                <w:szCs w:val="20"/>
                <w:color w:val="auto"/>
              </w:rPr>
            </w:pPr>
            <w:r>
              <w:rPr>
                <w:rFonts w:ascii="Arial" w:cs="Arial" w:eastAsia="Arial" w:hAnsi="Arial"/>
                <w:sz w:val="12"/>
                <w:szCs w:val="12"/>
                <w:b w:val="1"/>
                <w:bCs w:val="1"/>
                <w:color w:val="auto"/>
              </w:rPr>
              <w:t>2007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gridSpan w:val="2"/>
          </w:tcPr>
          <w:p>
            <w:pPr>
              <w:jc w:val="center"/>
              <w:spacing w:after="0"/>
              <w:rPr>
                <w:sz w:val="20"/>
                <w:szCs w:val="20"/>
                <w:color w:val="auto"/>
              </w:rPr>
            </w:pPr>
            <w:r>
              <w:rPr>
                <w:rFonts w:ascii="Arial" w:cs="Arial" w:eastAsia="Arial" w:hAnsi="Arial"/>
                <w:sz w:val="9"/>
                <w:szCs w:val="9"/>
                <w:b w:val="1"/>
                <w:bCs w:val="1"/>
                <w:color w:val="auto"/>
                <w:w w:val="79"/>
              </w:rPr>
              <w:t>(Unaudited)</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Net earnings</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91"/>
              </w:rPr>
              <w:t>$ 139.7</w:t>
            </w:r>
          </w:p>
        </w:tc>
        <w:tc>
          <w:tcPr>
            <w:tcW w:w="3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91"/>
              </w:rPr>
              <w:t>$ 351.6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Adjustments to reconcile net earnings to net cash provided by operating activities:</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Depreciation and amortization</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81.9</w:t>
            </w:r>
          </w:p>
        </w:tc>
        <w:tc>
          <w:tcPr>
            <w:tcW w:w="3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68.2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Non-cash goodwill and intangible asset impairment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163.1</w:t>
            </w:r>
          </w:p>
        </w:tc>
        <w:tc>
          <w:tcPr>
            <w:tcW w:w="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Deferred income taxes</w:t>
            </w:r>
          </w:p>
        </w:tc>
        <w:tc>
          <w:tcPr>
            <w:tcW w:w="880" w:type="dxa"/>
            <w:vAlign w:val="bottom"/>
            <w:gridSpan w:val="3"/>
          </w:tcPr>
          <w:p>
            <w:pPr>
              <w:jc w:val="right"/>
              <w:ind w:right="301"/>
              <w:spacing w:after="0"/>
              <w:rPr>
                <w:sz w:val="20"/>
                <w:szCs w:val="20"/>
                <w:color w:val="auto"/>
              </w:rPr>
            </w:pPr>
            <w:r>
              <w:rPr>
                <w:rFonts w:ascii="Arial" w:cs="Arial" w:eastAsia="Arial" w:hAnsi="Arial"/>
                <w:sz w:val="15"/>
                <w:szCs w:val="15"/>
                <w:color w:val="auto"/>
              </w:rPr>
              <w:t>(36.8)</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Provision for doubtful accounts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Share-based compensation</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15.3</w:t>
            </w:r>
          </w:p>
        </w:tc>
        <w:tc>
          <w:tcPr>
            <w:tcW w:w="3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Excess tax benefit on exercise of stock options</w:t>
            </w:r>
          </w:p>
        </w:tc>
        <w:tc>
          <w:tcPr>
            <w:tcW w:w="880" w:type="dxa"/>
            <w:vAlign w:val="bottom"/>
            <w:gridSpan w:val="3"/>
            <w:shd w:val="clear" w:color="auto" w:fill="CCEEFF"/>
          </w:tcPr>
          <w:p>
            <w:pPr>
              <w:jc w:val="right"/>
              <w:ind w:right="301"/>
              <w:spacing w:after="0"/>
              <w:rPr>
                <w:sz w:val="20"/>
                <w:szCs w:val="20"/>
                <w:color w:val="auto"/>
              </w:rPr>
            </w:pPr>
            <w:r>
              <w:rPr>
                <w:rFonts w:ascii="Arial" w:cs="Arial" w:eastAsia="Arial" w:hAnsi="Arial"/>
                <w:sz w:val="15"/>
                <w:szCs w:val="15"/>
                <w:color w:val="auto"/>
              </w:rPr>
              <w:t>(0.5)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Changes in operating assets and liabilities, excluding the impact of acquisitions: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Accounts receivable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76.8</w:t>
            </w:r>
          </w:p>
        </w:tc>
        <w:tc>
          <w:tcPr>
            <w:tcW w:w="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(430.1)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Other assets</w:t>
            </w:r>
          </w:p>
        </w:tc>
        <w:tc>
          <w:tcPr>
            <w:tcW w:w="880" w:type="dxa"/>
            <w:vAlign w:val="bottom"/>
            <w:gridSpan w:val="3"/>
          </w:tcPr>
          <w:p>
            <w:pPr>
              <w:jc w:val="right"/>
              <w:ind w:right="301"/>
              <w:spacing w:after="0"/>
              <w:rPr>
                <w:sz w:val="20"/>
                <w:szCs w:val="20"/>
                <w:color w:val="auto"/>
              </w:rPr>
            </w:pPr>
            <w:r>
              <w:rPr>
                <w:rFonts w:ascii="Arial" w:cs="Arial" w:eastAsia="Arial" w:hAnsi="Arial"/>
                <w:sz w:val="15"/>
                <w:szCs w:val="15"/>
                <w:color w:val="auto"/>
              </w:rPr>
              <w:t>(35.5)</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Other liabilities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318.2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0" w:type="dxa"/>
            <w:vAlign w:val="bottom"/>
          </w:tcPr>
          <w:p>
            <w:pPr>
              <w:ind w:left="1100"/>
              <w:spacing w:after="0"/>
              <w:rPr>
                <w:sz w:val="20"/>
                <w:szCs w:val="20"/>
                <w:color w:val="auto"/>
              </w:rPr>
            </w:pPr>
            <w:r>
              <w:rPr>
                <w:rFonts w:ascii="Arial" w:cs="Arial" w:eastAsia="Arial" w:hAnsi="Arial"/>
                <w:sz w:val="15"/>
                <w:szCs w:val="15"/>
                <w:color w:val="auto"/>
              </w:rPr>
              <w:t>Cash provided by operating activities</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449.2</w:t>
            </w:r>
          </w:p>
        </w:tc>
        <w:tc>
          <w:tcPr>
            <w:tcW w:w="3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299.2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Capital expenditures</w:t>
            </w:r>
          </w:p>
        </w:tc>
        <w:tc>
          <w:tcPr>
            <w:tcW w:w="880" w:type="dxa"/>
            <w:vAlign w:val="bottom"/>
            <w:gridSpan w:val="3"/>
          </w:tcPr>
          <w:p>
            <w:pPr>
              <w:jc w:val="right"/>
              <w:ind w:right="301"/>
              <w:spacing w:after="0"/>
              <w:rPr>
                <w:sz w:val="20"/>
                <w:szCs w:val="20"/>
                <w:color w:val="auto"/>
              </w:rPr>
            </w:pPr>
            <w:r>
              <w:rPr>
                <w:rFonts w:ascii="Arial" w:cs="Arial" w:eastAsia="Arial" w:hAnsi="Arial"/>
                <w:sz w:val="15"/>
                <w:szCs w:val="15"/>
                <w:color w:val="auto"/>
              </w:rPr>
              <w:t>(70.6)</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(65.8)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Acquisitions of businesses, net of cash acquired</w:t>
            </w:r>
          </w:p>
        </w:tc>
        <w:tc>
          <w:tcPr>
            <w:tcW w:w="880" w:type="dxa"/>
            <w:vAlign w:val="bottom"/>
            <w:gridSpan w:val="3"/>
            <w:shd w:val="clear" w:color="auto" w:fill="CCEEFF"/>
          </w:tcPr>
          <w:p>
            <w:pPr>
              <w:jc w:val="right"/>
              <w:ind w:right="301"/>
              <w:spacing w:after="0"/>
              <w:rPr>
                <w:sz w:val="20"/>
                <w:szCs w:val="20"/>
                <w:color w:val="auto"/>
              </w:rPr>
            </w:pPr>
            <w:r>
              <w:rPr>
                <w:rFonts w:ascii="Arial" w:cs="Arial" w:eastAsia="Arial" w:hAnsi="Arial"/>
                <w:sz w:val="15"/>
                <w:szCs w:val="15"/>
                <w:color w:val="auto"/>
              </w:rPr>
              <w:t>(224.4)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Proceeds from the sale of property and equipment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1100"/>
              <w:spacing w:after="0"/>
              <w:rPr>
                <w:sz w:val="20"/>
                <w:szCs w:val="20"/>
                <w:color w:val="auto"/>
              </w:rPr>
            </w:pPr>
            <w:r>
              <w:rPr>
                <w:rFonts w:ascii="Arial" w:cs="Arial" w:eastAsia="Arial" w:hAnsi="Arial"/>
                <w:sz w:val="15"/>
                <w:szCs w:val="15"/>
                <w:color w:val="auto"/>
              </w:rPr>
              <w:t>Cash used by investing activities</w:t>
            </w:r>
          </w:p>
        </w:tc>
        <w:tc>
          <w:tcPr>
            <w:tcW w:w="880" w:type="dxa"/>
            <w:vAlign w:val="bottom"/>
            <w:gridSpan w:val="3"/>
            <w:shd w:val="clear" w:color="auto" w:fill="CCEEFF"/>
          </w:tcPr>
          <w:p>
            <w:pPr>
              <w:jc w:val="right"/>
              <w:ind w:right="301"/>
              <w:spacing w:after="0"/>
              <w:rPr>
                <w:sz w:val="20"/>
                <w:szCs w:val="20"/>
                <w:color w:val="auto"/>
              </w:rPr>
            </w:pPr>
            <w:r>
              <w:rPr>
                <w:rFonts w:ascii="Arial" w:cs="Arial" w:eastAsia="Arial" w:hAnsi="Arial"/>
                <w:sz w:val="15"/>
                <w:szCs w:val="15"/>
                <w:color w:val="auto"/>
              </w:rPr>
              <w:t>(290.9)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(162.3)</w:t>
            </w:r>
          </w:p>
        </w:tc>
        <w:tc>
          <w:tcPr>
            <w:tcW w:w="0" w:type="dxa"/>
            <w:vAlign w:val="bottom"/>
          </w:tcPr>
          <w:p>
            <w:pPr>
              <w:spacing w:after="0"/>
              <w:rPr>
                <w:sz w:val="1"/>
                <w:szCs w:val="1"/>
                <w:color w:val="auto"/>
              </w:rPr>
            </w:pPr>
          </w:p>
        </w:tc>
      </w:tr>
      <w:tr>
        <w:trPr>
          <w:trHeight w:val="191"/>
        </w:trPr>
        <w:tc>
          <w:tcPr>
            <w:tcW w:w="10020" w:type="dxa"/>
            <w:vAlign w:val="bottom"/>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borrowings of short-term facilities and long-term debt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87.4</w:t>
            </w:r>
          </w:p>
        </w:tc>
        <w:tc>
          <w:tcPr>
            <w:tcW w:w="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Proceeds from stock option and purchase plans</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12.5</w:t>
            </w:r>
          </w:p>
        </w:tc>
        <w:tc>
          <w:tcPr>
            <w:tcW w:w="3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34.1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Excess tax benefit on exercise of stock options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Repurchases of common stock</w:t>
            </w:r>
          </w:p>
        </w:tc>
        <w:tc>
          <w:tcPr>
            <w:tcW w:w="880" w:type="dxa"/>
            <w:vAlign w:val="bottom"/>
            <w:gridSpan w:val="3"/>
          </w:tcPr>
          <w:p>
            <w:pPr>
              <w:jc w:val="right"/>
              <w:ind w:right="301"/>
              <w:spacing w:after="0"/>
              <w:rPr>
                <w:sz w:val="20"/>
                <w:szCs w:val="20"/>
                <w:color w:val="auto"/>
              </w:rPr>
            </w:pPr>
            <w:r>
              <w:rPr>
                <w:rFonts w:ascii="Arial" w:cs="Arial" w:eastAsia="Arial" w:hAnsi="Arial"/>
                <w:sz w:val="15"/>
                <w:szCs w:val="15"/>
                <w:color w:val="auto"/>
              </w:rPr>
              <w:t>(125.3)</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(359.5)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Dividends paid</w:t>
            </w:r>
          </w:p>
        </w:tc>
        <w:tc>
          <w:tcPr>
            <w:tcW w:w="880" w:type="dxa"/>
            <w:vAlign w:val="bottom"/>
            <w:gridSpan w:val="3"/>
            <w:shd w:val="clear" w:color="auto" w:fill="CCEEFF"/>
          </w:tcPr>
          <w:p>
            <w:pPr>
              <w:jc w:val="right"/>
              <w:ind w:right="301"/>
              <w:spacing w:after="0"/>
              <w:rPr>
                <w:sz w:val="20"/>
                <w:szCs w:val="20"/>
                <w:color w:val="auto"/>
              </w:rPr>
            </w:pPr>
            <w:r>
              <w:rPr>
                <w:rFonts w:ascii="Arial" w:cs="Arial" w:eastAsia="Arial" w:hAnsi="Arial"/>
                <w:sz w:val="15"/>
                <w:szCs w:val="15"/>
                <w:color w:val="auto"/>
              </w:rPr>
              <w:t>(29.2)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vMerge w:val="restart"/>
          </w:tcPr>
          <w:p>
            <w:pPr>
              <w:ind w:left="1100"/>
              <w:spacing w:after="0"/>
              <w:rPr>
                <w:sz w:val="20"/>
                <w:szCs w:val="20"/>
                <w:color w:val="auto"/>
              </w:rPr>
            </w:pPr>
            <w:r>
              <w:rPr>
                <w:rFonts w:ascii="Arial" w:cs="Arial" w:eastAsia="Arial" w:hAnsi="Arial"/>
                <w:sz w:val="15"/>
                <w:szCs w:val="15"/>
                <w:color w:val="auto"/>
              </w:rPr>
              <w:t>Cash used by financing activities</w:t>
            </w: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0000" w:type="dxa"/>
            <w:vAlign w:val="bottom"/>
            <w:vMerge w:val="continue"/>
          </w:tcPr>
          <w:p>
            <w:pPr>
              <w:spacing w:after="0"/>
              <w:rPr>
                <w:sz w:val="16"/>
                <w:szCs w:val="16"/>
                <w:color w:val="auto"/>
              </w:rPr>
            </w:pPr>
          </w:p>
        </w:tc>
        <w:tc>
          <w:tcPr>
            <w:tcW w:w="880" w:type="dxa"/>
            <w:vAlign w:val="bottom"/>
            <w:gridSpan w:val="3"/>
          </w:tcPr>
          <w:p>
            <w:pPr>
              <w:jc w:val="right"/>
              <w:ind w:right="301"/>
              <w:spacing w:after="0"/>
              <w:rPr>
                <w:sz w:val="20"/>
                <w:szCs w:val="20"/>
                <w:color w:val="auto"/>
              </w:rPr>
            </w:pPr>
            <w:r>
              <w:rPr>
                <w:rFonts w:ascii="Arial" w:cs="Arial" w:eastAsia="Arial" w:hAnsi="Arial"/>
                <w:sz w:val="15"/>
                <w:szCs w:val="15"/>
                <w:color w:val="auto"/>
              </w:rPr>
              <w:t>(54.1)</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(331.3)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 changes on cash</w:t>
            </w:r>
          </w:p>
        </w:tc>
        <w:tc>
          <w:tcPr>
            <w:tcW w:w="880" w:type="dxa"/>
            <w:vAlign w:val="bottom"/>
            <w:gridSpan w:val="3"/>
            <w:shd w:val="clear" w:color="auto" w:fill="CCEEFF"/>
          </w:tcPr>
          <w:p>
            <w:pPr>
              <w:jc w:val="right"/>
              <w:ind w:right="301"/>
              <w:spacing w:after="0"/>
              <w:rPr>
                <w:sz w:val="20"/>
                <w:szCs w:val="20"/>
                <w:color w:val="auto"/>
              </w:rPr>
            </w:pPr>
            <w:r>
              <w:rPr>
                <w:rFonts w:ascii="Arial" w:cs="Arial" w:eastAsia="Arial" w:hAnsi="Arial"/>
                <w:sz w:val="15"/>
                <w:szCs w:val="15"/>
                <w:color w:val="auto"/>
              </w:rPr>
              <w:t>(9.7)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45.3</w:t>
            </w: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spacing w:after="0"/>
              <w:rPr>
                <w:sz w:val="20"/>
                <w:szCs w:val="20"/>
                <w:color w:val="auto"/>
              </w:rPr>
            </w:pPr>
            <w:r>
              <w:rPr>
                <w:rFonts w:ascii="Arial" w:cs="Arial" w:eastAsia="Arial" w:hAnsi="Arial"/>
                <w:sz w:val="15"/>
                <w:szCs w:val="15"/>
                <w:color w:val="auto"/>
              </w:rPr>
              <w:t>Change in cash and cash equivalents</w:t>
            </w: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020" w:type="dxa"/>
            <w:vAlign w:val="bottom"/>
            <w:gridSpan w:val="2"/>
            <w:vMerge w:val="continue"/>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94.5</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(149.1)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beginning of period</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537.5</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20" w:type="dxa"/>
            <w:vAlign w:val="bottom"/>
            <w:gridSpan w:val="2"/>
          </w:tcPr>
          <w:p>
            <w:pPr>
              <w:spacing w:after="0"/>
              <w:rPr>
                <w:sz w:val="20"/>
                <w:szCs w:val="20"/>
                <w:color w:val="auto"/>
              </w:rPr>
            </w:pPr>
            <w:r>
              <w:rPr>
                <w:rFonts w:ascii="Arial" w:cs="Arial" w:eastAsia="Arial" w:hAnsi="Arial"/>
                <w:sz w:val="15"/>
                <w:szCs w:val="15"/>
                <w:color w:val="auto"/>
              </w:rPr>
              <w:t>Cash and cash equivalents, end of period</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91"/>
              </w:rPr>
              <w:t>$ 632.0</w:t>
            </w:r>
          </w:p>
        </w:tc>
        <w:tc>
          <w:tcPr>
            <w:tcW w:w="3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91"/>
              </w:rPr>
              <w:t>$ 538.8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262" w:right="219" w:bottom="1440" w:gutter="0" w:footer="0" w:header="0"/>
        </w:sectPr>
      </w:pPr>
    </w:p>
    <w:bookmarkStart w:id="12" w:name="page13"/>
    <w:bookmarkEnd w:id="12"/>
    <w:p>
      <w:pPr>
        <w:ind w:left="87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382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Exhibit 99.2</w:t>
      </w:r>
    </w:p>
    <w:p>
      <w:pPr>
        <w:spacing w:after="0" w:line="342" w:lineRule="exact"/>
        <w:rPr>
          <w:sz w:val="20"/>
          <w:szCs w:val="20"/>
          <w:color w:val="auto"/>
        </w:rPr>
      </w:pPr>
    </w:p>
    <w:p>
      <w:pPr>
        <w:ind w:left="7460"/>
        <w:spacing w:after="0"/>
        <w:rPr>
          <w:sz w:val="20"/>
          <w:szCs w:val="20"/>
          <w:color w:val="auto"/>
        </w:rPr>
      </w:pPr>
      <w:r>
        <w:rPr>
          <w:rFonts w:ascii="Arial" w:cs="Arial" w:eastAsia="Arial" w:hAnsi="Arial"/>
          <w:sz w:val="25"/>
          <w:szCs w:val="25"/>
          <w:color w:val="FFFFFF"/>
        </w:rPr>
        <w:t>MANPOWER INC.</w:t>
      </w:r>
    </w:p>
    <w:p>
      <w:pPr>
        <w:ind w:left="6100"/>
        <w:spacing w:after="0" w:line="202" w:lineRule="auto"/>
        <w:rPr>
          <w:sz w:val="20"/>
          <w:szCs w:val="20"/>
          <w:color w:val="auto"/>
        </w:rPr>
      </w:pPr>
      <w:r>
        <w:rPr>
          <w:rFonts w:ascii="Arial" w:cs="Arial" w:eastAsia="Arial" w:hAnsi="Arial"/>
          <w:sz w:val="25"/>
          <w:szCs w:val="25"/>
          <w:color w:val="FFFFFF"/>
        </w:rPr>
        <w:t>2008 3</w:t>
      </w:r>
      <w:r>
        <w:rPr>
          <w:rFonts w:ascii="Arial" w:cs="Arial" w:eastAsia="Arial" w:hAnsi="Arial"/>
          <w:sz w:val="35"/>
          <w:szCs w:val="35"/>
          <w:color w:val="FFFFFF"/>
          <w:vertAlign w:val="superscript"/>
        </w:rPr>
        <w:t>rd</w:t>
      </w:r>
      <w:r>
        <w:rPr>
          <w:rFonts w:ascii="Arial" w:cs="Arial" w:eastAsia="Arial" w:hAnsi="Arial"/>
          <w:sz w:val="25"/>
          <w:szCs w:val="25"/>
          <w:color w:val="FFFFFF"/>
        </w:rPr>
        <w:t xml:space="preserve"> QUARTER RESULTS</w:t>
      </w:r>
    </w:p>
    <w:p>
      <w:pPr>
        <w:spacing w:after="0" w:line="15" w:lineRule="exact"/>
        <w:rPr>
          <w:sz w:val="20"/>
          <w:szCs w:val="20"/>
          <w:color w:val="auto"/>
        </w:rPr>
      </w:pPr>
    </w:p>
    <w:p>
      <w:pPr>
        <w:ind w:left="7820"/>
        <w:spacing w:after="0"/>
        <w:rPr>
          <w:sz w:val="20"/>
          <w:szCs w:val="20"/>
          <w:color w:val="auto"/>
        </w:rPr>
      </w:pPr>
      <w:r>
        <w:rPr>
          <w:rFonts w:ascii="Arial" w:cs="Arial" w:eastAsia="Arial" w:hAnsi="Arial"/>
          <w:sz w:val="19"/>
          <w:szCs w:val="19"/>
          <w:color w:val="auto"/>
        </w:rPr>
        <w:t>OCTOBER 21, 2008</w:t>
      </w:r>
    </w:p>
    <w:p>
      <w:pPr>
        <w:sectPr>
          <w:pgSz w:w="11900" w:h="16838" w:orient="portrait"/>
          <w:cols w:equalWidth="0" w:num="1">
            <w:col w:w="9940"/>
          </w:cols>
          <w:pgMar w:left="1440" w:top="556" w:right="51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47"/>
          <w:szCs w:val="47"/>
          <w:color w:val="5F81AA"/>
        </w:rPr>
        <w:t>Forward Looking Statement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40"/>
        <w:spacing w:after="0" w:line="246" w:lineRule="auto"/>
        <w:rPr>
          <w:sz w:val="20"/>
          <w:szCs w:val="20"/>
          <w:color w:val="auto"/>
        </w:rPr>
      </w:pPr>
      <w:r>
        <w:rPr>
          <w:rFonts w:ascii="Arial" w:cs="Arial" w:eastAsia="Arial" w:hAnsi="Arial"/>
          <w:sz w:val="32"/>
          <w:szCs w:val="32"/>
          <w:color w:val="auto"/>
        </w:rPr>
        <w:t>This presentation includes forward-looking statements which are subject to risks and uncertainties. Actual results might differ materially from those projected in the forward-looking statements. Forward-looking statements can be identified by words such as “expect,” “plan,” “may,” “will,” and similar expressions. Additional information concerning factors that could cause actual results to materially differ from those in the forward-looking statements is contained in the Company’s Annual Report on Form 10-K dated December 31, 2007, which information is incorporated herein by reference, and such other factors as may be described from time to time in the Company’s SEC filings.</w:t>
      </w:r>
    </w:p>
    <w:p>
      <w:pPr>
        <w:sectPr>
          <w:pgSz w:w="11900" w:h="16838" w:orient="portrait"/>
          <w:cols w:equalWidth="0" w:num="1">
            <w:col w:w="9880"/>
          </w:cols>
          <w:pgMar w:left="1200" w:top="517" w:right="819" w:bottom="1440" w:gutter="0" w:footer="0" w:header="0"/>
        </w:sectPr>
      </w:pPr>
    </w:p>
    <w:bookmarkStart w:id="14" w:name="page15"/>
    <w:bookmarkEnd w:id="14"/>
    <w:tbl>
      <w:tblPr>
        <w:tblLayout w:type="fixed"/>
        <w:tblInd w:w="198"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spacing w:after="0" w:line="397" w:lineRule="exact"/>
        <w:rPr>
          <w:sz w:val="20"/>
          <w:szCs w:val="20"/>
          <w:color w:val="auto"/>
        </w:rPr>
      </w:pPr>
    </w:p>
    <w:p>
      <w:pPr>
        <w:ind w:left="198"/>
        <w:spacing w:after="0"/>
        <w:rPr>
          <w:sz w:val="20"/>
          <w:szCs w:val="20"/>
          <w:color w:val="auto"/>
        </w:rPr>
      </w:pPr>
      <w:r>
        <w:rPr>
          <w:rFonts w:ascii="Arial" w:cs="Arial" w:eastAsia="Arial" w:hAnsi="Arial"/>
          <w:sz w:val="47"/>
          <w:szCs w:val="47"/>
          <w:color w:val="6698C2"/>
        </w:rPr>
        <w:t>Consolidated Financial Highlights</w:t>
      </w:r>
    </w:p>
    <w:p>
      <w:pPr>
        <w:sectPr>
          <w:pgSz w:w="11900" w:h="16838" w:orient="portrait"/>
          <w:cols w:equalWidth="0" w:num="1">
            <w:col w:w="10058"/>
          </w:cols>
          <w:pgMar w:left="1022" w:top="517" w:right="819" w:bottom="1440" w:gutter="0" w:footer="0" w:header="0"/>
        </w:sectPr>
      </w:pPr>
    </w:p>
    <w:p>
      <w:pPr>
        <w:spacing w:after="0" w:line="174" w:lineRule="exact"/>
        <w:rPr>
          <w:sz w:val="20"/>
          <w:szCs w:val="20"/>
          <w:color w:val="auto"/>
        </w:rPr>
      </w:pPr>
    </w:p>
    <w:tbl>
      <w:tblPr>
        <w:tblLayout w:type="fixed"/>
        <w:tblInd w:w="258" w:type="dxa"/>
        <w:tblCellMar>
          <w:top w:w="0" w:type="dxa"/>
          <w:left w:w="0" w:type="dxa"/>
          <w:bottom w:w="0" w:type="dxa"/>
          <w:right w:w="0" w:type="dxa"/>
        </w:tblCellMar>
      </w:tblPr>
      <w:tr>
        <w:trPr>
          <w:trHeight w:val="270"/>
        </w:trPr>
        <w:tc>
          <w:tcPr>
            <w:tcW w:w="178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22"/>
                <w:szCs w:val="22"/>
                <w:b w:val="1"/>
                <w:bCs w:val="1"/>
                <w:color w:val="auto"/>
              </w:rPr>
              <w:t>Excluding</w:t>
            </w:r>
          </w:p>
        </w:tc>
      </w:tr>
      <w:tr>
        <w:trPr>
          <w:trHeight w:val="230"/>
        </w:trPr>
        <w:tc>
          <w:tcPr>
            <w:tcW w:w="1780" w:type="dxa"/>
            <w:vAlign w:val="bottom"/>
          </w:tcPr>
          <w:p>
            <w:pPr>
              <w:jc w:val="center"/>
              <w:ind w:right="287"/>
              <w:spacing w:after="0" w:line="230" w:lineRule="exact"/>
              <w:rPr>
                <w:sz w:val="20"/>
                <w:szCs w:val="20"/>
                <w:color w:val="auto"/>
              </w:rPr>
            </w:pPr>
            <w:r>
              <w:rPr>
                <w:rFonts w:ascii="Arial" w:cs="Arial" w:eastAsia="Arial" w:hAnsi="Arial"/>
                <w:sz w:val="22"/>
                <w:szCs w:val="22"/>
                <w:b w:val="1"/>
                <w:bCs w:val="1"/>
                <w:color w:val="auto"/>
                <w:w w:val="99"/>
              </w:rPr>
              <w:t>As</w:t>
            </w:r>
          </w:p>
        </w:tc>
        <w:tc>
          <w:tcPr>
            <w:tcW w:w="1700" w:type="dxa"/>
            <w:vAlign w:val="bottom"/>
          </w:tcPr>
          <w:p>
            <w:pPr>
              <w:jc w:val="center"/>
              <w:spacing w:after="0" w:line="230" w:lineRule="exact"/>
              <w:rPr>
                <w:sz w:val="20"/>
                <w:szCs w:val="20"/>
                <w:color w:val="auto"/>
              </w:rPr>
            </w:pPr>
            <w:r>
              <w:rPr>
                <w:rFonts w:ascii="Arial" w:cs="Arial" w:eastAsia="Arial" w:hAnsi="Arial"/>
                <w:sz w:val="22"/>
                <w:szCs w:val="22"/>
                <w:b w:val="1"/>
                <w:bCs w:val="1"/>
                <w:color w:val="auto"/>
              </w:rPr>
              <w:t>Non-recurring</w:t>
            </w:r>
          </w:p>
        </w:tc>
      </w:tr>
      <w:tr>
        <w:trPr>
          <w:trHeight w:val="473"/>
        </w:trPr>
        <w:tc>
          <w:tcPr>
            <w:tcW w:w="1780" w:type="dxa"/>
            <w:vAlign w:val="bottom"/>
          </w:tcPr>
          <w:p>
            <w:pPr>
              <w:jc w:val="center"/>
              <w:ind w:right="267"/>
              <w:spacing w:after="0"/>
              <w:rPr>
                <w:sz w:val="20"/>
                <w:szCs w:val="20"/>
                <w:color w:val="auto"/>
              </w:rPr>
            </w:pPr>
            <w:r>
              <w:rPr>
                <w:rFonts w:ascii="Arial" w:cs="Arial" w:eastAsia="Arial" w:hAnsi="Arial"/>
                <w:sz w:val="22"/>
                <w:szCs w:val="22"/>
                <w:b w:val="1"/>
                <w:bCs w:val="1"/>
                <w:color w:val="auto"/>
              </w:rPr>
              <w:t>Reported</w:t>
            </w:r>
          </w:p>
        </w:tc>
        <w:tc>
          <w:tcPr>
            <w:tcW w:w="1700" w:type="dxa"/>
            <w:vAlign w:val="bottom"/>
          </w:tcPr>
          <w:p>
            <w:pPr>
              <w:jc w:val="center"/>
              <w:ind w:left="193"/>
              <w:spacing w:after="0"/>
              <w:rPr>
                <w:sz w:val="20"/>
                <w:szCs w:val="20"/>
                <w:color w:val="auto"/>
              </w:rPr>
            </w:pPr>
            <w:r>
              <w:rPr>
                <w:rFonts w:ascii="Arial" w:cs="Arial" w:eastAsia="Arial" w:hAnsi="Arial"/>
                <w:sz w:val="22"/>
                <w:szCs w:val="22"/>
                <w:b w:val="1"/>
                <w:bCs w:val="1"/>
                <w:color w:val="auto"/>
                <w:w w:val="90"/>
              </w:rPr>
              <w:t>Items</w:t>
            </w:r>
            <w:r>
              <w:rPr>
                <w:rFonts w:ascii="Arial" w:cs="Arial" w:eastAsia="Arial" w:hAnsi="Arial"/>
                <w:sz w:val="35"/>
                <w:szCs w:val="35"/>
                <w:b w:val="1"/>
                <w:bCs w:val="1"/>
                <w:color w:val="6698C2"/>
                <w:w w:val="90"/>
                <w:vertAlign w:val="superscript"/>
              </w:rPr>
              <w:t>(1)</w:t>
            </w:r>
          </w:p>
        </w:tc>
      </w:tr>
      <w:tr>
        <w:trPr>
          <w:trHeight w:val="468"/>
        </w:trPr>
        <w:tc>
          <w:tcPr>
            <w:tcW w:w="1780" w:type="dxa"/>
            <w:vAlign w:val="bottom"/>
          </w:tcPr>
          <w:p>
            <w:pPr>
              <w:jc w:val="center"/>
              <w:ind w:right="7"/>
              <w:spacing w:after="0"/>
              <w:rPr>
                <w:sz w:val="20"/>
                <w:szCs w:val="20"/>
                <w:color w:val="auto"/>
              </w:rPr>
            </w:pPr>
            <w:r>
              <w:rPr>
                <w:rFonts w:ascii="Arial" w:cs="Arial" w:eastAsia="Arial" w:hAnsi="Arial"/>
                <w:sz w:val="38"/>
                <w:szCs w:val="38"/>
                <w:color w:val="auto"/>
              </w:rPr>
              <w:t>7%</w:t>
            </w:r>
          </w:p>
        </w:tc>
        <w:tc>
          <w:tcPr>
            <w:tcW w:w="1700" w:type="dxa"/>
            <w:vAlign w:val="bottom"/>
          </w:tcPr>
          <w:p>
            <w:pPr>
              <w:jc w:val="center"/>
              <w:ind w:left="113"/>
              <w:spacing w:after="0"/>
              <w:rPr>
                <w:sz w:val="20"/>
                <w:szCs w:val="20"/>
                <w:color w:val="auto"/>
              </w:rPr>
            </w:pPr>
            <w:r>
              <w:rPr>
                <w:rFonts w:ascii="Arial" w:cs="Arial" w:eastAsia="Arial" w:hAnsi="Arial"/>
                <w:sz w:val="38"/>
                <w:szCs w:val="38"/>
                <w:color w:val="auto"/>
                <w:w w:val="98"/>
              </w:rPr>
              <w:t>7%</w:t>
            </w:r>
          </w:p>
        </w:tc>
      </w:tr>
      <w:tr>
        <w:trPr>
          <w:trHeight w:val="452"/>
        </w:trPr>
        <w:tc>
          <w:tcPr>
            <w:tcW w:w="1780" w:type="dxa"/>
            <w:vAlign w:val="bottom"/>
          </w:tcPr>
          <w:p>
            <w:pPr>
              <w:jc w:val="center"/>
              <w:ind w:right="47"/>
              <w:spacing w:after="0"/>
              <w:rPr>
                <w:sz w:val="20"/>
                <w:szCs w:val="20"/>
                <w:color w:val="auto"/>
              </w:rPr>
            </w:pPr>
            <w:r>
              <w:rPr>
                <w:rFonts w:ascii="Arial" w:cs="Arial" w:eastAsia="Arial" w:hAnsi="Arial"/>
                <w:sz w:val="38"/>
                <w:szCs w:val="38"/>
                <w:color w:val="auto"/>
                <w:w w:val="99"/>
              </w:rPr>
              <w:t>1% CC</w:t>
            </w:r>
          </w:p>
        </w:tc>
        <w:tc>
          <w:tcPr>
            <w:tcW w:w="1700" w:type="dxa"/>
            <w:vAlign w:val="bottom"/>
          </w:tcPr>
          <w:p>
            <w:pPr>
              <w:jc w:val="center"/>
              <w:ind w:left="73"/>
              <w:spacing w:after="0"/>
              <w:rPr>
                <w:sz w:val="20"/>
                <w:szCs w:val="20"/>
                <w:color w:val="auto"/>
              </w:rPr>
            </w:pPr>
            <w:r>
              <w:rPr>
                <w:rFonts w:ascii="Arial" w:cs="Arial" w:eastAsia="Arial" w:hAnsi="Arial"/>
                <w:sz w:val="38"/>
                <w:szCs w:val="38"/>
                <w:color w:val="auto"/>
                <w:w w:val="98"/>
              </w:rPr>
              <w:t>1% CC</w:t>
            </w:r>
          </w:p>
        </w:tc>
      </w:tr>
      <w:tr>
        <w:trPr>
          <w:trHeight w:val="647"/>
        </w:trPr>
        <w:tc>
          <w:tcPr>
            <w:tcW w:w="1780" w:type="dxa"/>
            <w:vAlign w:val="bottom"/>
          </w:tcPr>
          <w:p>
            <w:pPr>
              <w:jc w:val="center"/>
              <w:spacing w:after="0"/>
              <w:rPr>
                <w:sz w:val="20"/>
                <w:szCs w:val="20"/>
                <w:color w:val="auto"/>
              </w:rPr>
            </w:pPr>
            <w:r>
              <w:rPr>
                <w:rFonts w:ascii="Arial" w:cs="Arial" w:eastAsia="Arial" w:hAnsi="Arial"/>
                <w:sz w:val="38"/>
                <w:szCs w:val="38"/>
                <w:color w:val="auto"/>
                <w:w w:val="98"/>
              </w:rPr>
              <w:t>27 bps</w:t>
            </w:r>
          </w:p>
        </w:tc>
        <w:tc>
          <w:tcPr>
            <w:tcW w:w="1700" w:type="dxa"/>
            <w:vAlign w:val="bottom"/>
          </w:tcPr>
          <w:p>
            <w:pPr>
              <w:jc w:val="center"/>
              <w:ind w:left="213"/>
              <w:spacing w:after="0"/>
              <w:rPr>
                <w:sz w:val="20"/>
                <w:szCs w:val="20"/>
                <w:color w:val="auto"/>
              </w:rPr>
            </w:pPr>
            <w:r>
              <w:rPr>
                <w:rFonts w:ascii="Arial" w:cs="Arial" w:eastAsia="Arial" w:hAnsi="Arial"/>
                <w:sz w:val="38"/>
                <w:szCs w:val="38"/>
                <w:color w:val="auto"/>
                <w:w w:val="98"/>
              </w:rPr>
              <w:t>30 bps</w:t>
            </w:r>
          </w:p>
        </w:tc>
      </w:tr>
      <w:tr>
        <w:trPr>
          <w:trHeight w:val="741"/>
        </w:trPr>
        <w:tc>
          <w:tcPr>
            <w:tcW w:w="1780" w:type="dxa"/>
            <w:vAlign w:val="bottom"/>
          </w:tcPr>
          <w:p>
            <w:pPr>
              <w:jc w:val="right"/>
              <w:ind w:right="287"/>
              <w:spacing w:after="0"/>
              <w:rPr>
                <w:sz w:val="20"/>
                <w:szCs w:val="20"/>
                <w:color w:val="auto"/>
              </w:rPr>
            </w:pPr>
            <w:r>
              <w:rPr>
                <w:rFonts w:ascii="Arial" w:cs="Arial" w:eastAsia="Arial" w:hAnsi="Arial"/>
                <w:sz w:val="38"/>
                <w:szCs w:val="38"/>
                <w:color w:val="auto"/>
              </w:rPr>
              <w:t>91%</w:t>
            </w:r>
          </w:p>
        </w:tc>
        <w:tc>
          <w:tcPr>
            <w:tcW w:w="1700" w:type="dxa"/>
            <w:vAlign w:val="bottom"/>
          </w:tcPr>
          <w:p>
            <w:pPr>
              <w:jc w:val="right"/>
              <w:ind w:right="133"/>
              <w:spacing w:after="0"/>
              <w:rPr>
                <w:sz w:val="20"/>
                <w:szCs w:val="20"/>
                <w:color w:val="auto"/>
              </w:rPr>
            </w:pPr>
            <w:r>
              <w:rPr>
                <w:rFonts w:ascii="Arial" w:cs="Arial" w:eastAsia="Arial" w:hAnsi="Arial"/>
                <w:sz w:val="38"/>
                <w:szCs w:val="38"/>
                <w:color w:val="auto"/>
              </w:rPr>
              <w:t>6%</w:t>
            </w:r>
          </w:p>
        </w:tc>
      </w:tr>
      <w:tr>
        <w:trPr>
          <w:trHeight w:val="459"/>
        </w:trPr>
        <w:tc>
          <w:tcPr>
            <w:tcW w:w="1780" w:type="dxa"/>
            <w:vAlign w:val="bottom"/>
          </w:tcPr>
          <w:p>
            <w:pPr>
              <w:jc w:val="center"/>
              <w:ind w:right="207"/>
              <w:spacing w:after="0"/>
              <w:rPr>
                <w:sz w:val="20"/>
                <w:szCs w:val="20"/>
                <w:color w:val="auto"/>
              </w:rPr>
            </w:pPr>
            <w:r>
              <w:rPr>
                <w:rFonts w:ascii="Arial" w:cs="Arial" w:eastAsia="Arial" w:hAnsi="Arial"/>
                <w:sz w:val="38"/>
                <w:szCs w:val="38"/>
                <w:color w:val="auto"/>
                <w:w w:val="98"/>
              </w:rPr>
              <w:t>96% CC</w:t>
            </w:r>
          </w:p>
        </w:tc>
        <w:tc>
          <w:tcPr>
            <w:tcW w:w="1700" w:type="dxa"/>
            <w:vAlign w:val="bottom"/>
          </w:tcPr>
          <w:p>
            <w:pPr>
              <w:jc w:val="center"/>
              <w:ind w:left="113"/>
              <w:spacing w:after="0"/>
              <w:rPr>
                <w:sz w:val="20"/>
                <w:szCs w:val="20"/>
                <w:color w:val="auto"/>
              </w:rPr>
            </w:pPr>
            <w:r>
              <w:rPr>
                <w:rFonts w:ascii="Arial" w:cs="Arial" w:eastAsia="Arial" w:hAnsi="Arial"/>
                <w:sz w:val="38"/>
                <w:szCs w:val="38"/>
                <w:color w:val="auto"/>
              </w:rPr>
              <w:t>12% CC</w:t>
            </w:r>
          </w:p>
        </w:tc>
      </w:tr>
      <w:tr>
        <w:trPr>
          <w:trHeight w:val="717"/>
        </w:trPr>
        <w:tc>
          <w:tcPr>
            <w:tcW w:w="1780" w:type="dxa"/>
            <w:vAlign w:val="bottom"/>
          </w:tcPr>
          <w:p>
            <w:pPr>
              <w:jc w:val="center"/>
              <w:ind w:right="27"/>
              <w:spacing w:after="0"/>
              <w:rPr>
                <w:sz w:val="20"/>
                <w:szCs w:val="20"/>
                <w:color w:val="auto"/>
              </w:rPr>
            </w:pPr>
            <w:r>
              <w:rPr>
                <w:rFonts w:ascii="Arial" w:cs="Arial" w:eastAsia="Arial" w:hAnsi="Arial"/>
                <w:sz w:val="38"/>
                <w:szCs w:val="38"/>
                <w:color w:val="auto"/>
                <w:w w:val="99"/>
              </w:rPr>
              <w:t>380 bps</w:t>
            </w:r>
          </w:p>
        </w:tc>
        <w:tc>
          <w:tcPr>
            <w:tcW w:w="1700" w:type="dxa"/>
            <w:vAlign w:val="bottom"/>
          </w:tcPr>
          <w:p>
            <w:pPr>
              <w:jc w:val="center"/>
              <w:ind w:left="73"/>
              <w:spacing w:after="0"/>
              <w:rPr>
                <w:sz w:val="20"/>
                <w:szCs w:val="20"/>
                <w:color w:val="auto"/>
              </w:rPr>
            </w:pPr>
            <w:r>
              <w:rPr>
                <w:rFonts w:ascii="Arial" w:cs="Arial" w:eastAsia="Arial" w:hAnsi="Arial"/>
                <w:sz w:val="38"/>
                <w:szCs w:val="38"/>
                <w:color w:val="auto"/>
                <w:w w:val="99"/>
              </w:rPr>
              <w:t>40 bps</w:t>
            </w:r>
          </w:p>
        </w:tc>
      </w:tr>
      <w:tr>
        <w:trPr>
          <w:trHeight w:val="717"/>
        </w:trPr>
        <w:tc>
          <w:tcPr>
            <w:tcW w:w="1780" w:type="dxa"/>
            <w:vAlign w:val="bottom"/>
          </w:tcPr>
          <w:p>
            <w:pPr>
              <w:jc w:val="right"/>
              <w:ind w:right="227"/>
              <w:spacing w:after="0"/>
              <w:rPr>
                <w:sz w:val="20"/>
                <w:szCs w:val="20"/>
                <w:color w:val="auto"/>
              </w:rPr>
            </w:pPr>
            <w:r>
              <w:rPr>
                <w:rFonts w:ascii="Arial" w:cs="Arial" w:eastAsia="Arial" w:hAnsi="Arial"/>
                <w:sz w:val="38"/>
                <w:szCs w:val="38"/>
                <w:color w:val="auto"/>
              </w:rPr>
              <w:t>135%</w:t>
            </w:r>
          </w:p>
        </w:tc>
        <w:tc>
          <w:tcPr>
            <w:tcW w:w="1700" w:type="dxa"/>
            <w:vAlign w:val="bottom"/>
          </w:tcPr>
          <w:p>
            <w:pPr>
              <w:jc w:val="center"/>
              <w:ind w:left="313"/>
              <w:spacing w:after="0"/>
              <w:rPr>
                <w:sz w:val="20"/>
                <w:szCs w:val="20"/>
                <w:color w:val="auto"/>
              </w:rPr>
            </w:pPr>
            <w:r>
              <w:rPr>
                <w:rFonts w:ascii="Arial" w:cs="Arial" w:eastAsia="Arial" w:hAnsi="Arial"/>
                <w:sz w:val="38"/>
                <w:szCs w:val="38"/>
                <w:color w:val="auto"/>
                <w:w w:val="98"/>
              </w:rPr>
              <w:t>3%</w:t>
            </w:r>
          </w:p>
        </w:tc>
      </w:tr>
      <w:tr>
        <w:trPr>
          <w:trHeight w:val="459"/>
        </w:trPr>
        <w:tc>
          <w:tcPr>
            <w:tcW w:w="1780" w:type="dxa"/>
            <w:vAlign w:val="bottom"/>
          </w:tcPr>
          <w:p>
            <w:pPr>
              <w:jc w:val="center"/>
              <w:spacing w:after="0"/>
              <w:rPr>
                <w:sz w:val="20"/>
                <w:szCs w:val="20"/>
                <w:color w:val="auto"/>
              </w:rPr>
            </w:pPr>
            <w:r>
              <w:rPr>
                <w:rFonts w:ascii="Arial" w:cs="Arial" w:eastAsia="Arial" w:hAnsi="Arial"/>
                <w:sz w:val="38"/>
                <w:szCs w:val="38"/>
                <w:color w:val="auto"/>
                <w:w w:val="99"/>
              </w:rPr>
              <w:t>142% CC</w:t>
            </w:r>
          </w:p>
        </w:tc>
        <w:tc>
          <w:tcPr>
            <w:tcW w:w="1700" w:type="dxa"/>
            <w:vAlign w:val="bottom"/>
          </w:tcPr>
          <w:p>
            <w:pPr>
              <w:jc w:val="center"/>
              <w:ind w:left="93"/>
              <w:spacing w:after="0"/>
              <w:rPr>
                <w:sz w:val="20"/>
                <w:szCs w:val="20"/>
                <w:color w:val="auto"/>
              </w:rPr>
            </w:pPr>
            <w:r>
              <w:rPr>
                <w:rFonts w:ascii="Arial" w:cs="Arial" w:eastAsia="Arial" w:hAnsi="Arial"/>
                <w:sz w:val="38"/>
                <w:szCs w:val="38"/>
                <w:color w:val="auto"/>
                <w:w w:val="99"/>
              </w:rPr>
              <w:t>5% CC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left="20" w:right="2120" w:firstLine="1070"/>
        <w:spacing w:after="0" w:line="417" w:lineRule="auto"/>
        <w:rPr>
          <w:sz w:val="20"/>
          <w:szCs w:val="20"/>
          <w:color w:val="auto"/>
        </w:rPr>
      </w:pPr>
      <w:r>
        <w:rPr>
          <w:rFonts w:ascii="Arial" w:cs="Arial" w:eastAsia="Arial" w:hAnsi="Arial"/>
          <w:sz w:val="41"/>
          <w:szCs w:val="41"/>
          <w:b w:val="1"/>
          <w:bCs w:val="1"/>
          <w:color w:val="auto"/>
        </w:rPr>
        <w:t xml:space="preserve">Q3 Highlights Revenue </w:t>
      </w:r>
      <w:r>
        <w:rPr>
          <w:rFonts w:ascii="Arial" w:cs="Arial" w:eastAsia="Arial" w:hAnsi="Arial"/>
          <w:sz w:val="43"/>
          <w:szCs w:val="43"/>
          <w:b w:val="1"/>
          <w:bCs w:val="1"/>
          <w:color w:val="6698C2"/>
        </w:rPr>
        <w:t>$5.7B</w:t>
      </w:r>
    </w:p>
    <w:p>
      <w:pPr>
        <w:spacing w:after="0" w:line="3" w:lineRule="exact"/>
        <w:rPr>
          <w:sz w:val="20"/>
          <w:szCs w:val="20"/>
          <w:color w:val="auto"/>
        </w:rPr>
      </w:pPr>
    </w:p>
    <w:p>
      <w:pPr>
        <w:ind w:left="20" w:right="1400"/>
        <w:spacing w:after="0" w:line="461" w:lineRule="auto"/>
        <w:rPr>
          <w:sz w:val="20"/>
          <w:szCs w:val="20"/>
          <w:color w:val="auto"/>
        </w:rPr>
      </w:pPr>
      <w:r>
        <w:rPr>
          <w:rFonts w:ascii="Arial" w:cs="Arial" w:eastAsia="Arial" w:hAnsi="Arial"/>
          <w:sz w:val="41"/>
          <w:szCs w:val="41"/>
          <w:b w:val="1"/>
          <w:bCs w:val="1"/>
          <w:color w:val="auto"/>
        </w:rPr>
        <w:t xml:space="preserve">Gross Margin </w:t>
      </w:r>
      <w:r>
        <w:rPr>
          <w:rFonts w:ascii="Arial" w:cs="Arial" w:eastAsia="Arial" w:hAnsi="Arial"/>
          <w:sz w:val="43"/>
          <w:szCs w:val="43"/>
          <w:b w:val="1"/>
          <w:bCs w:val="1"/>
          <w:color w:val="6698C2"/>
        </w:rPr>
        <w:t>18.1%</w:t>
      </w:r>
      <w:r>
        <w:rPr>
          <w:rFonts w:ascii="Arial" w:cs="Arial" w:eastAsia="Arial" w:hAnsi="Arial"/>
          <w:sz w:val="41"/>
          <w:szCs w:val="41"/>
          <w:b w:val="1"/>
          <w:bCs w:val="1"/>
          <w:color w:val="auto"/>
        </w:rPr>
        <w:t xml:space="preserve"> Operating Profit </w:t>
      </w:r>
      <w:r>
        <w:rPr>
          <w:rFonts w:ascii="Arial" w:cs="Arial" w:eastAsia="Arial" w:hAnsi="Arial"/>
          <w:sz w:val="43"/>
          <w:szCs w:val="43"/>
          <w:b w:val="1"/>
          <w:bCs w:val="1"/>
          <w:color w:val="6698C2"/>
        </w:rPr>
        <w:t>$21M</w:t>
      </w:r>
      <w:r>
        <w:rPr>
          <w:rFonts w:ascii="Arial" w:cs="Arial" w:eastAsia="Arial" w:hAnsi="Arial"/>
          <w:sz w:val="41"/>
          <w:szCs w:val="41"/>
          <w:b w:val="1"/>
          <w:bCs w:val="1"/>
          <w:color w:val="auto"/>
        </w:rPr>
        <w:t xml:space="preserve"> OP Margin </w:t>
      </w:r>
      <w:r>
        <w:rPr>
          <w:rFonts w:ascii="Arial" w:cs="Arial" w:eastAsia="Arial" w:hAnsi="Arial"/>
          <w:sz w:val="43"/>
          <w:szCs w:val="43"/>
          <w:b w:val="1"/>
          <w:bCs w:val="1"/>
          <w:color w:val="6698C2"/>
        </w:rPr>
        <w:t>0.4%</w:t>
      </w:r>
    </w:p>
    <w:p>
      <w:pPr>
        <w:spacing w:after="0" w:line="2" w:lineRule="exact"/>
        <w:rPr>
          <w:sz w:val="20"/>
          <w:szCs w:val="20"/>
          <w:color w:val="auto"/>
        </w:rPr>
      </w:pPr>
    </w:p>
    <w:p>
      <w:pPr>
        <w:spacing w:after="0"/>
        <w:rPr>
          <w:sz w:val="20"/>
          <w:szCs w:val="20"/>
          <w:color w:val="auto"/>
        </w:rPr>
      </w:pPr>
      <w:r>
        <w:rPr>
          <w:rFonts w:ascii="Arial" w:cs="Arial" w:eastAsia="Arial" w:hAnsi="Arial"/>
          <w:sz w:val="41"/>
          <w:szCs w:val="41"/>
          <w:b w:val="1"/>
          <w:bCs w:val="1"/>
          <w:color w:val="auto"/>
        </w:rPr>
        <w:t xml:space="preserve">EPS </w:t>
      </w:r>
      <w:r>
        <w:rPr>
          <w:rFonts w:ascii="Arial" w:cs="Arial" w:eastAsia="Arial" w:hAnsi="Arial"/>
          <w:sz w:val="41"/>
          <w:szCs w:val="41"/>
          <w:b w:val="1"/>
          <w:bCs w:val="1"/>
          <w:color w:val="6698C2"/>
        </w:rPr>
        <w:t>(</w:t>
      </w:r>
      <w:r>
        <w:rPr>
          <w:rFonts w:ascii="Arial" w:cs="Arial" w:eastAsia="Arial" w:hAnsi="Arial"/>
          <w:sz w:val="56"/>
          <w:szCs w:val="56"/>
          <w:b w:val="1"/>
          <w:bCs w:val="1"/>
          <w:color w:val="6698C2"/>
        </w:rPr>
        <w:t>$.55)</w:t>
      </w:r>
    </w:p>
    <w:p>
      <w:pPr>
        <w:spacing w:after="0" w:line="262" w:lineRule="exact"/>
        <w:rPr>
          <w:sz w:val="20"/>
          <w:szCs w:val="20"/>
          <w:color w:val="auto"/>
        </w:rPr>
      </w:pPr>
    </w:p>
    <w:p>
      <w:pPr>
        <w:sectPr>
          <w:pgSz w:w="11900" w:h="16838" w:orient="portrait"/>
          <w:cols w:equalWidth="0" w:num="2">
            <w:col w:w="3738" w:space="440"/>
            <w:col w:w="5880"/>
          </w:cols>
          <w:pgMar w:left="1022" w:top="517" w:right="819" w:bottom="1440" w:gutter="0" w:footer="0" w:header="0"/>
          <w:type w:val="continuous"/>
        </w:sectPr>
      </w:pPr>
    </w:p>
    <w:p>
      <w:pPr>
        <w:ind w:left="218" w:right="1380" w:hanging="218"/>
        <w:spacing w:after="0" w:line="218" w:lineRule="auto"/>
        <w:tabs>
          <w:tab w:leader="none" w:pos="206" w:val="left"/>
        </w:tabs>
        <w:numPr>
          <w:ilvl w:val="0"/>
          <w:numId w:val="6"/>
        </w:numPr>
        <w:rPr>
          <w:rFonts w:ascii="Arial" w:cs="Arial" w:eastAsia="Arial" w:hAnsi="Arial"/>
          <w:sz w:val="25"/>
          <w:szCs w:val="25"/>
          <w:b w:val="1"/>
          <w:bCs w:val="1"/>
          <w:color w:val="auto"/>
          <w:vertAlign w:val="superscript"/>
        </w:rPr>
      </w:pPr>
      <w:r>
        <w:rPr>
          <w:rFonts w:ascii="Arial" w:cs="Arial" w:eastAsia="Arial" w:hAnsi="Arial"/>
          <w:sz w:val="18"/>
          <w:szCs w:val="18"/>
          <w:color w:val="auto"/>
        </w:rPr>
        <w:t>Excludes the impact of the goodwill and intangible asset impairment from 2008 and the French payroll tax change from 2007.</w:t>
      </w:r>
    </w:p>
    <w:p>
      <w:pPr>
        <w:ind w:left="218" w:right="220"/>
        <w:spacing w:after="0" w:line="289" w:lineRule="auto"/>
        <w:rPr>
          <w:rFonts w:ascii="Arial" w:cs="Arial" w:eastAsia="Arial" w:hAnsi="Arial"/>
          <w:sz w:val="25"/>
          <w:szCs w:val="25"/>
          <w:b w:val="1"/>
          <w:bCs w:val="1"/>
          <w:color w:val="auto"/>
          <w:vertAlign w:val="superscript"/>
        </w:rPr>
      </w:pPr>
      <w:r>
        <w:rPr>
          <w:rFonts w:ascii="Arial" w:cs="Arial" w:eastAsia="Arial" w:hAnsi="Arial"/>
          <w:sz w:val="17"/>
          <w:szCs w:val="17"/>
          <w:b w:val="1"/>
          <w:bCs w:val="1"/>
          <w:color w:val="auto"/>
        </w:rPr>
        <w:t>Throughout this presentation, the difference between reported variances and Constant Currency (CC) variances represents the impact of currency on our financial results. Constant Currency is further explained on our Web site.</w:t>
      </w:r>
    </w:p>
    <w:p>
      <w:pPr>
        <w:sectPr>
          <w:pgSz w:w="11900" w:h="16838" w:orient="portrait"/>
          <w:cols w:equalWidth="0" w:num="1">
            <w:col w:w="10058"/>
          </w:cols>
          <w:pgMar w:left="1022" w:top="517" w:right="819" w:bottom="1440" w:gutter="0" w:footer="0" w:header="0"/>
          <w:type w:val="continuous"/>
        </w:sectPr>
      </w:pPr>
    </w:p>
    <w:bookmarkStart w:id="15" w:name="page16"/>
    <w:bookmarkEnd w:id="15"/>
    <w:tbl>
      <w:tblPr>
        <w:tblLayout w:type="fixed"/>
        <w:tblInd w:w="16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47"/>
          <w:szCs w:val="47"/>
          <w:color w:val="7EA190"/>
        </w:rPr>
        <w:t>Consolidated Gross Profit Margin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3760" w:type="dxa"/>
            <w:vAlign w:val="bottom"/>
          </w:tcPr>
          <w:p>
            <w:pPr>
              <w:jc w:val="right"/>
              <w:ind w:right="3188"/>
              <w:spacing w:after="0"/>
              <w:rPr>
                <w:sz w:val="20"/>
                <w:szCs w:val="20"/>
                <w:color w:val="auto"/>
              </w:rPr>
            </w:pPr>
            <w:r>
              <w:rPr>
                <w:rFonts w:ascii="Arial" w:cs="Arial" w:eastAsia="Arial" w:hAnsi="Arial"/>
                <w:sz w:val="22"/>
                <w:szCs w:val="22"/>
                <w:b w:val="1"/>
                <w:bCs w:val="1"/>
                <w:color w:val="auto"/>
                <w:w w:val="99"/>
              </w:rPr>
              <w:t>19%</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760" w:type="dxa"/>
            <w:vAlign w:val="bottom"/>
          </w:tcPr>
          <w:p>
            <w:pPr>
              <w:jc w:val="right"/>
              <w:ind w:right="228"/>
              <w:spacing w:after="0"/>
              <w:rPr>
                <w:sz w:val="20"/>
                <w:szCs w:val="20"/>
                <w:color w:val="auto"/>
              </w:rPr>
            </w:pPr>
            <w:r>
              <w:rPr>
                <w:rFonts w:ascii="Arial" w:cs="Arial" w:eastAsia="Arial" w:hAnsi="Arial"/>
                <w:sz w:val="22"/>
                <w:szCs w:val="22"/>
                <w:b w:val="1"/>
                <w:bCs w:val="1"/>
                <w:color w:val="auto"/>
              </w:rPr>
              <w:t>- 0.57%</w:t>
            </w:r>
          </w:p>
        </w:tc>
        <w:tc>
          <w:tcPr>
            <w:tcW w:w="1580" w:type="dxa"/>
            <w:vAlign w:val="bottom"/>
            <w:vMerge w:val="restart"/>
          </w:tcPr>
          <w:p>
            <w:pPr>
              <w:jc w:val="right"/>
              <w:ind w:right="288"/>
              <w:spacing w:after="0"/>
              <w:rPr>
                <w:sz w:val="20"/>
                <w:szCs w:val="20"/>
                <w:color w:val="auto"/>
              </w:rPr>
            </w:pPr>
            <w:r>
              <w:rPr>
                <w:rFonts w:ascii="Arial" w:cs="Arial" w:eastAsia="Arial" w:hAnsi="Arial"/>
                <w:sz w:val="22"/>
                <w:szCs w:val="22"/>
                <w:b w:val="1"/>
                <w:bCs w:val="1"/>
                <w:color w:val="auto"/>
              </w:rPr>
              <w:t>+ 0.28%</w:t>
            </w:r>
          </w:p>
        </w:tc>
        <w:tc>
          <w:tcPr>
            <w:tcW w:w="1600" w:type="dxa"/>
            <w:vAlign w:val="bottom"/>
            <w:vMerge w:val="restart"/>
          </w:tcPr>
          <w:p>
            <w:pPr>
              <w:jc w:val="right"/>
              <w:ind w:right="248"/>
              <w:spacing w:after="0"/>
              <w:rPr>
                <w:sz w:val="20"/>
                <w:szCs w:val="20"/>
                <w:color w:val="auto"/>
              </w:rPr>
            </w:pPr>
            <w:r>
              <w:rPr>
                <w:rFonts w:ascii="Arial" w:cs="Arial" w:eastAsia="Arial" w:hAnsi="Arial"/>
                <w:sz w:val="22"/>
                <w:szCs w:val="22"/>
                <w:b w:val="1"/>
                <w:bCs w:val="1"/>
                <w:color w:val="auto"/>
              </w:rPr>
              <w:t>+ 0.14%</w:t>
            </w:r>
          </w:p>
        </w:tc>
        <w:tc>
          <w:tcPr>
            <w:tcW w:w="114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- 0.12%</w:t>
            </w: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 w:type="dxa"/>
            <w:vAlign w:val="bottom"/>
            <w:vMerge w:val="restart"/>
          </w:tcPr>
          <w:p>
            <w:pPr>
              <w:jc w:val="right"/>
              <w:ind w:right="168"/>
              <w:spacing w:after="0"/>
              <w:rPr>
                <w:sz w:val="20"/>
                <w:szCs w:val="20"/>
                <w:color w:val="auto"/>
              </w:rPr>
            </w:pPr>
            <w:r>
              <w:rPr>
                <w:rFonts w:ascii="Arial" w:cs="Arial" w:eastAsia="Arial" w:hAnsi="Arial"/>
                <w:sz w:val="22"/>
                <w:szCs w:val="22"/>
                <w:b w:val="1"/>
                <w:bCs w:val="1"/>
                <w:color w:val="auto"/>
                <w:w w:val="99"/>
              </w:rPr>
              <w:t>18%</w:t>
            </w:r>
          </w:p>
        </w:tc>
        <w:tc>
          <w:tcPr>
            <w:tcW w:w="8920" w:type="dxa"/>
            <w:vAlign w:val="bottom"/>
          </w:tcPr>
          <w:p>
            <w:pPr>
              <w:jc w:val="right"/>
              <w:ind w:right="7748"/>
              <w:spacing w:after="0" w:line="202" w:lineRule="exact"/>
              <w:rPr>
                <w:sz w:val="20"/>
                <w:szCs w:val="20"/>
                <w:color w:val="auto"/>
              </w:rPr>
            </w:pPr>
            <w:r>
              <w:rPr>
                <w:rFonts w:ascii="Arial" w:cs="Arial" w:eastAsia="Arial" w:hAnsi="Arial"/>
                <w:sz w:val="22"/>
                <w:szCs w:val="22"/>
                <w:b w:val="1"/>
                <w:bCs w:val="1"/>
                <w:color w:val="FFFFFF"/>
              </w:rPr>
              <w:t>18.40%</w:t>
            </w:r>
          </w:p>
        </w:tc>
        <w:tc>
          <w:tcPr>
            <w:tcW w:w="0" w:type="dxa"/>
            <w:vAlign w:val="bottom"/>
          </w:tcPr>
          <w:p>
            <w:pPr>
              <w:spacing w:after="0"/>
              <w:rPr>
                <w:sz w:val="1"/>
                <w:szCs w:val="1"/>
                <w:color w:val="auto"/>
              </w:rPr>
            </w:pPr>
          </w:p>
        </w:tc>
      </w:tr>
      <w:tr>
        <w:trPr>
          <w:trHeight w:val="160"/>
        </w:trPr>
        <w:tc>
          <w:tcPr>
            <w:tcW w:w="740" w:type="dxa"/>
            <w:vAlign w:val="bottom"/>
            <w:vMerge w:val="continue"/>
          </w:tcPr>
          <w:p>
            <w:pPr>
              <w:spacing w:after="0"/>
              <w:rPr>
                <w:sz w:val="13"/>
                <w:szCs w:val="13"/>
                <w:color w:val="auto"/>
              </w:rPr>
            </w:pPr>
          </w:p>
        </w:tc>
        <w:tc>
          <w:tcPr>
            <w:tcW w:w="8920" w:type="dxa"/>
            <w:vAlign w:val="bottom"/>
            <w:vMerge w:val="restart"/>
          </w:tcPr>
          <w:p>
            <w:pPr>
              <w:jc w:val="right"/>
              <w:spacing w:after="0"/>
              <w:rPr>
                <w:sz w:val="20"/>
                <w:szCs w:val="20"/>
                <w:color w:val="auto"/>
              </w:rPr>
            </w:pPr>
            <w:r>
              <w:rPr>
                <w:rFonts w:ascii="Arial" w:cs="Arial" w:eastAsia="Arial" w:hAnsi="Arial"/>
                <w:sz w:val="22"/>
                <w:szCs w:val="22"/>
                <w:b w:val="1"/>
                <w:bCs w:val="1"/>
                <w:color w:val="FFFFFF"/>
              </w:rPr>
              <w:t>18.13%</w:t>
            </w:r>
          </w:p>
        </w:tc>
        <w:tc>
          <w:tcPr>
            <w:tcW w:w="0" w:type="dxa"/>
            <w:vAlign w:val="bottom"/>
          </w:tcPr>
          <w:p>
            <w:pPr>
              <w:spacing w:after="0"/>
              <w:rPr>
                <w:sz w:val="1"/>
                <w:szCs w:val="1"/>
                <w:color w:val="auto"/>
              </w:rPr>
            </w:pPr>
          </w:p>
        </w:tc>
      </w:tr>
      <w:tr>
        <w:trPr>
          <w:trHeight w:val="136"/>
        </w:trPr>
        <w:tc>
          <w:tcPr>
            <w:tcW w:w="740" w:type="dxa"/>
            <w:vAlign w:val="bottom"/>
          </w:tcPr>
          <w:p>
            <w:pPr>
              <w:spacing w:after="0"/>
              <w:rPr>
                <w:sz w:val="11"/>
                <w:szCs w:val="11"/>
                <w:color w:val="auto"/>
              </w:rPr>
            </w:pPr>
          </w:p>
        </w:tc>
        <w:tc>
          <w:tcPr>
            <w:tcW w:w="8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8"/>
        </w:trPr>
        <w:tc>
          <w:tcPr>
            <w:tcW w:w="740" w:type="dxa"/>
            <w:vAlign w:val="bottom"/>
          </w:tcPr>
          <w:p>
            <w:pPr>
              <w:jc w:val="right"/>
              <w:ind w:right="168"/>
              <w:spacing w:after="0"/>
              <w:rPr>
                <w:sz w:val="20"/>
                <w:szCs w:val="20"/>
                <w:color w:val="auto"/>
              </w:rPr>
            </w:pPr>
            <w:r>
              <w:rPr>
                <w:rFonts w:ascii="Arial" w:cs="Arial" w:eastAsia="Arial" w:hAnsi="Arial"/>
                <w:sz w:val="22"/>
                <w:szCs w:val="22"/>
                <w:b w:val="1"/>
                <w:bCs w:val="1"/>
                <w:color w:val="auto"/>
                <w:w w:val="99"/>
              </w:rPr>
              <w:t>17%</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w:t>
      </w:r>
    </w:p>
    <w:p>
      <w:pPr>
        <w:spacing w:after="0" w:line="76" w:lineRule="exact"/>
        <w:rPr>
          <w:sz w:val="20"/>
          <w:szCs w:val="20"/>
          <w:color w:val="auto"/>
        </w:rPr>
      </w:pPr>
    </w:p>
    <w:tbl>
      <w:tblPr>
        <w:tblLayout w:type="fixed"/>
        <w:tblInd w:w="100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Arial" w:cs="Arial" w:eastAsia="Arial" w:hAnsi="Arial"/>
                <w:sz w:val="22"/>
                <w:szCs w:val="22"/>
                <w:b w:val="1"/>
                <w:bCs w:val="1"/>
                <w:color w:val="auto"/>
              </w:rPr>
              <w:t>Q3 2007</w:t>
            </w:r>
          </w:p>
        </w:tc>
        <w:tc>
          <w:tcPr>
            <w:tcW w:w="1660" w:type="dxa"/>
            <w:vAlign w:val="bottom"/>
          </w:tcPr>
          <w:p>
            <w:pPr>
              <w:jc w:val="center"/>
              <w:ind w:left="8"/>
              <w:spacing w:after="0"/>
              <w:rPr>
                <w:sz w:val="20"/>
                <w:szCs w:val="20"/>
                <w:color w:val="auto"/>
              </w:rPr>
            </w:pPr>
            <w:r>
              <w:rPr>
                <w:rFonts w:ascii="Arial" w:cs="Arial" w:eastAsia="Arial" w:hAnsi="Arial"/>
                <w:sz w:val="22"/>
                <w:szCs w:val="22"/>
                <w:b w:val="1"/>
                <w:bCs w:val="1"/>
                <w:color w:val="auto"/>
              </w:rPr>
              <w:t>Decrease in</w:t>
            </w:r>
          </w:p>
        </w:tc>
        <w:tc>
          <w:tcPr>
            <w:tcW w:w="1600" w:type="dxa"/>
            <w:vAlign w:val="bottom"/>
          </w:tcPr>
          <w:p>
            <w:pPr>
              <w:jc w:val="center"/>
              <w:spacing w:after="0"/>
              <w:rPr>
                <w:sz w:val="20"/>
                <w:szCs w:val="20"/>
                <w:color w:val="auto"/>
              </w:rPr>
            </w:pPr>
            <w:r>
              <w:rPr>
                <w:rFonts w:ascii="Arial" w:cs="Arial" w:eastAsia="Arial" w:hAnsi="Arial"/>
                <w:sz w:val="22"/>
                <w:szCs w:val="22"/>
                <w:b w:val="1"/>
                <w:bCs w:val="1"/>
                <w:color w:val="auto"/>
                <w:w w:val="98"/>
              </w:rPr>
              <w:t>Temporary</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rPr>
              <w:t>Permanent</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rPr>
              <w:t>Mix -</w:t>
            </w:r>
          </w:p>
        </w:tc>
        <w:tc>
          <w:tcPr>
            <w:tcW w:w="1180" w:type="dxa"/>
            <w:vAlign w:val="bottom"/>
          </w:tcPr>
          <w:p>
            <w:pPr>
              <w:ind w:left="320"/>
              <w:spacing w:after="0"/>
              <w:rPr>
                <w:sz w:val="20"/>
                <w:szCs w:val="20"/>
                <w:color w:val="auto"/>
              </w:rPr>
            </w:pPr>
            <w:r>
              <w:rPr>
                <w:rFonts w:ascii="Arial" w:cs="Arial" w:eastAsia="Arial" w:hAnsi="Arial"/>
                <w:sz w:val="22"/>
                <w:szCs w:val="22"/>
                <w:b w:val="1"/>
                <w:bCs w:val="1"/>
                <w:color w:val="auto"/>
                <w:w w:val="99"/>
              </w:rPr>
              <w:t>Q3 2008</w:t>
            </w:r>
          </w:p>
        </w:tc>
      </w:tr>
      <w:tr>
        <w:trPr>
          <w:trHeight w:val="282"/>
        </w:trPr>
        <w:tc>
          <w:tcPr>
            <w:tcW w:w="1100" w:type="dxa"/>
            <w:vAlign w:val="bottom"/>
          </w:tcPr>
          <w:p>
            <w:pPr>
              <w:spacing w:after="0"/>
              <w:rPr>
                <w:sz w:val="24"/>
                <w:szCs w:val="24"/>
                <w:color w:val="auto"/>
              </w:rPr>
            </w:pPr>
          </w:p>
        </w:tc>
        <w:tc>
          <w:tcPr>
            <w:tcW w:w="1660" w:type="dxa"/>
            <w:vAlign w:val="bottom"/>
          </w:tcPr>
          <w:p>
            <w:pPr>
              <w:jc w:val="center"/>
              <w:ind w:left="48"/>
              <w:spacing w:after="0"/>
              <w:rPr>
                <w:sz w:val="20"/>
                <w:szCs w:val="20"/>
                <w:color w:val="auto"/>
              </w:rPr>
            </w:pPr>
            <w:r>
              <w:rPr>
                <w:rFonts w:ascii="Arial" w:cs="Arial" w:eastAsia="Arial" w:hAnsi="Arial"/>
                <w:sz w:val="22"/>
                <w:szCs w:val="22"/>
                <w:b w:val="1"/>
                <w:bCs w:val="1"/>
                <w:color w:val="auto"/>
              </w:rPr>
              <w:t>Impact of</w:t>
            </w:r>
          </w:p>
        </w:tc>
        <w:tc>
          <w:tcPr>
            <w:tcW w:w="1600" w:type="dxa"/>
            <w:vAlign w:val="bottom"/>
          </w:tcPr>
          <w:p>
            <w:pPr>
              <w:jc w:val="center"/>
              <w:spacing w:after="0"/>
              <w:rPr>
                <w:sz w:val="20"/>
                <w:szCs w:val="20"/>
                <w:color w:val="auto"/>
              </w:rPr>
            </w:pPr>
            <w:r>
              <w:rPr>
                <w:rFonts w:ascii="Arial" w:cs="Arial" w:eastAsia="Arial" w:hAnsi="Arial"/>
                <w:sz w:val="22"/>
                <w:szCs w:val="22"/>
                <w:b w:val="1"/>
                <w:bCs w:val="1"/>
                <w:color w:val="auto"/>
              </w:rPr>
              <w:t>Recruitment</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rPr>
              <w:t>Recruitment</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rPr>
              <w:t>Specialty</w:t>
            </w:r>
          </w:p>
        </w:tc>
        <w:tc>
          <w:tcPr>
            <w:tcW w:w="1180" w:type="dxa"/>
            <w:vAlign w:val="bottom"/>
          </w:tcPr>
          <w:p>
            <w:pPr>
              <w:spacing w:after="0"/>
              <w:rPr>
                <w:sz w:val="24"/>
                <w:szCs w:val="24"/>
                <w:color w:val="auto"/>
              </w:rPr>
            </w:pPr>
          </w:p>
        </w:tc>
      </w:tr>
      <w:tr>
        <w:trPr>
          <w:trHeight w:val="282"/>
        </w:trPr>
        <w:tc>
          <w:tcPr>
            <w:tcW w:w="1100" w:type="dxa"/>
            <w:vAlign w:val="bottom"/>
          </w:tcPr>
          <w:p>
            <w:pPr>
              <w:spacing w:after="0"/>
              <w:rPr>
                <w:sz w:val="24"/>
                <w:szCs w:val="24"/>
                <w:color w:val="auto"/>
              </w:rPr>
            </w:pPr>
          </w:p>
        </w:tc>
        <w:tc>
          <w:tcPr>
            <w:tcW w:w="1660" w:type="dxa"/>
            <w:vAlign w:val="bottom"/>
          </w:tcPr>
          <w:p>
            <w:pPr>
              <w:jc w:val="center"/>
              <w:ind w:left="8"/>
              <w:spacing w:after="0"/>
              <w:rPr>
                <w:sz w:val="20"/>
                <w:szCs w:val="20"/>
                <w:color w:val="auto"/>
              </w:rPr>
            </w:pPr>
            <w:r>
              <w:rPr>
                <w:rFonts w:ascii="Arial" w:cs="Arial" w:eastAsia="Arial" w:hAnsi="Arial"/>
                <w:sz w:val="22"/>
                <w:szCs w:val="22"/>
                <w:b w:val="1"/>
                <w:bCs w:val="1"/>
                <w:color w:val="auto"/>
              </w:rPr>
              <w:t>Payroll Tax</w:t>
            </w:r>
          </w:p>
        </w:tc>
        <w:tc>
          <w:tcPr>
            <w:tcW w:w="1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6"/>
        </w:trPr>
        <w:tc>
          <w:tcPr>
            <w:tcW w:w="1100" w:type="dxa"/>
            <w:vAlign w:val="bottom"/>
          </w:tcPr>
          <w:p>
            <w:pPr>
              <w:spacing w:after="0"/>
              <w:rPr>
                <w:sz w:val="24"/>
                <w:szCs w:val="24"/>
                <w:color w:val="auto"/>
              </w:rPr>
            </w:pPr>
          </w:p>
        </w:tc>
        <w:tc>
          <w:tcPr>
            <w:tcW w:w="1660" w:type="dxa"/>
            <w:vAlign w:val="bottom"/>
          </w:tcPr>
          <w:p>
            <w:pPr>
              <w:jc w:val="center"/>
              <w:ind w:left="8"/>
              <w:spacing w:after="0"/>
              <w:rPr>
                <w:sz w:val="20"/>
                <w:szCs w:val="20"/>
                <w:color w:val="auto"/>
              </w:rPr>
            </w:pPr>
            <w:r>
              <w:rPr>
                <w:rFonts w:ascii="Arial" w:cs="Arial" w:eastAsia="Arial" w:hAnsi="Arial"/>
                <w:sz w:val="22"/>
                <w:szCs w:val="22"/>
                <w:b w:val="1"/>
                <w:bCs w:val="1"/>
                <w:color w:val="auto"/>
              </w:rPr>
              <w:t>Changes</w:t>
            </w:r>
          </w:p>
        </w:tc>
        <w:tc>
          <w:tcPr>
            <w:tcW w:w="1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020"/>
          </w:cols>
          <w:pgMar w:left="1060" w:top="517" w:right="8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5</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7"/>
          <w:szCs w:val="47"/>
          <w:color w:val="C8504F"/>
        </w:rPr>
        <w:t>United States Segment</w:t>
      </w:r>
    </w:p>
    <w:p>
      <w:pPr>
        <w:spacing w:after="0"/>
        <w:rPr>
          <w:sz w:val="20"/>
          <w:szCs w:val="20"/>
          <w:color w:val="auto"/>
        </w:rPr>
      </w:pPr>
      <w:r>
        <w:rPr>
          <w:rFonts w:ascii="Arial" w:cs="Arial" w:eastAsia="Arial" w:hAnsi="Arial"/>
          <w:sz w:val="32"/>
          <w:szCs w:val="32"/>
          <w:color w:val="C8504F"/>
        </w:rPr>
        <w:t>(9% of Revenue)</w:t>
      </w:r>
    </w:p>
    <w:p>
      <w:pPr>
        <w:spacing w:after="0" w:line="259"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Q3 Financial Highlights</w:t>
      </w:r>
    </w:p>
    <w:p>
      <w:pPr>
        <w:spacing w:after="0" w:line="399" w:lineRule="exact"/>
        <w:rPr>
          <w:sz w:val="20"/>
          <w:szCs w:val="20"/>
          <w:color w:val="auto"/>
        </w:rPr>
      </w:pPr>
    </w:p>
    <w:p>
      <w:pPr>
        <w:ind w:left="2180"/>
        <w:spacing w:after="0"/>
        <w:tabs>
          <w:tab w:leader="none" w:pos="3400" w:val="left"/>
        </w:tabs>
        <w:rPr>
          <w:sz w:val="20"/>
          <w:szCs w:val="20"/>
          <w:color w:val="auto"/>
        </w:rPr>
      </w:pPr>
      <w:r>
        <w:rPr>
          <w:rFonts w:ascii="Arial" w:cs="Arial" w:eastAsia="Arial" w:hAnsi="Arial"/>
          <w:sz w:val="38"/>
          <w:szCs w:val="38"/>
          <w:color w:val="auto"/>
        </w:rPr>
        <w:t>4%</w:t>
      </w:r>
      <w:r>
        <w:rPr>
          <w:rFonts w:ascii="Arial" w:cs="Arial" w:eastAsia="Arial" w:hAnsi="Arial"/>
          <w:sz w:val="38"/>
          <w:szCs w:val="38"/>
          <w:b w:val="1"/>
          <w:bCs w:val="1"/>
          <w:color w:val="C8504F"/>
          <w:vertAlign w:val="superscript"/>
        </w:rPr>
        <w:t>(1)</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$520M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100"/>
        <w:spacing w:after="0"/>
        <w:tabs>
          <w:tab w:leader="none" w:pos="3440" w:val="left"/>
        </w:tabs>
        <w:rPr>
          <w:sz w:val="20"/>
          <w:szCs w:val="20"/>
          <w:color w:val="auto"/>
        </w:rPr>
      </w:pPr>
      <w:r>
        <w:rPr>
          <w:rFonts w:ascii="Arial" w:cs="Arial" w:eastAsia="Arial" w:hAnsi="Arial"/>
          <w:sz w:val="38"/>
          <w:szCs w:val="38"/>
          <w:color w:val="auto"/>
        </w:rPr>
        <w:t>50%</w:t>
      </w:r>
      <w:r>
        <w:rPr>
          <w:sz w:val="20"/>
          <w:szCs w:val="20"/>
          <w:color w:val="auto"/>
        </w:rPr>
        <w:tab/>
      </w:r>
      <w:r>
        <w:rPr>
          <w:rFonts w:ascii="Arial" w:cs="Arial" w:eastAsia="Arial" w:hAnsi="Arial"/>
          <w:sz w:val="41"/>
          <w:szCs w:val="41"/>
          <w:b w:val="1"/>
          <w:bCs w:val="1"/>
          <w:color w:val="auto"/>
        </w:rPr>
        <w:t xml:space="preserve">OUP </w:t>
      </w:r>
      <w:r>
        <w:rPr>
          <w:rFonts w:ascii="Arial" w:cs="Arial" w:eastAsia="Arial" w:hAnsi="Arial"/>
          <w:sz w:val="43"/>
          <w:szCs w:val="43"/>
          <w:b w:val="1"/>
          <w:bCs w:val="1"/>
          <w:color w:val="C8504F"/>
        </w:rPr>
        <w:t>$12M</w:t>
      </w:r>
    </w:p>
    <w:p>
      <w:pPr>
        <w:spacing w:after="0" w:line="200" w:lineRule="exact"/>
        <w:rPr>
          <w:sz w:val="20"/>
          <w:szCs w:val="20"/>
          <w:color w:val="auto"/>
        </w:rPr>
      </w:pPr>
    </w:p>
    <w:p>
      <w:pPr>
        <w:spacing w:after="0" w:line="399" w:lineRule="exact"/>
        <w:rPr>
          <w:sz w:val="20"/>
          <w:szCs w:val="20"/>
          <w:color w:val="auto"/>
        </w:rPr>
      </w:pPr>
    </w:p>
    <w:p>
      <w:pPr>
        <w:ind w:left="1720"/>
        <w:spacing w:after="0"/>
        <w:tabs>
          <w:tab w:leader="none" w:pos="3420" w:val="left"/>
        </w:tabs>
        <w:rPr>
          <w:sz w:val="20"/>
          <w:szCs w:val="20"/>
          <w:color w:val="auto"/>
        </w:rPr>
      </w:pPr>
      <w:r>
        <w:rPr>
          <w:rFonts w:ascii="Arial" w:cs="Arial" w:eastAsia="Arial" w:hAnsi="Arial"/>
          <w:sz w:val="38"/>
          <w:szCs w:val="38"/>
          <w:color w:val="auto"/>
        </w:rPr>
        <w:t>250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0" w:hanging="216"/>
        <w:spacing w:after="0"/>
        <w:tabs>
          <w:tab w:leader="none" w:pos="300" w:val="left"/>
        </w:tabs>
        <w:numPr>
          <w:ilvl w:val="0"/>
          <w:numId w:val="7"/>
        </w:numPr>
        <w:rPr>
          <w:rFonts w:ascii="Arial" w:cs="Arial" w:eastAsia="Arial" w:hAnsi="Arial"/>
          <w:sz w:val="26"/>
          <w:szCs w:val="26"/>
          <w:b w:val="1"/>
          <w:bCs w:val="1"/>
          <w:color w:val="auto"/>
          <w:vertAlign w:val="superscript"/>
        </w:rPr>
      </w:pPr>
      <w:r>
        <w:rPr>
          <w:rFonts w:ascii="Arial" w:cs="Arial" w:eastAsia="Arial" w:hAnsi="Arial"/>
          <w:sz w:val="19"/>
          <w:szCs w:val="19"/>
          <w:color w:val="auto"/>
        </w:rPr>
        <w:t>The results above include the impact of acquisitions. On an organic basis, revenue decreased 10%.</w:t>
      </w:r>
    </w:p>
    <w:p>
      <w:pPr>
        <w:spacing w:after="0" w:line="184" w:lineRule="exact"/>
        <w:rPr>
          <w:sz w:val="20"/>
          <w:szCs w:val="20"/>
          <w:color w:val="auto"/>
        </w:rPr>
      </w:pPr>
    </w:p>
    <w:p>
      <w:pPr>
        <w:ind w:left="80" w:right="1200"/>
        <w:spacing w:after="0" w:line="271" w:lineRule="auto"/>
        <w:rPr>
          <w:sz w:val="20"/>
          <w:szCs w:val="20"/>
          <w:color w:val="auto"/>
        </w:rPr>
      </w:pPr>
      <w:r>
        <w:rPr>
          <w:rFonts w:ascii="Arial" w:cs="Arial" w:eastAsia="Arial" w:hAnsi="Arial"/>
          <w:sz w:val="22"/>
          <w:szCs w:val="22"/>
          <w:b w:val="1"/>
          <w:bCs w:val="1"/>
          <w:color w:val="auto"/>
        </w:rPr>
        <w:t>Operating Unit Profit (OUP) is the measure that we use to evaluate segment performance. OUP is equal to segment revenues less direct costs and branch and national headquartersoperatingcosts.</w:t>
      </w:r>
    </w:p>
    <w:p>
      <w:pPr>
        <w:sectPr>
          <w:pgSz w:w="11900" w:h="16838" w:orient="portrait"/>
          <w:cols w:equalWidth="0" w:num="1">
            <w:col w:w="9860"/>
          </w:cols>
          <w:pgMar w:left="1220" w:top="517" w:right="8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6</w:t>
            </w:r>
          </w:p>
        </w:tc>
      </w:tr>
    </w:tbl>
    <w:p>
      <w:pPr>
        <w:jc w:val="right"/>
        <w:spacing w:after="0"/>
        <w:rPr>
          <w:sz w:val="20"/>
          <w:szCs w:val="20"/>
          <w:color w:val="auto"/>
        </w:rPr>
        <w:sectPr>
          <w:pgSz w:w="11900" w:h="16838" w:orient="portrait"/>
          <w:cols w:equalWidth="0" w:num="1">
            <w:col w:w="9860"/>
          </w:cols>
          <w:pgMar w:left="1220" w:top="517" w:right="819" w:bottom="1440" w:gutter="0" w:footer="0" w:header="0"/>
        </w:sect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7"/>
          <w:szCs w:val="47"/>
          <w:color w:val="D47C18"/>
        </w:rPr>
        <w:t>France Segment</w:t>
      </w:r>
    </w:p>
    <w:p>
      <w:pPr>
        <w:spacing w:after="0"/>
        <w:rPr>
          <w:sz w:val="20"/>
          <w:szCs w:val="20"/>
          <w:color w:val="auto"/>
        </w:rPr>
      </w:pPr>
      <w:r>
        <w:rPr>
          <w:rFonts w:ascii="Arial" w:cs="Arial" w:eastAsia="Arial" w:hAnsi="Arial"/>
          <w:sz w:val="32"/>
          <w:szCs w:val="32"/>
          <w:color w:val="D47C18"/>
        </w:rPr>
        <w:t>(33% of Revenue)</w:t>
      </w:r>
    </w:p>
    <w:p>
      <w:pPr>
        <w:spacing w:after="0" w:line="348" w:lineRule="exact"/>
        <w:rPr>
          <w:sz w:val="20"/>
          <w:szCs w:val="20"/>
          <w:color w:val="auto"/>
        </w:rPr>
      </w:pPr>
    </w:p>
    <w:tbl>
      <w:tblPr>
        <w:tblLayout w:type="fixed"/>
        <w:tblInd w:w="440" w:type="dxa"/>
        <w:tblCellMar>
          <w:top w:w="0" w:type="dxa"/>
          <w:left w:w="0" w:type="dxa"/>
          <w:bottom w:w="0" w:type="dxa"/>
          <w:right w:w="0" w:type="dxa"/>
        </w:tblCellMar>
      </w:tblPr>
      <w:tr>
        <w:trPr>
          <w:trHeight w:val="270"/>
        </w:trPr>
        <w:tc>
          <w:tcPr>
            <w:tcW w:w="1540" w:type="dxa"/>
            <w:vAlign w:val="bottom"/>
            <w:vMerge w:val="restart"/>
          </w:tcPr>
          <w:p>
            <w:pPr>
              <w:jc w:val="center"/>
              <w:ind w:right="94"/>
              <w:spacing w:after="0"/>
              <w:rPr>
                <w:sz w:val="20"/>
                <w:szCs w:val="20"/>
                <w:color w:val="auto"/>
              </w:rPr>
            </w:pPr>
            <w:r>
              <w:rPr>
                <w:rFonts w:ascii="Arial" w:cs="Arial" w:eastAsia="Arial" w:hAnsi="Arial"/>
                <w:sz w:val="22"/>
                <w:szCs w:val="22"/>
                <w:b w:val="1"/>
                <w:bCs w:val="1"/>
                <w:color w:val="auto"/>
                <w:w w:val="99"/>
              </w:rPr>
              <w:t>As</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rPr>
              <w:t>Excluding</w:t>
            </w:r>
          </w:p>
        </w:tc>
        <w:tc>
          <w:tcPr>
            <w:tcW w:w="0" w:type="dxa"/>
            <w:vAlign w:val="bottom"/>
          </w:tcPr>
          <w:p>
            <w:pPr>
              <w:spacing w:after="0"/>
              <w:rPr>
                <w:sz w:val="1"/>
                <w:szCs w:val="1"/>
                <w:color w:val="auto"/>
              </w:rPr>
            </w:pPr>
          </w:p>
        </w:tc>
      </w:tr>
      <w:tr>
        <w:trPr>
          <w:trHeight w:val="230"/>
        </w:trPr>
        <w:tc>
          <w:tcPr>
            <w:tcW w:w="1540" w:type="dxa"/>
            <w:vAlign w:val="bottom"/>
            <w:vMerge w:val="continue"/>
          </w:tcPr>
          <w:p>
            <w:pPr>
              <w:spacing w:after="0"/>
              <w:rPr>
                <w:sz w:val="20"/>
                <w:szCs w:val="20"/>
                <w:color w:val="auto"/>
              </w:rPr>
            </w:pPr>
          </w:p>
        </w:tc>
        <w:tc>
          <w:tcPr>
            <w:tcW w:w="1660" w:type="dxa"/>
            <w:vAlign w:val="bottom"/>
          </w:tcPr>
          <w:p>
            <w:pPr>
              <w:jc w:val="center"/>
              <w:spacing w:after="0" w:line="230" w:lineRule="exact"/>
              <w:rPr>
                <w:sz w:val="20"/>
                <w:szCs w:val="20"/>
                <w:color w:val="auto"/>
              </w:rPr>
            </w:pPr>
            <w:r>
              <w:rPr>
                <w:rFonts w:ascii="Arial" w:cs="Arial" w:eastAsia="Arial" w:hAnsi="Arial"/>
                <w:sz w:val="22"/>
                <w:szCs w:val="22"/>
                <w:b w:val="1"/>
                <w:bCs w:val="1"/>
                <w:color w:val="auto"/>
              </w:rPr>
              <w:t>Non-recurring</w:t>
            </w:r>
          </w:p>
        </w:tc>
        <w:tc>
          <w:tcPr>
            <w:tcW w:w="0" w:type="dxa"/>
            <w:vAlign w:val="bottom"/>
          </w:tcPr>
          <w:p>
            <w:pPr>
              <w:spacing w:after="0"/>
              <w:rPr>
                <w:sz w:val="1"/>
                <w:szCs w:val="1"/>
                <w:color w:val="auto"/>
              </w:rPr>
            </w:pPr>
          </w:p>
        </w:tc>
      </w:tr>
      <w:tr>
        <w:trPr>
          <w:trHeight w:val="473"/>
        </w:trPr>
        <w:tc>
          <w:tcPr>
            <w:tcW w:w="1540" w:type="dxa"/>
            <w:vAlign w:val="bottom"/>
          </w:tcPr>
          <w:p>
            <w:pPr>
              <w:jc w:val="center"/>
              <w:ind w:right="74"/>
              <w:spacing w:after="0"/>
              <w:rPr>
                <w:sz w:val="20"/>
                <w:szCs w:val="20"/>
                <w:color w:val="auto"/>
              </w:rPr>
            </w:pPr>
            <w:r>
              <w:rPr>
                <w:rFonts w:ascii="Arial" w:cs="Arial" w:eastAsia="Arial" w:hAnsi="Arial"/>
                <w:sz w:val="22"/>
                <w:szCs w:val="22"/>
                <w:b w:val="1"/>
                <w:bCs w:val="1"/>
                <w:color w:val="auto"/>
              </w:rPr>
              <w:t>Reported</w:t>
            </w:r>
          </w:p>
        </w:tc>
        <w:tc>
          <w:tcPr>
            <w:tcW w:w="1660" w:type="dxa"/>
            <w:vAlign w:val="bottom"/>
          </w:tcPr>
          <w:p>
            <w:pPr>
              <w:jc w:val="center"/>
              <w:ind w:left="141"/>
              <w:spacing w:after="0"/>
              <w:rPr>
                <w:sz w:val="20"/>
                <w:szCs w:val="20"/>
                <w:color w:val="auto"/>
              </w:rPr>
            </w:pPr>
            <w:r>
              <w:rPr>
                <w:rFonts w:ascii="Arial" w:cs="Arial" w:eastAsia="Arial" w:hAnsi="Arial"/>
                <w:sz w:val="22"/>
                <w:szCs w:val="22"/>
                <w:b w:val="1"/>
                <w:bCs w:val="1"/>
                <w:color w:val="auto"/>
                <w:w w:val="92"/>
              </w:rPr>
              <w:t>Items</w:t>
            </w:r>
            <w:r>
              <w:rPr>
                <w:rFonts w:ascii="Arial" w:cs="Arial" w:eastAsia="Arial" w:hAnsi="Arial"/>
                <w:sz w:val="35"/>
                <w:szCs w:val="35"/>
                <w:b w:val="1"/>
                <w:bCs w:val="1"/>
                <w:color w:val="D47C18"/>
                <w:w w:val="92"/>
                <w:vertAlign w:val="superscript"/>
              </w:rPr>
              <w:t>(1)</w:t>
            </w:r>
          </w:p>
        </w:tc>
        <w:tc>
          <w:tcPr>
            <w:tcW w:w="0" w:type="dxa"/>
            <w:vAlign w:val="bottom"/>
          </w:tcPr>
          <w:p>
            <w:pPr>
              <w:spacing w:after="0"/>
              <w:rPr>
                <w:sz w:val="1"/>
                <w:szCs w:val="1"/>
                <w:color w:val="auto"/>
              </w:rPr>
            </w:pPr>
          </w:p>
        </w:tc>
      </w:tr>
      <w:tr>
        <w:trPr>
          <w:trHeight w:val="521"/>
        </w:trPr>
        <w:tc>
          <w:tcPr>
            <w:tcW w:w="1540" w:type="dxa"/>
            <w:vAlign w:val="bottom"/>
          </w:tcPr>
          <w:p>
            <w:pPr>
              <w:jc w:val="right"/>
              <w:ind w:right="354"/>
              <w:spacing w:after="0"/>
              <w:rPr>
                <w:sz w:val="20"/>
                <w:szCs w:val="20"/>
                <w:color w:val="auto"/>
              </w:rPr>
            </w:pPr>
            <w:r>
              <w:rPr>
                <w:rFonts w:ascii="Arial" w:cs="Arial" w:eastAsia="Arial" w:hAnsi="Arial"/>
                <w:sz w:val="38"/>
                <w:szCs w:val="38"/>
                <w:color w:val="auto"/>
              </w:rPr>
              <w:t>1%</w:t>
            </w:r>
          </w:p>
        </w:tc>
        <w:tc>
          <w:tcPr>
            <w:tcW w:w="1660" w:type="dxa"/>
            <w:vAlign w:val="bottom"/>
          </w:tcPr>
          <w:p>
            <w:pPr>
              <w:jc w:val="center"/>
              <w:ind w:left="201"/>
              <w:spacing w:after="0"/>
              <w:rPr>
                <w:sz w:val="20"/>
                <w:szCs w:val="20"/>
                <w:color w:val="auto"/>
              </w:rPr>
            </w:pPr>
            <w:r>
              <w:rPr>
                <w:rFonts w:ascii="Arial" w:cs="Arial" w:eastAsia="Arial" w:hAnsi="Arial"/>
                <w:sz w:val="38"/>
                <w:szCs w:val="38"/>
                <w:color w:val="auto"/>
                <w:w w:val="98"/>
              </w:rPr>
              <w:t>1%</w:t>
            </w:r>
          </w:p>
        </w:tc>
        <w:tc>
          <w:tcPr>
            <w:tcW w:w="0" w:type="dxa"/>
            <w:vAlign w:val="bottom"/>
          </w:tcPr>
          <w:p>
            <w:pPr>
              <w:spacing w:after="0"/>
              <w:rPr>
                <w:sz w:val="1"/>
                <w:szCs w:val="1"/>
                <w:color w:val="auto"/>
              </w:rPr>
            </w:pPr>
          </w:p>
        </w:tc>
      </w:tr>
      <w:tr>
        <w:trPr>
          <w:trHeight w:val="459"/>
        </w:trPr>
        <w:tc>
          <w:tcPr>
            <w:tcW w:w="1540" w:type="dxa"/>
            <w:vAlign w:val="bottom"/>
          </w:tcPr>
          <w:p>
            <w:pPr>
              <w:jc w:val="center"/>
              <w:spacing w:after="0"/>
              <w:rPr>
                <w:sz w:val="20"/>
                <w:szCs w:val="20"/>
                <w:color w:val="auto"/>
              </w:rPr>
            </w:pPr>
            <w:r>
              <w:rPr>
                <w:rFonts w:ascii="Arial" w:cs="Arial" w:eastAsia="Arial" w:hAnsi="Arial"/>
                <w:sz w:val="38"/>
                <w:szCs w:val="38"/>
                <w:color w:val="auto"/>
                <w:w w:val="98"/>
              </w:rPr>
              <w:t>8% CC</w:t>
            </w:r>
          </w:p>
        </w:tc>
        <w:tc>
          <w:tcPr>
            <w:tcW w:w="1660" w:type="dxa"/>
            <w:vAlign w:val="bottom"/>
          </w:tcPr>
          <w:p>
            <w:pPr>
              <w:jc w:val="center"/>
              <w:ind w:left="121"/>
              <w:spacing w:after="0"/>
              <w:rPr>
                <w:sz w:val="20"/>
                <w:szCs w:val="20"/>
                <w:color w:val="auto"/>
              </w:rPr>
            </w:pPr>
            <w:r>
              <w:rPr>
                <w:rFonts w:ascii="Arial" w:cs="Arial" w:eastAsia="Arial" w:hAnsi="Arial"/>
                <w:sz w:val="38"/>
                <w:szCs w:val="38"/>
                <w:color w:val="auto"/>
                <w:w w:val="98"/>
              </w:rPr>
              <w:t>8% CC</w:t>
            </w:r>
          </w:p>
        </w:tc>
        <w:tc>
          <w:tcPr>
            <w:tcW w:w="0" w:type="dxa"/>
            <w:vAlign w:val="bottom"/>
          </w:tcPr>
          <w:p>
            <w:pPr>
              <w:spacing w:after="0"/>
              <w:rPr>
                <w:sz w:val="1"/>
                <w:szCs w:val="1"/>
                <w:color w:val="auto"/>
              </w:rPr>
            </w:pPr>
          </w:p>
        </w:tc>
      </w:tr>
      <w:tr>
        <w:trPr>
          <w:trHeight w:val="682"/>
        </w:trPr>
        <w:tc>
          <w:tcPr>
            <w:tcW w:w="1540" w:type="dxa"/>
            <w:vAlign w:val="bottom"/>
          </w:tcPr>
          <w:p>
            <w:pPr>
              <w:jc w:val="right"/>
              <w:ind w:right="274"/>
              <w:spacing w:after="0"/>
              <w:rPr>
                <w:sz w:val="20"/>
                <w:szCs w:val="20"/>
                <w:color w:val="auto"/>
              </w:rPr>
            </w:pPr>
            <w:r>
              <w:rPr>
                <w:rFonts w:ascii="Arial" w:cs="Arial" w:eastAsia="Arial" w:hAnsi="Arial"/>
                <w:sz w:val="38"/>
                <w:szCs w:val="38"/>
                <w:color w:val="auto"/>
              </w:rPr>
              <w:t>34%</w:t>
            </w:r>
          </w:p>
        </w:tc>
        <w:tc>
          <w:tcPr>
            <w:tcW w:w="1660" w:type="dxa"/>
            <w:vAlign w:val="bottom"/>
          </w:tcPr>
          <w:p>
            <w:pPr>
              <w:jc w:val="center"/>
              <w:ind w:left="141"/>
              <w:spacing w:after="0"/>
              <w:rPr>
                <w:sz w:val="20"/>
                <w:szCs w:val="20"/>
                <w:color w:val="auto"/>
              </w:rPr>
            </w:pPr>
            <w:r>
              <w:rPr>
                <w:rFonts w:ascii="Arial" w:cs="Arial" w:eastAsia="Arial" w:hAnsi="Arial"/>
                <w:sz w:val="38"/>
                <w:szCs w:val="38"/>
                <w:color w:val="auto"/>
                <w:w w:val="99"/>
              </w:rPr>
              <w:t>10%</w:t>
            </w:r>
          </w:p>
        </w:tc>
        <w:tc>
          <w:tcPr>
            <w:tcW w:w="0" w:type="dxa"/>
            <w:vAlign w:val="bottom"/>
          </w:tcPr>
          <w:p>
            <w:pPr>
              <w:spacing w:after="0"/>
              <w:rPr>
                <w:sz w:val="1"/>
                <w:szCs w:val="1"/>
                <w:color w:val="auto"/>
              </w:rPr>
            </w:pPr>
          </w:p>
        </w:tc>
      </w:tr>
      <w:tr>
        <w:trPr>
          <w:trHeight w:val="459"/>
        </w:trPr>
        <w:tc>
          <w:tcPr>
            <w:tcW w:w="1540" w:type="dxa"/>
            <w:vAlign w:val="bottom"/>
          </w:tcPr>
          <w:p>
            <w:pPr>
              <w:jc w:val="center"/>
              <w:spacing w:after="0"/>
              <w:rPr>
                <w:sz w:val="20"/>
                <w:szCs w:val="20"/>
                <w:color w:val="auto"/>
              </w:rPr>
            </w:pPr>
            <w:r>
              <w:rPr>
                <w:rFonts w:ascii="Arial" w:cs="Arial" w:eastAsia="Arial" w:hAnsi="Arial"/>
                <w:sz w:val="38"/>
                <w:szCs w:val="38"/>
                <w:color w:val="auto"/>
                <w:w w:val="98"/>
              </w:rPr>
              <w:t>40% CC</w:t>
            </w:r>
          </w:p>
        </w:tc>
        <w:tc>
          <w:tcPr>
            <w:tcW w:w="1660" w:type="dxa"/>
            <w:vAlign w:val="bottom"/>
          </w:tcPr>
          <w:p>
            <w:pPr>
              <w:jc w:val="center"/>
              <w:ind w:left="101"/>
              <w:spacing w:after="0"/>
              <w:rPr>
                <w:sz w:val="20"/>
                <w:szCs w:val="20"/>
                <w:color w:val="auto"/>
              </w:rPr>
            </w:pPr>
            <w:r>
              <w:rPr>
                <w:rFonts w:ascii="Arial" w:cs="Arial" w:eastAsia="Arial" w:hAnsi="Arial"/>
                <w:sz w:val="38"/>
                <w:szCs w:val="38"/>
                <w:color w:val="auto"/>
                <w:w w:val="98"/>
              </w:rPr>
              <w:t>18% CC</w:t>
            </w:r>
          </w:p>
        </w:tc>
        <w:tc>
          <w:tcPr>
            <w:tcW w:w="0" w:type="dxa"/>
            <w:vAlign w:val="bottom"/>
          </w:tcPr>
          <w:p>
            <w:pPr>
              <w:spacing w:after="0"/>
              <w:rPr>
                <w:sz w:val="1"/>
                <w:szCs w:val="1"/>
                <w:color w:val="auto"/>
              </w:rPr>
            </w:pPr>
          </w:p>
        </w:tc>
      </w:tr>
      <w:tr>
        <w:trPr>
          <w:trHeight w:val="894"/>
        </w:trPr>
        <w:tc>
          <w:tcPr>
            <w:tcW w:w="1540" w:type="dxa"/>
            <w:vAlign w:val="bottom"/>
          </w:tcPr>
          <w:p>
            <w:pPr>
              <w:jc w:val="center"/>
              <w:ind w:right="34"/>
              <w:spacing w:after="0"/>
              <w:rPr>
                <w:sz w:val="20"/>
                <w:szCs w:val="20"/>
                <w:color w:val="auto"/>
              </w:rPr>
            </w:pPr>
            <w:r>
              <w:rPr>
                <w:rFonts w:ascii="Arial" w:cs="Arial" w:eastAsia="Arial" w:hAnsi="Arial"/>
                <w:sz w:val="38"/>
                <w:szCs w:val="38"/>
                <w:color w:val="auto"/>
                <w:w w:val="99"/>
              </w:rPr>
              <w:t>190 bps</w:t>
            </w:r>
          </w:p>
        </w:tc>
        <w:tc>
          <w:tcPr>
            <w:tcW w:w="1660" w:type="dxa"/>
            <w:vAlign w:val="bottom"/>
          </w:tcPr>
          <w:p>
            <w:pPr>
              <w:jc w:val="center"/>
              <w:ind w:left="81"/>
              <w:spacing w:after="0"/>
              <w:rPr>
                <w:sz w:val="20"/>
                <w:szCs w:val="20"/>
                <w:color w:val="auto"/>
              </w:rPr>
            </w:pPr>
            <w:r>
              <w:rPr>
                <w:rFonts w:ascii="Arial" w:cs="Arial" w:eastAsia="Arial" w:hAnsi="Arial"/>
                <w:sz w:val="38"/>
                <w:szCs w:val="38"/>
                <w:color w:val="auto"/>
                <w:w w:val="99"/>
              </w:rPr>
              <w:t>40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0" w:firstLine="47"/>
        <w:spacing w:after="0" w:line="488" w:lineRule="auto"/>
        <w:rPr>
          <w:sz w:val="20"/>
          <w:szCs w:val="20"/>
          <w:color w:val="auto"/>
        </w:rPr>
      </w:pPr>
      <w:r>
        <w:rPr>
          <w:rFonts w:ascii="Arial" w:cs="Arial" w:eastAsia="Arial" w:hAnsi="Arial"/>
          <w:sz w:val="41"/>
          <w:szCs w:val="41"/>
          <w:b w:val="1"/>
          <w:bCs w:val="1"/>
          <w:color w:val="auto"/>
        </w:rPr>
        <w:t xml:space="preserve">Q3 Financial Highlights Revenue </w:t>
      </w:r>
      <w:r>
        <w:rPr>
          <w:rFonts w:ascii="Arial" w:cs="Arial" w:eastAsia="Arial" w:hAnsi="Arial"/>
          <w:sz w:val="43"/>
          <w:szCs w:val="43"/>
          <w:b w:val="1"/>
          <w:bCs w:val="1"/>
          <w:color w:val="D47C18"/>
        </w:rPr>
        <w:t>$1.9B</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D47C18"/>
        </w:rPr>
        <w:t>$66M</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3.5%</w:t>
      </w:r>
    </w:p>
    <w:p>
      <w:pPr>
        <w:spacing w:after="0" w:line="288" w:lineRule="exact"/>
        <w:rPr>
          <w:sz w:val="20"/>
          <w:szCs w:val="20"/>
          <w:color w:val="auto"/>
        </w:rPr>
      </w:pPr>
    </w:p>
    <w:p>
      <w:pPr>
        <w:sectPr>
          <w:pgSz w:w="11900" w:h="16838" w:orient="portrait"/>
          <w:cols w:equalWidth="0" w:num="2">
            <w:col w:w="3640" w:space="400"/>
            <w:col w:w="5820"/>
          </w:cols>
          <w:pgMar w:left="1220" w:top="517"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hanging="207"/>
        <w:spacing w:after="0"/>
        <w:tabs>
          <w:tab w:leader="none" w:pos="220" w:val="left"/>
        </w:tabs>
        <w:numPr>
          <w:ilvl w:val="0"/>
          <w:numId w:val="8"/>
        </w:numPr>
        <w:rPr>
          <w:rFonts w:ascii="Arial" w:cs="Arial" w:eastAsia="Arial" w:hAnsi="Arial"/>
          <w:sz w:val="25"/>
          <w:szCs w:val="25"/>
          <w:b w:val="1"/>
          <w:bCs w:val="1"/>
          <w:color w:val="auto"/>
          <w:vertAlign w:val="superscript"/>
        </w:rPr>
      </w:pPr>
      <w:r>
        <w:rPr>
          <w:rFonts w:ascii="Arial" w:cs="Arial" w:eastAsia="Arial" w:hAnsi="Arial"/>
          <w:sz w:val="18"/>
          <w:szCs w:val="18"/>
          <w:color w:val="auto"/>
        </w:rPr>
        <w:t>Excludes the impact of the French payroll tax change from 2007.</w:t>
      </w:r>
    </w:p>
    <w:p>
      <w:pPr>
        <w:sectPr>
          <w:pgSz w:w="11900" w:h="16838" w:orient="portrait"/>
          <w:cols w:equalWidth="0" w:num="1">
            <w:col w:w="9860"/>
          </w:cols>
          <w:pgMar w:left="1220" w:top="517" w:right="81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7</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7"/>
          <w:szCs w:val="47"/>
          <w:color w:val="5F81AA"/>
        </w:rPr>
        <w:t>Other EMEA Segment</w:t>
      </w:r>
    </w:p>
    <w:p>
      <w:pPr>
        <w:spacing w:after="0"/>
        <w:rPr>
          <w:sz w:val="20"/>
          <w:szCs w:val="20"/>
          <w:color w:val="auto"/>
        </w:rPr>
      </w:pPr>
      <w:r>
        <w:rPr>
          <w:rFonts w:ascii="Arial" w:cs="Arial" w:eastAsia="Arial" w:hAnsi="Arial"/>
          <w:sz w:val="32"/>
          <w:szCs w:val="32"/>
          <w:color w:val="5F81AA"/>
        </w:rPr>
        <w:t>(35% of Revenue)</w:t>
      </w:r>
    </w:p>
    <w:p>
      <w:pPr>
        <w:spacing w:after="0" w:line="259" w:lineRule="exact"/>
        <w:rPr>
          <w:sz w:val="20"/>
          <w:szCs w:val="20"/>
          <w:color w:val="auto"/>
        </w:rPr>
      </w:pPr>
    </w:p>
    <w:p>
      <w:pPr>
        <w:ind w:left="3540"/>
        <w:spacing w:after="0"/>
        <w:rPr>
          <w:sz w:val="20"/>
          <w:szCs w:val="20"/>
          <w:color w:val="auto"/>
        </w:rPr>
      </w:pPr>
      <w:r>
        <w:rPr>
          <w:rFonts w:ascii="Arial" w:cs="Arial" w:eastAsia="Arial" w:hAnsi="Arial"/>
          <w:sz w:val="41"/>
          <w:szCs w:val="41"/>
          <w:b w:val="1"/>
          <w:bCs w:val="1"/>
          <w:color w:val="auto"/>
        </w:rPr>
        <w:t>Q3 Financial Highlights</w:t>
      </w:r>
    </w:p>
    <w:p>
      <w:pPr>
        <w:spacing w:after="0" w:line="230" w:lineRule="exact"/>
        <w:rPr>
          <w:sz w:val="20"/>
          <w:szCs w:val="20"/>
          <w:color w:val="auto"/>
        </w:rPr>
      </w:pPr>
    </w:p>
    <w:p>
      <w:pPr>
        <w:ind w:left="2800"/>
        <w:spacing w:after="0"/>
        <w:rPr>
          <w:sz w:val="20"/>
          <w:szCs w:val="20"/>
          <w:color w:val="auto"/>
        </w:rPr>
      </w:pPr>
      <w:r>
        <w:rPr>
          <w:rFonts w:ascii="Arial" w:cs="Arial" w:eastAsia="Arial" w:hAnsi="Arial"/>
          <w:sz w:val="35"/>
          <w:szCs w:val="35"/>
          <w:b w:val="1"/>
          <w:bCs w:val="1"/>
          <w:color w:val="5F81AA"/>
          <w:vertAlign w:val="superscript"/>
        </w:rPr>
        <w:t>(1)</w:t>
      </w:r>
    </w:p>
    <w:p>
      <w:pPr>
        <w:spacing w:after="0" w:line="132" w:lineRule="exact"/>
        <w:rPr>
          <w:sz w:val="20"/>
          <w:szCs w:val="20"/>
          <w:color w:val="auto"/>
        </w:rPr>
      </w:pPr>
    </w:p>
    <w:p>
      <w:pPr>
        <w:ind w:left="1800"/>
        <w:spacing w:after="0"/>
        <w:rPr>
          <w:sz w:val="20"/>
          <w:szCs w:val="20"/>
          <w:color w:val="auto"/>
        </w:rPr>
      </w:pPr>
      <w:r>
        <w:rPr>
          <w:rFonts w:ascii="Arial" w:cs="Arial" w:eastAsia="Arial" w:hAnsi="Arial"/>
          <w:sz w:val="38"/>
          <w:szCs w:val="38"/>
          <w:color w:val="auto"/>
        </w:rPr>
        <w:t>8% CC</w:t>
      </w:r>
    </w:p>
    <w:p>
      <w:pPr>
        <w:ind w:left="2220"/>
        <w:spacing w:after="0" w:line="182" w:lineRule="auto"/>
        <w:tabs>
          <w:tab w:leader="none" w:pos="3500" w:val="left"/>
        </w:tabs>
        <w:rPr>
          <w:sz w:val="20"/>
          <w:szCs w:val="20"/>
          <w:color w:val="auto"/>
        </w:rPr>
      </w:pPr>
      <w:r>
        <w:rPr>
          <w:rFonts w:ascii="Arial" w:cs="Arial" w:eastAsia="Arial" w:hAnsi="Arial"/>
          <w:sz w:val="66"/>
          <w:szCs w:val="66"/>
          <w:color w:val="auto"/>
          <w:vertAlign w:val="superscript"/>
        </w:rPr>
        <w:t>2%</w:t>
      </w:r>
      <w:r>
        <w:rPr>
          <w:sz w:val="20"/>
          <w:szCs w:val="20"/>
          <w:color w:val="auto"/>
        </w:rPr>
        <w:tab/>
      </w:r>
      <w:r>
        <w:rPr>
          <w:rFonts w:ascii="Arial" w:cs="Arial" w:eastAsia="Arial" w:hAnsi="Arial"/>
          <w:sz w:val="37"/>
          <w:szCs w:val="37"/>
          <w:b w:val="1"/>
          <w:bCs w:val="1"/>
          <w:color w:val="auto"/>
        </w:rPr>
        <w:t xml:space="preserve">OUP </w:t>
      </w:r>
      <w:r>
        <w:rPr>
          <w:rFonts w:ascii="Arial" w:cs="Arial" w:eastAsia="Arial" w:hAnsi="Arial"/>
          <w:sz w:val="39"/>
          <w:szCs w:val="39"/>
          <w:b w:val="1"/>
          <w:bCs w:val="1"/>
          <w:color w:val="5F81AA"/>
        </w:rPr>
        <w:t>$76M</w:t>
      </w:r>
    </w:p>
    <w:p>
      <w:pPr>
        <w:spacing w:after="0" w:line="140" w:lineRule="exact"/>
        <w:rPr>
          <w:sz w:val="20"/>
          <w:szCs w:val="20"/>
          <w:color w:val="auto"/>
        </w:rPr>
      </w:pPr>
    </w:p>
    <w:p>
      <w:pPr>
        <w:ind w:left="1840"/>
        <w:spacing w:after="0"/>
        <w:rPr>
          <w:sz w:val="20"/>
          <w:szCs w:val="20"/>
          <w:color w:val="auto"/>
        </w:rPr>
      </w:pPr>
      <w:r>
        <w:rPr>
          <w:rFonts w:ascii="Arial" w:cs="Arial" w:eastAsia="Arial" w:hAnsi="Arial"/>
          <w:sz w:val="38"/>
          <w:szCs w:val="38"/>
          <w:color w:val="auto"/>
        </w:rPr>
        <w:t>2% CC</w:t>
      </w:r>
    </w:p>
    <w:p>
      <w:pPr>
        <w:spacing w:after="0" w:line="314" w:lineRule="exact"/>
        <w:rPr>
          <w:sz w:val="20"/>
          <w:szCs w:val="20"/>
          <w:color w:val="auto"/>
        </w:rPr>
      </w:pPr>
    </w:p>
    <w:p>
      <w:pPr>
        <w:ind w:left="1820"/>
        <w:spacing w:after="0"/>
        <w:tabs>
          <w:tab w:leader="none" w:pos="3500" w:val="left"/>
        </w:tabs>
        <w:rPr>
          <w:sz w:val="20"/>
          <w:szCs w:val="20"/>
          <w:color w:val="auto"/>
        </w:rPr>
      </w:pPr>
      <w:r>
        <w:rPr>
          <w:rFonts w:ascii="Arial" w:cs="Arial" w:eastAsia="Arial" w:hAnsi="Arial"/>
          <w:sz w:val="38"/>
          <w:szCs w:val="38"/>
          <w:color w:val="auto"/>
        </w:rPr>
        <w:t>40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5F81AA"/>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60" w:right="1140" w:hanging="223"/>
        <w:spacing w:after="0" w:line="218" w:lineRule="auto"/>
        <w:tabs>
          <w:tab w:leader="none" w:pos="248" w:val="left"/>
        </w:tabs>
        <w:numPr>
          <w:ilvl w:val="0"/>
          <w:numId w:val="9"/>
        </w:numPr>
        <w:rPr>
          <w:rFonts w:ascii="Arial" w:cs="Arial" w:eastAsia="Arial" w:hAnsi="Arial"/>
          <w:sz w:val="25"/>
          <w:szCs w:val="25"/>
          <w:b w:val="1"/>
          <w:bCs w:val="1"/>
          <w:color w:val="auto"/>
          <w:vertAlign w:val="superscript"/>
        </w:rPr>
      </w:pPr>
      <w:r>
        <w:rPr>
          <w:rFonts w:ascii="Arial" w:cs="Arial" w:eastAsia="Arial" w:hAnsi="Arial"/>
          <w:sz w:val="18"/>
          <w:szCs w:val="18"/>
          <w:color w:val="auto"/>
        </w:rPr>
        <w:t>The results above include the results of Vitae, which was acquired in April 2008. On an organic basis, revenue increased 10% in USD (6% in CC).</w:t>
      </w:r>
    </w:p>
    <w:p>
      <w:pPr>
        <w:sectPr>
          <w:pgSz w:w="11900" w:h="16838" w:orient="portrait"/>
          <w:cols w:equalWidth="0" w:num="1">
            <w:col w:w="9860"/>
          </w:cols>
          <w:pgMar w:left="1220" w:top="517" w:right="8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11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5271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47"/>
          <w:szCs w:val="47"/>
          <w:color w:val="6698C2"/>
        </w:rPr>
        <w:t>Other EMEA – Q3 Revenue Growth YoY</w:t>
      </w:r>
    </w:p>
    <w:p>
      <w:pPr>
        <w:sectPr>
          <w:pgSz w:w="11900" w:h="16838" w:orient="portrait"/>
          <w:cols w:equalWidth="0" w:num="1">
            <w:col w:w="9860"/>
          </w:cols>
          <w:pgMar w:left="1220" w:top="517" w:right="819" w:bottom="1440" w:gutter="0" w:footer="0" w:header="0"/>
        </w:sectPr>
      </w:pPr>
    </w:p>
    <w:p>
      <w:pPr>
        <w:spacing w:after="0" w:line="29" w:lineRule="exact"/>
        <w:rPr>
          <w:sz w:val="20"/>
          <w:szCs w:val="20"/>
          <w:color w:val="auto"/>
        </w:rPr>
      </w:pPr>
    </w:p>
    <w:p>
      <w:pPr>
        <w:ind w:left="60" w:right="2500"/>
        <w:spacing w:after="0" w:line="305" w:lineRule="auto"/>
        <w:tabs>
          <w:tab w:leader="none" w:pos="334"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pacing w:after="0" w:line="29" w:lineRule="exact"/>
        <w:rPr>
          <w:sz w:val="20"/>
          <w:szCs w:val="20"/>
          <w:color w:val="auto"/>
        </w:rPr>
      </w:pPr>
    </w:p>
    <w:p>
      <w:pPr>
        <w:ind w:left="240"/>
        <w:spacing w:after="0"/>
        <w:tabs>
          <w:tab w:leader="none" w:pos="2180" w:val="left"/>
        </w:tabs>
        <w:rPr>
          <w:sz w:val="20"/>
          <w:szCs w:val="20"/>
          <w:color w:val="auto"/>
        </w:rPr>
      </w:pPr>
      <w:r>
        <w:rPr>
          <w:rFonts w:ascii="Arial" w:cs="Arial" w:eastAsia="Arial" w:hAnsi="Arial"/>
          <w:sz w:val="28"/>
          <w:szCs w:val="28"/>
          <w:b w:val="1"/>
          <w:bCs w:val="1"/>
          <w:color w:val="D47C18"/>
        </w:rPr>
        <w:t>18%</w:t>
      </w:r>
      <w:r>
        <w:rPr>
          <w:sz w:val="20"/>
          <w:szCs w:val="20"/>
          <w:color w:val="auto"/>
        </w:rPr>
        <w:tab/>
      </w:r>
      <w:r>
        <w:rPr>
          <w:rFonts w:ascii="Arial" w:cs="Arial" w:eastAsia="Arial" w:hAnsi="Arial"/>
          <w:sz w:val="26"/>
          <w:szCs w:val="26"/>
          <w:b w:val="1"/>
          <w:bCs w:val="1"/>
          <w:color w:val="auto"/>
        </w:rPr>
        <w:t>Nordics</w:t>
      </w:r>
    </w:p>
    <w:p>
      <w:pPr>
        <w:spacing w:after="0" w:line="254" w:lineRule="exact"/>
        <w:rPr>
          <w:sz w:val="20"/>
          <w:szCs w:val="20"/>
          <w:color w:val="auto"/>
        </w:rPr>
      </w:pPr>
    </w:p>
    <w:p>
      <w:pPr>
        <w:ind w:left="240"/>
        <w:spacing w:after="0"/>
        <w:tabs>
          <w:tab w:leader="none" w:pos="2580" w:val="left"/>
        </w:tabs>
        <w:rPr>
          <w:sz w:val="20"/>
          <w:szCs w:val="20"/>
          <w:color w:val="auto"/>
        </w:rPr>
      </w:pPr>
      <w:r>
        <w:rPr>
          <w:rFonts w:ascii="Arial" w:cs="Arial" w:eastAsia="Arial" w:hAnsi="Arial"/>
          <w:sz w:val="28"/>
          <w:szCs w:val="28"/>
          <w:b w:val="1"/>
          <w:bCs w:val="1"/>
          <w:color w:val="D47C18"/>
        </w:rPr>
        <w:t>17%</w:t>
      </w:r>
      <w:r>
        <w:rPr>
          <w:sz w:val="20"/>
          <w:szCs w:val="20"/>
          <w:color w:val="auto"/>
        </w:rPr>
        <w:tab/>
      </w:r>
      <w:r>
        <w:rPr>
          <w:rFonts w:ascii="Arial" w:cs="Arial" w:eastAsia="Arial" w:hAnsi="Arial"/>
          <w:sz w:val="26"/>
          <w:szCs w:val="26"/>
          <w:b w:val="1"/>
          <w:bCs w:val="1"/>
          <w:color w:val="auto"/>
        </w:rPr>
        <w:t>Elan</w:t>
      </w:r>
    </w:p>
    <w:p>
      <w:pPr>
        <w:spacing w:after="0" w:line="254" w:lineRule="exact"/>
        <w:rPr>
          <w:sz w:val="20"/>
          <w:szCs w:val="20"/>
          <w:color w:val="auto"/>
        </w:rPr>
      </w:pPr>
    </w:p>
    <w:p>
      <w:pPr>
        <w:ind w:left="240"/>
        <w:spacing w:after="0"/>
        <w:tabs>
          <w:tab w:leader="none" w:pos="1240" w:val="left"/>
        </w:tabs>
        <w:rPr>
          <w:sz w:val="20"/>
          <w:szCs w:val="20"/>
          <w:color w:val="auto"/>
        </w:rPr>
      </w:pPr>
      <w:r>
        <w:rPr>
          <w:rFonts w:ascii="Arial" w:cs="Arial" w:eastAsia="Arial" w:hAnsi="Arial"/>
          <w:sz w:val="28"/>
          <w:szCs w:val="28"/>
          <w:b w:val="1"/>
          <w:bCs w:val="1"/>
          <w:color w:val="D47C18"/>
        </w:rPr>
        <w:t>13%</w:t>
      </w:r>
      <w:r>
        <w:rPr>
          <w:sz w:val="20"/>
          <w:szCs w:val="20"/>
          <w:color w:val="auto"/>
        </w:rPr>
        <w:tab/>
      </w:r>
      <w:r>
        <w:rPr>
          <w:rFonts w:ascii="Arial" w:cs="Arial" w:eastAsia="Arial" w:hAnsi="Arial"/>
          <w:sz w:val="26"/>
          <w:szCs w:val="26"/>
          <w:b w:val="1"/>
          <w:bCs w:val="1"/>
          <w:color w:val="auto"/>
        </w:rPr>
        <w:t>UK - Manpower</w:t>
      </w:r>
    </w:p>
    <w:p>
      <w:pPr>
        <w:spacing w:after="0" w:line="254" w:lineRule="exact"/>
        <w:rPr>
          <w:sz w:val="20"/>
          <w:szCs w:val="20"/>
          <w:color w:val="auto"/>
        </w:rPr>
      </w:pPr>
    </w:p>
    <w:p>
      <w:pPr>
        <w:ind w:left="240"/>
        <w:spacing w:after="0"/>
        <w:tabs>
          <w:tab w:leader="none" w:pos="2020" w:val="left"/>
        </w:tabs>
        <w:rPr>
          <w:sz w:val="20"/>
          <w:szCs w:val="20"/>
          <w:color w:val="auto"/>
        </w:rPr>
      </w:pPr>
      <w:r>
        <w:rPr>
          <w:rFonts w:ascii="Arial" w:cs="Arial" w:eastAsia="Arial" w:hAnsi="Arial"/>
          <w:sz w:val="28"/>
          <w:szCs w:val="28"/>
          <w:b w:val="1"/>
          <w:bCs w:val="1"/>
          <w:color w:val="D47C18"/>
        </w:rPr>
        <w:t>12%</w:t>
      </w:r>
      <w:r>
        <w:rPr>
          <w:sz w:val="20"/>
          <w:szCs w:val="20"/>
          <w:color w:val="auto"/>
        </w:rPr>
        <w:tab/>
      </w:r>
      <w:r>
        <w:rPr>
          <w:rFonts w:ascii="Arial" w:cs="Arial" w:eastAsia="Arial" w:hAnsi="Arial"/>
          <w:sz w:val="26"/>
          <w:szCs w:val="26"/>
          <w:b w:val="1"/>
          <w:bCs w:val="1"/>
          <w:color w:val="auto"/>
        </w:rPr>
        <w:t>Germany</w:t>
      </w:r>
    </w:p>
    <w:p>
      <w:pPr>
        <w:spacing w:after="0" w:line="246" w:lineRule="exact"/>
        <w:rPr>
          <w:sz w:val="20"/>
          <w:szCs w:val="20"/>
          <w:color w:val="auto"/>
        </w:rPr>
      </w:pPr>
    </w:p>
    <w:p>
      <w:pPr>
        <w:ind w:left="240"/>
        <w:spacing w:after="0"/>
        <w:tabs>
          <w:tab w:leader="none" w:pos="1660" w:val="left"/>
        </w:tabs>
        <w:rPr>
          <w:sz w:val="20"/>
          <w:szCs w:val="20"/>
          <w:color w:val="auto"/>
        </w:rPr>
      </w:pPr>
      <w:r>
        <w:rPr>
          <w:rFonts w:ascii="Arial" w:cs="Arial" w:eastAsia="Arial" w:hAnsi="Arial"/>
          <w:sz w:val="28"/>
          <w:szCs w:val="28"/>
          <w:b w:val="1"/>
          <w:bCs w:val="1"/>
          <w:color w:val="D47C18"/>
        </w:rPr>
        <w:t>10%</w:t>
      </w:r>
      <w:r>
        <w:rPr>
          <w:sz w:val="20"/>
          <w:szCs w:val="20"/>
          <w:color w:val="auto"/>
        </w:rPr>
        <w:tab/>
      </w:r>
      <w:r>
        <w:rPr>
          <w:rFonts w:ascii="Arial" w:cs="Arial" w:eastAsia="Arial" w:hAnsi="Arial"/>
          <w:sz w:val="26"/>
          <w:szCs w:val="26"/>
          <w:b w:val="1"/>
          <w:bCs w:val="1"/>
          <w:color w:val="auto"/>
        </w:rPr>
        <w:t>Netherlands</w:t>
      </w:r>
      <w:r>
        <w:rPr>
          <w:rFonts w:ascii="Arial" w:cs="Arial" w:eastAsia="Arial" w:hAnsi="Arial"/>
          <w:sz w:val="35"/>
          <w:szCs w:val="35"/>
          <w:b w:val="1"/>
          <w:bCs w:val="1"/>
          <w:color w:val="6698C2"/>
          <w:vertAlign w:val="superscript"/>
        </w:rPr>
        <w:t>(1)</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416"/>
        </w:trPr>
        <w:tc>
          <w:tcPr>
            <w:tcW w:w="1080" w:type="dxa"/>
            <w:vAlign w:val="bottom"/>
          </w:tcPr>
          <w:p>
            <w:pPr>
              <w:jc w:val="right"/>
              <w:ind w:right="539"/>
              <w:spacing w:after="0"/>
              <w:rPr>
                <w:sz w:val="20"/>
                <w:szCs w:val="20"/>
                <w:color w:val="auto"/>
              </w:rPr>
            </w:pPr>
            <w:r>
              <w:rPr>
                <w:rFonts w:ascii="Arial" w:cs="Arial" w:eastAsia="Arial" w:hAnsi="Arial"/>
                <w:sz w:val="28"/>
                <w:szCs w:val="28"/>
                <w:b w:val="1"/>
                <w:bCs w:val="1"/>
                <w:color w:val="D47C18"/>
                <w:w w:val="93"/>
              </w:rPr>
              <w:t>7%</w:t>
            </w:r>
          </w:p>
        </w:tc>
        <w:tc>
          <w:tcPr>
            <w:tcW w:w="1900" w:type="dxa"/>
            <w:vAlign w:val="bottom"/>
          </w:tcPr>
          <w:p>
            <w:pPr>
              <w:ind w:left="680"/>
              <w:spacing w:after="0"/>
              <w:rPr>
                <w:sz w:val="20"/>
                <w:szCs w:val="20"/>
                <w:color w:val="auto"/>
              </w:rPr>
            </w:pPr>
            <w:r>
              <w:rPr>
                <w:rFonts w:ascii="Arial" w:cs="Arial" w:eastAsia="Arial" w:hAnsi="Arial"/>
                <w:sz w:val="26"/>
                <w:szCs w:val="26"/>
                <w:b w:val="1"/>
                <w:bCs w:val="1"/>
                <w:color w:val="auto"/>
              </w:rPr>
              <w:t>Belgium</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1080" w:type="dxa"/>
            <w:vAlign w:val="bottom"/>
          </w:tcPr>
          <w:p>
            <w:pPr>
              <w:jc w:val="right"/>
              <w:ind w:right="539"/>
              <w:spacing w:after="0"/>
              <w:rPr>
                <w:sz w:val="20"/>
                <w:szCs w:val="20"/>
                <w:color w:val="auto"/>
              </w:rPr>
            </w:pPr>
            <w:r>
              <w:rPr>
                <w:rFonts w:ascii="Arial" w:cs="Arial" w:eastAsia="Arial" w:hAnsi="Arial"/>
                <w:sz w:val="28"/>
                <w:szCs w:val="28"/>
                <w:b w:val="1"/>
                <w:bCs w:val="1"/>
                <w:color w:val="D47C18"/>
                <w:w w:val="93"/>
              </w:rPr>
              <w:t>6%</w:t>
            </w:r>
          </w:p>
        </w:tc>
        <w:tc>
          <w:tcPr>
            <w:tcW w:w="1900" w:type="dxa"/>
            <w:vAlign w:val="bottom"/>
          </w:tcPr>
          <w:p>
            <w:pPr>
              <w:ind w:left="960"/>
              <w:spacing w:after="0"/>
              <w:rPr>
                <w:sz w:val="20"/>
                <w:szCs w:val="20"/>
                <w:color w:val="auto"/>
              </w:rPr>
            </w:pPr>
            <w:r>
              <w:rPr>
                <w:rFonts w:ascii="Arial" w:cs="Arial" w:eastAsia="Arial" w:hAnsi="Arial"/>
                <w:sz w:val="26"/>
                <w:szCs w:val="26"/>
                <w:b w:val="1"/>
                <w:bCs w:val="1"/>
                <w:color w:val="auto"/>
              </w:rPr>
              <w:t>Spain</w:t>
            </w:r>
          </w:p>
        </w:tc>
        <w:tc>
          <w:tcPr>
            <w:tcW w:w="740" w:type="dxa"/>
            <w:vAlign w:val="bottom"/>
            <w:vMerge w:val="restart"/>
          </w:tcPr>
          <w:p>
            <w:pPr>
              <w:jc w:val="right"/>
              <w:spacing w:after="0"/>
              <w:rPr>
                <w:sz w:val="20"/>
                <w:szCs w:val="20"/>
                <w:color w:val="auto"/>
              </w:rPr>
            </w:pPr>
            <w:r>
              <w:rPr>
                <w:rFonts w:ascii="Arial" w:cs="Arial" w:eastAsia="Arial" w:hAnsi="Arial"/>
                <w:sz w:val="22"/>
                <w:szCs w:val="22"/>
                <w:b w:val="1"/>
                <w:bCs w:val="1"/>
                <w:color w:val="FFFFFF"/>
              </w:rPr>
              <w:t>-17%</w:t>
            </w: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FFFFFF"/>
        </w:rPr>
        <w:t>5%</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-2%</w:t>
      </w:r>
    </w:p>
    <w:p>
      <w:pPr>
        <w:spacing w:after="0" w:line="72"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FFFFFF"/>
        </w:rPr>
        <w:t>21%</w:t>
      </w:r>
    </w:p>
    <w:p>
      <w:pPr>
        <w:spacing w:after="0" w:line="10"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FFFFFF"/>
        </w:rPr>
        <w:t>26%</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FFFFFF"/>
        </w:rPr>
        <w:t>-6%</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0%</w:t>
      </w:r>
    </w:p>
    <w:p>
      <w:pPr>
        <w:spacing w:after="0" w:line="60"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FFFFFF"/>
        </w:rPr>
        <w:t>17%</w:t>
      </w:r>
    </w:p>
    <w:p>
      <w:pPr>
        <w:spacing w:after="0" w:line="22" w:lineRule="exact"/>
        <w:rPr>
          <w:sz w:val="20"/>
          <w:szCs w:val="20"/>
          <w:color w:val="auto"/>
        </w:rPr>
      </w:pPr>
    </w:p>
    <w:p>
      <w:pPr>
        <w:ind w:left="1320"/>
        <w:spacing w:after="0"/>
        <w:rPr>
          <w:sz w:val="20"/>
          <w:szCs w:val="20"/>
          <w:color w:val="auto"/>
        </w:rPr>
      </w:pPr>
      <w:r>
        <w:rPr>
          <w:rFonts w:ascii="Arial" w:cs="Arial" w:eastAsia="Arial" w:hAnsi="Arial"/>
          <w:sz w:val="22"/>
          <w:szCs w:val="22"/>
          <w:b w:val="1"/>
          <w:bCs w:val="1"/>
          <w:color w:val="FFFFFF"/>
        </w:rPr>
        <w:t>7%</w:t>
      </w:r>
    </w:p>
    <w:p>
      <w:pPr>
        <w:spacing w:after="0" w:line="84" w:lineRule="exact"/>
        <w:rPr>
          <w:sz w:val="20"/>
          <w:szCs w:val="20"/>
          <w:color w:val="auto"/>
        </w:rPr>
      </w:pPr>
    </w:p>
    <w:p>
      <w:pPr>
        <w:jc w:val="right"/>
        <w:ind w:right="640"/>
        <w:spacing w:after="0"/>
        <w:rPr>
          <w:sz w:val="20"/>
          <w:szCs w:val="20"/>
          <w:color w:val="auto"/>
        </w:rPr>
      </w:pPr>
      <w:r>
        <w:rPr>
          <w:rFonts w:ascii="Arial" w:cs="Arial" w:eastAsia="Arial" w:hAnsi="Arial"/>
          <w:sz w:val="22"/>
          <w:szCs w:val="22"/>
          <w:b w:val="1"/>
          <w:bCs w:val="1"/>
          <w:color w:val="FFFFFF"/>
        </w:rPr>
        <w:t>37%</w:t>
      </w:r>
    </w:p>
    <w:p>
      <w:pPr>
        <w:spacing w:after="0" w:line="10"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FFFFFF"/>
        </w:rPr>
        <w:t>25%</w:t>
      </w:r>
    </w:p>
    <w:p>
      <w:pPr>
        <w:spacing w:after="0" w:line="84"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FFFFFF"/>
        </w:rPr>
        <w:t>16%</w:t>
      </w:r>
    </w:p>
    <w:p>
      <w:pPr>
        <w:spacing w:after="0" w:line="10"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FFFFFF"/>
        </w:rPr>
        <w:t>6%</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-9%</w:t>
      </w:r>
    </w:p>
    <w:p>
      <w:pPr>
        <w:spacing w:after="0" w:line="340" w:lineRule="exact"/>
        <w:rPr>
          <w:sz w:val="20"/>
          <w:szCs w:val="20"/>
          <w:color w:val="auto"/>
        </w:rPr>
      </w:pPr>
    </w:p>
    <w:p>
      <w:pPr>
        <w:sectPr>
          <w:pgSz w:w="11900" w:h="16838" w:orient="portrait"/>
          <w:cols w:equalWidth="0" w:num="2">
            <w:col w:w="4120" w:space="320"/>
            <w:col w:w="5420"/>
          </w:cols>
          <w:pgMar w:left="1220" w:top="517" w:right="819" w:bottom="1440" w:gutter="0" w:footer="0" w:header="0"/>
          <w:type w:val="continuous"/>
        </w:sectPr>
      </w:pPr>
    </w:p>
    <w:tbl>
      <w:tblPr>
        <w:tblLayout w:type="fixed"/>
        <w:tblInd w:w="240" w:type="dxa"/>
        <w:tblCellMar>
          <w:top w:w="0" w:type="dxa"/>
          <w:left w:w="0" w:type="dxa"/>
          <w:bottom w:w="0" w:type="dxa"/>
          <w:right w:w="0" w:type="dxa"/>
        </w:tblCellMar>
      </w:tblPr>
      <w:tr>
        <w:trPr>
          <w:trHeight w:val="253"/>
        </w:trPr>
        <w:tc>
          <w:tcPr>
            <w:tcW w:w="1400" w:type="dxa"/>
            <w:vAlign w:val="bottom"/>
            <w:vMerge w:val="restart"/>
          </w:tcPr>
          <w:p>
            <w:pPr>
              <w:jc w:val="right"/>
              <w:ind w:right="679"/>
              <w:spacing w:after="0"/>
              <w:rPr>
                <w:sz w:val="20"/>
                <w:szCs w:val="20"/>
                <w:color w:val="auto"/>
              </w:rPr>
            </w:pPr>
            <w:r>
              <w:rPr>
                <w:rFonts w:ascii="Arial" w:cs="Arial" w:eastAsia="Arial" w:hAnsi="Arial"/>
                <w:sz w:val="28"/>
                <w:szCs w:val="28"/>
                <w:b w:val="1"/>
                <w:bCs w:val="1"/>
                <w:color w:val="D47C18"/>
                <w:w w:val="99"/>
              </w:rPr>
              <w:t>17%</w:t>
            </w:r>
          </w:p>
        </w:tc>
        <w:tc>
          <w:tcPr>
            <w:tcW w:w="3200" w:type="dxa"/>
            <w:vAlign w:val="bottom"/>
            <w:vMerge w:val="restart"/>
          </w:tcPr>
          <w:p>
            <w:pPr>
              <w:ind w:left="820"/>
              <w:spacing w:after="0"/>
              <w:rPr>
                <w:sz w:val="20"/>
                <w:szCs w:val="20"/>
                <w:color w:val="auto"/>
              </w:rPr>
            </w:pPr>
            <w:r>
              <w:rPr>
                <w:rFonts w:ascii="Arial" w:cs="Arial" w:eastAsia="Arial" w:hAnsi="Arial"/>
                <w:sz w:val="26"/>
                <w:szCs w:val="26"/>
                <w:b w:val="1"/>
                <w:bCs w:val="1"/>
                <w:color w:val="auto"/>
              </w:rPr>
              <w:t>Other</w:t>
            </w:r>
          </w:p>
        </w:tc>
        <w:tc>
          <w:tcPr>
            <w:tcW w:w="3000" w:type="dxa"/>
            <w:vAlign w:val="bottom"/>
          </w:tcPr>
          <w:p>
            <w:pPr>
              <w:jc w:val="right"/>
              <w:spacing w:after="0"/>
              <w:rPr>
                <w:sz w:val="20"/>
                <w:szCs w:val="20"/>
                <w:color w:val="auto"/>
              </w:rPr>
            </w:pPr>
            <w:r>
              <w:rPr>
                <w:rFonts w:ascii="Arial" w:cs="Arial" w:eastAsia="Arial" w:hAnsi="Arial"/>
                <w:sz w:val="22"/>
                <w:szCs w:val="22"/>
                <w:b w:val="1"/>
                <w:bCs w:val="1"/>
                <w:color w:val="FFFFFF"/>
              </w:rPr>
              <w:t>24%</w:t>
            </w:r>
          </w:p>
        </w:tc>
        <w:tc>
          <w:tcPr>
            <w:tcW w:w="0" w:type="dxa"/>
            <w:vAlign w:val="bottom"/>
          </w:tcPr>
          <w:p>
            <w:pPr>
              <w:spacing w:after="0"/>
              <w:rPr>
                <w:sz w:val="1"/>
                <w:szCs w:val="1"/>
                <w:color w:val="auto"/>
              </w:rPr>
            </w:pPr>
          </w:p>
        </w:tc>
      </w:tr>
      <w:tr>
        <w:trPr>
          <w:trHeight w:val="202"/>
        </w:trPr>
        <w:tc>
          <w:tcPr>
            <w:tcW w:w="140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3000" w:type="dxa"/>
            <w:vAlign w:val="bottom"/>
            <w:vMerge w:val="restart"/>
          </w:tcPr>
          <w:p>
            <w:pPr>
              <w:jc w:val="right"/>
              <w:ind w:right="748"/>
              <w:spacing w:after="0"/>
              <w:rPr>
                <w:sz w:val="20"/>
                <w:szCs w:val="20"/>
                <w:color w:val="auto"/>
              </w:rPr>
            </w:pPr>
            <w:r>
              <w:rPr>
                <w:rFonts w:ascii="Arial" w:cs="Arial" w:eastAsia="Arial" w:hAnsi="Arial"/>
                <w:sz w:val="22"/>
                <w:szCs w:val="22"/>
                <w:b w:val="1"/>
                <w:bCs w:val="1"/>
                <w:color w:val="FFFFFF"/>
              </w:rPr>
              <w:t>16%</w:t>
            </w:r>
          </w:p>
        </w:tc>
        <w:tc>
          <w:tcPr>
            <w:tcW w:w="0" w:type="dxa"/>
            <w:vAlign w:val="bottom"/>
          </w:tcPr>
          <w:p>
            <w:pPr>
              <w:spacing w:after="0"/>
              <w:rPr>
                <w:sz w:val="1"/>
                <w:szCs w:val="1"/>
                <w:color w:val="auto"/>
              </w:rPr>
            </w:pPr>
          </w:p>
        </w:tc>
      </w:tr>
      <w:tr>
        <w:trPr>
          <w:trHeight w:val="94"/>
        </w:trPr>
        <w:tc>
          <w:tcPr>
            <w:tcW w:w="14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3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280"/>
        <w:spacing w:after="0"/>
        <w:tabs>
          <w:tab w:leader="none" w:pos="5520" w:val="left"/>
        </w:tabs>
        <w:rPr>
          <w:sz w:val="20"/>
          <w:szCs w:val="20"/>
          <w:color w:val="auto"/>
        </w:rPr>
      </w:pPr>
      <w:r>
        <w:rPr>
          <w:rFonts w:ascii="Arial" w:cs="Arial" w:eastAsia="Arial" w:hAnsi="Arial"/>
          <w:sz w:val="22"/>
          <w:szCs w:val="22"/>
          <w:b w:val="1"/>
          <w:bCs w:val="1"/>
          <w:color w:val="auto"/>
        </w:rPr>
        <w:t>Revenue Growth</w:t>
      </w:r>
      <w:r>
        <w:rPr>
          <w:sz w:val="20"/>
          <w:szCs w:val="20"/>
          <w:color w:val="auto"/>
        </w:rPr>
        <w:tab/>
      </w:r>
      <w:r>
        <w:rPr>
          <w:rFonts w:ascii="Arial" w:cs="Arial" w:eastAsia="Arial" w:hAnsi="Arial"/>
          <w:sz w:val="21"/>
          <w:szCs w:val="21"/>
          <w:b w:val="1"/>
          <w:bCs w:val="1"/>
          <w:color w:val="auto"/>
        </w:rPr>
        <w:t>Revenue Growth - CC</w:t>
      </w:r>
    </w:p>
    <w:p>
      <w:pPr>
        <w:spacing w:after="0" w:line="113" w:lineRule="exact"/>
        <w:rPr>
          <w:sz w:val="20"/>
          <w:szCs w:val="20"/>
          <w:color w:val="auto"/>
        </w:rPr>
      </w:pPr>
    </w:p>
    <w:p>
      <w:pPr>
        <w:ind w:left="440" w:right="1020" w:hanging="215"/>
        <w:spacing w:after="0" w:line="228" w:lineRule="auto"/>
        <w:tabs>
          <w:tab w:leader="none" w:pos="428" w:val="left"/>
        </w:tabs>
        <w:numPr>
          <w:ilvl w:val="0"/>
          <w:numId w:val="11"/>
        </w:numPr>
        <w:rPr>
          <w:rFonts w:ascii="Arial" w:cs="Arial" w:eastAsia="Arial" w:hAnsi="Arial"/>
          <w:sz w:val="24"/>
          <w:szCs w:val="24"/>
          <w:b w:val="1"/>
          <w:bCs w:val="1"/>
          <w:color w:val="auto"/>
          <w:vertAlign w:val="superscript"/>
        </w:rPr>
      </w:pPr>
      <w:r>
        <w:rPr>
          <w:rFonts w:ascii="Arial" w:cs="Arial" w:eastAsia="Arial" w:hAnsi="Arial"/>
          <w:sz w:val="17"/>
          <w:szCs w:val="17"/>
          <w:color w:val="auto"/>
        </w:rPr>
        <w:t>The Netherlands results include the results of Vitae, which wasacquired in April 2008. On an organic basis, revenue increased 10% in USD (1% in CC).</w:t>
      </w:r>
    </w:p>
    <w:p>
      <w:pPr>
        <w:sectPr>
          <w:pgSz w:w="11900" w:h="16838" w:orient="portrait"/>
          <w:cols w:equalWidth="0" w:num="1">
            <w:col w:w="9860"/>
          </w:cols>
          <w:pgMar w:left="1220" w:top="517" w:right="81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361"/>
        </w:trPr>
        <w:tc>
          <w:tcPr>
            <w:tcW w:w="6840" w:type="dxa"/>
            <w:vAlign w:val="bottom"/>
          </w:tcPr>
          <w:p>
            <w:pPr>
              <w:spacing w:after="0"/>
              <w:rPr>
                <w:sz w:val="20"/>
                <w:szCs w:val="20"/>
                <w:color w:val="auto"/>
              </w:rPr>
            </w:pPr>
            <w:r>
              <w:rPr>
                <w:rFonts w:ascii="Arial" w:cs="Arial" w:eastAsia="Arial" w:hAnsi="Arial"/>
                <w:sz w:val="22"/>
                <w:szCs w:val="22"/>
                <w:color w:val="FFFFFF"/>
              </w:rPr>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9</w:t>
            </w:r>
          </w:p>
        </w:tc>
      </w:tr>
    </w:tbl>
    <w:p>
      <w:pPr>
        <w:jc w:val="right"/>
        <w:spacing w:after="0"/>
        <w:rPr>
          <w:sz w:val="20"/>
          <w:szCs w:val="20"/>
          <w:color w:val="auto"/>
        </w:rPr>
        <w:sectPr>
          <w:pgSz w:w="11900" w:h="16838" w:orient="portrait"/>
          <w:cols w:equalWidth="0" w:num="1">
            <w:col w:w="9860"/>
          </w:cols>
          <w:pgMar w:left="1220" w:top="517" w:right="819" w:bottom="1440" w:gutter="0" w:footer="0" w:header="0"/>
        </w:sect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7"/>
          <w:szCs w:val="47"/>
          <w:color w:val="7EA190"/>
        </w:rPr>
        <w:t>Italy Segment</w:t>
      </w:r>
    </w:p>
    <w:p>
      <w:pPr>
        <w:spacing w:after="0"/>
        <w:rPr>
          <w:sz w:val="20"/>
          <w:szCs w:val="20"/>
          <w:color w:val="auto"/>
        </w:rPr>
      </w:pPr>
      <w:r>
        <w:rPr>
          <w:rFonts w:ascii="Arial" w:cs="Arial" w:eastAsia="Arial" w:hAnsi="Arial"/>
          <w:sz w:val="32"/>
          <w:szCs w:val="32"/>
          <w:color w:val="7EA190"/>
        </w:rPr>
        <w:t>(7%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80"/>
        <w:spacing w:after="0"/>
        <w:rPr>
          <w:sz w:val="20"/>
          <w:szCs w:val="20"/>
          <w:color w:val="auto"/>
        </w:rPr>
      </w:pPr>
      <w:r>
        <w:rPr>
          <w:rFonts w:ascii="Arial" w:cs="Arial" w:eastAsia="Arial" w:hAnsi="Arial"/>
          <w:sz w:val="38"/>
          <w:szCs w:val="38"/>
          <w:color w:val="auto"/>
        </w:rPr>
        <w:t>12%</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38"/>
          <w:szCs w:val="38"/>
          <w:color w:val="auto"/>
        </w:rPr>
        <w:t>2% CC</w:t>
      </w:r>
    </w:p>
    <w:p>
      <w:pPr>
        <w:spacing w:after="0" w:line="233" w:lineRule="exact"/>
        <w:rPr>
          <w:sz w:val="20"/>
          <w:szCs w:val="20"/>
          <w:color w:val="auto"/>
        </w:rPr>
      </w:pPr>
    </w:p>
    <w:p>
      <w:pPr>
        <w:ind w:left="2120"/>
        <w:spacing w:after="0"/>
        <w:rPr>
          <w:sz w:val="20"/>
          <w:szCs w:val="20"/>
          <w:color w:val="auto"/>
        </w:rPr>
      </w:pPr>
      <w:r>
        <w:rPr>
          <w:rFonts w:ascii="Arial" w:cs="Arial" w:eastAsia="Arial" w:hAnsi="Arial"/>
          <w:sz w:val="38"/>
          <w:szCs w:val="38"/>
          <w:color w:val="auto"/>
        </w:rPr>
        <w:t>19%</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38"/>
          <w:szCs w:val="38"/>
          <w:color w:val="auto"/>
        </w:rPr>
        <w:t>9% CC</w:t>
      </w:r>
    </w:p>
    <w:p>
      <w:pPr>
        <w:spacing w:after="0" w:line="200" w:lineRule="exact"/>
        <w:rPr>
          <w:sz w:val="20"/>
          <w:szCs w:val="20"/>
          <w:color w:val="auto"/>
        </w:rPr>
      </w:pPr>
    </w:p>
    <w:p>
      <w:pPr>
        <w:spacing w:after="0" w:line="257" w:lineRule="exact"/>
        <w:rPr>
          <w:sz w:val="20"/>
          <w:szCs w:val="20"/>
          <w:color w:val="auto"/>
        </w:rPr>
      </w:pPr>
    </w:p>
    <w:p>
      <w:pPr>
        <w:ind w:left="1820"/>
        <w:spacing w:after="0"/>
        <w:rPr>
          <w:sz w:val="20"/>
          <w:szCs w:val="20"/>
          <w:color w:val="auto"/>
        </w:rPr>
      </w:pPr>
      <w:r>
        <w:rPr>
          <w:rFonts w:ascii="Arial" w:cs="Arial" w:eastAsia="Arial" w:hAnsi="Arial"/>
          <w:sz w:val="38"/>
          <w:szCs w:val="38"/>
          <w:color w:val="auto"/>
        </w:rPr>
        <w:t>50 bps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820" w:firstLine="35"/>
        <w:spacing w:after="0" w:line="488" w:lineRule="auto"/>
        <w:rPr>
          <w:sz w:val="20"/>
          <w:szCs w:val="20"/>
          <w:color w:val="auto"/>
        </w:rPr>
      </w:pPr>
      <w:r>
        <w:rPr>
          <w:rFonts w:ascii="Arial" w:cs="Arial" w:eastAsia="Arial" w:hAnsi="Arial"/>
          <w:sz w:val="41"/>
          <w:szCs w:val="41"/>
          <w:b w:val="1"/>
          <w:bCs w:val="1"/>
          <w:color w:val="auto"/>
        </w:rPr>
        <w:t xml:space="preserve">Q3 Financial Highlights Revenue </w:t>
      </w:r>
      <w:r>
        <w:rPr>
          <w:rFonts w:ascii="Arial" w:cs="Arial" w:eastAsia="Arial" w:hAnsi="Arial"/>
          <w:sz w:val="43"/>
          <w:szCs w:val="43"/>
          <w:b w:val="1"/>
          <w:bCs w:val="1"/>
          <w:color w:val="7EA190"/>
        </w:rPr>
        <w:t>$376M</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7EA190"/>
        </w:rPr>
        <w:t>$29M</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7EA190"/>
        </w:rPr>
        <w:t>7.8%</w:t>
      </w:r>
    </w:p>
    <w:p>
      <w:pPr>
        <w:sectPr>
          <w:pgSz w:w="11900" w:h="16838" w:orient="portrait"/>
          <w:cols w:equalWidth="0" w:num="2">
            <w:col w:w="3000" w:space="420"/>
            <w:col w:w="6440"/>
          </w:cols>
          <w:pgMar w:left="1220" w:top="517" w:right="819" w:bottom="1440" w:gutter="0" w:footer="0" w:header="0"/>
          <w:type w:val="continuous"/>
        </w:sectPr>
      </w:pPr>
    </w:p>
    <w:bookmarkStart w:id="21" w:name="page22"/>
    <w:bookmarkEnd w:id="21"/>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10</w:t>
      </w:r>
    </w:p>
    <w:p>
      <w:pPr>
        <w:sectPr>
          <w:pgSz w:w="11900" w:h="16838" w:orient="portrait"/>
          <w:cols w:equalWidth="0" w:num="1">
            <w:col w:w="9860"/>
          </w:cols>
          <w:pgMar w:left="1220" w:top="517"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47"/>
          <w:szCs w:val="47"/>
          <w:color w:val="C8504F"/>
        </w:rPr>
        <w:t>Jefferson Wells Segment</w:t>
      </w:r>
    </w:p>
    <w:p>
      <w:pPr>
        <w:ind w:left="20"/>
        <w:spacing w:after="0"/>
        <w:rPr>
          <w:sz w:val="20"/>
          <w:szCs w:val="20"/>
          <w:color w:val="auto"/>
        </w:rPr>
      </w:pPr>
      <w:r>
        <w:rPr>
          <w:rFonts w:ascii="Arial" w:cs="Arial" w:eastAsia="Arial" w:hAnsi="Arial"/>
          <w:sz w:val="32"/>
          <w:szCs w:val="32"/>
          <w:color w:val="C8504F"/>
        </w:rPr>
        <w:t>(1% of Revenue)</w:t>
      </w:r>
    </w:p>
    <w:p>
      <w:pPr>
        <w:spacing w:after="0" w:line="271"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Q3 Financial Highlights</w:t>
      </w:r>
    </w:p>
    <w:p>
      <w:pPr>
        <w:spacing w:after="0" w:line="200" w:lineRule="exact"/>
        <w:rPr>
          <w:sz w:val="20"/>
          <w:szCs w:val="20"/>
          <w:color w:val="auto"/>
        </w:rPr>
      </w:pPr>
    </w:p>
    <w:p>
      <w:pPr>
        <w:spacing w:after="0" w:line="255" w:lineRule="exact"/>
        <w:rPr>
          <w:sz w:val="20"/>
          <w:szCs w:val="20"/>
          <w:color w:val="auto"/>
        </w:rPr>
      </w:pPr>
    </w:p>
    <w:p>
      <w:pPr>
        <w:ind w:left="2020"/>
        <w:spacing w:after="0"/>
        <w:tabs>
          <w:tab w:leader="none" w:pos="3400" w:val="left"/>
        </w:tabs>
        <w:rPr>
          <w:sz w:val="20"/>
          <w:szCs w:val="20"/>
          <w:color w:val="auto"/>
        </w:rPr>
      </w:pPr>
      <w:r>
        <w:rPr>
          <w:rFonts w:ascii="Arial" w:cs="Arial" w:eastAsia="Arial" w:hAnsi="Arial"/>
          <w:sz w:val="38"/>
          <w:szCs w:val="38"/>
          <w:color w:val="auto"/>
        </w:rPr>
        <w:t>13%</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$74M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100"/>
        <w:spacing w:after="0"/>
        <w:tabs>
          <w:tab w:leader="none" w:pos="3440" w:val="left"/>
        </w:tabs>
        <w:rPr>
          <w:sz w:val="20"/>
          <w:szCs w:val="20"/>
          <w:color w:val="auto"/>
        </w:rPr>
      </w:pPr>
      <w:r>
        <w:rPr>
          <w:rFonts w:ascii="Arial" w:cs="Arial" w:eastAsia="Arial" w:hAnsi="Arial"/>
          <w:sz w:val="38"/>
          <w:szCs w:val="38"/>
          <w:color w:val="auto"/>
        </w:rPr>
        <w:t>N/A</w:t>
      </w:r>
      <w:r>
        <w:rPr>
          <w:sz w:val="20"/>
          <w:szCs w:val="20"/>
          <w:color w:val="auto"/>
        </w:rPr>
        <w:tab/>
      </w:r>
      <w:r>
        <w:rPr>
          <w:rFonts w:ascii="Arial" w:cs="Arial" w:eastAsia="Arial" w:hAnsi="Arial"/>
          <w:sz w:val="41"/>
          <w:szCs w:val="41"/>
          <w:b w:val="1"/>
          <w:bCs w:val="1"/>
          <w:color w:val="auto"/>
        </w:rPr>
        <w:t xml:space="preserve">OUP </w:t>
      </w:r>
      <w:r>
        <w:rPr>
          <w:rFonts w:ascii="Arial" w:cs="Arial" w:eastAsia="Arial" w:hAnsi="Arial"/>
          <w:sz w:val="43"/>
          <w:szCs w:val="43"/>
          <w:b w:val="1"/>
          <w:bCs w:val="1"/>
          <w:color w:val="C8504F"/>
        </w:rPr>
        <w:t>$(2M)</w:t>
      </w:r>
    </w:p>
    <w:p>
      <w:pPr>
        <w:spacing w:after="0" w:line="200" w:lineRule="exact"/>
        <w:rPr>
          <w:sz w:val="20"/>
          <w:szCs w:val="20"/>
          <w:color w:val="auto"/>
        </w:rPr>
      </w:pPr>
    </w:p>
    <w:p>
      <w:pPr>
        <w:spacing w:after="0" w:line="399" w:lineRule="exact"/>
        <w:rPr>
          <w:sz w:val="20"/>
          <w:szCs w:val="20"/>
          <w:color w:val="auto"/>
        </w:rPr>
      </w:pPr>
    </w:p>
    <w:p>
      <w:pPr>
        <w:ind w:left="1760"/>
        <w:spacing w:after="0"/>
        <w:tabs>
          <w:tab w:leader="none" w:pos="3420" w:val="left"/>
        </w:tabs>
        <w:rPr>
          <w:sz w:val="20"/>
          <w:szCs w:val="20"/>
          <w:color w:val="auto"/>
        </w:rPr>
      </w:pPr>
      <w:r>
        <w:rPr>
          <w:rFonts w:ascii="Arial" w:cs="Arial" w:eastAsia="Arial" w:hAnsi="Arial"/>
          <w:sz w:val="38"/>
          <w:szCs w:val="38"/>
          <w:color w:val="auto"/>
        </w:rPr>
        <w:t>10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- 2.1%</w:t>
      </w:r>
    </w:p>
    <w:p>
      <w:pPr>
        <w:sectPr>
          <w:pgSz w:w="11900" w:h="16838" w:orient="portrait"/>
          <w:cols w:equalWidth="0" w:num="1">
            <w:col w:w="9860"/>
          </w:cols>
          <w:pgMar w:left="1220" w:top="517" w:right="819" w:bottom="1440" w:gutter="0" w:footer="0" w:header="0"/>
          <w:type w:val="continuous"/>
        </w:sectPr>
      </w:pPr>
    </w:p>
    <w:bookmarkStart w:id="22" w:name="page23"/>
    <w:bookmarkEnd w:id="22"/>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11</w:t>
      </w:r>
    </w:p>
    <w:p>
      <w:pPr>
        <w:sectPr>
          <w:pgSz w:w="11900" w:h="16838" w:orient="portrait"/>
          <w:cols w:equalWidth="0" w:num="1">
            <w:col w:w="9860"/>
          </w:cols>
          <w:pgMar w:left="1220" w:top="517"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47"/>
          <w:szCs w:val="47"/>
          <w:color w:val="D47C18"/>
        </w:rPr>
        <w:t>Right Management Segment</w:t>
      </w:r>
    </w:p>
    <w:p>
      <w:pPr>
        <w:spacing w:after="0"/>
        <w:rPr>
          <w:sz w:val="20"/>
          <w:szCs w:val="20"/>
          <w:color w:val="auto"/>
        </w:rPr>
      </w:pPr>
      <w:r>
        <w:rPr>
          <w:rFonts w:ascii="Arial" w:cs="Arial" w:eastAsia="Arial" w:hAnsi="Arial"/>
          <w:sz w:val="32"/>
          <w:szCs w:val="32"/>
          <w:color w:val="D47C18"/>
        </w:rPr>
        <w:t>(2% of Revenue)</w:t>
      </w:r>
    </w:p>
    <w:p>
      <w:pPr>
        <w:spacing w:after="0" w:line="271" w:lineRule="exact"/>
        <w:rPr>
          <w:sz w:val="20"/>
          <w:szCs w:val="20"/>
          <w:color w:val="auto"/>
        </w:rPr>
      </w:pPr>
    </w:p>
    <w:tbl>
      <w:tblPr>
        <w:tblLayout w:type="fixed"/>
        <w:tblInd w:w="1640" w:type="dxa"/>
        <w:tblCellMar>
          <w:top w:w="0" w:type="dxa"/>
          <w:left w:w="0" w:type="dxa"/>
          <w:bottom w:w="0" w:type="dxa"/>
          <w:right w:w="0" w:type="dxa"/>
        </w:tblCellMar>
      </w:tblPr>
      <w:tr>
        <w:trPr>
          <w:trHeight w:val="548"/>
        </w:trPr>
        <w:tc>
          <w:tcPr>
            <w:tcW w:w="162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41"/>
                <w:szCs w:val="41"/>
                <w:b w:val="1"/>
                <w:bCs w:val="1"/>
                <w:color w:val="auto"/>
              </w:rPr>
              <w:t>Q3 Financial Highlights</w:t>
            </w:r>
          </w:p>
        </w:tc>
        <w:tc>
          <w:tcPr>
            <w:tcW w:w="0" w:type="dxa"/>
            <w:vAlign w:val="bottom"/>
          </w:tcPr>
          <w:p>
            <w:pPr>
              <w:spacing w:after="0"/>
              <w:rPr>
                <w:sz w:val="1"/>
                <w:szCs w:val="1"/>
                <w:color w:val="auto"/>
              </w:rPr>
            </w:pPr>
          </w:p>
        </w:tc>
      </w:tr>
      <w:tr>
        <w:trPr>
          <w:trHeight w:val="693"/>
        </w:trPr>
        <w:tc>
          <w:tcPr>
            <w:tcW w:w="1620" w:type="dxa"/>
            <w:vAlign w:val="bottom"/>
          </w:tcPr>
          <w:p>
            <w:pPr>
              <w:jc w:val="right"/>
              <w:ind w:right="272"/>
              <w:spacing w:after="0"/>
              <w:rPr>
                <w:sz w:val="20"/>
                <w:szCs w:val="20"/>
                <w:color w:val="auto"/>
              </w:rPr>
            </w:pPr>
            <w:r>
              <w:rPr>
                <w:rFonts w:ascii="Arial" w:cs="Arial" w:eastAsia="Arial" w:hAnsi="Arial"/>
                <w:sz w:val="38"/>
                <w:szCs w:val="38"/>
                <w:color w:val="auto"/>
              </w:rPr>
              <w:t>9%</w:t>
            </w:r>
          </w:p>
        </w:tc>
        <w:tc>
          <w:tcPr>
            <w:tcW w:w="47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D47C18"/>
              </w:rPr>
              <w:t>$108M</w:t>
            </w:r>
          </w:p>
        </w:tc>
        <w:tc>
          <w:tcPr>
            <w:tcW w:w="0" w:type="dxa"/>
            <w:vAlign w:val="bottom"/>
          </w:tcPr>
          <w:p>
            <w:pPr>
              <w:spacing w:after="0"/>
              <w:rPr>
                <w:sz w:val="1"/>
                <w:szCs w:val="1"/>
                <w:color w:val="auto"/>
              </w:rPr>
            </w:pPr>
          </w:p>
        </w:tc>
      </w:tr>
      <w:tr>
        <w:trPr>
          <w:trHeight w:val="482"/>
        </w:trPr>
        <w:tc>
          <w:tcPr>
            <w:tcW w:w="1620" w:type="dxa"/>
            <w:vAlign w:val="bottom"/>
          </w:tcPr>
          <w:p>
            <w:pPr>
              <w:ind w:left="160"/>
              <w:spacing w:after="0"/>
              <w:rPr>
                <w:sz w:val="20"/>
                <w:szCs w:val="20"/>
                <w:color w:val="auto"/>
              </w:rPr>
            </w:pPr>
            <w:r>
              <w:rPr>
                <w:rFonts w:ascii="Arial" w:cs="Arial" w:eastAsia="Arial" w:hAnsi="Arial"/>
                <w:sz w:val="38"/>
                <w:szCs w:val="38"/>
                <w:color w:val="auto"/>
              </w:rPr>
              <w:t>8%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7"/>
        </w:trPr>
        <w:tc>
          <w:tcPr>
            <w:tcW w:w="1620" w:type="dxa"/>
            <w:vAlign w:val="bottom"/>
          </w:tcPr>
          <w:p>
            <w:pPr>
              <w:jc w:val="right"/>
              <w:ind w:right="172"/>
              <w:spacing w:after="0"/>
              <w:rPr>
                <w:sz w:val="20"/>
                <w:szCs w:val="20"/>
                <w:color w:val="auto"/>
              </w:rPr>
            </w:pPr>
            <w:r>
              <w:rPr>
                <w:rFonts w:ascii="Arial" w:cs="Arial" w:eastAsia="Arial" w:hAnsi="Arial"/>
                <w:sz w:val="38"/>
                <w:szCs w:val="38"/>
                <w:color w:val="auto"/>
              </w:rPr>
              <w:t>34%</w:t>
            </w:r>
          </w:p>
        </w:tc>
        <w:tc>
          <w:tcPr>
            <w:tcW w:w="47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D47C18"/>
              </w:rPr>
              <w:t>$8M</w:t>
            </w:r>
          </w:p>
        </w:tc>
        <w:tc>
          <w:tcPr>
            <w:tcW w:w="0" w:type="dxa"/>
            <w:vAlign w:val="bottom"/>
          </w:tcPr>
          <w:p>
            <w:pPr>
              <w:spacing w:after="0"/>
              <w:rPr>
                <w:sz w:val="1"/>
                <w:szCs w:val="1"/>
                <w:color w:val="auto"/>
              </w:rPr>
            </w:pPr>
          </w:p>
        </w:tc>
      </w:tr>
      <w:tr>
        <w:trPr>
          <w:trHeight w:val="482"/>
        </w:trPr>
        <w:tc>
          <w:tcPr>
            <w:tcW w:w="1620" w:type="dxa"/>
            <w:vAlign w:val="bottom"/>
          </w:tcPr>
          <w:p>
            <w:pPr>
              <w:ind w:left="60"/>
              <w:spacing w:after="0"/>
              <w:rPr>
                <w:sz w:val="20"/>
                <w:szCs w:val="20"/>
                <w:color w:val="auto"/>
              </w:rPr>
            </w:pPr>
            <w:r>
              <w:rPr>
                <w:rFonts w:ascii="Arial" w:cs="Arial" w:eastAsia="Arial" w:hAnsi="Arial"/>
                <w:sz w:val="38"/>
                <w:szCs w:val="38"/>
                <w:color w:val="auto"/>
              </w:rPr>
              <w:t>39%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94"/>
        </w:trPr>
        <w:tc>
          <w:tcPr>
            <w:tcW w:w="1620" w:type="dxa"/>
            <w:vAlign w:val="bottom"/>
          </w:tcPr>
          <w:p>
            <w:pPr>
              <w:spacing w:after="0"/>
              <w:rPr>
                <w:sz w:val="20"/>
                <w:szCs w:val="20"/>
                <w:color w:val="auto"/>
              </w:rPr>
            </w:pPr>
            <w:r>
              <w:rPr>
                <w:rFonts w:ascii="Arial" w:cs="Arial" w:eastAsia="Arial" w:hAnsi="Arial"/>
                <w:sz w:val="38"/>
                <w:szCs w:val="38"/>
                <w:color w:val="auto"/>
              </w:rPr>
              <w:t>130 bps</w:t>
            </w:r>
          </w:p>
        </w:tc>
        <w:tc>
          <w:tcPr>
            <w:tcW w:w="4780" w:type="dxa"/>
            <w:vAlign w:val="bottom"/>
          </w:tcPr>
          <w:p>
            <w:pPr>
              <w:ind w:left="18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7.1%</w:t>
            </w:r>
          </w:p>
        </w:tc>
        <w:tc>
          <w:tcPr>
            <w:tcW w:w="0" w:type="dxa"/>
            <w:vAlign w:val="bottom"/>
          </w:tcPr>
          <w:p>
            <w:pPr>
              <w:spacing w:after="0"/>
              <w:rPr>
                <w:sz w:val="1"/>
                <w:szCs w:val="1"/>
                <w:color w:val="auto"/>
              </w:rPr>
            </w:pPr>
          </w:p>
        </w:tc>
      </w:tr>
    </w:tbl>
    <w:p>
      <w:pPr>
        <w:sectPr>
          <w:pgSz w:w="11900" w:h="16838" w:orient="portrait"/>
          <w:cols w:equalWidth="0" w:num="1">
            <w:col w:w="9860"/>
          </w:cols>
          <w:pgMar w:left="1220" w:top="517" w:right="819" w:bottom="1440" w:gutter="0" w:footer="0" w:header="0"/>
          <w:type w:val="continuous"/>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12</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47"/>
          <w:szCs w:val="47"/>
          <w:color w:val="5F81AA"/>
        </w:rPr>
        <w:t>Other Operations Segment</w:t>
      </w:r>
    </w:p>
    <w:p>
      <w:pPr>
        <w:spacing w:after="0"/>
        <w:rPr>
          <w:sz w:val="20"/>
          <w:szCs w:val="20"/>
          <w:color w:val="auto"/>
        </w:rPr>
      </w:pPr>
      <w:r>
        <w:rPr>
          <w:rFonts w:ascii="Arial" w:cs="Arial" w:eastAsia="Arial" w:hAnsi="Arial"/>
          <w:sz w:val="32"/>
          <w:szCs w:val="32"/>
          <w:color w:val="5F81AA"/>
        </w:rPr>
        <w:t>(13% of Revenue)</w:t>
      </w:r>
    </w:p>
    <w:p>
      <w:pPr>
        <w:spacing w:after="0" w:line="271"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Q3 Financial Highlights</w:t>
      </w:r>
    </w:p>
    <w:p>
      <w:pPr>
        <w:ind w:left="2140"/>
        <w:spacing w:after="0" w:line="216" w:lineRule="auto"/>
        <w:tabs>
          <w:tab w:leader="none" w:pos="3400" w:val="left"/>
        </w:tabs>
        <w:rPr>
          <w:sz w:val="20"/>
          <w:szCs w:val="20"/>
          <w:color w:val="auto"/>
        </w:rPr>
      </w:pPr>
      <w:r>
        <w:rPr>
          <w:rFonts w:ascii="Arial" w:cs="Arial" w:eastAsia="Arial" w:hAnsi="Arial"/>
          <w:sz w:val="75"/>
          <w:szCs w:val="75"/>
          <w:color w:val="auto"/>
          <w:vertAlign w:val="superscript"/>
        </w:rPr>
        <w:t>13%</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5F81AA"/>
        </w:rPr>
        <w:t>$747M</w:t>
      </w:r>
    </w:p>
    <w:p>
      <w:pPr>
        <w:ind w:left="1800"/>
        <w:spacing w:after="0"/>
        <w:rPr>
          <w:sz w:val="20"/>
          <w:szCs w:val="20"/>
          <w:color w:val="auto"/>
        </w:rPr>
      </w:pPr>
      <w:r>
        <w:rPr>
          <w:rFonts w:ascii="Arial" w:cs="Arial" w:eastAsia="Arial" w:hAnsi="Arial"/>
          <w:sz w:val="38"/>
          <w:szCs w:val="38"/>
          <w:color w:val="auto"/>
        </w:rPr>
        <w:t>6% CC</w:t>
      </w:r>
    </w:p>
    <w:p>
      <w:pPr>
        <w:ind w:left="2120"/>
        <w:spacing w:after="0" w:line="181" w:lineRule="auto"/>
        <w:tabs>
          <w:tab w:leader="none" w:pos="3440" w:val="left"/>
        </w:tabs>
        <w:rPr>
          <w:sz w:val="20"/>
          <w:szCs w:val="20"/>
          <w:color w:val="auto"/>
        </w:rPr>
      </w:pPr>
      <w:r>
        <w:rPr>
          <w:rFonts w:ascii="Arial" w:cs="Arial" w:eastAsia="Arial" w:hAnsi="Arial"/>
          <w:sz w:val="65"/>
          <w:szCs w:val="65"/>
          <w:color w:val="auto"/>
          <w:vertAlign w:val="superscript"/>
        </w:rPr>
        <w:t>24%</w:t>
      </w:r>
      <w:r>
        <w:rPr>
          <w:sz w:val="20"/>
          <w:szCs w:val="20"/>
          <w:color w:val="auto"/>
        </w:rPr>
        <w:tab/>
      </w:r>
      <w:r>
        <w:rPr>
          <w:rFonts w:ascii="Arial" w:cs="Arial" w:eastAsia="Arial" w:hAnsi="Arial"/>
          <w:sz w:val="37"/>
          <w:szCs w:val="37"/>
          <w:b w:val="1"/>
          <w:bCs w:val="1"/>
          <w:color w:val="auto"/>
        </w:rPr>
        <w:t xml:space="preserve">OUP </w:t>
      </w:r>
      <w:r>
        <w:rPr>
          <w:rFonts w:ascii="Arial" w:cs="Arial" w:eastAsia="Arial" w:hAnsi="Arial"/>
          <w:sz w:val="39"/>
          <w:szCs w:val="39"/>
          <w:b w:val="1"/>
          <w:bCs w:val="1"/>
          <w:color w:val="5F81AA"/>
        </w:rPr>
        <w:t>$14M</w:t>
      </w:r>
    </w:p>
    <w:p>
      <w:pPr>
        <w:spacing w:after="0" w:line="128"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32% CC</w:t>
      </w:r>
    </w:p>
    <w:p>
      <w:pPr>
        <w:spacing w:after="0" w:line="326" w:lineRule="exact"/>
        <w:rPr>
          <w:sz w:val="20"/>
          <w:szCs w:val="20"/>
          <w:color w:val="auto"/>
        </w:rPr>
      </w:pPr>
    </w:p>
    <w:p>
      <w:pPr>
        <w:ind w:left="1820"/>
        <w:spacing w:after="0"/>
        <w:tabs>
          <w:tab w:leader="none" w:pos="3420" w:val="left"/>
        </w:tabs>
        <w:rPr>
          <w:sz w:val="20"/>
          <w:szCs w:val="20"/>
          <w:color w:val="auto"/>
        </w:rPr>
      </w:pPr>
      <w:r>
        <w:rPr>
          <w:rFonts w:ascii="Arial" w:cs="Arial" w:eastAsia="Arial" w:hAnsi="Arial"/>
          <w:sz w:val="38"/>
          <w:szCs w:val="38"/>
          <w:color w:val="auto"/>
        </w:rPr>
        <w:t>90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5F81AA"/>
        </w:rPr>
        <w:t>1.9%</w:t>
      </w:r>
    </w:p>
    <w:p>
      <w:pPr>
        <w:sectPr>
          <w:pgSz w:w="11900" w:h="16838" w:orient="portrait"/>
          <w:cols w:equalWidth="0" w:num="1">
            <w:col w:w="9860"/>
          </w:cols>
          <w:pgMar w:left="1220" w:top="517" w:right="819" w:bottom="1440" w:gutter="0" w:footer="0" w:header="0"/>
        </w:sectPr>
      </w:pPr>
    </w:p>
    <w:bookmarkStart w:id="24" w:name="page25"/>
    <w:bookmarkEnd w:id="24"/>
    <w:tbl>
      <w:tblPr>
        <w:tblLayout w:type="fixed"/>
        <w:tblInd w:w="22"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2"/>
        <w:spacing w:after="0"/>
        <w:rPr>
          <w:sz w:val="20"/>
          <w:szCs w:val="20"/>
          <w:color w:val="auto"/>
        </w:rPr>
      </w:pPr>
      <w:r>
        <w:rPr>
          <w:rFonts w:ascii="Arial" w:cs="Arial" w:eastAsia="Arial" w:hAnsi="Arial"/>
          <w:sz w:val="47"/>
          <w:szCs w:val="47"/>
          <w:color w:val="6698C2"/>
        </w:rPr>
        <w:t>Other Operations – Q3 Revenue Growth YoY</w:t>
      </w:r>
    </w:p>
    <w:p>
      <w:pPr>
        <w:spacing w:after="0" w:line="209" w:lineRule="exact"/>
        <w:rPr>
          <w:sz w:val="20"/>
          <w:szCs w:val="20"/>
          <w:color w:val="auto"/>
        </w:rPr>
      </w:pPr>
    </w:p>
    <w:p>
      <w:pPr>
        <w:ind w:left="2" w:right="8320" w:hanging="2"/>
        <w:spacing w:after="0" w:line="281" w:lineRule="auto"/>
        <w:tabs>
          <w:tab w:leader="none" w:pos="276"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276"/>
        </w:trPr>
        <w:tc>
          <w:tcPr>
            <w:tcW w:w="740" w:type="dxa"/>
            <w:vAlign w:val="bottom"/>
            <w:vMerge w:val="restart"/>
          </w:tcPr>
          <w:p>
            <w:pPr>
              <w:spacing w:after="0"/>
              <w:rPr>
                <w:sz w:val="20"/>
                <w:szCs w:val="20"/>
                <w:color w:val="auto"/>
              </w:rPr>
            </w:pPr>
            <w:r>
              <w:rPr>
                <w:rFonts w:ascii="Arial" w:cs="Arial" w:eastAsia="Arial" w:hAnsi="Arial"/>
                <w:sz w:val="28"/>
                <w:szCs w:val="28"/>
                <w:b w:val="1"/>
                <w:bCs w:val="1"/>
                <w:color w:val="D47C18"/>
              </w:rPr>
              <w:t>34%</w:t>
            </w:r>
          </w:p>
        </w:tc>
        <w:tc>
          <w:tcPr>
            <w:tcW w:w="1940" w:type="dxa"/>
            <w:vAlign w:val="bottom"/>
            <w:vMerge w:val="restart"/>
          </w:tcPr>
          <w:p>
            <w:pPr>
              <w:jc w:val="center"/>
              <w:ind w:left="491"/>
              <w:spacing w:after="0"/>
              <w:rPr>
                <w:sz w:val="20"/>
                <w:szCs w:val="20"/>
                <w:color w:val="auto"/>
              </w:rPr>
            </w:pPr>
            <w:r>
              <w:rPr>
                <w:rFonts w:ascii="Arial" w:cs="Arial" w:eastAsia="Arial" w:hAnsi="Arial"/>
                <w:sz w:val="26"/>
                <w:szCs w:val="26"/>
                <w:b w:val="1"/>
                <w:bCs w:val="1"/>
                <w:color w:val="auto"/>
              </w:rPr>
              <w:t>Japan</w:t>
            </w:r>
          </w:p>
        </w:tc>
        <w:tc>
          <w:tcPr>
            <w:tcW w:w="6280" w:type="dxa"/>
            <w:vAlign w:val="bottom"/>
          </w:tcPr>
          <w:p>
            <w:pPr>
              <w:jc w:val="right"/>
              <w:ind w:right="1262"/>
              <w:spacing w:after="0"/>
              <w:rPr>
                <w:sz w:val="20"/>
                <w:szCs w:val="20"/>
                <w:color w:val="auto"/>
              </w:rPr>
            </w:pPr>
            <w:r>
              <w:rPr>
                <w:rFonts w:ascii="Arial" w:cs="Arial" w:eastAsia="Arial" w:hAnsi="Arial"/>
                <w:sz w:val="24"/>
                <w:szCs w:val="24"/>
                <w:b w:val="1"/>
                <w:bCs w:val="1"/>
                <w:color w:val="FFFFFF"/>
              </w:rPr>
              <w:t>15%</w:t>
            </w:r>
          </w:p>
        </w:tc>
        <w:tc>
          <w:tcPr>
            <w:tcW w:w="0" w:type="dxa"/>
            <w:vAlign w:val="bottom"/>
          </w:tcPr>
          <w:p>
            <w:pPr>
              <w:spacing w:after="0"/>
              <w:rPr>
                <w:sz w:val="1"/>
                <w:szCs w:val="1"/>
                <w:color w:val="auto"/>
              </w:rPr>
            </w:pPr>
          </w:p>
        </w:tc>
      </w:tr>
      <w:tr>
        <w:trPr>
          <w:trHeight w:val="209"/>
        </w:trPr>
        <w:tc>
          <w:tcPr>
            <w:tcW w:w="740" w:type="dxa"/>
            <w:vAlign w:val="bottom"/>
            <w:vMerge w:val="continue"/>
          </w:tcPr>
          <w:p>
            <w:pPr>
              <w:spacing w:after="0"/>
              <w:rPr>
                <w:sz w:val="18"/>
                <w:szCs w:val="18"/>
                <w:color w:val="auto"/>
              </w:rPr>
            </w:pPr>
          </w:p>
        </w:tc>
        <w:tc>
          <w:tcPr>
            <w:tcW w:w="1940" w:type="dxa"/>
            <w:vAlign w:val="bottom"/>
            <w:vMerge w:val="continue"/>
          </w:tcPr>
          <w:p>
            <w:pPr>
              <w:spacing w:after="0"/>
              <w:rPr>
                <w:sz w:val="18"/>
                <w:szCs w:val="18"/>
                <w:color w:val="auto"/>
              </w:rPr>
            </w:pPr>
          </w:p>
        </w:tc>
        <w:tc>
          <w:tcPr>
            <w:tcW w:w="6280" w:type="dxa"/>
            <w:vAlign w:val="bottom"/>
            <w:vMerge w:val="restart"/>
          </w:tcPr>
          <w:p>
            <w:pPr>
              <w:jc w:val="right"/>
              <w:ind w:right="3242"/>
              <w:spacing w:after="0"/>
              <w:rPr>
                <w:sz w:val="20"/>
                <w:szCs w:val="20"/>
                <w:color w:val="auto"/>
              </w:rPr>
            </w:pPr>
            <w:r>
              <w:rPr>
                <w:rFonts w:ascii="Arial" w:cs="Arial" w:eastAsia="Arial" w:hAnsi="Arial"/>
                <w:sz w:val="24"/>
                <w:szCs w:val="24"/>
                <w:b w:val="1"/>
                <w:bCs w:val="1"/>
                <w:color w:val="FFFFFF"/>
              </w:rPr>
              <w:t>5%</w:t>
            </w:r>
          </w:p>
        </w:tc>
        <w:tc>
          <w:tcPr>
            <w:tcW w:w="0" w:type="dxa"/>
            <w:vAlign w:val="bottom"/>
          </w:tcPr>
          <w:p>
            <w:pPr>
              <w:spacing w:after="0"/>
              <w:rPr>
                <w:sz w:val="1"/>
                <w:szCs w:val="1"/>
                <w:color w:val="auto"/>
              </w:rPr>
            </w:pPr>
          </w:p>
        </w:tc>
      </w:tr>
      <w:tr>
        <w:trPr>
          <w:trHeight w:val="104"/>
        </w:trPr>
        <w:tc>
          <w:tcPr>
            <w:tcW w:w="7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8"/>
        </w:trPr>
        <w:tc>
          <w:tcPr>
            <w:tcW w:w="740" w:type="dxa"/>
            <w:vAlign w:val="bottom"/>
            <w:vMerge w:val="restart"/>
          </w:tcPr>
          <w:p>
            <w:pPr>
              <w:spacing w:after="0"/>
              <w:rPr>
                <w:sz w:val="20"/>
                <w:szCs w:val="20"/>
                <w:color w:val="auto"/>
              </w:rPr>
            </w:pPr>
            <w:r>
              <w:rPr>
                <w:rFonts w:ascii="Arial" w:cs="Arial" w:eastAsia="Arial" w:hAnsi="Arial"/>
                <w:sz w:val="28"/>
                <w:szCs w:val="28"/>
                <w:b w:val="1"/>
                <w:bCs w:val="1"/>
                <w:color w:val="D47C18"/>
              </w:rPr>
              <w:t>14%</w:t>
            </w:r>
          </w:p>
        </w:tc>
        <w:tc>
          <w:tcPr>
            <w:tcW w:w="1940" w:type="dxa"/>
            <w:vAlign w:val="bottom"/>
            <w:vMerge w:val="restart"/>
          </w:tcPr>
          <w:p>
            <w:pPr>
              <w:jc w:val="center"/>
              <w:ind w:left="411"/>
              <w:spacing w:after="0"/>
              <w:rPr>
                <w:sz w:val="20"/>
                <w:szCs w:val="20"/>
                <w:color w:val="auto"/>
              </w:rPr>
            </w:pPr>
            <w:r>
              <w:rPr>
                <w:rFonts w:ascii="Arial" w:cs="Arial" w:eastAsia="Arial" w:hAnsi="Arial"/>
                <w:sz w:val="26"/>
                <w:szCs w:val="26"/>
                <w:b w:val="1"/>
                <w:bCs w:val="1"/>
                <w:color w:val="auto"/>
                <w:w w:val="99"/>
              </w:rPr>
              <w:t>Mexico</w:t>
            </w:r>
          </w:p>
        </w:tc>
        <w:tc>
          <w:tcPr>
            <w:tcW w:w="6280" w:type="dxa"/>
            <w:vAlign w:val="bottom"/>
          </w:tcPr>
          <w:p>
            <w:pPr>
              <w:jc w:val="right"/>
              <w:ind w:right="3042"/>
              <w:spacing w:after="0"/>
              <w:rPr>
                <w:sz w:val="20"/>
                <w:szCs w:val="20"/>
                <w:color w:val="auto"/>
              </w:rPr>
            </w:pPr>
            <w:r>
              <w:rPr>
                <w:rFonts w:ascii="Arial" w:cs="Arial" w:eastAsia="Arial" w:hAnsi="Arial"/>
                <w:sz w:val="24"/>
                <w:szCs w:val="24"/>
                <w:b w:val="1"/>
                <w:bCs w:val="1"/>
                <w:color w:val="FFFFFF"/>
              </w:rPr>
              <w:t>6%</w:t>
            </w:r>
          </w:p>
        </w:tc>
        <w:tc>
          <w:tcPr>
            <w:tcW w:w="0" w:type="dxa"/>
            <w:vAlign w:val="bottom"/>
          </w:tcPr>
          <w:p>
            <w:pPr>
              <w:spacing w:after="0"/>
              <w:rPr>
                <w:sz w:val="1"/>
                <w:szCs w:val="1"/>
                <w:color w:val="auto"/>
              </w:rPr>
            </w:pPr>
          </w:p>
        </w:tc>
      </w:tr>
      <w:tr>
        <w:trPr>
          <w:trHeight w:val="179"/>
        </w:trPr>
        <w:tc>
          <w:tcPr>
            <w:tcW w:w="74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6280" w:type="dxa"/>
            <w:vAlign w:val="bottom"/>
            <w:vMerge w:val="restart"/>
          </w:tcPr>
          <w:p>
            <w:pPr>
              <w:jc w:val="right"/>
              <w:ind w:right="3762"/>
              <w:spacing w:after="0"/>
              <w:rPr>
                <w:sz w:val="20"/>
                <w:szCs w:val="20"/>
                <w:color w:val="auto"/>
              </w:rPr>
            </w:pPr>
            <w:r>
              <w:rPr>
                <w:rFonts w:ascii="Arial" w:cs="Arial" w:eastAsia="Arial" w:hAnsi="Arial"/>
                <w:sz w:val="24"/>
                <w:szCs w:val="24"/>
                <w:b w:val="1"/>
                <w:bCs w:val="1"/>
                <w:color w:val="auto"/>
              </w:rPr>
              <w:t>0%</w:t>
            </w: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5"/>
        </w:trPr>
        <w:tc>
          <w:tcPr>
            <w:tcW w:w="740" w:type="dxa"/>
            <w:vAlign w:val="bottom"/>
            <w:vMerge w:val="restart"/>
          </w:tcPr>
          <w:p>
            <w:pPr>
              <w:spacing w:after="0"/>
              <w:rPr>
                <w:sz w:val="20"/>
                <w:szCs w:val="20"/>
                <w:color w:val="auto"/>
              </w:rPr>
            </w:pPr>
            <w:r>
              <w:rPr>
                <w:rFonts w:ascii="Arial" w:cs="Arial" w:eastAsia="Arial" w:hAnsi="Arial"/>
                <w:sz w:val="28"/>
                <w:szCs w:val="28"/>
                <w:b w:val="1"/>
                <w:bCs w:val="1"/>
                <w:color w:val="D47C18"/>
              </w:rPr>
              <w:t>13%</w:t>
            </w:r>
          </w:p>
        </w:tc>
        <w:tc>
          <w:tcPr>
            <w:tcW w:w="1940" w:type="dxa"/>
            <w:vAlign w:val="bottom"/>
            <w:vMerge w:val="restart"/>
          </w:tcPr>
          <w:p>
            <w:pPr>
              <w:ind w:left="180"/>
              <w:spacing w:after="0"/>
              <w:rPr>
                <w:sz w:val="20"/>
                <w:szCs w:val="20"/>
                <w:color w:val="auto"/>
              </w:rPr>
            </w:pPr>
            <w:r>
              <w:rPr>
                <w:rFonts w:ascii="Arial" w:cs="Arial" w:eastAsia="Arial" w:hAnsi="Arial"/>
                <w:sz w:val="26"/>
                <w:szCs w:val="26"/>
                <w:b w:val="1"/>
                <w:bCs w:val="1"/>
                <w:color w:val="auto"/>
              </w:rPr>
              <w:t>Australia/NZ</w:t>
            </w:r>
          </w:p>
        </w:tc>
        <w:tc>
          <w:tcPr>
            <w:tcW w:w="6280" w:type="dxa"/>
            <w:vAlign w:val="bottom"/>
          </w:tcPr>
          <w:p>
            <w:pPr>
              <w:jc w:val="right"/>
              <w:ind w:right="4702"/>
              <w:spacing w:after="0"/>
              <w:rPr>
                <w:sz w:val="20"/>
                <w:szCs w:val="20"/>
                <w:color w:val="auto"/>
              </w:rPr>
            </w:pPr>
            <w:r>
              <w:rPr>
                <w:rFonts w:ascii="Arial" w:cs="Arial" w:eastAsia="Arial" w:hAnsi="Arial"/>
                <w:sz w:val="24"/>
                <w:szCs w:val="24"/>
                <w:b w:val="1"/>
                <w:bCs w:val="1"/>
                <w:color w:val="FFFFFF"/>
              </w:rPr>
              <w:t>-5%</w:t>
            </w:r>
          </w:p>
        </w:tc>
        <w:tc>
          <w:tcPr>
            <w:tcW w:w="0" w:type="dxa"/>
            <w:vAlign w:val="bottom"/>
          </w:tcPr>
          <w:p>
            <w:pPr>
              <w:spacing w:after="0"/>
              <w:rPr>
                <w:sz w:val="1"/>
                <w:szCs w:val="1"/>
                <w:color w:val="auto"/>
              </w:rPr>
            </w:pPr>
          </w:p>
        </w:tc>
      </w:tr>
      <w:tr>
        <w:trPr>
          <w:trHeight w:val="180"/>
        </w:trPr>
        <w:tc>
          <w:tcPr>
            <w:tcW w:w="74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6280" w:type="dxa"/>
            <w:vAlign w:val="bottom"/>
            <w:vMerge w:val="restart"/>
          </w:tcPr>
          <w:p>
            <w:pPr>
              <w:jc w:val="right"/>
              <w:ind w:right="5482"/>
              <w:spacing w:after="0"/>
              <w:rPr>
                <w:sz w:val="20"/>
                <w:szCs w:val="20"/>
                <w:color w:val="auto"/>
              </w:rPr>
            </w:pPr>
            <w:r>
              <w:rPr>
                <w:rFonts w:ascii="Arial" w:cs="Arial" w:eastAsia="Arial" w:hAnsi="Arial"/>
                <w:sz w:val="24"/>
                <w:szCs w:val="24"/>
                <w:b w:val="1"/>
                <w:bCs w:val="1"/>
                <w:color w:val="FFFFFF"/>
              </w:rPr>
              <w:t>-9%</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740" w:type="dxa"/>
            <w:vAlign w:val="bottom"/>
            <w:vMerge w:val="restart"/>
          </w:tcPr>
          <w:p>
            <w:pPr>
              <w:ind w:left="20"/>
              <w:spacing w:after="0"/>
              <w:rPr>
                <w:sz w:val="20"/>
                <w:szCs w:val="20"/>
                <w:color w:val="auto"/>
              </w:rPr>
            </w:pPr>
            <w:r>
              <w:rPr>
                <w:rFonts w:ascii="Arial" w:cs="Arial" w:eastAsia="Arial" w:hAnsi="Arial"/>
                <w:sz w:val="28"/>
                <w:szCs w:val="28"/>
                <w:b w:val="1"/>
                <w:bCs w:val="1"/>
                <w:color w:val="D47C18"/>
              </w:rPr>
              <w:t>39%</w:t>
            </w:r>
          </w:p>
        </w:tc>
        <w:tc>
          <w:tcPr>
            <w:tcW w:w="1940" w:type="dxa"/>
            <w:vAlign w:val="bottom"/>
            <w:vMerge w:val="restart"/>
          </w:tcPr>
          <w:p>
            <w:pPr>
              <w:jc w:val="center"/>
              <w:ind w:left="551"/>
              <w:spacing w:after="0"/>
              <w:rPr>
                <w:sz w:val="20"/>
                <w:szCs w:val="20"/>
                <w:color w:val="auto"/>
              </w:rPr>
            </w:pPr>
            <w:r>
              <w:rPr>
                <w:rFonts w:ascii="Arial" w:cs="Arial" w:eastAsia="Arial" w:hAnsi="Arial"/>
                <w:sz w:val="26"/>
                <w:szCs w:val="26"/>
                <w:b w:val="1"/>
                <w:bCs w:val="1"/>
                <w:color w:val="auto"/>
              </w:rPr>
              <w:t>Other</w:t>
            </w:r>
          </w:p>
        </w:tc>
        <w:tc>
          <w:tcPr>
            <w:tcW w:w="6280" w:type="dxa"/>
            <w:vAlign w:val="bottom"/>
          </w:tcPr>
          <w:p>
            <w:pPr>
              <w:jc w:val="right"/>
              <w:spacing w:after="0"/>
              <w:rPr>
                <w:sz w:val="20"/>
                <w:szCs w:val="20"/>
                <w:color w:val="auto"/>
              </w:rPr>
            </w:pPr>
            <w:r>
              <w:rPr>
                <w:rFonts w:ascii="Arial" w:cs="Arial" w:eastAsia="Arial" w:hAnsi="Arial"/>
                <w:sz w:val="24"/>
                <w:szCs w:val="24"/>
                <w:b w:val="1"/>
                <w:bCs w:val="1"/>
                <w:color w:val="FFFFFF"/>
              </w:rPr>
              <w:t>22%</w:t>
            </w:r>
          </w:p>
        </w:tc>
        <w:tc>
          <w:tcPr>
            <w:tcW w:w="0" w:type="dxa"/>
            <w:vAlign w:val="bottom"/>
          </w:tcPr>
          <w:p>
            <w:pPr>
              <w:spacing w:after="0"/>
              <w:rPr>
                <w:sz w:val="1"/>
                <w:szCs w:val="1"/>
                <w:color w:val="auto"/>
              </w:rPr>
            </w:pPr>
          </w:p>
        </w:tc>
      </w:tr>
      <w:tr>
        <w:trPr>
          <w:trHeight w:val="184"/>
        </w:trPr>
        <w:tc>
          <w:tcPr>
            <w:tcW w:w="74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6280" w:type="dxa"/>
            <w:vAlign w:val="bottom"/>
            <w:vMerge w:val="restart"/>
          </w:tcPr>
          <w:p>
            <w:pPr>
              <w:jc w:val="right"/>
              <w:ind w:right="1062"/>
              <w:spacing w:after="0"/>
              <w:rPr>
                <w:sz w:val="20"/>
                <w:szCs w:val="20"/>
                <w:color w:val="auto"/>
              </w:rPr>
            </w:pPr>
            <w:r>
              <w:rPr>
                <w:rFonts w:ascii="Arial" w:cs="Arial" w:eastAsia="Arial" w:hAnsi="Arial"/>
                <w:sz w:val="24"/>
                <w:szCs w:val="24"/>
                <w:b w:val="1"/>
                <w:bCs w:val="1"/>
                <w:color w:val="FFFFFF"/>
              </w:rPr>
              <w:t>16%</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ind w:left="3302"/>
        <w:spacing w:after="0"/>
        <w:tabs>
          <w:tab w:leader="none" w:pos="5541" w:val="left"/>
        </w:tabs>
        <w:rPr>
          <w:sz w:val="20"/>
          <w:szCs w:val="20"/>
          <w:color w:val="auto"/>
        </w:rPr>
      </w:pPr>
      <w:r>
        <w:rPr>
          <w:rFonts w:ascii="Arial" w:cs="Arial" w:eastAsia="Arial" w:hAnsi="Arial"/>
          <w:sz w:val="22"/>
          <w:szCs w:val="22"/>
          <w:b w:val="1"/>
          <w:bCs w:val="1"/>
          <w:color w:val="auto"/>
        </w:rPr>
        <w:t>Revenue Growth</w:t>
      </w:r>
      <w:r>
        <w:rPr>
          <w:sz w:val="20"/>
          <w:szCs w:val="20"/>
          <w:color w:val="auto"/>
        </w:rPr>
        <w:tab/>
      </w:r>
      <w:r>
        <w:rPr>
          <w:rFonts w:ascii="Arial" w:cs="Arial" w:eastAsia="Arial" w:hAnsi="Arial"/>
          <w:sz w:val="21"/>
          <w:szCs w:val="21"/>
          <w:b w:val="1"/>
          <w:bCs w:val="1"/>
          <w:color w:val="auto"/>
        </w:rPr>
        <w:t>Revenue Growth - CC</w:t>
      </w:r>
    </w:p>
    <w:p>
      <w:pPr>
        <w:sectPr>
          <w:pgSz w:w="11900" w:h="16838" w:orient="portrait"/>
          <w:cols w:equalWidth="0" w:num="1">
            <w:col w:w="9882"/>
          </w:cols>
          <w:pgMar w:left="1198" w:top="517" w:right="8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2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553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79"/>
          <w:szCs w:val="79"/>
          <w:color w:val="7EA190"/>
        </w:rPr>
        <w:t>Financial Highlights</w:t>
      </w:r>
    </w:p>
    <w:p>
      <w:pPr>
        <w:sectPr>
          <w:pgSz w:w="11900" w:h="16838" w:orient="portrait"/>
          <w:cols w:equalWidth="0" w:num="1">
            <w:col w:w="9880"/>
          </w:cols>
          <w:pgMar w:left="1220" w:top="517" w:right="799" w:bottom="1440" w:gutter="0" w:footer="0" w:header="0"/>
        </w:sectPr>
      </w:pPr>
    </w:p>
    <w:bookmarkStart w:id="26" w:name="page27"/>
    <w:bookmarkEnd w:id="26"/>
    <w:tbl>
      <w:tblPr>
        <w:tblLayout w:type="fixed"/>
        <w:tblInd w:w="640"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Arial" w:cs="Arial" w:eastAsia="Arial" w:hAnsi="Arial"/>
          <w:sz w:val="47"/>
          <w:szCs w:val="47"/>
          <w:color w:val="D47C18"/>
        </w:rPr>
        <w:t>Balance Sheet Highlights</w:t>
      </w:r>
    </w:p>
    <w:p>
      <w:pPr>
        <w:sectPr>
          <w:pgSz w:w="11900" w:h="16838" w:orient="portrait"/>
          <w:cols w:equalWidth="0" w:num="1">
            <w:col w:w="10760"/>
          </w:cols>
          <w:pgMar w:left="580" w:top="517" w:right="559" w:bottom="1440" w:gutter="0" w:footer="0" w:header="0"/>
        </w:sectPr>
      </w:pPr>
    </w:p>
    <w:p>
      <w:pPr>
        <w:spacing w:after="0" w:line="245" w:lineRule="exact"/>
        <w:rPr>
          <w:sz w:val="20"/>
          <w:szCs w:val="20"/>
          <w:color w:val="auto"/>
        </w:rPr>
      </w:pPr>
    </w:p>
    <w:tbl>
      <w:tblPr>
        <w:tblLayout w:type="fixed"/>
        <w:tblInd w:w="440" w:type="dxa"/>
        <w:tblCellMar>
          <w:top w:w="0" w:type="dxa"/>
          <w:left w:w="0" w:type="dxa"/>
          <w:bottom w:w="0" w:type="dxa"/>
          <w:right w:w="0" w:type="dxa"/>
        </w:tblCellMar>
      </w:tblPr>
      <w:tr>
        <w:trPr>
          <w:trHeight w:val="295"/>
        </w:trPr>
        <w:tc>
          <w:tcPr>
            <w:tcW w:w="1340" w:type="dxa"/>
            <w:vAlign w:val="bottom"/>
          </w:tcPr>
          <w:p>
            <w:pPr>
              <w:ind w:left="20"/>
              <w:spacing w:after="0"/>
              <w:rPr>
                <w:sz w:val="20"/>
                <w:szCs w:val="20"/>
                <w:color w:val="auto"/>
              </w:rPr>
            </w:pPr>
            <w:r>
              <w:rPr>
                <w:rFonts w:ascii="Arial" w:cs="Arial" w:eastAsia="Arial" w:hAnsi="Arial"/>
                <w:sz w:val="22"/>
                <w:szCs w:val="22"/>
                <w:b w:val="1"/>
                <w:bCs w:val="1"/>
                <w:color w:val="auto"/>
              </w:rPr>
              <w:t>Total Debt</w:t>
            </w:r>
          </w:p>
        </w:tc>
        <w:tc>
          <w:tcPr>
            <w:tcW w:w="780" w:type="dxa"/>
            <w:vAlign w:val="bottom"/>
            <w:vMerge w:val="restart"/>
          </w:tcPr>
          <w:p>
            <w:pPr>
              <w:jc w:val="right"/>
              <w:spacing w:after="0"/>
              <w:rPr>
                <w:sz w:val="20"/>
                <w:szCs w:val="20"/>
                <w:color w:val="auto"/>
              </w:rPr>
            </w:pPr>
            <w:r>
              <w:rPr>
                <w:rFonts w:ascii="Arial" w:cs="Arial" w:eastAsia="Arial" w:hAnsi="Arial"/>
                <w:sz w:val="22"/>
                <w:szCs w:val="22"/>
                <w:color w:val="auto"/>
              </w:rPr>
              <w:t>1,200</w:t>
            </w:r>
          </w:p>
        </w:tc>
        <w:tc>
          <w:tcPr>
            <w:tcW w:w="0" w:type="dxa"/>
            <w:vAlign w:val="bottom"/>
          </w:tcPr>
          <w:p>
            <w:pPr>
              <w:spacing w:after="0"/>
              <w:rPr>
                <w:sz w:val="1"/>
                <w:szCs w:val="1"/>
                <w:color w:val="auto"/>
              </w:rPr>
            </w:pPr>
          </w:p>
        </w:tc>
      </w:tr>
      <w:tr>
        <w:trPr>
          <w:trHeight w:val="130"/>
        </w:trPr>
        <w:tc>
          <w:tcPr>
            <w:tcW w:w="1340" w:type="dxa"/>
            <w:vAlign w:val="bottom"/>
            <w:vMerge w:val="restart"/>
          </w:tcPr>
          <w:p>
            <w:pPr>
              <w:spacing w:after="0"/>
              <w:rPr>
                <w:sz w:val="20"/>
                <w:szCs w:val="20"/>
                <w:color w:val="auto"/>
              </w:rPr>
            </w:pPr>
            <w:r>
              <w:rPr>
                <w:rFonts w:ascii="Arial" w:cs="Arial" w:eastAsia="Arial" w:hAnsi="Arial"/>
                <w:sz w:val="19"/>
                <w:szCs w:val="19"/>
                <w:color w:val="auto"/>
              </w:rPr>
              <w:t>($ in millions)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3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4"/>
        </w:trPr>
        <w:tc>
          <w:tcPr>
            <w:tcW w:w="1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900</w:t>
            </w:r>
          </w:p>
        </w:tc>
        <w:tc>
          <w:tcPr>
            <w:tcW w:w="0" w:type="dxa"/>
            <w:vAlign w:val="bottom"/>
          </w:tcPr>
          <w:p>
            <w:pPr>
              <w:spacing w:after="0"/>
              <w:rPr>
                <w:sz w:val="1"/>
                <w:szCs w:val="1"/>
                <w:color w:val="auto"/>
              </w:rPr>
            </w:pPr>
          </w:p>
        </w:tc>
      </w:tr>
      <w:tr>
        <w:trPr>
          <w:trHeight w:val="470"/>
        </w:trPr>
        <w:tc>
          <w:tcPr>
            <w:tcW w:w="1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600</w:t>
            </w:r>
          </w:p>
        </w:tc>
        <w:tc>
          <w:tcPr>
            <w:tcW w:w="0" w:type="dxa"/>
            <w:vAlign w:val="bottom"/>
          </w:tcPr>
          <w:p>
            <w:pPr>
              <w:spacing w:after="0"/>
              <w:rPr>
                <w:sz w:val="1"/>
                <w:szCs w:val="1"/>
                <w:color w:val="auto"/>
              </w:rPr>
            </w:pPr>
          </w:p>
        </w:tc>
      </w:tr>
      <w:tr>
        <w:trPr>
          <w:trHeight w:val="470"/>
        </w:trPr>
        <w:tc>
          <w:tcPr>
            <w:tcW w:w="1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300</w:t>
            </w:r>
          </w:p>
        </w:tc>
        <w:tc>
          <w:tcPr>
            <w:tcW w:w="0" w:type="dxa"/>
            <w:vAlign w:val="bottom"/>
          </w:tcPr>
          <w:p>
            <w:pPr>
              <w:spacing w:after="0"/>
              <w:rPr>
                <w:sz w:val="1"/>
                <w:szCs w:val="1"/>
                <w:color w:val="auto"/>
              </w:rPr>
            </w:pPr>
          </w:p>
        </w:tc>
      </w:tr>
      <w:tr>
        <w:trPr>
          <w:trHeight w:val="470"/>
        </w:trPr>
        <w:tc>
          <w:tcPr>
            <w:tcW w:w="1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36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Total Debt to</w:t>
      </w:r>
    </w:p>
    <w:p>
      <w:pPr>
        <w:spacing w:after="0" w:line="225" w:lineRule="auto"/>
        <w:rPr>
          <w:sz w:val="20"/>
          <w:szCs w:val="20"/>
          <w:color w:val="auto"/>
        </w:rPr>
      </w:pPr>
      <w:r>
        <w:rPr>
          <w:rFonts w:ascii="Arial" w:cs="Arial" w:eastAsia="Arial" w:hAnsi="Arial"/>
          <w:sz w:val="21"/>
          <w:szCs w:val="21"/>
          <w:b w:val="1"/>
          <w:bCs w:val="1"/>
          <w:color w:val="auto"/>
        </w:rPr>
        <w:t xml:space="preserve">Total Capitalization </w:t>
      </w:r>
      <w:r>
        <w:rPr>
          <w:rFonts w:ascii="Arial" w:cs="Arial" w:eastAsia="Arial" w:hAnsi="Arial"/>
          <w:sz w:val="41"/>
          <w:szCs w:val="41"/>
          <w:color w:val="auto"/>
          <w:vertAlign w:val="subscript"/>
        </w:rPr>
        <w:t>30%</w:t>
      </w:r>
    </w:p>
    <w:p>
      <w:pPr>
        <w:spacing w:after="0" w:line="297"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20%</w:t>
      </w:r>
    </w:p>
    <w:p>
      <w:pPr>
        <w:spacing w:after="0" w:line="288"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10%</w:t>
      </w:r>
    </w:p>
    <w:p>
      <w:pPr>
        <w:spacing w:after="0" w:line="311"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0"/>
        </w:trPr>
        <w:tc>
          <w:tcPr>
            <w:tcW w:w="740" w:type="dxa"/>
            <w:vAlign w:val="bottom"/>
          </w:tcPr>
          <w:p>
            <w:pPr>
              <w:jc w:val="center"/>
              <w:ind w:right="126"/>
              <w:spacing w:after="0"/>
              <w:rPr>
                <w:sz w:val="20"/>
                <w:szCs w:val="20"/>
                <w:color w:val="auto"/>
              </w:rPr>
            </w:pPr>
            <w:r>
              <w:rPr>
                <w:rFonts w:ascii="Arial" w:cs="Arial" w:eastAsia="Arial" w:hAnsi="Arial"/>
                <w:sz w:val="22"/>
                <w:szCs w:val="22"/>
                <w:b w:val="1"/>
                <w:bCs w:val="1"/>
                <w:color w:val="FFFFFF"/>
              </w:rPr>
              <w:t>902</w:t>
            </w:r>
          </w:p>
        </w:tc>
        <w:tc>
          <w:tcPr>
            <w:tcW w:w="940" w:type="dxa"/>
            <w:vAlign w:val="bottom"/>
            <w:vMerge w:val="restart"/>
          </w:tcPr>
          <w:p>
            <w:pPr>
              <w:jc w:val="center"/>
              <w:spacing w:after="0"/>
              <w:rPr>
                <w:sz w:val="20"/>
                <w:szCs w:val="20"/>
                <w:color w:val="auto"/>
              </w:rPr>
            </w:pPr>
            <w:r>
              <w:rPr>
                <w:rFonts w:ascii="Arial" w:cs="Arial" w:eastAsia="Arial" w:hAnsi="Arial"/>
                <w:sz w:val="22"/>
                <w:szCs w:val="22"/>
                <w:b w:val="1"/>
                <w:bCs w:val="1"/>
                <w:color w:val="FFFFFF"/>
              </w:rPr>
              <w:t>735</w:t>
            </w:r>
          </w:p>
        </w:tc>
        <w:tc>
          <w:tcPr>
            <w:tcW w:w="940" w:type="dxa"/>
            <w:vAlign w:val="bottom"/>
            <w:vMerge w:val="restart"/>
          </w:tcPr>
          <w:p>
            <w:pPr>
              <w:jc w:val="center"/>
              <w:spacing w:after="0"/>
              <w:rPr>
                <w:sz w:val="20"/>
                <w:szCs w:val="20"/>
                <w:color w:val="auto"/>
              </w:rPr>
            </w:pPr>
            <w:r>
              <w:rPr>
                <w:rFonts w:ascii="Arial" w:cs="Arial" w:eastAsia="Arial" w:hAnsi="Arial"/>
                <w:sz w:val="22"/>
                <w:szCs w:val="22"/>
                <w:b w:val="1"/>
                <w:bCs w:val="1"/>
                <w:color w:val="FFFFFF"/>
              </w:rPr>
              <w:t>823</w:t>
            </w:r>
          </w:p>
        </w:tc>
        <w:tc>
          <w:tcPr>
            <w:tcW w:w="740" w:type="dxa"/>
            <w:vAlign w:val="bottom"/>
          </w:tcPr>
          <w:p>
            <w:pPr>
              <w:jc w:val="center"/>
              <w:ind w:left="86"/>
              <w:spacing w:after="0"/>
              <w:rPr>
                <w:sz w:val="20"/>
                <w:szCs w:val="20"/>
                <w:color w:val="auto"/>
              </w:rPr>
            </w:pPr>
            <w:r>
              <w:rPr>
                <w:rFonts w:ascii="Arial" w:cs="Arial" w:eastAsia="Arial" w:hAnsi="Arial"/>
                <w:sz w:val="22"/>
                <w:szCs w:val="22"/>
                <w:b w:val="1"/>
                <w:bCs w:val="1"/>
                <w:color w:val="FFFFFF"/>
              </w:rPr>
              <w:t>915</w:t>
            </w:r>
          </w:p>
        </w:tc>
        <w:tc>
          <w:tcPr>
            <w:tcW w:w="0" w:type="dxa"/>
            <w:vAlign w:val="bottom"/>
          </w:tcPr>
          <w:p>
            <w:pPr>
              <w:spacing w:after="0"/>
              <w:rPr>
                <w:sz w:val="1"/>
                <w:szCs w:val="1"/>
                <w:color w:val="auto"/>
              </w:rPr>
            </w:pPr>
          </w:p>
        </w:tc>
      </w:tr>
      <w:tr>
        <w:trPr>
          <w:trHeight w:val="153"/>
        </w:trPr>
        <w:tc>
          <w:tcPr>
            <w:tcW w:w="7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6"/>
        </w:trPr>
        <w:tc>
          <w:tcPr>
            <w:tcW w:w="740" w:type="dxa"/>
            <w:vAlign w:val="bottom"/>
          </w:tcPr>
          <w:p>
            <w:pPr>
              <w:jc w:val="center"/>
              <w:ind w:right="86"/>
              <w:spacing w:after="0"/>
              <w:rPr>
                <w:sz w:val="20"/>
                <w:szCs w:val="20"/>
                <w:color w:val="auto"/>
              </w:rPr>
            </w:pPr>
            <w:r>
              <w:rPr>
                <w:rFonts w:ascii="Arial" w:cs="Arial" w:eastAsia="Arial" w:hAnsi="Arial"/>
                <w:sz w:val="22"/>
                <w:szCs w:val="22"/>
                <w:b w:val="1"/>
                <w:bCs w:val="1"/>
                <w:color w:val="FFFFFF"/>
              </w:rPr>
              <w:t>370</w:t>
            </w:r>
          </w:p>
        </w:tc>
        <w:tc>
          <w:tcPr>
            <w:tcW w:w="940" w:type="dxa"/>
            <w:vAlign w:val="bottom"/>
            <w:vMerge w:val="restart"/>
          </w:tcPr>
          <w:p>
            <w:pPr>
              <w:jc w:val="center"/>
              <w:spacing w:after="0"/>
              <w:rPr>
                <w:sz w:val="20"/>
                <w:szCs w:val="20"/>
                <w:color w:val="auto"/>
              </w:rPr>
            </w:pPr>
            <w:r>
              <w:rPr>
                <w:rFonts w:ascii="Arial" w:cs="Arial" w:eastAsia="Arial" w:hAnsi="Arial"/>
                <w:sz w:val="22"/>
                <w:szCs w:val="22"/>
                <w:b w:val="1"/>
                <w:bCs w:val="1"/>
                <w:color w:val="FFFFFF"/>
              </w:rPr>
              <w:t>280</w:t>
            </w:r>
          </w:p>
        </w:tc>
        <w:tc>
          <w:tcPr>
            <w:tcW w:w="940" w:type="dxa"/>
            <w:vAlign w:val="bottom"/>
          </w:tcPr>
          <w:p>
            <w:pPr>
              <w:spacing w:after="0"/>
              <w:rPr>
                <w:sz w:val="24"/>
                <w:szCs w:val="24"/>
                <w:color w:val="auto"/>
              </w:rPr>
            </w:pPr>
          </w:p>
        </w:tc>
        <w:tc>
          <w:tcPr>
            <w:tcW w:w="740" w:type="dxa"/>
            <w:vAlign w:val="bottom"/>
          </w:tcPr>
          <w:p>
            <w:pPr>
              <w:jc w:val="center"/>
              <w:ind w:left="86"/>
              <w:spacing w:after="0"/>
              <w:rPr>
                <w:sz w:val="20"/>
                <w:szCs w:val="20"/>
                <w:color w:val="auto"/>
              </w:rPr>
            </w:pPr>
            <w:r>
              <w:rPr>
                <w:rFonts w:ascii="Arial" w:cs="Arial" w:eastAsia="Arial" w:hAnsi="Arial"/>
                <w:sz w:val="22"/>
                <w:szCs w:val="22"/>
                <w:b w:val="1"/>
                <w:bCs w:val="1"/>
                <w:color w:val="FFFFFF"/>
              </w:rPr>
              <w:t>377</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22"/>
                <w:szCs w:val="22"/>
                <w:b w:val="1"/>
                <w:bCs w:val="1"/>
                <w:color w:val="FFFFFF"/>
              </w:rPr>
              <w:t>135</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740" w:type="dxa"/>
            <w:vAlign w:val="bottom"/>
          </w:tcPr>
          <w:p>
            <w:pPr>
              <w:jc w:val="center"/>
              <w:ind w:right="106"/>
              <w:spacing w:after="0"/>
              <w:rPr>
                <w:sz w:val="20"/>
                <w:szCs w:val="20"/>
                <w:color w:val="auto"/>
              </w:rPr>
            </w:pPr>
            <w:r>
              <w:rPr>
                <w:rFonts w:ascii="Arial" w:cs="Arial" w:eastAsia="Arial" w:hAnsi="Arial"/>
                <w:sz w:val="24"/>
                <w:szCs w:val="24"/>
                <w:color w:val="auto"/>
                <w:w w:val="97"/>
              </w:rPr>
              <w:t>2004</w:t>
            </w:r>
          </w:p>
        </w:tc>
        <w:tc>
          <w:tcPr>
            <w:tcW w:w="940" w:type="dxa"/>
            <w:vAlign w:val="bottom"/>
          </w:tcPr>
          <w:p>
            <w:pPr>
              <w:jc w:val="center"/>
              <w:spacing w:after="0"/>
              <w:rPr>
                <w:sz w:val="20"/>
                <w:szCs w:val="20"/>
                <w:color w:val="auto"/>
              </w:rPr>
            </w:pPr>
            <w:r>
              <w:rPr>
                <w:rFonts w:ascii="Arial" w:cs="Arial" w:eastAsia="Arial" w:hAnsi="Arial"/>
                <w:sz w:val="24"/>
                <w:szCs w:val="24"/>
                <w:color w:val="auto"/>
                <w:w w:val="97"/>
              </w:rPr>
              <w:t>2005</w:t>
            </w:r>
          </w:p>
        </w:tc>
        <w:tc>
          <w:tcPr>
            <w:tcW w:w="940" w:type="dxa"/>
            <w:vAlign w:val="bottom"/>
          </w:tcPr>
          <w:p>
            <w:pPr>
              <w:jc w:val="center"/>
              <w:spacing w:after="0"/>
              <w:rPr>
                <w:sz w:val="20"/>
                <w:szCs w:val="20"/>
                <w:color w:val="auto"/>
              </w:rPr>
            </w:pPr>
            <w:r>
              <w:rPr>
                <w:rFonts w:ascii="Arial" w:cs="Arial" w:eastAsia="Arial" w:hAnsi="Arial"/>
                <w:sz w:val="24"/>
                <w:szCs w:val="24"/>
                <w:color w:val="auto"/>
                <w:w w:val="97"/>
              </w:rPr>
              <w:t>2006</w:t>
            </w:r>
          </w:p>
        </w:tc>
        <w:tc>
          <w:tcPr>
            <w:tcW w:w="740" w:type="dxa"/>
            <w:vAlign w:val="bottom"/>
          </w:tcPr>
          <w:p>
            <w:pPr>
              <w:jc w:val="center"/>
              <w:ind w:left="106"/>
              <w:spacing w:after="0"/>
              <w:rPr>
                <w:sz w:val="20"/>
                <w:szCs w:val="20"/>
                <w:color w:val="auto"/>
              </w:rPr>
            </w:pPr>
            <w:r>
              <w:rPr>
                <w:rFonts w:ascii="Arial" w:cs="Arial" w:eastAsia="Arial" w:hAnsi="Arial"/>
                <w:sz w:val="24"/>
                <w:szCs w:val="24"/>
                <w:color w:val="auto"/>
                <w:w w:val="97"/>
              </w:rPr>
              <w:t>2007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FFFFFF"/>
        </w:rPr>
        <w:t>29%</w:t>
      </w:r>
    </w:p>
    <w:p>
      <w:pPr>
        <w:ind w:left="980"/>
        <w:spacing w:after="0"/>
        <w:tabs>
          <w:tab w:leader="none" w:pos="1900" w:val="left"/>
          <w:tab w:leader="none" w:pos="2860" w:val="left"/>
        </w:tabs>
        <w:rPr>
          <w:sz w:val="20"/>
          <w:szCs w:val="20"/>
          <w:color w:val="auto"/>
        </w:rPr>
      </w:pPr>
      <w:r>
        <w:rPr>
          <w:rFonts w:ascii="Arial" w:cs="Arial" w:eastAsia="Arial" w:hAnsi="Arial"/>
          <w:sz w:val="24"/>
          <w:szCs w:val="24"/>
          <w:b w:val="1"/>
          <w:bCs w:val="1"/>
          <w:color w:val="FFFFFF"/>
        </w:rPr>
        <w:t>26%</w:t>
      </w:r>
      <w:r>
        <w:rPr>
          <w:sz w:val="20"/>
          <w:szCs w:val="20"/>
          <w:color w:val="auto"/>
        </w:rPr>
        <w:tab/>
      </w:r>
      <w:r>
        <w:rPr>
          <w:rFonts w:ascii="Arial" w:cs="Arial" w:eastAsia="Arial" w:hAnsi="Arial"/>
          <w:sz w:val="24"/>
          <w:szCs w:val="24"/>
          <w:b w:val="1"/>
          <w:bCs w:val="1"/>
          <w:color w:val="FFFFFF"/>
        </w:rPr>
        <w:t>25%</w:t>
      </w:r>
      <w:r>
        <w:rPr>
          <w:sz w:val="20"/>
          <w:szCs w:val="20"/>
          <w:color w:val="auto"/>
        </w:rPr>
        <w:tab/>
      </w:r>
      <w:r>
        <w:rPr>
          <w:rFonts w:ascii="Arial" w:cs="Arial" w:eastAsia="Arial" w:hAnsi="Arial"/>
          <w:sz w:val="22"/>
          <w:szCs w:val="22"/>
          <w:b w:val="1"/>
          <w:bCs w:val="1"/>
          <w:color w:val="FFFFFF"/>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920" w:val="left"/>
          <w:tab w:leader="none" w:pos="1860" w:val="left"/>
          <w:tab w:leader="none" w:pos="2820" w:val="left"/>
        </w:tabs>
        <w:rPr>
          <w:sz w:val="20"/>
          <w:szCs w:val="20"/>
          <w:color w:val="auto"/>
        </w:rPr>
      </w:pPr>
      <w:r>
        <w:rPr>
          <w:rFonts w:ascii="Arial" w:cs="Arial" w:eastAsia="Arial" w:hAnsi="Arial"/>
          <w:sz w:val="24"/>
          <w:szCs w:val="24"/>
          <w:color w:val="auto"/>
        </w:rPr>
        <w:t>2004</w:t>
      </w:r>
      <w:r>
        <w:rPr>
          <w:sz w:val="20"/>
          <w:szCs w:val="20"/>
          <w:color w:val="auto"/>
        </w:rPr>
        <w:tab/>
      </w:r>
      <w:r>
        <w:rPr>
          <w:rFonts w:ascii="Arial" w:cs="Arial" w:eastAsia="Arial" w:hAnsi="Arial"/>
          <w:sz w:val="24"/>
          <w:szCs w:val="24"/>
          <w:color w:val="auto"/>
        </w:rPr>
        <w:t>2005</w:t>
      </w:r>
      <w:r>
        <w:rPr>
          <w:sz w:val="20"/>
          <w:szCs w:val="20"/>
          <w:color w:val="auto"/>
        </w:rPr>
        <w:tab/>
      </w:r>
      <w:r>
        <w:rPr>
          <w:rFonts w:ascii="Arial" w:cs="Arial" w:eastAsia="Arial" w:hAnsi="Arial"/>
          <w:sz w:val="24"/>
          <w:szCs w:val="24"/>
          <w:color w:val="auto"/>
        </w:rPr>
        <w:t>2006</w:t>
      </w:r>
      <w:r>
        <w:rPr>
          <w:sz w:val="20"/>
          <w:szCs w:val="20"/>
          <w:color w:val="auto"/>
        </w:rPr>
        <w:tab/>
      </w:r>
      <w:r>
        <w:rPr>
          <w:rFonts w:ascii="Arial" w:cs="Arial" w:eastAsia="Arial" w:hAnsi="Arial"/>
          <w:sz w:val="22"/>
          <w:szCs w:val="22"/>
          <w:color w:val="auto"/>
        </w:rPr>
        <w:t>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680" w:type="dxa"/>
            <w:vAlign w:val="bottom"/>
          </w:tcPr>
          <w:p>
            <w:pPr>
              <w:ind w:left="40"/>
              <w:spacing w:after="0"/>
              <w:rPr>
                <w:sz w:val="20"/>
                <w:szCs w:val="20"/>
                <w:color w:val="auto"/>
              </w:rPr>
            </w:pPr>
            <w:r>
              <w:rPr>
                <w:rFonts w:ascii="Arial" w:cs="Arial" w:eastAsia="Arial" w:hAnsi="Arial"/>
                <w:sz w:val="22"/>
                <w:szCs w:val="22"/>
                <w:b w:val="1"/>
                <w:bCs w:val="1"/>
                <w:color w:val="FFFFFF"/>
              </w:rPr>
              <w:t>999</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FFFFFF"/>
              </w:rPr>
              <w:t>1,014</w:t>
            </w:r>
          </w:p>
        </w:tc>
        <w:tc>
          <w:tcPr>
            <w:tcW w:w="1060" w:type="dxa"/>
            <w:vAlign w:val="bottom"/>
          </w:tcPr>
          <w:p>
            <w:pPr>
              <w:ind w:left="240"/>
              <w:spacing w:after="0"/>
              <w:rPr>
                <w:sz w:val="20"/>
                <w:szCs w:val="20"/>
                <w:color w:val="auto"/>
              </w:rPr>
            </w:pPr>
            <w:r>
              <w:rPr>
                <w:rFonts w:ascii="Arial" w:cs="Arial" w:eastAsia="Arial" w:hAnsi="Arial"/>
                <w:sz w:val="22"/>
                <w:szCs w:val="22"/>
                <w:b w:val="1"/>
                <w:bCs w:val="1"/>
                <w:color w:val="FFFFFF"/>
              </w:rPr>
              <w:t>972</w:t>
            </w:r>
          </w:p>
        </w:tc>
        <w:tc>
          <w:tcPr>
            <w:tcW w:w="1280" w:type="dxa"/>
            <w:vAlign w:val="bottom"/>
          </w:tcPr>
          <w:p>
            <w:pPr>
              <w:ind w:left="380"/>
              <w:spacing w:after="0"/>
              <w:rPr>
                <w:sz w:val="20"/>
                <w:szCs w:val="20"/>
                <w:color w:val="auto"/>
              </w:rPr>
            </w:pPr>
            <w:r>
              <w:rPr>
                <w:rFonts w:ascii="Arial" w:cs="Arial" w:eastAsia="Arial" w:hAnsi="Arial"/>
                <w:sz w:val="20"/>
                <w:szCs w:val="20"/>
                <w:color w:val="auto"/>
                <w:w w:val="95"/>
              </w:rPr>
              <w:t>Total Debt</w:t>
            </w:r>
          </w:p>
        </w:tc>
        <w:tc>
          <w:tcPr>
            <w:tcW w:w="0" w:type="dxa"/>
            <w:vAlign w:val="bottom"/>
          </w:tcPr>
          <w:p>
            <w:pPr>
              <w:spacing w:after="0"/>
              <w:rPr>
                <w:sz w:val="1"/>
                <w:szCs w:val="1"/>
                <w:color w:val="auto"/>
              </w:rPr>
            </w:pPr>
          </w:p>
        </w:tc>
      </w:tr>
      <w:tr>
        <w:trPr>
          <w:trHeight w:val="423"/>
        </w:trPr>
        <w:tc>
          <w:tcPr>
            <w:tcW w:w="68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FFFFFF"/>
                <w:w w:val="97"/>
              </w:rPr>
              <w:t>453</w:t>
            </w:r>
          </w:p>
        </w:tc>
        <w:tc>
          <w:tcPr>
            <w:tcW w:w="1060" w:type="dxa"/>
            <w:vAlign w:val="bottom"/>
          </w:tcPr>
          <w:p>
            <w:pPr>
              <w:spacing w:after="0"/>
              <w:rPr>
                <w:sz w:val="24"/>
                <w:szCs w:val="24"/>
                <w:color w:val="auto"/>
              </w:rPr>
            </w:pPr>
          </w:p>
        </w:tc>
        <w:tc>
          <w:tcPr>
            <w:tcW w:w="1280" w:type="dxa"/>
            <w:vAlign w:val="bottom"/>
          </w:tcPr>
          <w:p>
            <w:pPr>
              <w:ind w:left="380"/>
              <w:spacing w:after="0"/>
              <w:rPr>
                <w:sz w:val="20"/>
                <w:szCs w:val="20"/>
                <w:color w:val="auto"/>
              </w:rPr>
            </w:pPr>
            <w:r>
              <w:rPr>
                <w:rFonts w:ascii="Arial" w:cs="Arial" w:eastAsia="Arial" w:hAnsi="Arial"/>
                <w:sz w:val="20"/>
                <w:szCs w:val="20"/>
                <w:color w:val="auto"/>
              </w:rPr>
              <w:t>Net Debt</w:t>
            </w:r>
          </w:p>
        </w:tc>
        <w:tc>
          <w:tcPr>
            <w:tcW w:w="0" w:type="dxa"/>
            <w:vAlign w:val="bottom"/>
          </w:tcPr>
          <w:p>
            <w:pPr>
              <w:spacing w:after="0"/>
              <w:rPr>
                <w:sz w:val="1"/>
                <w:szCs w:val="1"/>
                <w:color w:val="auto"/>
              </w:rPr>
            </w:pPr>
          </w:p>
        </w:tc>
      </w:tr>
      <w:tr>
        <w:trPr>
          <w:trHeight w:val="241"/>
        </w:trPr>
        <w:tc>
          <w:tcPr>
            <w:tcW w:w="680" w:type="dxa"/>
            <w:vAlign w:val="bottom"/>
            <w:vMerge w:val="restart"/>
          </w:tcPr>
          <w:p>
            <w:pPr>
              <w:ind w:left="40"/>
              <w:spacing w:after="0"/>
              <w:rPr>
                <w:sz w:val="20"/>
                <w:szCs w:val="20"/>
                <w:color w:val="auto"/>
              </w:rPr>
            </w:pPr>
            <w:r>
              <w:rPr>
                <w:rFonts w:ascii="Arial" w:cs="Arial" w:eastAsia="Arial" w:hAnsi="Arial"/>
                <w:sz w:val="22"/>
                <w:szCs w:val="22"/>
                <w:b w:val="1"/>
                <w:bCs w:val="1"/>
                <w:color w:val="FFFFFF"/>
              </w:rPr>
              <w:t>358</w:t>
            </w:r>
          </w:p>
        </w:tc>
        <w:tc>
          <w:tcPr>
            <w:tcW w:w="1000" w:type="dxa"/>
            <w:vAlign w:val="bottom"/>
            <w:vMerge w:val="continue"/>
          </w:tcPr>
          <w:p>
            <w:pPr>
              <w:spacing w:after="0"/>
              <w:rPr>
                <w:sz w:val="20"/>
                <w:szCs w:val="20"/>
                <w:color w:val="auto"/>
              </w:rPr>
            </w:pPr>
          </w:p>
        </w:tc>
        <w:tc>
          <w:tcPr>
            <w:tcW w:w="1060" w:type="dxa"/>
            <w:vAlign w:val="bottom"/>
            <w:vMerge w:val="restart"/>
          </w:tcPr>
          <w:p>
            <w:pPr>
              <w:ind w:left="240"/>
              <w:spacing w:after="0"/>
              <w:rPr>
                <w:sz w:val="20"/>
                <w:szCs w:val="20"/>
                <w:color w:val="auto"/>
              </w:rPr>
            </w:pPr>
            <w:r>
              <w:rPr>
                <w:rFonts w:ascii="Arial" w:cs="Arial" w:eastAsia="Arial" w:hAnsi="Arial"/>
                <w:sz w:val="22"/>
                <w:szCs w:val="22"/>
                <w:b w:val="1"/>
                <w:bCs w:val="1"/>
                <w:color w:val="FFFFFF"/>
              </w:rPr>
              <w:t>340</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3"/>
        </w:trPr>
        <w:tc>
          <w:tcPr>
            <w:tcW w:w="680" w:type="dxa"/>
            <w:vAlign w:val="bottom"/>
          </w:tcPr>
          <w:p>
            <w:pPr>
              <w:ind w:left="60"/>
              <w:spacing w:after="0"/>
              <w:rPr>
                <w:sz w:val="20"/>
                <w:szCs w:val="20"/>
                <w:color w:val="auto"/>
              </w:rPr>
            </w:pPr>
            <w:r>
              <w:rPr>
                <w:rFonts w:ascii="Arial" w:cs="Arial" w:eastAsia="Arial" w:hAnsi="Arial"/>
                <w:sz w:val="24"/>
                <w:szCs w:val="24"/>
                <w:color w:val="auto"/>
              </w:rPr>
              <w:t>Q1</w:t>
            </w:r>
          </w:p>
        </w:tc>
        <w:tc>
          <w:tcPr>
            <w:tcW w:w="1000" w:type="dxa"/>
            <w:vAlign w:val="bottom"/>
          </w:tcPr>
          <w:p>
            <w:pPr>
              <w:jc w:val="center"/>
              <w:spacing w:after="0"/>
              <w:rPr>
                <w:sz w:val="20"/>
                <w:szCs w:val="20"/>
                <w:color w:val="auto"/>
              </w:rPr>
            </w:pPr>
            <w:r>
              <w:rPr>
                <w:rFonts w:ascii="Arial" w:cs="Arial" w:eastAsia="Arial" w:hAnsi="Arial"/>
                <w:sz w:val="24"/>
                <w:szCs w:val="24"/>
                <w:color w:val="auto"/>
                <w:w w:val="99"/>
              </w:rPr>
              <w:t>Q2</w:t>
            </w:r>
          </w:p>
        </w:tc>
        <w:tc>
          <w:tcPr>
            <w:tcW w:w="1060" w:type="dxa"/>
            <w:vAlign w:val="bottom"/>
          </w:tcPr>
          <w:p>
            <w:pPr>
              <w:ind w:left="260"/>
              <w:spacing w:after="0"/>
              <w:rPr>
                <w:sz w:val="20"/>
                <w:szCs w:val="20"/>
                <w:color w:val="auto"/>
              </w:rPr>
            </w:pPr>
            <w:r>
              <w:rPr>
                <w:rFonts w:ascii="Arial" w:cs="Arial" w:eastAsia="Arial" w:hAnsi="Arial"/>
                <w:sz w:val="24"/>
                <w:szCs w:val="24"/>
                <w:color w:val="auto"/>
              </w:rPr>
              <w:t>Q3</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80" w:type="dxa"/>
            <w:vAlign w:val="bottom"/>
          </w:tcPr>
          <w:p>
            <w:pPr>
              <w:spacing w:after="0"/>
              <w:rPr>
                <w:sz w:val="24"/>
                <w:szCs w:val="24"/>
                <w:color w:val="auto"/>
              </w:rPr>
            </w:pPr>
          </w:p>
        </w:tc>
        <w:tc>
          <w:tcPr>
            <w:tcW w:w="1000" w:type="dxa"/>
            <w:vAlign w:val="bottom"/>
          </w:tcPr>
          <w:p>
            <w:pPr>
              <w:jc w:val="right"/>
              <w:ind w:right="145"/>
              <w:spacing w:after="0"/>
              <w:rPr>
                <w:sz w:val="20"/>
                <w:szCs w:val="20"/>
                <w:color w:val="auto"/>
              </w:rPr>
            </w:pPr>
            <w:r>
              <w:rPr>
                <w:rFonts w:ascii="Arial" w:cs="Arial" w:eastAsia="Arial" w:hAnsi="Arial"/>
                <w:sz w:val="24"/>
                <w:szCs w:val="24"/>
                <w:color w:val="auto"/>
              </w:rPr>
              <w:t>2008</w:t>
            </w: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7"/>
        </w:trPr>
        <w:tc>
          <w:tcPr>
            <w:tcW w:w="680" w:type="dxa"/>
            <w:vAlign w:val="bottom"/>
          </w:tcPr>
          <w:p>
            <w:pPr>
              <w:spacing w:after="0"/>
              <w:rPr>
                <w:sz w:val="20"/>
                <w:szCs w:val="20"/>
                <w:color w:val="auto"/>
              </w:rPr>
            </w:pPr>
            <w:r>
              <w:rPr>
                <w:rFonts w:ascii="Arial" w:cs="Arial" w:eastAsia="Arial" w:hAnsi="Arial"/>
                <w:sz w:val="24"/>
                <w:szCs w:val="24"/>
                <w:b w:val="1"/>
                <w:bCs w:val="1"/>
                <w:color w:val="FFFFFF"/>
              </w:rPr>
              <w:t>26%</w:t>
            </w:r>
          </w:p>
        </w:tc>
        <w:tc>
          <w:tcPr>
            <w:tcW w:w="1000" w:type="dxa"/>
            <w:vAlign w:val="bottom"/>
          </w:tcPr>
          <w:p>
            <w:pPr>
              <w:jc w:val="center"/>
              <w:spacing w:after="0"/>
              <w:rPr>
                <w:sz w:val="20"/>
                <w:szCs w:val="20"/>
                <w:color w:val="auto"/>
              </w:rPr>
            </w:pPr>
            <w:r>
              <w:rPr>
                <w:rFonts w:ascii="Arial" w:cs="Arial" w:eastAsia="Arial" w:hAnsi="Arial"/>
                <w:sz w:val="24"/>
                <w:szCs w:val="24"/>
                <w:b w:val="1"/>
                <w:bCs w:val="1"/>
                <w:color w:val="FFFFFF"/>
                <w:w w:val="99"/>
              </w:rPr>
              <w:t>26%</w:t>
            </w:r>
          </w:p>
        </w:tc>
        <w:tc>
          <w:tcPr>
            <w:tcW w:w="1060" w:type="dxa"/>
            <w:vAlign w:val="bottom"/>
          </w:tcPr>
          <w:p>
            <w:pPr>
              <w:ind w:left="220"/>
              <w:spacing w:after="0"/>
              <w:rPr>
                <w:sz w:val="20"/>
                <w:szCs w:val="20"/>
                <w:color w:val="auto"/>
              </w:rPr>
            </w:pPr>
            <w:r>
              <w:rPr>
                <w:rFonts w:ascii="Arial" w:cs="Arial" w:eastAsia="Arial" w:hAnsi="Arial"/>
                <w:sz w:val="24"/>
                <w:szCs w:val="24"/>
                <w:b w:val="1"/>
                <w:bCs w:val="1"/>
                <w:color w:val="FFFFFF"/>
              </w:rPr>
              <w:t>27%</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tabs>
          <w:tab w:leader="none" w:pos="1000" w:val="left"/>
          <w:tab w:leader="none" w:pos="1940" w:val="left"/>
        </w:tabs>
        <w:rPr>
          <w:sz w:val="20"/>
          <w:szCs w:val="20"/>
          <w:color w:val="auto"/>
        </w:rPr>
      </w:pPr>
      <w:r>
        <w:rPr>
          <w:rFonts w:ascii="Arial" w:cs="Arial" w:eastAsia="Arial" w:hAnsi="Arial"/>
          <w:sz w:val="24"/>
          <w:szCs w:val="24"/>
          <w:color w:val="auto"/>
        </w:rPr>
        <w:t>Q1</w:t>
      </w:r>
      <w:r>
        <w:rPr>
          <w:sz w:val="20"/>
          <w:szCs w:val="20"/>
          <w:color w:val="auto"/>
        </w:rPr>
        <w:tab/>
      </w:r>
      <w:r>
        <w:rPr>
          <w:rFonts w:ascii="Arial" w:cs="Arial" w:eastAsia="Arial" w:hAnsi="Arial"/>
          <w:sz w:val="24"/>
          <w:szCs w:val="24"/>
          <w:color w:val="auto"/>
        </w:rPr>
        <w:t>Q2</w:t>
      </w:r>
      <w:r>
        <w:rPr>
          <w:sz w:val="20"/>
          <w:szCs w:val="20"/>
          <w:color w:val="auto"/>
        </w:rPr>
        <w:tab/>
      </w:r>
      <w:r>
        <w:rPr>
          <w:rFonts w:ascii="Arial" w:cs="Arial" w:eastAsia="Arial" w:hAnsi="Arial"/>
          <w:sz w:val="22"/>
          <w:szCs w:val="22"/>
          <w:color w:val="auto"/>
        </w:rPr>
        <w:t>Q3</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24"/>
          <w:szCs w:val="24"/>
          <w:color w:val="auto"/>
        </w:rPr>
        <w:t>2008</w:t>
      </w:r>
    </w:p>
    <w:p>
      <w:pPr>
        <w:sectPr>
          <w:pgSz w:w="11900" w:h="16838" w:orient="portrait"/>
          <w:cols w:equalWidth="0" w:num="3">
            <w:col w:w="2560" w:space="360"/>
            <w:col w:w="3360" w:space="460"/>
            <w:col w:w="4020"/>
          </w:cols>
          <w:pgMar w:left="580" w:top="517" w:right="559" w:bottom="1440" w:gutter="0" w:footer="0" w:header="0"/>
          <w:type w:val="continuous"/>
        </w:sectPr>
      </w:pPr>
    </w:p>
    <w:bookmarkStart w:id="27" w:name="page28"/>
    <w:bookmarkEnd w:id="27"/>
    <w:tbl>
      <w:tblPr>
        <w:tblLayout w:type="fixed"/>
        <w:tblInd w:w="386"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386"/>
        <w:spacing w:after="0"/>
        <w:rPr>
          <w:sz w:val="20"/>
          <w:szCs w:val="20"/>
          <w:color w:val="auto"/>
        </w:rPr>
      </w:pPr>
      <w:r>
        <w:rPr>
          <w:rFonts w:ascii="Arial" w:cs="Arial" w:eastAsia="Arial" w:hAnsi="Arial"/>
          <w:sz w:val="47"/>
          <w:szCs w:val="47"/>
          <w:color w:val="C8504F"/>
        </w:rPr>
        <w:t>Credit Facilities as of September 30, 2008</w:t>
      </w:r>
    </w:p>
    <w:p>
      <w:pPr>
        <w:spacing w:after="0" w:line="2" w:lineRule="exact"/>
        <w:rPr>
          <w:sz w:val="20"/>
          <w:szCs w:val="20"/>
          <w:color w:val="auto"/>
        </w:rPr>
      </w:pPr>
    </w:p>
    <w:tbl>
      <w:tblPr>
        <w:tblLayout w:type="fixed"/>
        <w:tblInd w:w="386" w:type="dxa"/>
        <w:tblCellMar>
          <w:top w:w="0" w:type="dxa"/>
          <w:left w:w="0" w:type="dxa"/>
          <w:bottom w:w="0" w:type="dxa"/>
          <w:right w:w="0" w:type="dxa"/>
        </w:tblCellMar>
      </w:tblPr>
      <w:tr>
        <w:trPr>
          <w:trHeight w:val="268"/>
        </w:trPr>
        <w:tc>
          <w:tcPr>
            <w:tcW w:w="3700" w:type="dxa"/>
            <w:vAlign w:val="bottom"/>
          </w:tcPr>
          <w:p>
            <w:pPr>
              <w:spacing w:after="0"/>
              <w:rPr>
                <w:sz w:val="20"/>
                <w:szCs w:val="20"/>
                <w:color w:val="auto"/>
              </w:rPr>
            </w:pPr>
            <w:r>
              <w:rPr>
                <w:rFonts w:ascii="Arial" w:cs="Arial" w:eastAsia="Arial" w:hAnsi="Arial"/>
                <w:sz w:val="22"/>
                <w:szCs w:val="22"/>
                <w:color w:val="C8504F"/>
              </w:rPr>
              <w:t>($ in millions)</w:t>
            </w:r>
          </w:p>
        </w:tc>
        <w:tc>
          <w:tcPr>
            <w:tcW w:w="1200" w:type="dxa"/>
            <w:vAlign w:val="bottom"/>
            <w:vMerge w:val="restart"/>
          </w:tcPr>
          <w:p>
            <w:pPr>
              <w:jc w:val="center"/>
              <w:ind w:left="8"/>
              <w:spacing w:after="0"/>
              <w:rPr>
                <w:sz w:val="20"/>
                <w:szCs w:val="20"/>
                <w:color w:val="auto"/>
              </w:rPr>
            </w:pPr>
            <w:r>
              <w:rPr>
                <w:rFonts w:ascii="Arial" w:cs="Arial" w:eastAsia="Arial" w:hAnsi="Arial"/>
                <w:sz w:val="22"/>
                <w:szCs w:val="22"/>
                <w:b w:val="1"/>
                <w:bCs w:val="1"/>
                <w:color w:val="C8504F"/>
              </w:rPr>
              <w:t>Interest</w:t>
            </w:r>
          </w:p>
        </w:tc>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C8504F"/>
              </w:rPr>
              <w:t>Maturity</w:t>
            </w:r>
          </w:p>
        </w:tc>
        <w:tc>
          <w:tcPr>
            <w:tcW w:w="1540" w:type="dxa"/>
            <w:vAlign w:val="bottom"/>
            <w:vMerge w:val="restart"/>
          </w:tcPr>
          <w:p>
            <w:pPr>
              <w:jc w:val="right"/>
              <w:ind w:right="408"/>
              <w:spacing w:after="0"/>
              <w:rPr>
                <w:sz w:val="20"/>
                <w:szCs w:val="20"/>
                <w:color w:val="auto"/>
              </w:rPr>
            </w:pPr>
            <w:r>
              <w:rPr>
                <w:rFonts w:ascii="Arial" w:cs="Arial" w:eastAsia="Arial" w:hAnsi="Arial"/>
                <w:sz w:val="22"/>
                <w:szCs w:val="22"/>
                <w:b w:val="1"/>
                <w:bCs w:val="1"/>
                <w:color w:val="C8504F"/>
              </w:rPr>
              <w:t>Total</w:t>
            </w:r>
          </w:p>
        </w:tc>
        <w:tc>
          <w:tcPr>
            <w:tcW w:w="1260" w:type="dxa"/>
            <w:vAlign w:val="bottom"/>
            <w:vMerge w:val="restart"/>
          </w:tcPr>
          <w:p>
            <w:pPr>
              <w:jc w:val="right"/>
              <w:spacing w:after="0"/>
              <w:rPr>
                <w:sz w:val="20"/>
                <w:szCs w:val="20"/>
                <w:color w:val="auto"/>
              </w:rPr>
            </w:pPr>
            <w:r>
              <w:rPr>
                <w:rFonts w:ascii="Arial" w:cs="Arial" w:eastAsia="Arial" w:hAnsi="Arial"/>
                <w:sz w:val="22"/>
                <w:szCs w:val="22"/>
                <w:b w:val="1"/>
                <w:bCs w:val="1"/>
                <w:color w:val="C8504F"/>
              </w:rPr>
              <w:t>Remaining</w:t>
            </w:r>
          </w:p>
        </w:tc>
        <w:tc>
          <w:tcPr>
            <w:tcW w:w="0" w:type="dxa"/>
            <w:vAlign w:val="bottom"/>
          </w:tcPr>
          <w:p>
            <w:pPr>
              <w:spacing w:after="0"/>
              <w:rPr>
                <w:sz w:val="1"/>
                <w:szCs w:val="1"/>
                <w:color w:val="auto"/>
              </w:rPr>
            </w:pPr>
          </w:p>
        </w:tc>
      </w:tr>
      <w:tr>
        <w:trPr>
          <w:trHeight w:val="245"/>
        </w:trPr>
        <w:tc>
          <w:tcPr>
            <w:tcW w:w="37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1200" w:type="dxa"/>
            <w:vAlign w:val="bottom"/>
          </w:tcPr>
          <w:p>
            <w:pPr>
              <w:jc w:val="center"/>
              <w:ind w:left="8"/>
              <w:spacing w:after="0"/>
              <w:rPr>
                <w:sz w:val="20"/>
                <w:szCs w:val="20"/>
                <w:color w:val="auto"/>
              </w:rPr>
            </w:pPr>
            <w:r>
              <w:rPr>
                <w:rFonts w:ascii="Arial" w:cs="Arial" w:eastAsia="Arial" w:hAnsi="Arial"/>
                <w:sz w:val="22"/>
                <w:szCs w:val="22"/>
                <w:b w:val="1"/>
                <w:bCs w:val="1"/>
                <w:color w:val="C8504F"/>
              </w:rPr>
              <w:t>Rate</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C8504F"/>
              </w:rPr>
              <w:t>Date</w:t>
            </w:r>
          </w:p>
        </w:tc>
        <w:tc>
          <w:tcPr>
            <w:tcW w:w="1540" w:type="dxa"/>
            <w:vAlign w:val="bottom"/>
          </w:tcPr>
          <w:p>
            <w:pPr>
              <w:jc w:val="right"/>
              <w:ind w:right="8"/>
              <w:spacing w:after="0"/>
              <w:rPr>
                <w:sz w:val="20"/>
                <w:szCs w:val="20"/>
                <w:color w:val="auto"/>
              </w:rPr>
            </w:pPr>
            <w:r>
              <w:rPr>
                <w:rFonts w:ascii="Arial" w:cs="Arial" w:eastAsia="Arial" w:hAnsi="Arial"/>
                <w:sz w:val="22"/>
                <w:szCs w:val="22"/>
                <w:b w:val="1"/>
                <w:bCs w:val="1"/>
                <w:color w:val="C8504F"/>
              </w:rPr>
              <w:t>Outstanding</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C8504F"/>
              </w:rPr>
              <w:t>Available</w:t>
            </w:r>
          </w:p>
        </w:tc>
        <w:tc>
          <w:tcPr>
            <w:tcW w:w="0" w:type="dxa"/>
            <w:vAlign w:val="bottom"/>
          </w:tcPr>
          <w:p>
            <w:pPr>
              <w:spacing w:after="0"/>
              <w:rPr>
                <w:sz w:val="1"/>
                <w:szCs w:val="1"/>
                <w:color w:val="auto"/>
              </w:rPr>
            </w:pPr>
          </w:p>
        </w:tc>
      </w:tr>
      <w:tr>
        <w:trPr>
          <w:trHeight w:val="482"/>
        </w:trPr>
        <w:tc>
          <w:tcPr>
            <w:tcW w:w="3700" w:type="dxa"/>
            <w:vAlign w:val="bottom"/>
          </w:tcPr>
          <w:p>
            <w:pPr>
              <w:ind w:left="140"/>
              <w:spacing w:after="0"/>
              <w:rPr>
                <w:sz w:val="20"/>
                <w:szCs w:val="20"/>
                <w:color w:val="auto"/>
              </w:rPr>
            </w:pPr>
            <w:r>
              <w:rPr>
                <w:rFonts w:ascii="Arial" w:cs="Arial" w:eastAsia="Arial" w:hAnsi="Arial"/>
                <w:sz w:val="22"/>
                <w:szCs w:val="22"/>
                <w:b w:val="1"/>
                <w:bCs w:val="1"/>
                <w:color w:val="auto"/>
              </w:rPr>
              <w:t>Euro Notes:</w:t>
            </w: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700" w:type="dxa"/>
            <w:vAlign w:val="bottom"/>
          </w:tcPr>
          <w:p>
            <w:pPr>
              <w:ind w:left="280"/>
              <w:spacing w:after="0"/>
              <w:rPr>
                <w:sz w:val="20"/>
                <w:szCs w:val="20"/>
                <w:color w:val="auto"/>
              </w:rPr>
            </w:pPr>
            <w:r>
              <w:rPr>
                <w:rFonts w:ascii="Arial" w:cs="Arial" w:eastAsia="Arial" w:hAnsi="Arial"/>
                <w:sz w:val="22"/>
                <w:szCs w:val="22"/>
                <w:b w:val="1"/>
                <w:bCs w:val="1"/>
                <w:color w:val="auto"/>
              </w:rPr>
              <w:t>- Euro 200M</w:t>
            </w:r>
          </w:p>
        </w:tc>
        <w:tc>
          <w:tcPr>
            <w:tcW w:w="1200" w:type="dxa"/>
            <w:vAlign w:val="bottom"/>
          </w:tcPr>
          <w:p>
            <w:pPr>
              <w:jc w:val="center"/>
              <w:ind w:left="8"/>
              <w:spacing w:after="0"/>
              <w:rPr>
                <w:sz w:val="20"/>
                <w:szCs w:val="20"/>
                <w:color w:val="auto"/>
              </w:rPr>
            </w:pPr>
            <w:r>
              <w:rPr>
                <w:rFonts w:ascii="Arial" w:cs="Arial" w:eastAsia="Arial" w:hAnsi="Arial"/>
                <w:sz w:val="22"/>
                <w:szCs w:val="22"/>
                <w:b w:val="1"/>
                <w:bCs w:val="1"/>
                <w:color w:val="auto"/>
              </w:rPr>
              <w:t>4.86%</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rPr>
              <w:t>June 2013</w:t>
            </w:r>
          </w:p>
        </w:tc>
        <w:tc>
          <w:tcPr>
            <w:tcW w:w="1540" w:type="dxa"/>
            <w:vAlign w:val="bottom"/>
          </w:tcPr>
          <w:p>
            <w:pPr>
              <w:jc w:val="right"/>
              <w:ind w:right="8"/>
              <w:spacing w:after="0"/>
              <w:rPr>
                <w:sz w:val="20"/>
                <w:szCs w:val="20"/>
                <w:color w:val="auto"/>
              </w:rPr>
            </w:pPr>
            <w:r>
              <w:rPr>
                <w:rFonts w:ascii="Arial" w:cs="Arial" w:eastAsia="Arial" w:hAnsi="Arial"/>
                <w:sz w:val="22"/>
                <w:szCs w:val="22"/>
                <w:b w:val="1"/>
                <w:bCs w:val="1"/>
                <w:color w:val="auto"/>
              </w:rPr>
              <w:t>281</w:t>
            </w:r>
          </w:p>
        </w:tc>
        <w:tc>
          <w:tcPr>
            <w:tcW w:w="1260" w:type="dxa"/>
            <w:vAlign w:val="bottom"/>
          </w:tcPr>
          <w:p>
            <w:pPr>
              <w:jc w:val="right"/>
              <w:ind w:right="28"/>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435"/>
        </w:trPr>
        <w:tc>
          <w:tcPr>
            <w:tcW w:w="3700" w:type="dxa"/>
            <w:vAlign w:val="bottom"/>
          </w:tcPr>
          <w:p>
            <w:pPr>
              <w:ind w:left="280"/>
              <w:spacing w:after="0"/>
              <w:rPr>
                <w:sz w:val="20"/>
                <w:szCs w:val="20"/>
                <w:color w:val="auto"/>
              </w:rPr>
            </w:pPr>
            <w:r>
              <w:rPr>
                <w:rFonts w:ascii="Arial" w:cs="Arial" w:eastAsia="Arial" w:hAnsi="Arial"/>
                <w:sz w:val="22"/>
                <w:szCs w:val="22"/>
                <w:b w:val="1"/>
                <w:bCs w:val="1"/>
                <w:color w:val="auto"/>
              </w:rPr>
              <w:t>- Euro 300M</w:t>
            </w:r>
          </w:p>
        </w:tc>
        <w:tc>
          <w:tcPr>
            <w:tcW w:w="1200" w:type="dxa"/>
            <w:vAlign w:val="bottom"/>
          </w:tcPr>
          <w:p>
            <w:pPr>
              <w:jc w:val="center"/>
              <w:ind w:left="8"/>
              <w:spacing w:after="0"/>
              <w:rPr>
                <w:sz w:val="20"/>
                <w:szCs w:val="20"/>
                <w:color w:val="auto"/>
              </w:rPr>
            </w:pPr>
            <w:r>
              <w:rPr>
                <w:rFonts w:ascii="Arial" w:cs="Arial" w:eastAsia="Arial" w:hAnsi="Arial"/>
                <w:sz w:val="22"/>
                <w:szCs w:val="22"/>
                <w:b w:val="1"/>
                <w:bCs w:val="1"/>
                <w:color w:val="auto"/>
              </w:rPr>
              <w:t>4.58%</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rPr>
              <w:t>June 2012</w:t>
            </w:r>
          </w:p>
        </w:tc>
        <w:tc>
          <w:tcPr>
            <w:tcW w:w="1540" w:type="dxa"/>
            <w:vAlign w:val="bottom"/>
          </w:tcPr>
          <w:p>
            <w:pPr>
              <w:jc w:val="right"/>
              <w:ind w:right="8"/>
              <w:spacing w:after="0"/>
              <w:rPr>
                <w:sz w:val="20"/>
                <w:szCs w:val="20"/>
                <w:color w:val="auto"/>
              </w:rPr>
            </w:pPr>
            <w:r>
              <w:rPr>
                <w:rFonts w:ascii="Arial" w:cs="Arial" w:eastAsia="Arial" w:hAnsi="Arial"/>
                <w:sz w:val="22"/>
                <w:szCs w:val="22"/>
                <w:b w:val="1"/>
                <w:bCs w:val="1"/>
                <w:color w:val="auto"/>
              </w:rPr>
              <w:t>422</w:t>
            </w:r>
          </w:p>
        </w:tc>
        <w:tc>
          <w:tcPr>
            <w:tcW w:w="1260" w:type="dxa"/>
            <w:vAlign w:val="bottom"/>
          </w:tcPr>
          <w:p>
            <w:pPr>
              <w:jc w:val="right"/>
              <w:ind w:right="28"/>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435"/>
        </w:trPr>
        <w:tc>
          <w:tcPr>
            <w:tcW w:w="3700" w:type="dxa"/>
            <w:vAlign w:val="bottom"/>
          </w:tcPr>
          <w:p>
            <w:pPr>
              <w:ind w:left="140"/>
              <w:spacing w:after="0"/>
              <w:rPr>
                <w:sz w:val="20"/>
                <w:szCs w:val="20"/>
                <w:color w:val="auto"/>
              </w:rPr>
            </w:pPr>
            <w:r>
              <w:rPr>
                <w:rFonts w:ascii="Arial" w:cs="Arial" w:eastAsia="Arial" w:hAnsi="Arial"/>
                <w:sz w:val="22"/>
                <w:szCs w:val="22"/>
                <w:b w:val="1"/>
                <w:bCs w:val="1"/>
                <w:color w:val="auto"/>
              </w:rPr>
              <w:t>Revolving Credit Agreement</w:t>
            </w:r>
            <w:r>
              <w:rPr>
                <w:rFonts w:ascii="Arial" w:cs="Arial" w:eastAsia="Arial" w:hAnsi="Arial"/>
                <w:sz w:val="28"/>
                <w:szCs w:val="28"/>
                <w:color w:val="auto"/>
                <w:vertAlign w:val="superscript"/>
              </w:rPr>
              <w:t>(a)</w:t>
            </w:r>
          </w:p>
        </w:tc>
        <w:tc>
          <w:tcPr>
            <w:tcW w:w="1200" w:type="dxa"/>
            <w:vAlign w:val="bottom"/>
          </w:tcPr>
          <w:p>
            <w:pPr>
              <w:jc w:val="center"/>
              <w:ind w:left="8"/>
              <w:spacing w:after="0"/>
              <w:rPr>
                <w:sz w:val="20"/>
                <w:szCs w:val="20"/>
                <w:color w:val="auto"/>
              </w:rPr>
            </w:pPr>
            <w:r>
              <w:rPr>
                <w:rFonts w:ascii="Arial" w:cs="Arial" w:eastAsia="Arial" w:hAnsi="Arial"/>
                <w:sz w:val="22"/>
                <w:szCs w:val="22"/>
                <w:b w:val="1"/>
                <w:bCs w:val="1"/>
                <w:color w:val="auto"/>
              </w:rPr>
              <w:t>5.71%</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rPr>
              <w:t>Nov 2012</w:t>
            </w:r>
          </w:p>
        </w:tc>
        <w:tc>
          <w:tcPr>
            <w:tcW w:w="1540" w:type="dxa"/>
            <w:vAlign w:val="bottom"/>
          </w:tcPr>
          <w:p>
            <w:pPr>
              <w:jc w:val="right"/>
              <w:ind w:right="8"/>
              <w:spacing w:after="0"/>
              <w:rPr>
                <w:sz w:val="20"/>
                <w:szCs w:val="20"/>
                <w:color w:val="auto"/>
              </w:rPr>
            </w:pPr>
            <w:r>
              <w:rPr>
                <w:rFonts w:ascii="Arial" w:cs="Arial" w:eastAsia="Arial" w:hAnsi="Arial"/>
                <w:sz w:val="22"/>
                <w:szCs w:val="22"/>
                <w:b w:val="1"/>
                <w:bCs w:val="1"/>
                <w:color w:val="auto"/>
              </w:rPr>
              <w:t>141</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480</w:t>
            </w:r>
          </w:p>
        </w:tc>
        <w:tc>
          <w:tcPr>
            <w:tcW w:w="0" w:type="dxa"/>
            <w:vAlign w:val="bottom"/>
          </w:tcPr>
          <w:p>
            <w:pPr>
              <w:spacing w:after="0"/>
              <w:rPr>
                <w:sz w:val="1"/>
                <w:szCs w:val="1"/>
                <w:color w:val="auto"/>
              </w:rPr>
            </w:pPr>
          </w:p>
        </w:tc>
      </w:tr>
      <w:tr>
        <w:trPr>
          <w:trHeight w:val="461"/>
        </w:trPr>
        <w:tc>
          <w:tcPr>
            <w:tcW w:w="3700" w:type="dxa"/>
            <w:vAlign w:val="bottom"/>
          </w:tcPr>
          <w:p>
            <w:pPr>
              <w:ind w:left="140"/>
              <w:spacing w:after="0"/>
              <w:rPr>
                <w:sz w:val="20"/>
                <w:szCs w:val="20"/>
                <w:color w:val="auto"/>
              </w:rPr>
            </w:pPr>
            <w:r>
              <w:rPr>
                <w:rFonts w:ascii="Arial" w:cs="Arial" w:eastAsia="Arial" w:hAnsi="Arial"/>
                <w:sz w:val="22"/>
                <w:szCs w:val="22"/>
                <w:b w:val="1"/>
                <w:bCs w:val="1"/>
                <w:color w:val="auto"/>
              </w:rPr>
              <w:t xml:space="preserve">A/R Securitization </w:t>
            </w:r>
            <w:r>
              <w:rPr>
                <w:rFonts w:ascii="Arial" w:cs="Arial" w:eastAsia="Arial" w:hAnsi="Arial"/>
                <w:sz w:val="28"/>
                <w:szCs w:val="28"/>
                <w:color w:val="auto"/>
                <w:vertAlign w:val="superscript"/>
              </w:rPr>
              <w:t>(b)</w:t>
            </w:r>
          </w:p>
        </w:tc>
        <w:tc>
          <w:tcPr>
            <w:tcW w:w="1200" w:type="dxa"/>
            <w:vAlign w:val="bottom"/>
          </w:tcPr>
          <w:p>
            <w:pPr>
              <w:jc w:val="center"/>
              <w:ind w:left="8"/>
              <w:spacing w:after="0"/>
              <w:rPr>
                <w:sz w:val="20"/>
                <w:szCs w:val="20"/>
                <w:color w:val="auto"/>
              </w:rPr>
            </w:pPr>
            <w:r>
              <w:rPr>
                <w:rFonts w:ascii="Arial" w:cs="Arial" w:eastAsia="Arial" w:hAnsi="Arial"/>
                <w:sz w:val="22"/>
                <w:szCs w:val="22"/>
                <w:b w:val="1"/>
                <w:bCs w:val="1"/>
                <w:color w:val="auto"/>
              </w:rPr>
              <w:t>3.06%</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rPr>
              <w:t>July 2009</w:t>
            </w:r>
          </w:p>
        </w:tc>
        <w:tc>
          <w:tcPr>
            <w:tcW w:w="1540" w:type="dxa"/>
            <w:vAlign w:val="bottom"/>
          </w:tcPr>
          <w:p>
            <w:pPr>
              <w:jc w:val="right"/>
              <w:ind w:right="8"/>
              <w:spacing w:after="0"/>
              <w:rPr>
                <w:sz w:val="20"/>
                <w:szCs w:val="20"/>
                <w:color w:val="auto"/>
              </w:rPr>
            </w:pPr>
            <w:r>
              <w:rPr>
                <w:rFonts w:ascii="Arial" w:cs="Arial" w:eastAsia="Arial" w:hAnsi="Arial"/>
                <w:sz w:val="22"/>
                <w:szCs w:val="22"/>
                <w:b w:val="1"/>
                <w:bCs w:val="1"/>
                <w:color w:val="auto"/>
              </w:rPr>
              <w:t>73</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27</w:t>
            </w:r>
          </w:p>
        </w:tc>
        <w:tc>
          <w:tcPr>
            <w:tcW w:w="0" w:type="dxa"/>
            <w:vAlign w:val="bottom"/>
          </w:tcPr>
          <w:p>
            <w:pPr>
              <w:spacing w:after="0"/>
              <w:rPr>
                <w:sz w:val="1"/>
                <w:szCs w:val="1"/>
                <w:color w:val="auto"/>
              </w:rPr>
            </w:pPr>
          </w:p>
        </w:tc>
      </w:tr>
      <w:tr>
        <w:trPr>
          <w:trHeight w:val="420"/>
        </w:trPr>
        <w:tc>
          <w:tcPr>
            <w:tcW w:w="3700" w:type="dxa"/>
            <w:vAlign w:val="bottom"/>
          </w:tcPr>
          <w:p>
            <w:pPr>
              <w:ind w:left="140"/>
              <w:spacing w:after="0"/>
              <w:rPr>
                <w:sz w:val="20"/>
                <w:szCs w:val="20"/>
                <w:color w:val="auto"/>
              </w:rPr>
            </w:pPr>
            <w:r>
              <w:rPr>
                <w:rFonts w:ascii="Arial" w:cs="Arial" w:eastAsia="Arial" w:hAnsi="Arial"/>
                <w:sz w:val="22"/>
                <w:szCs w:val="22"/>
                <w:b w:val="1"/>
                <w:bCs w:val="1"/>
                <w:color w:val="auto"/>
              </w:rPr>
              <w:t xml:space="preserve">Uncommitted lines and Other </w:t>
            </w:r>
            <w:r>
              <w:rPr>
                <w:rFonts w:ascii="Arial" w:cs="Arial" w:eastAsia="Arial" w:hAnsi="Arial"/>
                <w:sz w:val="28"/>
                <w:szCs w:val="28"/>
                <w:color w:val="auto"/>
                <w:vertAlign w:val="superscript"/>
              </w:rPr>
              <w:t>(c)</w:t>
            </w:r>
          </w:p>
        </w:tc>
        <w:tc>
          <w:tcPr>
            <w:tcW w:w="1200" w:type="dxa"/>
            <w:vAlign w:val="bottom"/>
          </w:tcPr>
          <w:p>
            <w:pPr>
              <w:jc w:val="center"/>
              <w:ind w:left="8"/>
              <w:spacing w:after="0"/>
              <w:rPr>
                <w:sz w:val="20"/>
                <w:szCs w:val="20"/>
                <w:color w:val="auto"/>
              </w:rPr>
            </w:pPr>
            <w:r>
              <w:rPr>
                <w:rFonts w:ascii="Arial" w:cs="Arial" w:eastAsia="Arial" w:hAnsi="Arial"/>
                <w:sz w:val="22"/>
                <w:szCs w:val="22"/>
                <w:b w:val="1"/>
                <w:bCs w:val="1"/>
                <w:color w:val="auto"/>
                <w:w w:val="99"/>
              </w:rPr>
              <w:t>Various</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rPr>
              <w:t>Various</w:t>
            </w:r>
          </w:p>
        </w:tc>
        <w:tc>
          <w:tcPr>
            <w:tcW w:w="1540" w:type="dxa"/>
            <w:vAlign w:val="bottom"/>
          </w:tcPr>
          <w:p>
            <w:pPr>
              <w:jc w:val="right"/>
              <w:ind w:right="8"/>
              <w:spacing w:after="0"/>
              <w:rPr>
                <w:sz w:val="20"/>
                <w:szCs w:val="20"/>
                <w:color w:val="auto"/>
              </w:rPr>
            </w:pPr>
            <w:r>
              <w:rPr>
                <w:rFonts w:ascii="Arial" w:cs="Arial" w:eastAsia="Arial" w:hAnsi="Arial"/>
                <w:sz w:val="22"/>
                <w:szCs w:val="22"/>
                <w:b w:val="1"/>
                <w:bCs w:val="1"/>
                <w:color w:val="auto"/>
              </w:rPr>
              <w:t>55</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312</w:t>
            </w:r>
          </w:p>
        </w:tc>
        <w:tc>
          <w:tcPr>
            <w:tcW w:w="0" w:type="dxa"/>
            <w:vAlign w:val="bottom"/>
          </w:tcPr>
          <w:p>
            <w:pPr>
              <w:spacing w:after="0"/>
              <w:rPr>
                <w:sz w:val="1"/>
                <w:szCs w:val="1"/>
                <w:color w:val="auto"/>
              </w:rPr>
            </w:pPr>
          </w:p>
        </w:tc>
      </w:tr>
      <w:tr>
        <w:trPr>
          <w:trHeight w:val="412"/>
        </w:trPr>
        <w:tc>
          <w:tcPr>
            <w:tcW w:w="3700" w:type="dxa"/>
            <w:vAlign w:val="bottom"/>
          </w:tcPr>
          <w:p>
            <w:pPr>
              <w:ind w:left="140"/>
              <w:spacing w:after="0"/>
              <w:rPr>
                <w:sz w:val="20"/>
                <w:szCs w:val="20"/>
                <w:color w:val="auto"/>
              </w:rPr>
            </w:pPr>
            <w:r>
              <w:rPr>
                <w:rFonts w:ascii="Arial" w:cs="Arial" w:eastAsia="Arial" w:hAnsi="Arial"/>
                <w:sz w:val="22"/>
                <w:szCs w:val="22"/>
                <w:b w:val="1"/>
                <w:bCs w:val="1"/>
                <w:color w:val="auto"/>
              </w:rPr>
              <w:t>Total Debt</w:t>
            </w: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jc w:val="right"/>
              <w:ind w:right="8"/>
              <w:spacing w:after="0"/>
              <w:rPr>
                <w:sz w:val="20"/>
                <w:szCs w:val="20"/>
                <w:color w:val="auto"/>
              </w:rPr>
            </w:pPr>
            <w:r>
              <w:rPr>
                <w:rFonts w:ascii="Arial" w:cs="Arial" w:eastAsia="Arial" w:hAnsi="Arial"/>
                <w:sz w:val="22"/>
                <w:szCs w:val="22"/>
                <w:b w:val="1"/>
                <w:bCs w:val="1"/>
                <w:color w:val="auto"/>
              </w:rPr>
              <w:t>972</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819</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26" w:right="1240" w:hanging="215"/>
        <w:spacing w:after="0" w:line="265" w:lineRule="auto"/>
        <w:tabs>
          <w:tab w:leader="none" w:pos="226" w:val="left"/>
        </w:tabs>
        <w:numPr>
          <w:ilvl w:val="1"/>
          <w:numId w:val="13"/>
        </w:numPr>
        <w:rPr>
          <w:rFonts w:ascii="Arial" w:cs="Arial" w:eastAsia="Arial" w:hAnsi="Arial"/>
          <w:sz w:val="14"/>
          <w:szCs w:val="14"/>
          <w:color w:val="auto"/>
        </w:rPr>
      </w:pPr>
      <w:r>
        <w:rPr>
          <w:rFonts w:ascii="Arial" w:cs="Arial" w:eastAsia="Arial" w:hAnsi="Arial"/>
          <w:sz w:val="15"/>
          <w:szCs w:val="15"/>
          <w:color w:val="auto"/>
        </w:rPr>
        <w:t>$625M multi-currency Revolving Credit Agreement provided by 17 banks. No lender represents more than 10% of the total amount. As of September 30, 2008, there was a €100M borrowing under the Revolving Credit Agreement which has been swapped to a fixed rate of 5.71% until July 2010. New borrowings under the agreement would be made at the interbank rate for the relevant currency and tenor plus a credit spread based upon our public debt rating. At September 30, 2008, new 30-day USD borrowings would cost 4.32% (30-day LIBOR plus 40 bps).</w:t>
      </w:r>
    </w:p>
    <w:p>
      <w:pPr>
        <w:spacing w:after="0" w:line="176" w:lineRule="exact"/>
        <w:rPr>
          <w:rFonts w:ascii="Arial" w:cs="Arial" w:eastAsia="Arial" w:hAnsi="Arial"/>
          <w:sz w:val="14"/>
          <w:szCs w:val="14"/>
          <w:color w:val="auto"/>
        </w:rPr>
      </w:pPr>
    </w:p>
    <w:p>
      <w:pPr>
        <w:ind w:left="226" w:right="1140" w:hanging="226"/>
        <w:spacing w:after="0" w:line="205" w:lineRule="auto"/>
        <w:tabs>
          <w:tab w:leader="none" w:pos="226" w:val="left"/>
        </w:tabs>
        <w:numPr>
          <w:ilvl w:val="0"/>
          <w:numId w:val="14"/>
        </w:numPr>
        <w:rPr>
          <w:rFonts w:ascii="Arial" w:cs="Arial" w:eastAsia="Arial" w:hAnsi="Arial"/>
          <w:sz w:val="27"/>
          <w:szCs w:val="27"/>
          <w:color w:val="auto"/>
          <w:vertAlign w:val="superscript"/>
        </w:rPr>
      </w:pPr>
      <w:r>
        <w:rPr>
          <w:rFonts w:ascii="Arial" w:cs="Arial" w:eastAsia="Arial" w:hAnsi="Arial"/>
          <w:sz w:val="15"/>
          <w:szCs w:val="15"/>
          <w:color w:val="auto"/>
        </w:rPr>
        <w:t>The interest rate is based on the issuance cost of commercial paper from Citigroup conduits which are rated A1+/P1 by the rating agencies. The commercial paper is sold into public, private or bank financing markets. Our cost of funds is comprised of the issuance cost for this commercial paper plus a commission and will vary based on market and interest rate conditions.</w:t>
      </w:r>
    </w:p>
    <w:p>
      <w:pPr>
        <w:spacing w:after="0" w:line="192" w:lineRule="exact"/>
        <w:rPr>
          <w:rFonts w:ascii="Arial" w:cs="Arial" w:eastAsia="Arial" w:hAnsi="Arial"/>
          <w:sz w:val="27"/>
          <w:szCs w:val="27"/>
          <w:color w:val="auto"/>
          <w:vertAlign w:val="superscript"/>
        </w:rPr>
      </w:pPr>
    </w:p>
    <w:p>
      <w:pPr>
        <w:ind w:left="226" w:right="1220" w:hanging="226"/>
        <w:spacing w:after="0" w:line="269" w:lineRule="auto"/>
        <w:tabs>
          <w:tab w:leader="none" w:pos="226" w:val="left"/>
        </w:tabs>
        <w:numPr>
          <w:ilvl w:val="0"/>
          <w:numId w:val="14"/>
        </w:numPr>
        <w:rPr>
          <w:rFonts w:ascii="Arial" w:cs="Arial" w:eastAsia="Arial" w:hAnsi="Arial"/>
          <w:sz w:val="14"/>
          <w:szCs w:val="14"/>
          <w:color w:val="auto"/>
        </w:rPr>
      </w:pPr>
      <w:r>
        <w:rPr>
          <w:rFonts w:ascii="Arial" w:cs="Arial" w:eastAsia="Arial" w:hAnsi="Arial"/>
          <w:sz w:val="15"/>
          <w:szCs w:val="15"/>
          <w:color w:val="auto"/>
        </w:rPr>
        <w:t>Represents borrowings under uncommitted lines of credit &amp; overdraft facilities, which total $365M, and other long-term debt of $2M. Total subsidiary borrowings are limited to $300M due to restrictions in our Revolving Credit Agreement, with the exception of Q3 when subsidiary borrowings are limited to $600M.</w:t>
      </w:r>
    </w:p>
    <w:p>
      <w:pPr>
        <w:sectPr>
          <w:pgSz w:w="11900" w:h="16838" w:orient="portrait"/>
          <w:cols w:equalWidth="0" w:num="1">
            <w:col w:w="10246"/>
          </w:cols>
          <w:pgMar w:left="834" w:top="517" w:right="819" w:bottom="1440" w:gutter="0" w:footer="0" w:header="0"/>
        </w:sectPr>
      </w:pPr>
    </w:p>
    <w:bookmarkStart w:id="28" w:name="page29"/>
    <w:bookmarkEnd w:id="28"/>
    <w:tbl>
      <w:tblPr>
        <w:tblLayout w:type="fixed"/>
        <w:tblInd w:w="80"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17</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80"/>
        <w:spacing w:after="0"/>
        <w:rPr>
          <w:sz w:val="20"/>
          <w:szCs w:val="20"/>
          <w:color w:val="auto"/>
        </w:rPr>
      </w:pPr>
      <w:r>
        <w:rPr>
          <w:rFonts w:ascii="Arial" w:cs="Arial" w:eastAsia="Arial" w:hAnsi="Arial"/>
          <w:sz w:val="47"/>
          <w:szCs w:val="47"/>
          <w:color w:val="5F81AA"/>
        </w:rPr>
        <w:t>Cash Flow Summary – Nine Months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458"/>
        </w:trPr>
        <w:tc>
          <w:tcPr>
            <w:tcW w:w="5160" w:type="dxa"/>
            <w:vAlign w:val="bottom"/>
          </w:tcPr>
          <w:p>
            <w:pPr>
              <w:ind w:left="40"/>
              <w:spacing w:after="0"/>
              <w:rPr>
                <w:sz w:val="20"/>
                <w:szCs w:val="20"/>
                <w:color w:val="auto"/>
              </w:rPr>
            </w:pPr>
            <w:r>
              <w:rPr>
                <w:rFonts w:ascii="Arial" w:cs="Arial" w:eastAsia="Arial" w:hAnsi="Arial"/>
                <w:sz w:val="28"/>
                <w:szCs w:val="28"/>
                <w:color w:val="5F81AA"/>
              </w:rPr>
              <w:t>($ in millions)</w:t>
            </w:r>
          </w:p>
        </w:tc>
        <w:tc>
          <w:tcPr>
            <w:tcW w:w="2220" w:type="dxa"/>
            <w:vAlign w:val="bottom"/>
          </w:tcPr>
          <w:p>
            <w:pPr>
              <w:jc w:val="right"/>
              <w:ind w:right="431"/>
              <w:spacing w:after="0"/>
              <w:rPr>
                <w:sz w:val="20"/>
                <w:szCs w:val="20"/>
                <w:color w:val="auto"/>
              </w:rPr>
            </w:pPr>
            <w:r>
              <w:rPr>
                <w:rFonts w:ascii="Arial" w:cs="Arial" w:eastAsia="Arial" w:hAnsi="Arial"/>
                <w:sz w:val="32"/>
                <w:szCs w:val="32"/>
                <w:b w:val="1"/>
                <w:bCs w:val="1"/>
                <w:color w:val="5F81AA"/>
              </w:rPr>
              <w:t>2008</w:t>
            </w:r>
          </w:p>
        </w:tc>
        <w:tc>
          <w:tcPr>
            <w:tcW w:w="1360" w:type="dxa"/>
            <w:vAlign w:val="bottom"/>
          </w:tcPr>
          <w:p>
            <w:pPr>
              <w:jc w:val="right"/>
              <w:spacing w:after="0"/>
              <w:rPr>
                <w:sz w:val="20"/>
                <w:szCs w:val="20"/>
                <w:color w:val="auto"/>
              </w:rPr>
            </w:pPr>
            <w:r>
              <w:rPr>
                <w:rFonts w:ascii="Arial" w:cs="Arial" w:eastAsia="Arial" w:hAnsi="Arial"/>
                <w:sz w:val="32"/>
                <w:szCs w:val="32"/>
                <w:b w:val="1"/>
                <w:bCs w:val="1"/>
                <w:color w:val="5F81AA"/>
              </w:rPr>
              <w:t>2007</w:t>
            </w:r>
          </w:p>
        </w:tc>
        <w:tc>
          <w:tcPr>
            <w:tcW w:w="0" w:type="dxa"/>
            <w:vAlign w:val="bottom"/>
          </w:tcPr>
          <w:p>
            <w:pPr>
              <w:spacing w:after="0"/>
              <w:rPr>
                <w:sz w:val="1"/>
                <w:szCs w:val="1"/>
                <w:color w:val="auto"/>
              </w:rPr>
            </w:pPr>
          </w:p>
        </w:tc>
      </w:tr>
      <w:tr>
        <w:trPr>
          <w:trHeight w:val="594"/>
        </w:trPr>
        <w:tc>
          <w:tcPr>
            <w:tcW w:w="5160" w:type="dxa"/>
            <w:vAlign w:val="bottom"/>
          </w:tcPr>
          <w:p>
            <w:pPr>
              <w:ind w:left="20"/>
              <w:spacing w:after="0"/>
              <w:rPr>
                <w:sz w:val="20"/>
                <w:szCs w:val="20"/>
                <w:color w:val="auto"/>
              </w:rPr>
            </w:pPr>
            <w:r>
              <w:rPr>
                <w:rFonts w:ascii="Arial" w:cs="Arial" w:eastAsia="Arial" w:hAnsi="Arial"/>
                <w:sz w:val="32"/>
                <w:szCs w:val="32"/>
                <w:b w:val="1"/>
                <w:bCs w:val="1"/>
                <w:color w:val="auto"/>
              </w:rPr>
              <w:t>Cash from Operations</w:t>
            </w:r>
          </w:p>
        </w:tc>
        <w:tc>
          <w:tcPr>
            <w:tcW w:w="2220" w:type="dxa"/>
            <w:vAlign w:val="bottom"/>
          </w:tcPr>
          <w:p>
            <w:pPr>
              <w:jc w:val="right"/>
              <w:ind w:right="451"/>
              <w:spacing w:after="0"/>
              <w:rPr>
                <w:sz w:val="20"/>
                <w:szCs w:val="20"/>
                <w:color w:val="auto"/>
              </w:rPr>
            </w:pPr>
            <w:r>
              <w:rPr>
                <w:rFonts w:ascii="Arial" w:cs="Arial" w:eastAsia="Arial" w:hAnsi="Arial"/>
                <w:sz w:val="34"/>
                <w:szCs w:val="34"/>
                <w:b w:val="1"/>
                <w:bCs w:val="1"/>
                <w:color w:val="auto"/>
              </w:rPr>
              <w:t>449</w:t>
            </w:r>
          </w:p>
        </w:tc>
        <w:tc>
          <w:tcPr>
            <w:tcW w:w="1360" w:type="dxa"/>
            <w:vAlign w:val="bottom"/>
          </w:tcPr>
          <w:p>
            <w:pPr>
              <w:jc w:val="right"/>
              <w:spacing w:after="0"/>
              <w:rPr>
                <w:sz w:val="20"/>
                <w:szCs w:val="20"/>
                <w:color w:val="auto"/>
              </w:rPr>
            </w:pPr>
            <w:r>
              <w:rPr>
                <w:rFonts w:ascii="Arial" w:cs="Arial" w:eastAsia="Arial" w:hAnsi="Arial"/>
                <w:sz w:val="34"/>
                <w:szCs w:val="34"/>
                <w:b w:val="1"/>
                <w:bCs w:val="1"/>
                <w:color w:val="auto"/>
              </w:rPr>
              <w:t>299</w:t>
            </w:r>
          </w:p>
        </w:tc>
        <w:tc>
          <w:tcPr>
            <w:tcW w:w="0" w:type="dxa"/>
            <w:vAlign w:val="bottom"/>
          </w:tcPr>
          <w:p>
            <w:pPr>
              <w:spacing w:after="0"/>
              <w:rPr>
                <w:sz w:val="1"/>
                <w:szCs w:val="1"/>
                <w:color w:val="auto"/>
              </w:rPr>
            </w:pPr>
          </w:p>
        </w:tc>
      </w:tr>
      <w:tr>
        <w:trPr>
          <w:trHeight w:val="453"/>
        </w:trPr>
        <w:tc>
          <w:tcPr>
            <w:tcW w:w="5160" w:type="dxa"/>
            <w:vAlign w:val="bottom"/>
          </w:tcPr>
          <w:p>
            <w:pPr>
              <w:ind w:left="40"/>
              <w:spacing w:after="0"/>
              <w:rPr>
                <w:sz w:val="20"/>
                <w:szCs w:val="20"/>
                <w:color w:val="auto"/>
              </w:rPr>
            </w:pPr>
            <w:r>
              <w:rPr>
                <w:rFonts w:ascii="Arial" w:cs="Arial" w:eastAsia="Arial" w:hAnsi="Arial"/>
                <w:sz w:val="32"/>
                <w:szCs w:val="32"/>
                <w:b w:val="1"/>
                <w:bCs w:val="1"/>
                <w:color w:val="auto"/>
              </w:rPr>
              <w:t>Capital Expenditures</w:t>
            </w:r>
          </w:p>
        </w:tc>
        <w:tc>
          <w:tcPr>
            <w:tcW w:w="2220" w:type="dxa"/>
            <w:vAlign w:val="bottom"/>
          </w:tcPr>
          <w:p>
            <w:pPr>
              <w:jc w:val="right"/>
              <w:ind w:right="391"/>
              <w:spacing w:after="0"/>
              <w:rPr>
                <w:sz w:val="20"/>
                <w:szCs w:val="20"/>
                <w:color w:val="auto"/>
              </w:rPr>
            </w:pPr>
            <w:r>
              <w:rPr>
                <w:rFonts w:ascii="Arial" w:cs="Arial" w:eastAsia="Arial" w:hAnsi="Arial"/>
                <w:sz w:val="34"/>
                <w:szCs w:val="34"/>
                <w:b w:val="1"/>
                <w:bCs w:val="1"/>
                <w:color w:val="auto"/>
              </w:rPr>
              <w:t>(70)</w:t>
            </w:r>
          </w:p>
        </w:tc>
        <w:tc>
          <w:tcPr>
            <w:tcW w:w="1360" w:type="dxa"/>
            <w:vAlign w:val="bottom"/>
          </w:tcPr>
          <w:p>
            <w:pPr>
              <w:jc w:val="right"/>
              <w:spacing w:after="0"/>
              <w:rPr>
                <w:sz w:val="20"/>
                <w:szCs w:val="20"/>
                <w:color w:val="auto"/>
              </w:rPr>
            </w:pPr>
            <w:r>
              <w:rPr>
                <w:rFonts w:ascii="Arial" w:cs="Arial" w:eastAsia="Arial" w:hAnsi="Arial"/>
                <w:sz w:val="34"/>
                <w:szCs w:val="34"/>
                <w:b w:val="1"/>
                <w:bCs w:val="1"/>
                <w:color w:val="auto"/>
              </w:rPr>
              <w:t>(66)</w:t>
            </w:r>
          </w:p>
        </w:tc>
        <w:tc>
          <w:tcPr>
            <w:tcW w:w="0" w:type="dxa"/>
            <w:vAlign w:val="bottom"/>
          </w:tcPr>
          <w:p>
            <w:pPr>
              <w:spacing w:after="0"/>
              <w:rPr>
                <w:sz w:val="1"/>
                <w:szCs w:val="1"/>
                <w:color w:val="auto"/>
              </w:rPr>
            </w:pPr>
          </w:p>
        </w:tc>
      </w:tr>
      <w:tr>
        <w:trPr>
          <w:trHeight w:val="453"/>
        </w:trPr>
        <w:tc>
          <w:tcPr>
            <w:tcW w:w="5160" w:type="dxa"/>
            <w:vAlign w:val="bottom"/>
          </w:tcPr>
          <w:p>
            <w:pPr>
              <w:ind w:left="460"/>
              <w:spacing w:after="0"/>
              <w:rPr>
                <w:sz w:val="20"/>
                <w:szCs w:val="20"/>
                <w:color w:val="auto"/>
              </w:rPr>
            </w:pPr>
            <w:r>
              <w:rPr>
                <w:rFonts w:ascii="Arial" w:cs="Arial" w:eastAsia="Arial" w:hAnsi="Arial"/>
                <w:sz w:val="32"/>
                <w:szCs w:val="32"/>
                <w:b w:val="1"/>
                <w:bCs w:val="1"/>
                <w:color w:val="auto"/>
              </w:rPr>
              <w:t>Free Cash Flow</w:t>
            </w:r>
          </w:p>
        </w:tc>
        <w:tc>
          <w:tcPr>
            <w:tcW w:w="2220" w:type="dxa"/>
            <w:vAlign w:val="bottom"/>
          </w:tcPr>
          <w:p>
            <w:pPr>
              <w:jc w:val="right"/>
              <w:ind w:right="491"/>
              <w:spacing w:after="0"/>
              <w:rPr>
                <w:sz w:val="20"/>
                <w:szCs w:val="20"/>
                <w:color w:val="auto"/>
              </w:rPr>
            </w:pPr>
            <w:r>
              <w:rPr>
                <w:rFonts w:ascii="Arial" w:cs="Arial" w:eastAsia="Arial" w:hAnsi="Arial"/>
                <w:sz w:val="34"/>
                <w:szCs w:val="34"/>
                <w:b w:val="1"/>
                <w:bCs w:val="1"/>
                <w:color w:val="auto"/>
              </w:rPr>
              <w:t>379</w:t>
            </w:r>
          </w:p>
        </w:tc>
        <w:tc>
          <w:tcPr>
            <w:tcW w:w="1360" w:type="dxa"/>
            <w:vAlign w:val="bottom"/>
          </w:tcPr>
          <w:p>
            <w:pPr>
              <w:jc w:val="right"/>
              <w:spacing w:after="0"/>
              <w:rPr>
                <w:sz w:val="20"/>
                <w:szCs w:val="20"/>
                <w:color w:val="auto"/>
              </w:rPr>
            </w:pPr>
            <w:r>
              <w:rPr>
                <w:rFonts w:ascii="Arial" w:cs="Arial" w:eastAsia="Arial" w:hAnsi="Arial"/>
                <w:sz w:val="34"/>
                <w:szCs w:val="34"/>
                <w:b w:val="1"/>
                <w:bCs w:val="1"/>
                <w:color w:val="auto"/>
              </w:rPr>
              <w:t>233</w:t>
            </w:r>
          </w:p>
        </w:tc>
        <w:tc>
          <w:tcPr>
            <w:tcW w:w="0" w:type="dxa"/>
            <w:vAlign w:val="bottom"/>
          </w:tcPr>
          <w:p>
            <w:pPr>
              <w:spacing w:after="0"/>
              <w:rPr>
                <w:sz w:val="1"/>
                <w:szCs w:val="1"/>
                <w:color w:val="auto"/>
              </w:rPr>
            </w:pPr>
          </w:p>
        </w:tc>
      </w:tr>
      <w:tr>
        <w:trPr>
          <w:trHeight w:val="553"/>
        </w:trPr>
        <w:tc>
          <w:tcPr>
            <w:tcW w:w="5160" w:type="dxa"/>
            <w:vAlign w:val="bottom"/>
          </w:tcPr>
          <w:p>
            <w:pPr>
              <w:ind w:left="40"/>
              <w:spacing w:after="0"/>
              <w:rPr>
                <w:sz w:val="20"/>
                <w:szCs w:val="20"/>
                <w:color w:val="auto"/>
              </w:rPr>
            </w:pPr>
            <w:r>
              <w:rPr>
                <w:rFonts w:ascii="Arial" w:cs="Arial" w:eastAsia="Arial" w:hAnsi="Arial"/>
                <w:sz w:val="32"/>
                <w:szCs w:val="32"/>
                <w:b w:val="1"/>
                <w:bCs w:val="1"/>
                <w:color w:val="auto"/>
              </w:rPr>
              <w:t>Share Repurchases *</w:t>
            </w:r>
          </w:p>
        </w:tc>
        <w:tc>
          <w:tcPr>
            <w:tcW w:w="2220" w:type="dxa"/>
            <w:vAlign w:val="bottom"/>
          </w:tcPr>
          <w:p>
            <w:pPr>
              <w:jc w:val="right"/>
              <w:ind w:right="351"/>
              <w:spacing w:after="0"/>
              <w:rPr>
                <w:sz w:val="20"/>
                <w:szCs w:val="20"/>
                <w:color w:val="auto"/>
              </w:rPr>
            </w:pPr>
            <w:r>
              <w:rPr>
                <w:rFonts w:ascii="Arial" w:cs="Arial" w:eastAsia="Arial" w:hAnsi="Arial"/>
                <w:sz w:val="34"/>
                <w:szCs w:val="34"/>
                <w:b w:val="1"/>
                <w:bCs w:val="1"/>
                <w:color w:val="auto"/>
              </w:rPr>
              <w:t>(125)</w:t>
            </w:r>
          </w:p>
        </w:tc>
        <w:tc>
          <w:tcPr>
            <w:tcW w:w="1360" w:type="dxa"/>
            <w:vAlign w:val="bottom"/>
          </w:tcPr>
          <w:p>
            <w:pPr>
              <w:jc w:val="right"/>
              <w:spacing w:after="0"/>
              <w:rPr>
                <w:sz w:val="20"/>
                <w:szCs w:val="20"/>
                <w:color w:val="auto"/>
              </w:rPr>
            </w:pPr>
            <w:r>
              <w:rPr>
                <w:rFonts w:ascii="Arial" w:cs="Arial" w:eastAsia="Arial" w:hAnsi="Arial"/>
                <w:sz w:val="34"/>
                <w:szCs w:val="34"/>
                <w:b w:val="1"/>
                <w:bCs w:val="1"/>
                <w:color w:val="auto"/>
              </w:rPr>
              <w:t>(360)</w:t>
            </w:r>
          </w:p>
        </w:tc>
        <w:tc>
          <w:tcPr>
            <w:tcW w:w="0" w:type="dxa"/>
            <w:vAlign w:val="bottom"/>
          </w:tcPr>
          <w:p>
            <w:pPr>
              <w:spacing w:after="0"/>
              <w:rPr>
                <w:sz w:val="1"/>
                <w:szCs w:val="1"/>
                <w:color w:val="auto"/>
              </w:rPr>
            </w:pPr>
          </w:p>
        </w:tc>
      </w:tr>
      <w:tr>
        <w:trPr>
          <w:trHeight w:val="476"/>
        </w:trPr>
        <w:tc>
          <w:tcPr>
            <w:tcW w:w="5160" w:type="dxa"/>
            <w:vAlign w:val="bottom"/>
          </w:tcPr>
          <w:p>
            <w:pPr>
              <w:ind w:left="40"/>
              <w:spacing w:after="0"/>
              <w:rPr>
                <w:sz w:val="20"/>
                <w:szCs w:val="20"/>
                <w:color w:val="auto"/>
              </w:rPr>
            </w:pPr>
            <w:r>
              <w:rPr>
                <w:rFonts w:ascii="Arial" w:cs="Arial" w:eastAsia="Arial" w:hAnsi="Arial"/>
                <w:sz w:val="32"/>
                <w:szCs w:val="32"/>
                <w:b w:val="1"/>
                <w:bCs w:val="1"/>
                <w:color w:val="auto"/>
              </w:rPr>
              <w:t>Proceeds from Equity Plans</w:t>
            </w:r>
          </w:p>
        </w:tc>
        <w:tc>
          <w:tcPr>
            <w:tcW w:w="2220" w:type="dxa"/>
            <w:vAlign w:val="bottom"/>
          </w:tcPr>
          <w:p>
            <w:pPr>
              <w:jc w:val="right"/>
              <w:ind w:right="491"/>
              <w:spacing w:after="0"/>
              <w:rPr>
                <w:sz w:val="20"/>
                <w:szCs w:val="20"/>
                <w:color w:val="auto"/>
              </w:rPr>
            </w:pPr>
            <w:r>
              <w:rPr>
                <w:rFonts w:ascii="Arial" w:cs="Arial" w:eastAsia="Arial" w:hAnsi="Arial"/>
                <w:sz w:val="34"/>
                <w:szCs w:val="34"/>
                <w:b w:val="1"/>
                <w:bCs w:val="1"/>
                <w:color w:val="auto"/>
              </w:rPr>
              <w:t>13</w:t>
            </w:r>
          </w:p>
        </w:tc>
        <w:tc>
          <w:tcPr>
            <w:tcW w:w="1360" w:type="dxa"/>
            <w:vAlign w:val="bottom"/>
          </w:tcPr>
          <w:p>
            <w:pPr>
              <w:jc w:val="right"/>
              <w:spacing w:after="0"/>
              <w:rPr>
                <w:sz w:val="20"/>
                <w:szCs w:val="20"/>
                <w:color w:val="auto"/>
              </w:rPr>
            </w:pPr>
            <w:r>
              <w:rPr>
                <w:rFonts w:ascii="Arial" w:cs="Arial" w:eastAsia="Arial" w:hAnsi="Arial"/>
                <w:sz w:val="34"/>
                <w:szCs w:val="34"/>
                <w:b w:val="1"/>
                <w:bCs w:val="1"/>
                <w:color w:val="auto"/>
              </w:rPr>
              <w:t>40</w:t>
            </w:r>
          </w:p>
        </w:tc>
        <w:tc>
          <w:tcPr>
            <w:tcW w:w="0" w:type="dxa"/>
            <w:vAlign w:val="bottom"/>
          </w:tcPr>
          <w:p>
            <w:pPr>
              <w:spacing w:after="0"/>
              <w:rPr>
                <w:sz w:val="1"/>
                <w:szCs w:val="1"/>
                <w:color w:val="auto"/>
              </w:rPr>
            </w:pPr>
          </w:p>
        </w:tc>
      </w:tr>
      <w:tr>
        <w:trPr>
          <w:trHeight w:val="482"/>
        </w:trPr>
        <w:tc>
          <w:tcPr>
            <w:tcW w:w="5160" w:type="dxa"/>
            <w:vAlign w:val="bottom"/>
          </w:tcPr>
          <w:p>
            <w:pPr>
              <w:ind w:left="20"/>
              <w:spacing w:after="0"/>
              <w:rPr>
                <w:sz w:val="20"/>
                <w:szCs w:val="20"/>
                <w:color w:val="auto"/>
              </w:rPr>
            </w:pPr>
            <w:r>
              <w:rPr>
                <w:rFonts w:ascii="Arial" w:cs="Arial" w:eastAsia="Arial" w:hAnsi="Arial"/>
                <w:sz w:val="32"/>
                <w:szCs w:val="32"/>
                <w:b w:val="1"/>
                <w:bCs w:val="1"/>
                <w:color w:val="auto"/>
              </w:rPr>
              <w:t>Change in Debt</w:t>
            </w:r>
          </w:p>
        </w:tc>
        <w:tc>
          <w:tcPr>
            <w:tcW w:w="2220" w:type="dxa"/>
            <w:vAlign w:val="bottom"/>
          </w:tcPr>
          <w:p>
            <w:pPr>
              <w:jc w:val="right"/>
              <w:ind w:right="491"/>
              <w:spacing w:after="0"/>
              <w:rPr>
                <w:sz w:val="20"/>
                <w:szCs w:val="20"/>
                <w:color w:val="auto"/>
              </w:rPr>
            </w:pPr>
            <w:r>
              <w:rPr>
                <w:rFonts w:ascii="Arial" w:cs="Arial" w:eastAsia="Arial" w:hAnsi="Arial"/>
                <w:sz w:val="34"/>
                <w:szCs w:val="34"/>
                <w:b w:val="1"/>
                <w:bCs w:val="1"/>
                <w:color w:val="auto"/>
              </w:rPr>
              <w:t>87</w:t>
            </w:r>
          </w:p>
        </w:tc>
        <w:tc>
          <w:tcPr>
            <w:tcW w:w="1360" w:type="dxa"/>
            <w:vAlign w:val="bottom"/>
          </w:tcPr>
          <w:p>
            <w:pPr>
              <w:jc w:val="right"/>
              <w:spacing w:after="0"/>
              <w:rPr>
                <w:sz w:val="20"/>
                <w:szCs w:val="20"/>
                <w:color w:val="auto"/>
              </w:rPr>
            </w:pPr>
            <w:r>
              <w:rPr>
                <w:rFonts w:ascii="Arial" w:cs="Arial" w:eastAsia="Arial" w:hAnsi="Arial"/>
                <w:sz w:val="34"/>
                <w:szCs w:val="34"/>
                <w:b w:val="1"/>
                <w:bCs w:val="1"/>
                <w:color w:val="auto"/>
              </w:rPr>
              <w:t>16</w:t>
            </w:r>
          </w:p>
        </w:tc>
        <w:tc>
          <w:tcPr>
            <w:tcW w:w="0" w:type="dxa"/>
            <w:vAlign w:val="bottom"/>
          </w:tcPr>
          <w:p>
            <w:pPr>
              <w:spacing w:after="0"/>
              <w:rPr>
                <w:sz w:val="1"/>
                <w:szCs w:val="1"/>
                <w:color w:val="auto"/>
              </w:rPr>
            </w:pPr>
          </w:p>
        </w:tc>
      </w:tr>
      <w:tr>
        <w:trPr>
          <w:trHeight w:val="376"/>
        </w:trPr>
        <w:tc>
          <w:tcPr>
            <w:tcW w:w="5160" w:type="dxa"/>
            <w:vAlign w:val="bottom"/>
          </w:tcPr>
          <w:p>
            <w:pPr>
              <w:ind w:left="20"/>
              <w:spacing w:after="0"/>
              <w:rPr>
                <w:sz w:val="20"/>
                <w:szCs w:val="20"/>
                <w:color w:val="auto"/>
              </w:rPr>
            </w:pPr>
            <w:r>
              <w:rPr>
                <w:rFonts w:ascii="Arial" w:cs="Arial" w:eastAsia="Arial" w:hAnsi="Arial"/>
                <w:sz w:val="32"/>
                <w:szCs w:val="32"/>
                <w:b w:val="1"/>
                <w:bCs w:val="1"/>
                <w:color w:val="auto"/>
              </w:rPr>
              <w:t>Acquisitions of Businesses,</w:t>
            </w:r>
          </w:p>
        </w:tc>
        <w:tc>
          <w:tcPr>
            <w:tcW w:w="2220" w:type="dxa"/>
            <w:vAlign w:val="bottom"/>
            <w:vMerge w:val="restart"/>
          </w:tcPr>
          <w:p>
            <w:pPr>
              <w:jc w:val="right"/>
              <w:ind w:right="351"/>
              <w:spacing w:after="0"/>
              <w:rPr>
                <w:sz w:val="20"/>
                <w:szCs w:val="20"/>
                <w:color w:val="auto"/>
              </w:rPr>
            </w:pPr>
            <w:r>
              <w:rPr>
                <w:rFonts w:ascii="Arial" w:cs="Arial" w:eastAsia="Arial" w:hAnsi="Arial"/>
                <w:sz w:val="34"/>
                <w:szCs w:val="34"/>
                <w:b w:val="1"/>
                <w:bCs w:val="1"/>
                <w:color w:val="auto"/>
              </w:rPr>
              <w:t>(224)</w:t>
            </w:r>
          </w:p>
        </w:tc>
        <w:tc>
          <w:tcPr>
            <w:tcW w:w="1360" w:type="dxa"/>
            <w:vAlign w:val="bottom"/>
            <w:vMerge w:val="restart"/>
          </w:tcPr>
          <w:p>
            <w:pPr>
              <w:jc w:val="right"/>
              <w:spacing w:after="0"/>
              <w:rPr>
                <w:sz w:val="20"/>
                <w:szCs w:val="20"/>
                <w:color w:val="auto"/>
              </w:rPr>
            </w:pPr>
            <w:r>
              <w:rPr>
                <w:rFonts w:ascii="Arial" w:cs="Arial" w:eastAsia="Arial" w:hAnsi="Arial"/>
                <w:sz w:val="34"/>
                <w:szCs w:val="34"/>
                <w:b w:val="1"/>
                <w:bCs w:val="1"/>
                <w:color w:val="auto"/>
              </w:rPr>
              <w:t>(100)</w:t>
            </w:r>
          </w:p>
        </w:tc>
        <w:tc>
          <w:tcPr>
            <w:tcW w:w="0" w:type="dxa"/>
            <w:vAlign w:val="bottom"/>
          </w:tcPr>
          <w:p>
            <w:pPr>
              <w:spacing w:after="0"/>
              <w:rPr>
                <w:sz w:val="1"/>
                <w:szCs w:val="1"/>
                <w:color w:val="auto"/>
              </w:rPr>
            </w:pPr>
          </w:p>
        </w:tc>
      </w:tr>
      <w:tr>
        <w:trPr>
          <w:trHeight w:val="421"/>
        </w:trPr>
        <w:tc>
          <w:tcPr>
            <w:tcW w:w="5160" w:type="dxa"/>
            <w:vAlign w:val="bottom"/>
          </w:tcPr>
          <w:p>
            <w:pPr>
              <w:ind w:left="200"/>
              <w:spacing w:after="0"/>
              <w:rPr>
                <w:sz w:val="20"/>
                <w:szCs w:val="20"/>
                <w:color w:val="auto"/>
              </w:rPr>
            </w:pPr>
            <w:r>
              <w:rPr>
                <w:rFonts w:ascii="Arial" w:cs="Arial" w:eastAsia="Arial" w:hAnsi="Arial"/>
                <w:sz w:val="32"/>
                <w:szCs w:val="32"/>
                <w:b w:val="1"/>
                <w:bCs w:val="1"/>
                <w:color w:val="auto"/>
              </w:rPr>
              <w:t>net of cash acquired</w:t>
            </w:r>
          </w:p>
        </w:tc>
        <w:tc>
          <w:tcPr>
            <w:tcW w:w="222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5160" w:type="dxa"/>
            <w:vAlign w:val="bottom"/>
          </w:tcPr>
          <w:p>
            <w:pPr>
              <w:spacing w:after="0"/>
              <w:rPr>
                <w:sz w:val="20"/>
                <w:szCs w:val="20"/>
                <w:color w:val="auto"/>
              </w:rPr>
            </w:pPr>
            <w:r>
              <w:rPr>
                <w:rFonts w:ascii="Arial" w:cs="Arial" w:eastAsia="Arial" w:hAnsi="Arial"/>
                <w:sz w:val="32"/>
                <w:szCs w:val="32"/>
                <w:b w:val="1"/>
                <w:bCs w:val="1"/>
                <w:color w:val="auto"/>
              </w:rPr>
              <w:t>Other</w:t>
            </w:r>
          </w:p>
        </w:tc>
        <w:tc>
          <w:tcPr>
            <w:tcW w:w="2220" w:type="dxa"/>
            <w:vAlign w:val="bottom"/>
          </w:tcPr>
          <w:p>
            <w:pPr>
              <w:jc w:val="right"/>
              <w:ind w:right="351"/>
              <w:spacing w:after="0"/>
              <w:rPr>
                <w:sz w:val="20"/>
                <w:szCs w:val="20"/>
                <w:color w:val="auto"/>
              </w:rPr>
            </w:pPr>
            <w:r>
              <w:rPr>
                <w:rFonts w:ascii="Arial" w:cs="Arial" w:eastAsia="Arial" w:hAnsi="Arial"/>
                <w:sz w:val="34"/>
                <w:szCs w:val="34"/>
                <w:b w:val="1"/>
                <w:bCs w:val="1"/>
                <w:color w:val="auto"/>
              </w:rPr>
              <w:t>(36)</w:t>
            </w:r>
          </w:p>
        </w:tc>
        <w:tc>
          <w:tcPr>
            <w:tcW w:w="1360" w:type="dxa"/>
            <w:vAlign w:val="bottom"/>
          </w:tcPr>
          <w:p>
            <w:pPr>
              <w:jc w:val="right"/>
              <w:spacing w:after="0"/>
              <w:rPr>
                <w:sz w:val="20"/>
                <w:szCs w:val="20"/>
                <w:color w:val="auto"/>
              </w:rPr>
            </w:pPr>
            <w:r>
              <w:rPr>
                <w:rFonts w:ascii="Arial" w:cs="Arial" w:eastAsia="Arial" w:hAnsi="Arial"/>
                <w:sz w:val="34"/>
                <w:szCs w:val="34"/>
                <w:b w:val="1"/>
                <w:bCs w:val="1"/>
                <w:color w:val="auto"/>
              </w:rPr>
              <w:t>22</w:t>
            </w:r>
          </w:p>
        </w:tc>
        <w:tc>
          <w:tcPr>
            <w:tcW w:w="0" w:type="dxa"/>
            <w:vAlign w:val="bottom"/>
          </w:tcPr>
          <w:p>
            <w:pPr>
              <w:spacing w:after="0"/>
              <w:rPr>
                <w:sz w:val="1"/>
                <w:szCs w:val="1"/>
                <w:color w:val="auto"/>
              </w:rPr>
            </w:pPr>
          </w:p>
        </w:tc>
      </w:tr>
      <w:tr>
        <w:trPr>
          <w:trHeight w:val="533"/>
        </w:trPr>
        <w:tc>
          <w:tcPr>
            <w:tcW w:w="5160" w:type="dxa"/>
            <w:vAlign w:val="bottom"/>
          </w:tcPr>
          <w:p>
            <w:pPr>
              <w:ind w:left="500"/>
              <w:spacing w:after="0"/>
              <w:rPr>
                <w:sz w:val="20"/>
                <w:szCs w:val="20"/>
                <w:color w:val="auto"/>
              </w:rPr>
            </w:pPr>
            <w:r>
              <w:rPr>
                <w:rFonts w:ascii="Arial" w:cs="Arial" w:eastAsia="Arial" w:hAnsi="Arial"/>
                <w:sz w:val="32"/>
                <w:szCs w:val="32"/>
                <w:b w:val="1"/>
                <w:bCs w:val="1"/>
                <w:color w:val="auto"/>
              </w:rPr>
              <w:t>Change in Cash</w:t>
            </w:r>
          </w:p>
        </w:tc>
        <w:tc>
          <w:tcPr>
            <w:tcW w:w="2220" w:type="dxa"/>
            <w:vAlign w:val="bottom"/>
          </w:tcPr>
          <w:p>
            <w:pPr>
              <w:jc w:val="right"/>
              <w:ind w:right="471"/>
              <w:spacing w:after="0"/>
              <w:rPr>
                <w:sz w:val="20"/>
                <w:szCs w:val="20"/>
                <w:color w:val="auto"/>
              </w:rPr>
            </w:pPr>
            <w:r>
              <w:rPr>
                <w:rFonts w:ascii="Arial" w:cs="Arial" w:eastAsia="Arial" w:hAnsi="Arial"/>
                <w:sz w:val="34"/>
                <w:szCs w:val="34"/>
                <w:b w:val="1"/>
                <w:bCs w:val="1"/>
                <w:color w:val="auto"/>
              </w:rPr>
              <w:t>94</w:t>
            </w:r>
          </w:p>
        </w:tc>
        <w:tc>
          <w:tcPr>
            <w:tcW w:w="1360" w:type="dxa"/>
            <w:vAlign w:val="bottom"/>
          </w:tcPr>
          <w:p>
            <w:pPr>
              <w:jc w:val="right"/>
              <w:spacing w:after="0"/>
              <w:rPr>
                <w:sz w:val="20"/>
                <w:szCs w:val="20"/>
                <w:color w:val="auto"/>
              </w:rPr>
            </w:pPr>
            <w:r>
              <w:rPr>
                <w:rFonts w:ascii="Arial" w:cs="Arial" w:eastAsia="Arial" w:hAnsi="Arial"/>
                <w:sz w:val="34"/>
                <w:szCs w:val="34"/>
                <w:b w:val="1"/>
                <w:bCs w:val="1"/>
                <w:color w:val="auto"/>
              </w:rPr>
              <w:t>(149)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0" w:right="1660" w:hanging="214"/>
        <w:spacing w:after="0" w:line="256" w:lineRule="auto"/>
        <w:tabs>
          <w:tab w:leader="none" w:pos="213" w:val="left"/>
        </w:tabs>
        <w:numPr>
          <w:ilvl w:val="0"/>
          <w:numId w:val="15"/>
        </w:numPr>
        <w:rPr>
          <w:rFonts w:ascii="Arial" w:cs="Arial" w:eastAsia="Arial" w:hAnsi="Arial"/>
          <w:sz w:val="27"/>
          <w:szCs w:val="27"/>
          <w:color w:val="auto"/>
        </w:rPr>
      </w:pPr>
      <w:r>
        <w:rPr>
          <w:rFonts w:ascii="Arial" w:cs="Arial" w:eastAsia="Arial" w:hAnsi="Arial"/>
          <w:sz w:val="27"/>
          <w:szCs w:val="27"/>
          <w:color w:val="auto"/>
        </w:rPr>
        <w:t>2,231,610 shares in 2008 and 4,944,200 shares in 2007. $11.5M of cash paid in 2008 was for shares repurchased in 2007.</w:t>
      </w:r>
    </w:p>
    <w:p>
      <w:pPr>
        <w:sectPr>
          <w:pgSz w:w="11900" w:h="16838" w:orient="portrait"/>
          <w:cols w:equalWidth="0" w:num="1">
            <w:col w:w="9940"/>
          </w:cols>
          <w:pgMar w:left="1140" w:top="517" w:right="819" w:bottom="1440" w:gutter="0" w:footer="0" w:header="0"/>
        </w:sectPr>
      </w:pPr>
    </w:p>
    <w:bookmarkStart w:id="29" w:name="page30"/>
    <w:bookmarkEnd w:id="29"/>
    <w:tbl>
      <w:tblPr>
        <w:tblLayout w:type="fixed"/>
        <w:tblInd w:w="240" w:type="dxa"/>
        <w:tblCellMar>
          <w:top w:w="0" w:type="dxa"/>
          <w:left w:w="0" w:type="dxa"/>
          <w:bottom w:w="0" w:type="dxa"/>
          <w:right w:w="0" w:type="dxa"/>
        </w:tblCellMar>
      </w:tblPr>
      <w:tr>
        <w:trPr>
          <w:trHeight w:val="361"/>
        </w:trPr>
        <w:tc>
          <w:tcPr>
            <w:tcW w:w="6780" w:type="dxa"/>
            <w:vAlign w:val="bottom"/>
          </w:tcPr>
          <w:p>
            <w:pPr>
              <w:spacing w:after="0"/>
              <w:rPr>
                <w:sz w:val="20"/>
                <w:szCs w:val="20"/>
                <w:color w:val="auto"/>
              </w:rPr>
            </w:pPr>
            <w:r>
              <w:rPr>
                <w:rFonts w:ascii="Arial" w:cs="Arial" w:eastAsia="Arial" w:hAnsi="Arial"/>
                <w:sz w:val="22"/>
                <w:szCs w:val="22"/>
                <w:color w:val="FFFFFF"/>
              </w:rPr>
              <w:t>Manpower Inc. 2008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7"/>
          <w:szCs w:val="47"/>
          <w:color w:val="6698C2"/>
        </w:rPr>
        <w:t>Fourth Quarter Outlook</w:t>
      </w:r>
    </w:p>
    <w:p>
      <w:pPr>
        <w:sectPr>
          <w:pgSz w:w="11900" w:h="16838" w:orient="portrait"/>
          <w:cols w:equalWidth="0" w:num="1">
            <w:col w:w="10100"/>
          </w:cols>
          <w:pgMar w:left="980" w:top="517" w:right="8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3280" w:val="left"/>
        </w:tabs>
        <w:rPr>
          <w:sz w:val="20"/>
          <w:szCs w:val="20"/>
          <w:color w:val="auto"/>
        </w:rPr>
      </w:pPr>
      <w:r>
        <w:rPr>
          <w:rFonts w:ascii="Arial" w:cs="Arial" w:eastAsia="Arial" w:hAnsi="Arial"/>
          <w:sz w:val="34"/>
          <w:szCs w:val="34"/>
          <w:b w:val="1"/>
          <w:bCs w:val="1"/>
          <w:color w:val="6698C2"/>
        </w:rPr>
        <w:t>Revenue</w:t>
      </w:r>
      <w:r>
        <w:rPr>
          <w:sz w:val="20"/>
          <w:szCs w:val="20"/>
          <w:color w:val="auto"/>
        </w:rPr>
        <w:tab/>
      </w:r>
      <w:r>
        <w:rPr>
          <w:rFonts w:ascii="Arial" w:cs="Arial" w:eastAsia="Arial" w:hAnsi="Arial"/>
          <w:sz w:val="32"/>
          <w:szCs w:val="32"/>
          <w:b w:val="1"/>
          <w:bCs w:val="1"/>
          <w:color w:val="auto"/>
        </w:rPr>
        <w:t>U.S.</w:t>
      </w:r>
    </w:p>
    <w:p>
      <w:pPr>
        <w:spacing w:after="0" w:line="103" w:lineRule="exact"/>
        <w:rPr>
          <w:sz w:val="20"/>
          <w:szCs w:val="20"/>
          <w:color w:val="auto"/>
        </w:rPr>
      </w:pPr>
    </w:p>
    <w:p>
      <w:pPr>
        <w:jc w:val="right"/>
        <w:ind w:right="60"/>
        <w:spacing w:after="0"/>
        <w:rPr>
          <w:sz w:val="20"/>
          <w:szCs w:val="20"/>
          <w:color w:val="auto"/>
        </w:rPr>
      </w:pPr>
      <w:r>
        <w:rPr>
          <w:rFonts w:ascii="Arial" w:cs="Arial" w:eastAsia="Arial" w:hAnsi="Arial"/>
          <w:sz w:val="32"/>
          <w:szCs w:val="32"/>
          <w:b w:val="1"/>
          <w:bCs w:val="1"/>
          <w:color w:val="auto"/>
        </w:rPr>
        <w:t>France</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32"/>
          <w:szCs w:val="32"/>
          <w:b w:val="1"/>
          <w:bCs w:val="1"/>
          <w:color w:val="auto"/>
        </w:rPr>
        <w:t>Other EMEA</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32"/>
          <w:szCs w:val="32"/>
          <w:b w:val="1"/>
          <w:bCs w:val="1"/>
          <w:color w:val="auto"/>
        </w:rPr>
        <w:t>Italy</w:t>
      </w:r>
    </w:p>
    <w:p>
      <w:pPr>
        <w:spacing w:after="0" w:line="67" w:lineRule="exact"/>
        <w:rPr>
          <w:sz w:val="20"/>
          <w:szCs w:val="20"/>
          <w:color w:val="auto"/>
        </w:rPr>
      </w:pPr>
    </w:p>
    <w:p>
      <w:pPr>
        <w:jc w:val="right"/>
        <w:ind w:right="40"/>
        <w:spacing w:after="0"/>
        <w:rPr>
          <w:sz w:val="20"/>
          <w:szCs w:val="20"/>
          <w:color w:val="auto"/>
        </w:rPr>
      </w:pPr>
      <w:r>
        <w:rPr>
          <w:rFonts w:ascii="Arial" w:cs="Arial" w:eastAsia="Arial" w:hAnsi="Arial"/>
          <w:sz w:val="32"/>
          <w:szCs w:val="32"/>
          <w:b w:val="1"/>
          <w:bCs w:val="1"/>
          <w:color w:val="auto"/>
        </w:rPr>
        <w:t>Jefferson Wells</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Right Management</w:t>
      </w:r>
    </w:p>
    <w:p>
      <w:pPr>
        <w:spacing w:after="0" w:line="79" w:lineRule="exact"/>
        <w:rPr>
          <w:sz w:val="20"/>
          <w:szCs w:val="20"/>
          <w:color w:val="auto"/>
        </w:rPr>
      </w:pPr>
    </w:p>
    <w:p>
      <w:pPr>
        <w:ind w:left="3060"/>
        <w:spacing w:after="0"/>
        <w:rPr>
          <w:sz w:val="20"/>
          <w:szCs w:val="20"/>
          <w:color w:val="auto"/>
        </w:rPr>
      </w:pPr>
      <w:r>
        <w:rPr>
          <w:rFonts w:ascii="Arial" w:cs="Arial" w:eastAsia="Arial" w:hAnsi="Arial"/>
          <w:sz w:val="32"/>
          <w:szCs w:val="32"/>
          <w:b w:val="1"/>
          <w:bCs w:val="1"/>
          <w:color w:val="auto"/>
        </w:rPr>
        <w:t>Other</w:t>
      </w:r>
    </w:p>
    <w:p>
      <w:pPr>
        <w:spacing w:after="0" w:line="185" w:lineRule="exact"/>
        <w:rPr>
          <w:sz w:val="20"/>
          <w:szCs w:val="20"/>
          <w:color w:val="auto"/>
        </w:rPr>
      </w:pPr>
    </w:p>
    <w:p>
      <w:pPr>
        <w:ind w:left="3140"/>
        <w:spacing w:after="0"/>
        <w:rPr>
          <w:sz w:val="20"/>
          <w:szCs w:val="20"/>
          <w:color w:val="auto"/>
        </w:rPr>
      </w:pPr>
      <w:r>
        <w:rPr>
          <w:rFonts w:ascii="Arial" w:cs="Arial" w:eastAsia="Arial" w:hAnsi="Arial"/>
          <w:sz w:val="32"/>
          <w:szCs w:val="32"/>
          <w:b w:val="1"/>
          <w:bCs w:val="1"/>
          <w:color w:val="auto"/>
        </w:rPr>
        <w:t>Total</w:t>
      </w:r>
    </w:p>
    <w:p>
      <w:pPr>
        <w:spacing w:after="0" w:line="150" w:lineRule="exact"/>
        <w:rPr>
          <w:sz w:val="20"/>
          <w:szCs w:val="20"/>
          <w:color w:val="auto"/>
        </w:rPr>
      </w:pPr>
    </w:p>
    <w:p>
      <w:pPr>
        <w:ind w:left="40" w:right="140" w:hanging="11"/>
        <w:spacing w:after="0" w:line="357" w:lineRule="auto"/>
        <w:rPr>
          <w:sz w:val="20"/>
          <w:szCs w:val="20"/>
          <w:color w:val="auto"/>
        </w:rPr>
      </w:pPr>
      <w:r>
        <w:rPr>
          <w:rFonts w:ascii="Arial" w:cs="Arial" w:eastAsia="Arial" w:hAnsi="Arial"/>
          <w:sz w:val="34"/>
          <w:szCs w:val="34"/>
          <w:b w:val="1"/>
          <w:bCs w:val="1"/>
          <w:color w:val="6698C2"/>
        </w:rPr>
        <w:t>Gross Profit Margin Operating Profit Margin</w:t>
      </w:r>
    </w:p>
    <w:p>
      <w:pPr>
        <w:spacing w:after="0" w:line="1" w:lineRule="exact"/>
        <w:rPr>
          <w:sz w:val="20"/>
          <w:szCs w:val="20"/>
          <w:color w:val="auto"/>
        </w:rPr>
      </w:pPr>
    </w:p>
    <w:p>
      <w:pPr>
        <w:spacing w:after="0"/>
        <w:rPr>
          <w:sz w:val="20"/>
          <w:szCs w:val="20"/>
          <w:color w:val="auto"/>
        </w:rPr>
      </w:pPr>
      <w:r>
        <w:rPr>
          <w:rFonts w:ascii="Arial" w:cs="Arial" w:eastAsia="Arial" w:hAnsi="Arial"/>
          <w:sz w:val="34"/>
          <w:szCs w:val="34"/>
          <w:b w:val="1"/>
          <w:bCs w:val="1"/>
          <w:color w:val="6698C2"/>
        </w:rPr>
        <w:t>Tax Rate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34"/>
          <w:szCs w:val="34"/>
          <w:b w:val="1"/>
          <w:bCs w:val="1"/>
          <w:color w:val="6698C2"/>
        </w:rPr>
        <w:t>EPS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32"/>
          <w:szCs w:val="32"/>
          <w:color w:val="auto"/>
        </w:rPr>
        <w:t>Down 2-4%</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31"/>
          <w:szCs w:val="31"/>
          <w:color w:val="auto"/>
        </w:rPr>
        <w:t>Down 21-23%(Down 15-17% CC)</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32"/>
          <w:szCs w:val="32"/>
          <w:color w:val="auto"/>
        </w:rPr>
        <w:t>Down 6-8% (Up/Down 1% CC)</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32"/>
          <w:szCs w:val="32"/>
          <w:color w:val="auto"/>
        </w:rPr>
        <w:t>Down 11-13% (Down 4-6% CC)</w:t>
      </w:r>
    </w:p>
    <w:p>
      <w:pPr>
        <w:spacing w:after="0" w:line="102" w:lineRule="exact"/>
        <w:rPr>
          <w:sz w:val="20"/>
          <w:szCs w:val="20"/>
          <w:color w:val="auto"/>
        </w:rPr>
      </w:pPr>
    </w:p>
    <w:p>
      <w:pPr>
        <w:spacing w:after="0"/>
        <w:rPr>
          <w:sz w:val="20"/>
          <w:szCs w:val="20"/>
          <w:color w:val="auto"/>
        </w:rPr>
      </w:pPr>
      <w:r>
        <w:rPr>
          <w:rFonts w:ascii="Arial" w:cs="Arial" w:eastAsia="Arial" w:hAnsi="Arial"/>
          <w:sz w:val="32"/>
          <w:szCs w:val="32"/>
          <w:color w:val="auto"/>
        </w:rPr>
        <w:t>Down 16-18%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 4-6% (Up 7-9% CC)</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 5-7% (Up 0-2% CC)</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auto"/>
        </w:rPr>
        <w:t>Down 9-11% (Down 5-7% CC)</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32"/>
          <w:szCs w:val="32"/>
          <w:color w:val="auto"/>
        </w:rPr>
        <w:t>18.6-18.8%</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32"/>
          <w:szCs w:val="32"/>
          <w:color w:val="auto"/>
        </w:rPr>
        <w:t>2.6-2.8%</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32"/>
          <w:szCs w:val="32"/>
          <w:color w:val="auto"/>
        </w:rPr>
        <w:t>36.5%</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32"/>
          <w:szCs w:val="32"/>
          <w:color w:val="auto"/>
        </w:rPr>
        <w:t>$0.97-$1.01(Neg. $.06 Currency)</w:t>
      </w:r>
    </w:p>
    <w:p>
      <w:pPr>
        <w:sectPr>
          <w:pgSz w:w="11900" w:h="16838" w:orient="portrait"/>
          <w:cols w:equalWidth="0" w:num="2">
            <w:col w:w="3980" w:space="560"/>
            <w:col w:w="5560"/>
          </w:cols>
          <w:pgMar w:left="980" w:top="517" w:right="81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8"/>
          <w:szCs w:val="28"/>
          <w:b w:val="1"/>
          <w:bCs w:val="1"/>
          <w:color w:val="7EA19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6" w:lineRule="exact"/>
        <w:rPr>
          <w:sz w:val="20"/>
          <w:szCs w:val="20"/>
          <w:color w:val="auto"/>
        </w:rPr>
      </w:pPr>
    </w:p>
    <w:p>
      <w:pPr>
        <w:spacing w:after="0"/>
        <w:rPr>
          <w:sz w:val="20"/>
          <w:szCs w:val="20"/>
          <w:color w:val="auto"/>
        </w:rPr>
      </w:pPr>
      <w:r>
        <w:rPr>
          <w:rFonts w:ascii="Arial" w:cs="Arial" w:eastAsia="Arial" w:hAnsi="Arial"/>
          <w:sz w:val="28"/>
          <w:szCs w:val="28"/>
          <w:b w:val="1"/>
          <w:bCs w:val="1"/>
          <w:color w:val="7EA190"/>
        </w:rPr>
        <w:t xml:space="preserve">2008 3 </w:t>
      </w:r>
      <w:r>
        <w:rPr>
          <w:rFonts w:ascii="Arial" w:cs="Arial" w:eastAsia="Arial" w:hAnsi="Arial"/>
          <w:sz w:val="37"/>
          <w:szCs w:val="37"/>
          <w:b w:val="1"/>
          <w:bCs w:val="1"/>
          <w:color w:val="7EA190"/>
          <w:vertAlign w:val="superscript"/>
        </w:rPr>
        <w:t>rd</w:t>
      </w:r>
      <w:r>
        <w:rPr>
          <w:rFonts w:ascii="Arial" w:cs="Arial" w:eastAsia="Arial" w:hAnsi="Arial"/>
          <w:sz w:val="28"/>
          <w:szCs w:val="28"/>
          <w:b w:val="1"/>
          <w:bCs w:val="1"/>
          <w:color w:val="7EA190"/>
        </w:rPr>
        <w:t>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-59055</wp:posOffset>
            </wp:positionV>
            <wp:extent cx="4128770" cy="4315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color w:val="auto"/>
        </w:rPr>
        <w:t>October 21,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20"/>
        <w:spacing w:after="0"/>
        <w:rPr>
          <w:sz w:val="20"/>
          <w:szCs w:val="20"/>
          <w:color w:val="auto"/>
        </w:rPr>
      </w:pPr>
      <w:r>
        <w:rPr>
          <w:rFonts w:ascii="Arial" w:cs="Arial" w:eastAsia="Arial" w:hAnsi="Arial"/>
          <w:sz w:val="62"/>
          <w:szCs w:val="62"/>
          <w:color w:val="auto"/>
        </w:rPr>
        <w:t>Questions?</w:t>
      </w:r>
    </w:p>
    <w:p>
      <w:pPr>
        <w:jc w:val="right"/>
        <w:ind w:right="1559"/>
        <w:spacing w:after="0"/>
        <w:rPr>
          <w:sz w:val="20"/>
          <w:szCs w:val="20"/>
          <w:color w:val="auto"/>
        </w:rPr>
      </w:pPr>
      <w:r>
        <w:rPr>
          <w:rFonts w:ascii="Arial" w:cs="Arial" w:eastAsia="Arial" w:hAnsi="Arial"/>
          <w:sz w:val="94"/>
          <w:szCs w:val="94"/>
          <w:color w:val="auto"/>
        </w:rPr>
        <w:t>Answers</w:t>
      </w:r>
    </w:p>
    <w:p>
      <w:pPr>
        <w:sectPr>
          <w:pgSz w:w="11900" w:h="16838" w:orient="portrait"/>
          <w:cols w:equalWidth="0" w:num="1">
            <w:col w:w="10099"/>
          </w:cols>
          <w:pgMar w:left="360" w:top="295"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8"/>
        </w:trPr>
        <w:tc>
          <w:tcPr>
            <w:tcW w:w="5820" w:type="dxa"/>
            <w:vAlign w:val="bottom"/>
          </w:tcPr>
          <w:p>
            <w:pPr>
              <w:spacing w:after="0"/>
              <w:rPr>
                <w:sz w:val="20"/>
                <w:szCs w:val="20"/>
                <w:color w:val="auto"/>
              </w:rPr>
            </w:pPr>
            <w:r>
              <w:rPr>
                <w:rFonts w:ascii="Arial" w:cs="Arial" w:eastAsia="Arial" w:hAnsi="Arial"/>
                <w:sz w:val="15"/>
                <w:szCs w:val="15"/>
                <w:b w:val="1"/>
                <w:bCs w:val="1"/>
                <w:color w:val="auto"/>
              </w:rPr>
              <w:t>Earnings, As Adjusted</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4"/>
          </w:tcPr>
          <w:p>
            <w:pPr>
              <w:ind w:left="100"/>
              <w:spacing w:after="0"/>
              <w:rPr>
                <w:sz w:val="20"/>
                <w:szCs w:val="20"/>
                <w:color w:val="auto"/>
              </w:rPr>
            </w:pPr>
            <w:r>
              <w:rPr>
                <w:rFonts w:ascii="Arial" w:cs="Arial" w:eastAsia="Arial" w:hAnsi="Arial"/>
                <w:sz w:val="15"/>
                <w:szCs w:val="15"/>
                <w:color w:val="auto"/>
                <w:w w:val="96"/>
              </w:rPr>
              <w:t>Exhibit 99.3</w:t>
            </w:r>
          </w:p>
        </w:tc>
        <w:tc>
          <w:tcPr>
            <w:tcW w:w="0" w:type="dxa"/>
            <w:vAlign w:val="bottom"/>
          </w:tcPr>
          <w:p>
            <w:pPr>
              <w:spacing w:after="0"/>
              <w:rPr>
                <w:sz w:val="1"/>
                <w:szCs w:val="1"/>
                <w:color w:val="auto"/>
              </w:rPr>
            </w:pPr>
          </w:p>
        </w:tc>
      </w:tr>
      <w:tr>
        <w:trPr>
          <w:trHeight w:val="307"/>
        </w:trPr>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8"/>
          </w:tcPr>
          <w:p>
            <w:pPr>
              <w:jc w:val="right"/>
              <w:ind w:right="366"/>
              <w:spacing w:after="0"/>
              <w:rPr>
                <w:sz w:val="20"/>
                <w:szCs w:val="20"/>
                <w:color w:val="auto"/>
              </w:rPr>
            </w:pPr>
            <w:r>
              <w:rPr>
                <w:rFonts w:ascii="Arial" w:cs="Arial" w:eastAsia="Arial" w:hAnsi="Arial"/>
                <w:sz w:val="12"/>
                <w:szCs w:val="12"/>
                <w:b w:val="1"/>
                <w:bCs w:val="1"/>
                <w:color w:val="auto"/>
              </w:rPr>
              <w:t>Three Months Ended September 30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10"/>
          </w:tcPr>
          <w:p>
            <w:pPr>
              <w:ind w:left="360"/>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89"/>
              </w:rPr>
              <w:t>Earnings</w:t>
            </w:r>
          </w:p>
        </w:tc>
        <w:tc>
          <w:tcPr>
            <w:tcW w:w="840" w:type="dxa"/>
            <w:vAlign w:val="bottom"/>
            <w:tcBorders>
              <w:top w:val="single" w:sz="8" w:color="auto"/>
            </w:tcBorders>
            <w:gridSpan w:val="3"/>
          </w:tcPr>
          <w:p>
            <w:pPr>
              <w:spacing w:after="0" w:line="110" w:lineRule="exact"/>
              <w:rPr>
                <w:sz w:val="20"/>
                <w:szCs w:val="20"/>
                <w:color w:val="auto"/>
              </w:rPr>
            </w:pPr>
            <w:r>
              <w:rPr>
                <w:rFonts w:ascii="Arial" w:cs="Arial" w:eastAsia="Arial" w:hAnsi="Arial"/>
                <w:sz w:val="12"/>
                <w:szCs w:val="12"/>
                <w:b w:val="1"/>
                <w:bCs w:val="1"/>
                <w:color w:val="auto"/>
              </w:rPr>
              <w:t>Impairment</w:t>
            </w:r>
          </w:p>
        </w:tc>
        <w:tc>
          <w:tcPr>
            <w:tcW w:w="1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ind w:right="6"/>
              <w:spacing w:after="0" w:line="110" w:lineRule="exact"/>
              <w:rPr>
                <w:sz w:val="20"/>
                <w:szCs w:val="20"/>
                <w:color w:val="auto"/>
              </w:rPr>
            </w:pPr>
            <w:r>
              <w:rPr>
                <w:rFonts w:ascii="Arial" w:cs="Arial" w:eastAsia="Arial" w:hAnsi="Arial"/>
                <w:sz w:val="12"/>
                <w:szCs w:val="12"/>
                <w:b w:val="1"/>
                <w:bCs w:val="1"/>
                <w:color w:val="auto"/>
                <w:w w:val="85"/>
              </w:rPr>
              <w:t>Earnings</w:t>
            </w:r>
          </w:p>
        </w:tc>
        <w:tc>
          <w:tcPr>
            <w:tcW w:w="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tcPr>
          <w:p>
            <w:pPr>
              <w:ind w:left="20"/>
              <w:spacing w:after="0" w:line="110" w:lineRule="exact"/>
              <w:rPr>
                <w:sz w:val="20"/>
                <w:szCs w:val="20"/>
                <w:color w:val="auto"/>
              </w:rPr>
            </w:pPr>
            <w:r>
              <w:rPr>
                <w:rFonts w:ascii="Arial" w:cs="Arial" w:eastAsia="Arial" w:hAnsi="Arial"/>
                <w:sz w:val="12"/>
                <w:szCs w:val="12"/>
                <w:b w:val="1"/>
                <w:bCs w:val="1"/>
                <w:color w:val="auto"/>
              </w:rPr>
              <w:t>Earnings</w:t>
            </w:r>
          </w:p>
        </w:tc>
        <w:tc>
          <w:tcPr>
            <w:tcW w:w="1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3"/>
          </w:tcPr>
          <w:p>
            <w:pPr>
              <w:spacing w:after="0" w:line="110" w:lineRule="exact"/>
              <w:rPr>
                <w:sz w:val="20"/>
                <w:szCs w:val="20"/>
                <w:color w:val="auto"/>
              </w:rPr>
            </w:pPr>
            <w:r>
              <w:rPr>
                <w:rFonts w:ascii="Arial" w:cs="Arial" w:eastAsia="Arial" w:hAnsi="Arial"/>
                <w:sz w:val="12"/>
                <w:szCs w:val="12"/>
                <w:b w:val="1"/>
                <w:bCs w:val="1"/>
                <w:color w:val="auto"/>
              </w:rPr>
              <w:t>Impairment</w:t>
            </w:r>
          </w:p>
        </w:tc>
        <w:tc>
          <w:tcPr>
            <w:tcW w:w="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ind w:right="6"/>
              <w:spacing w:after="0" w:line="110" w:lineRule="exact"/>
              <w:rPr>
                <w:sz w:val="20"/>
                <w:szCs w:val="20"/>
                <w:color w:val="auto"/>
              </w:rPr>
            </w:pPr>
            <w:r>
              <w:rPr>
                <w:rFonts w:ascii="Arial" w:cs="Arial" w:eastAsia="Arial" w:hAnsi="Arial"/>
                <w:sz w:val="12"/>
                <w:szCs w:val="12"/>
                <w:b w:val="1"/>
                <w:bCs w:val="1"/>
                <w:color w:val="auto"/>
                <w:w w:val="85"/>
              </w:rPr>
              <w:t>Earnings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820" w:type="dxa"/>
            <w:vAlign w:val="bottom"/>
          </w:tcPr>
          <w:p>
            <w:pPr>
              <w:spacing w:after="0"/>
              <w:rPr>
                <w:sz w:val="12"/>
                <w:szCs w:val="12"/>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6"/>
              </w:rPr>
              <w:t>As Reported</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b w:val="1"/>
                <w:bCs w:val="1"/>
                <w:color w:val="auto"/>
                <w:w w:val="91"/>
              </w:rPr>
              <w:t>Charge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2"/>
              </w:rPr>
              <w:t>As Adjusted</w:t>
            </w:r>
          </w:p>
        </w:tc>
        <w:tc>
          <w:tcPr>
            <w:tcW w:w="340" w:type="dxa"/>
            <w:vAlign w:val="bottom"/>
          </w:tcPr>
          <w:p>
            <w:pPr>
              <w:spacing w:after="0"/>
              <w:rPr>
                <w:sz w:val="12"/>
                <w:szCs w:val="12"/>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6"/>
              </w:rPr>
              <w:t>As Reported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b w:val="1"/>
                <w:bCs w:val="1"/>
                <w:color w:val="auto"/>
                <w:w w:val="91"/>
              </w:rPr>
              <w:t>Charge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5"/>
              </w:rPr>
              <w:t>As Adjusted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1,027.6</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1,027.6</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3,148.9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82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1,006.6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(163.1)</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843.5</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2,788.6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(163.1)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2,625.5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4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184.1</w:t>
            </w:r>
          </w:p>
        </w:tc>
        <w:tc>
          <w:tcPr>
            <w:tcW w:w="3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360.3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2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w:t>
            </w:r>
          </w:p>
        </w:tc>
        <w:tc>
          <w:tcPr>
            <w:tcW w:w="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163.1</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170.7</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321.7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2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50.8</w:t>
            </w:r>
          </w:p>
        </w:tc>
        <w:tc>
          <w:tcPr>
            <w:tcW w:w="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59.3</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(loss) earnings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(43.2)</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154.6</w:t>
            </w: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111.4</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139.7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154.6</w:t>
            </w:r>
          </w:p>
        </w:tc>
        <w:tc>
          <w:tcPr>
            <w:tcW w:w="1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5"/>
                <w:szCs w:val="15"/>
                <w:color w:val="auto"/>
              </w:rPr>
              <w:t>Net (loss) earnings per share -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20" w:type="dxa"/>
            <w:vAlign w:val="bottom"/>
            <w:vMerge w:val="continue"/>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5"/>
                <w:szCs w:val="15"/>
                <w:color w:val="auto"/>
              </w:rPr>
              <w:t>(0.55)</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1.97</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1.42</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1.75</w:t>
            </w:r>
          </w:p>
        </w:tc>
        <w:tc>
          <w:tcPr>
            <w:tcW w:w="280" w:type="dxa"/>
            <w:vAlign w:val="bottom"/>
            <w:gridSpan w:val="2"/>
          </w:tcPr>
          <w:p>
            <w:pPr>
              <w:ind w:left="180"/>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1.93</w:t>
            </w:r>
          </w:p>
        </w:tc>
        <w:tc>
          <w:tcPr>
            <w:tcW w:w="160" w:type="dxa"/>
            <w:vAlign w:val="bottom"/>
          </w:tcPr>
          <w:p>
            <w:pPr>
              <w:spacing w:after="0"/>
              <w:rPr>
                <w:sz w:val="15"/>
                <w:szCs w:val="15"/>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140"/>
        <w:spacing w:after="0" w:line="271" w:lineRule="auto"/>
        <w:rPr>
          <w:sz w:val="20"/>
          <w:szCs w:val="20"/>
          <w:color w:val="auto"/>
        </w:rPr>
      </w:pPr>
      <w:r>
        <w:rPr>
          <w:rFonts w:ascii="Arial" w:cs="Arial" w:eastAsia="Arial" w:hAnsi="Arial"/>
          <w:sz w:val="15"/>
          <w:szCs w:val="15"/>
          <w:color w:val="auto"/>
        </w:rPr>
        <w:t>The Earnings, As Adjusted, amounts exclude the impact of the goodwill and intangible asset impairment charge that we recorded in the third quarter of 2008 related to our investment in Right Management. We believe that these adjusted earnings amounts provide useful information to investors because they better reflect the operating performance of the company. Management also uses these adjusted results when analyzing our performance against that of our competitors, and we believe that many of our shareholders and other interested parties will exclude this charge as they analyze our operating results.</w:t>
      </w:r>
    </w:p>
    <w:sectPr>
      <w:pgSz w:w="11900" w:h="16838" w:orient="portrait"/>
      <w:cols w:equalWidth="0" w:num="1">
        <w:col w:w="11440"/>
      </w:cols>
      <w:pgMar w:left="240" w:top="12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lowerLetter"/>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2"/>
    </w:lvl>
    <w:lvl w:ilvl="1">
      <w:lvlJc w:val="left"/>
      <w:lvlText w:val="%2"/>
      <w:numFmt w:val="lowerLetter"/>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2019-12-20T18:26:24Z</dcterms:created>
  <dcterms:modified xsi:type="dcterms:W3CDTF">2019-12-20T18:26:24Z</dcterms:modified>
</cp:coreProperties>
</file>