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11, 2015</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620" w:type="dxa"/>
            <w:vAlign w:val="bottom"/>
          </w:tcPr>
          <w:p>
            <w:pPr>
              <w:jc w:val="right"/>
              <w:ind w:right="1010"/>
              <w:spacing w:after="0"/>
              <w:rPr>
                <w:sz w:val="20"/>
                <w:szCs w:val="20"/>
                <w:color w:val="auto"/>
              </w:rPr>
            </w:pPr>
            <w:r>
              <w:rPr>
                <w:rFonts w:ascii="Arial" w:cs="Arial" w:eastAsia="Arial" w:hAnsi="Arial"/>
                <w:sz w:val="18"/>
                <w:szCs w:val="18"/>
                <w:b w:val="1"/>
                <w:bCs w:val="1"/>
                <w:color w:val="auto"/>
              </w:rPr>
              <w:t>1-10686</w:t>
            </w:r>
          </w:p>
        </w:tc>
        <w:tc>
          <w:tcPr>
            <w:tcW w:w="3320" w:type="dxa"/>
            <w:vAlign w:val="bottom"/>
          </w:tcPr>
          <w:p>
            <w:pPr>
              <w:jc w:val="right"/>
              <w:ind w:right="113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4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43"/>
        </w:trPr>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100 Manpower Place</w:t>
            </w:r>
          </w:p>
        </w:tc>
        <w:tc>
          <w:tcPr>
            <w:tcW w:w="26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0"/>
        </w:trPr>
        <w:tc>
          <w:tcPr>
            <w:tcW w:w="4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0"/>
              </w:rPr>
              <w:t>Milwaukee, Wisconsin</w:t>
            </w:r>
          </w:p>
        </w:tc>
        <w:tc>
          <w:tcPr>
            <w:tcW w:w="2620" w:type="dxa"/>
            <w:vAlign w:val="bottom"/>
          </w:tcPr>
          <w:p>
            <w:pPr>
              <w:spacing w:after="0"/>
              <w:rPr>
                <w:sz w:val="23"/>
                <w:szCs w:val="23"/>
                <w:color w:val="auto"/>
              </w:rPr>
            </w:pPr>
          </w:p>
        </w:tc>
        <w:tc>
          <w:tcPr>
            <w:tcW w:w="3320" w:type="dxa"/>
            <w:vAlign w:val="bottom"/>
          </w:tcPr>
          <w:p>
            <w:pPr>
              <w:jc w:val="right"/>
              <w:ind w:right="2070"/>
              <w:spacing w:after="0"/>
              <w:rPr>
                <w:sz w:val="20"/>
                <w:szCs w:val="20"/>
                <w:color w:val="auto"/>
              </w:rPr>
            </w:pPr>
            <w:r>
              <w:rPr>
                <w:rFonts w:ascii="Arial" w:cs="Arial" w:eastAsia="Arial" w:hAnsi="Arial"/>
                <w:sz w:val="18"/>
                <w:szCs w:val="18"/>
                <w:b w:val="1"/>
                <w:bCs w:val="1"/>
                <w:color w:val="auto"/>
              </w:rPr>
              <w:t>53212</w:t>
            </w:r>
          </w:p>
        </w:tc>
      </w:tr>
      <w:tr>
        <w:trPr>
          <w:trHeight w:val="34"/>
        </w:trPr>
        <w:tc>
          <w:tcPr>
            <w:tcW w:w="44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43"/>
        </w:trPr>
        <w:tc>
          <w:tcPr>
            <w:tcW w:w="448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620" w:type="dxa"/>
            <w:vAlign w:val="bottom"/>
          </w:tcPr>
          <w:p>
            <w:pPr>
              <w:spacing w:after="0"/>
              <w:rPr>
                <w:sz w:val="21"/>
                <w:szCs w:val="21"/>
                <w:color w:val="auto"/>
              </w:rPr>
            </w:pPr>
          </w:p>
        </w:tc>
        <w:tc>
          <w:tcPr>
            <w:tcW w:w="332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(Zip Code)</w:t>
            </w:r>
          </w:p>
        </w:tc>
      </w:tr>
    </w:tbl>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10" w:lineRule="exact"/>
        <w:rPr>
          <w:sz w:val="24"/>
          <w:szCs w:val="24"/>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41" w:lineRule="exact"/>
        <w:rPr>
          <w:rFonts w:ascii="Arial" w:cs="Arial" w:eastAsia="Arial" w:hAnsi="Arial"/>
          <w:sz w:val="22"/>
          <w:szCs w:val="22"/>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1" w:lineRule="exact"/>
        <w:rPr>
          <w:rFonts w:ascii="Arial" w:cs="Arial" w:eastAsia="Arial" w:hAnsi="Arial"/>
          <w:sz w:val="22"/>
          <w:szCs w:val="22"/>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1" w:lineRule="exact"/>
        <w:rPr>
          <w:rFonts w:ascii="Arial" w:cs="Arial" w:eastAsia="Arial" w:hAnsi="Arial"/>
          <w:sz w:val="22"/>
          <w:szCs w:val="22"/>
          <w:color w:val="auto"/>
        </w:rPr>
      </w:pPr>
    </w:p>
    <w:p>
      <w:pPr>
        <w:ind w:left="460" w:hanging="425"/>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u w:val="single" w:color="auto"/>
          <w:color w:val="auto"/>
        </w:rPr>
        <w:t>Entry into a Material Definitive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contained in Item 2.03 hereof is incorporated by reference into this Item 1.01.</w:t>
      </w:r>
    </w:p>
    <w:p>
      <w:pPr>
        <w:spacing w:after="0" w:line="212" w:lineRule="exact"/>
        <w:rPr>
          <w:sz w:val="20"/>
          <w:szCs w:val="20"/>
          <w:color w:val="auto"/>
        </w:rPr>
      </w:pPr>
    </w:p>
    <w:p>
      <w:pPr>
        <w:ind w:right="20" w:firstLine="648"/>
        <w:spacing w:after="0" w:line="290" w:lineRule="auto"/>
        <w:rPr>
          <w:sz w:val="20"/>
          <w:szCs w:val="20"/>
          <w:color w:val="auto"/>
        </w:rPr>
      </w:pPr>
      <w:r>
        <w:rPr>
          <w:rFonts w:ascii="Arial" w:cs="Arial" w:eastAsia="Arial" w:hAnsi="Arial"/>
          <w:sz w:val="18"/>
          <w:szCs w:val="18"/>
          <w:color w:val="auto"/>
        </w:rPr>
        <w:t>On September 16, 2015, ManpowerGroup Inc. (the “Company”) amended and restated its Five Year Credit Agreement (the “Amended and Restated Agreement”) with a syndicate of lenders and Citibank, N.A., as Administrative Agent for the lenders. This agreement further amends the Company’s Amended and Restated Five Year Credit Agreement dated October 15, 2013, principally to revise the termination date of the facility from October 15, 2018 to September 16, 2020, among other minor modifications to the terms and conditions.</w:t>
      </w:r>
    </w:p>
    <w:p>
      <w:pPr>
        <w:spacing w:after="0" w:line="148" w:lineRule="exact"/>
        <w:rPr>
          <w:sz w:val="20"/>
          <w:szCs w:val="20"/>
          <w:color w:val="auto"/>
        </w:rPr>
      </w:pPr>
    </w:p>
    <w:p>
      <w:pPr>
        <w:ind w:right="60" w:firstLine="648"/>
        <w:spacing w:after="0" w:line="309" w:lineRule="auto"/>
        <w:rPr>
          <w:sz w:val="20"/>
          <w:szCs w:val="20"/>
          <w:color w:val="auto"/>
        </w:rPr>
      </w:pPr>
      <w:r>
        <w:rPr>
          <w:rFonts w:ascii="Arial" w:cs="Arial" w:eastAsia="Arial" w:hAnsi="Arial"/>
          <w:sz w:val="18"/>
          <w:szCs w:val="18"/>
          <w:color w:val="auto"/>
        </w:rPr>
        <w:t>The foregoing description of the Amended and Restated Agreement is qualified in its entirety by reference to the agreement filed herewith as exhibit 10.1, which is incorporated by reference into this Item 1.01.</w:t>
      </w:r>
    </w:p>
    <w:p>
      <w:pPr>
        <w:spacing w:after="0" w:line="200" w:lineRule="exact"/>
        <w:rPr>
          <w:sz w:val="20"/>
          <w:szCs w:val="20"/>
          <w:color w:val="auto"/>
        </w:rPr>
      </w:pPr>
    </w:p>
    <w:p>
      <w:pPr>
        <w:spacing w:after="0" w:line="3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u w:val="single" w:color="auto"/>
          <w:color w:val="auto"/>
        </w:rPr>
        <w:t>Creation of a Direct Financial Obligation or an Obligation under an Off-Balance Sheet Arrangement of a Registrant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On September 11, 2015, ManpowerGroup Inc. (the “Company”) offered and sold €400 million aggregate principal amount of the Company’s 1.875% notes due September 11, 2022 (the “Notes”). The net proceeds to the Company from the offering of the Notes were approximately €397.4 million, and will be used by the Company for general corporate purposes which may include share repurchases and the acquisition of or investment in complementary businesses or other assets.</w:t>
      </w:r>
    </w:p>
    <w:p>
      <w:pPr>
        <w:spacing w:after="0" w:line="148"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color w:val="auto"/>
        </w:rPr>
        <w:t>The Notes were offered at an issue price of €997.53 per €1,000 principal amount. Interest on the Notes is payable in arrears on September 11 of each year. The Notes are the unsecured senior obligations of the Company and will rank equally with all of the Company’s existing and future senior unsecured debt and other liabilities. The Notes were issued under a Fiscal and Paying Agency Agreement (the “Agreement”) between the Company and Citibank, N.A., London Branch, as Fiscal Agent, Principal Paying Agent, and Registrar and Transfer Agent, dated as of September 11, 2015.</w:t>
      </w:r>
    </w:p>
    <w:p>
      <w:pPr>
        <w:spacing w:after="0" w:line="131" w:lineRule="exact"/>
        <w:rPr>
          <w:sz w:val="20"/>
          <w:szCs w:val="20"/>
          <w:color w:val="auto"/>
        </w:rPr>
      </w:pPr>
    </w:p>
    <w:p>
      <w:pPr>
        <w:ind w:right="80" w:firstLine="648"/>
        <w:spacing w:after="0" w:line="309" w:lineRule="auto"/>
        <w:rPr>
          <w:sz w:val="20"/>
          <w:szCs w:val="20"/>
          <w:color w:val="auto"/>
        </w:rPr>
      </w:pPr>
      <w:r>
        <w:rPr>
          <w:rFonts w:ascii="Arial" w:cs="Arial" w:eastAsia="Arial" w:hAnsi="Arial"/>
          <w:sz w:val="17"/>
          <w:szCs w:val="17"/>
          <w:color w:val="auto"/>
        </w:rPr>
        <w:t>The Company may redeem the Notes, in whole but not in part, at the Company’s option at any time at a redemption price equal to the greater of (1) 100% of the principal amount of the Notes, or (2) as determined by the Quotation Agent (as defined in the Notes), the sum of the present values of the remaining scheduled payments of interest accrued as of the date of redemption, discounted to the redemption date on an annual basis at a rate equal to the average midmarket annual yield to maturity of the Bundesrepublik Deutschland 1.500% due September 4, 2022 (or if that security is no longer outstanding, a similar security), plus 0.25%, plus, in each case, accrued interest to the date of redemption.</w:t>
      </w:r>
    </w:p>
    <w:p>
      <w:pPr>
        <w:spacing w:after="0" w:line="133" w:lineRule="exact"/>
        <w:rPr>
          <w:sz w:val="20"/>
          <w:szCs w:val="20"/>
          <w:color w:val="auto"/>
        </w:rPr>
      </w:pPr>
    </w:p>
    <w:p>
      <w:pPr>
        <w:ind w:right="600" w:firstLine="648"/>
        <w:spacing w:after="0" w:line="377" w:lineRule="auto"/>
        <w:rPr>
          <w:sz w:val="20"/>
          <w:szCs w:val="20"/>
          <w:color w:val="auto"/>
        </w:rPr>
      </w:pPr>
      <w:r>
        <w:rPr>
          <w:rFonts w:ascii="Arial" w:cs="Arial" w:eastAsia="Arial" w:hAnsi="Arial"/>
          <w:sz w:val="16"/>
          <w:szCs w:val="16"/>
          <w:color w:val="auto"/>
        </w:rPr>
        <w:t>The Notes are listed on the Official List of the Irish Stock Exchange. The Notes have not been registered under the Securities Act of 1933, as amended, and may not be offered or sold in the United States absent registration or an applicable exemption from registration requirements.</w:t>
      </w:r>
    </w:p>
    <w:p>
      <w:pPr>
        <w:spacing w:after="0" w:line="84" w:lineRule="exact"/>
        <w:rPr>
          <w:sz w:val="20"/>
          <w:szCs w:val="20"/>
          <w:color w:val="auto"/>
        </w:rPr>
      </w:pPr>
    </w:p>
    <w:p>
      <w:pPr>
        <w:ind w:right="800" w:firstLine="648"/>
        <w:spacing w:after="0" w:line="309" w:lineRule="auto"/>
        <w:rPr>
          <w:sz w:val="20"/>
          <w:szCs w:val="20"/>
          <w:color w:val="auto"/>
        </w:rPr>
      </w:pPr>
      <w:r>
        <w:rPr>
          <w:rFonts w:ascii="Arial" w:cs="Arial" w:eastAsia="Arial" w:hAnsi="Arial"/>
          <w:sz w:val="18"/>
          <w:szCs w:val="18"/>
          <w:color w:val="auto"/>
        </w:rPr>
        <w:t>The foregoing description of the Agreement is qualified in its entirety by reference to the agreement filed herewith as exhibit 4.1, which is incorporated by reference into this Item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80" w:type="dxa"/>
            <w:vAlign w:val="bottom"/>
          </w:tcPr>
          <w:p>
            <w:pPr>
              <w:spacing w:after="0"/>
              <w:rPr>
                <w:sz w:val="20"/>
                <w:szCs w:val="20"/>
                <w:color w:val="auto"/>
              </w:rPr>
            </w:pPr>
            <w:r>
              <w:rPr>
                <w:rFonts w:ascii="Arial" w:cs="Arial" w:eastAsia="Arial" w:hAnsi="Arial"/>
                <w:sz w:val="20"/>
                <w:szCs w:val="20"/>
                <w:b w:val="1"/>
                <w:bCs w:val="1"/>
                <w:color w:val="auto"/>
              </w:rPr>
              <w:t>Item 9.01.</w:t>
            </w:r>
          </w:p>
        </w:tc>
        <w:tc>
          <w:tcPr>
            <w:tcW w:w="9280" w:type="dxa"/>
            <w:vAlign w:val="bottom"/>
          </w:tcPr>
          <w:p>
            <w:pPr>
              <w:ind w:left="660"/>
              <w:spacing w:after="0"/>
              <w:rPr>
                <w:sz w:val="20"/>
                <w:szCs w:val="20"/>
                <w:color w:val="auto"/>
              </w:rPr>
            </w:pPr>
            <w:r>
              <w:rPr>
                <w:rFonts w:ascii="Arial" w:cs="Arial" w:eastAsia="Arial" w:hAnsi="Arial"/>
                <w:sz w:val="20"/>
                <w:szCs w:val="20"/>
                <w:b w:val="1"/>
                <w:bCs w:val="1"/>
                <w:color w:val="auto"/>
              </w:rPr>
              <w:t xml:space="preserve">Exhibits </w:t>
            </w:r>
            <w:r>
              <w:rPr>
                <w:rFonts w:ascii="Arial" w:cs="Arial" w:eastAsia="Arial" w:hAnsi="Arial"/>
                <w:sz w:val="20"/>
                <w:szCs w:val="20"/>
                <w:color w:val="auto"/>
              </w:rPr>
              <w:t>.</w:t>
            </w:r>
          </w:p>
        </w:tc>
      </w:tr>
      <w:tr>
        <w:trPr>
          <w:trHeight w:val="621"/>
        </w:trPr>
        <w:tc>
          <w:tcPr>
            <w:tcW w:w="1380" w:type="dxa"/>
            <w:vAlign w:val="bottom"/>
          </w:tcPr>
          <w:p>
            <w:pPr>
              <w:ind w:left="40"/>
              <w:spacing w:after="0"/>
              <w:rPr>
                <w:sz w:val="20"/>
                <w:szCs w:val="20"/>
                <w:color w:val="auto"/>
              </w:rPr>
            </w:pPr>
            <w:r>
              <w:rPr>
                <w:rFonts w:ascii="Arial" w:cs="Arial" w:eastAsia="Arial" w:hAnsi="Arial"/>
                <w:sz w:val="20"/>
                <w:szCs w:val="20"/>
                <w:b w:val="1"/>
                <w:bCs w:val="1"/>
                <w:color w:val="auto"/>
              </w:rPr>
              <w:t>Exhibit No.</w:t>
            </w:r>
          </w:p>
        </w:tc>
        <w:tc>
          <w:tcPr>
            <w:tcW w:w="9280" w:type="dxa"/>
            <w:vAlign w:val="bottom"/>
          </w:tcPr>
          <w:p>
            <w:pPr>
              <w:ind w:left="380"/>
              <w:spacing w:after="0"/>
              <w:rPr>
                <w:sz w:val="20"/>
                <w:szCs w:val="20"/>
                <w:color w:val="auto"/>
              </w:rPr>
            </w:pPr>
            <w:r>
              <w:rPr>
                <w:rFonts w:ascii="Arial" w:cs="Arial" w:eastAsia="Arial" w:hAnsi="Arial"/>
                <w:sz w:val="20"/>
                <w:szCs w:val="20"/>
                <w:b w:val="1"/>
                <w:bCs w:val="1"/>
                <w:color w:val="auto"/>
              </w:rPr>
              <w:t>Description</w:t>
            </w:r>
          </w:p>
        </w:tc>
      </w:tr>
      <w:tr>
        <w:trPr>
          <w:trHeight w:val="30"/>
        </w:trPr>
        <w:tc>
          <w:tcPr>
            <w:tcW w:w="1380" w:type="dxa"/>
            <w:vAlign w:val="bottom"/>
            <w:tcBorders>
              <w:bottom w:val="single" w:sz="8" w:color="auto"/>
            </w:tcBorders>
          </w:tcPr>
          <w:p>
            <w:pPr>
              <w:spacing w:after="0"/>
              <w:rPr>
                <w:sz w:val="2"/>
                <w:szCs w:val="2"/>
                <w:color w:val="auto"/>
              </w:rPr>
            </w:pPr>
          </w:p>
        </w:tc>
        <w:tc>
          <w:tcPr>
            <w:tcW w:w="9280" w:type="dxa"/>
            <w:vAlign w:val="bottom"/>
            <w:tcBorders>
              <w:bottom w:val="single" w:sz="8" w:color="auto"/>
            </w:tcBorders>
          </w:tcPr>
          <w:p>
            <w:pPr>
              <w:spacing w:after="0"/>
              <w:rPr>
                <w:sz w:val="2"/>
                <w:szCs w:val="2"/>
                <w:color w:val="auto"/>
              </w:rPr>
            </w:pPr>
          </w:p>
        </w:tc>
      </w:tr>
      <w:tr>
        <w:trPr>
          <w:trHeight w:val="229"/>
        </w:trPr>
        <w:tc>
          <w:tcPr>
            <w:tcW w:w="1380" w:type="dxa"/>
            <w:vAlign w:val="bottom"/>
          </w:tcPr>
          <w:p>
            <w:pPr>
              <w:ind w:left="40"/>
              <w:spacing w:after="0" w:line="229" w:lineRule="exact"/>
              <w:rPr>
                <w:sz w:val="20"/>
                <w:szCs w:val="20"/>
                <w:color w:val="auto"/>
              </w:rPr>
            </w:pPr>
            <w:r>
              <w:rPr>
                <w:rFonts w:ascii="Arial" w:cs="Arial" w:eastAsia="Arial" w:hAnsi="Arial"/>
                <w:sz w:val="20"/>
                <w:szCs w:val="20"/>
                <w:color w:val="auto"/>
              </w:rPr>
              <w:t>4.1</w:t>
            </w:r>
          </w:p>
        </w:tc>
        <w:tc>
          <w:tcPr>
            <w:tcW w:w="9280" w:type="dxa"/>
            <w:vAlign w:val="bottom"/>
          </w:tcPr>
          <w:p>
            <w:pPr>
              <w:ind w:left="460"/>
              <w:spacing w:after="0"/>
              <w:rPr>
                <w:sz w:val="20"/>
                <w:szCs w:val="20"/>
                <w:color w:val="auto"/>
              </w:rPr>
            </w:pPr>
            <w:r>
              <w:rPr>
                <w:rFonts w:ascii="Arial" w:cs="Arial" w:eastAsia="Arial" w:hAnsi="Arial"/>
                <w:sz w:val="18"/>
                <w:szCs w:val="18"/>
                <w:color w:val="auto"/>
                <w:w w:val="91"/>
              </w:rPr>
              <w:t>Fiscal and Paying Agency Agreement between the Company and Citibank, N.A., as Fiscal Agent, Principal Paying Agent</w:t>
            </w:r>
          </w:p>
        </w:tc>
      </w:tr>
      <w:tr>
        <w:trPr>
          <w:trHeight w:val="216"/>
        </w:trPr>
        <w:tc>
          <w:tcPr>
            <w:tcW w:w="1380" w:type="dxa"/>
            <w:vAlign w:val="bottom"/>
          </w:tcPr>
          <w:p>
            <w:pPr>
              <w:spacing w:after="0"/>
              <w:rPr>
                <w:sz w:val="18"/>
                <w:szCs w:val="18"/>
                <w:color w:val="auto"/>
              </w:rPr>
            </w:pPr>
          </w:p>
        </w:tc>
        <w:tc>
          <w:tcPr>
            <w:tcW w:w="9280" w:type="dxa"/>
            <w:vAlign w:val="bottom"/>
          </w:tcPr>
          <w:p>
            <w:pPr>
              <w:ind w:left="460"/>
              <w:spacing w:after="0"/>
              <w:rPr>
                <w:sz w:val="20"/>
                <w:szCs w:val="20"/>
                <w:color w:val="auto"/>
              </w:rPr>
            </w:pPr>
            <w:r>
              <w:rPr>
                <w:rFonts w:ascii="Arial" w:cs="Arial" w:eastAsia="Arial" w:hAnsi="Arial"/>
                <w:sz w:val="18"/>
                <w:szCs w:val="18"/>
                <w:color w:val="auto"/>
                <w:w w:val="96"/>
              </w:rPr>
              <w:t>and Registrar and Transfer Agent, dated as of September 11, 2015 (including the form of Note attached thereto as</w:t>
            </w:r>
          </w:p>
        </w:tc>
      </w:tr>
      <w:tr>
        <w:trPr>
          <w:trHeight w:val="230"/>
        </w:trPr>
        <w:tc>
          <w:tcPr>
            <w:tcW w:w="1380" w:type="dxa"/>
            <w:vAlign w:val="bottom"/>
          </w:tcPr>
          <w:p>
            <w:pPr>
              <w:spacing w:after="0"/>
              <w:rPr>
                <w:sz w:val="20"/>
                <w:szCs w:val="20"/>
                <w:color w:val="auto"/>
              </w:rPr>
            </w:pPr>
          </w:p>
        </w:tc>
        <w:tc>
          <w:tcPr>
            <w:tcW w:w="9280" w:type="dxa"/>
            <w:vAlign w:val="bottom"/>
          </w:tcPr>
          <w:p>
            <w:pPr>
              <w:ind w:left="460"/>
              <w:spacing w:after="0"/>
              <w:rPr>
                <w:sz w:val="20"/>
                <w:szCs w:val="20"/>
                <w:color w:val="auto"/>
              </w:rPr>
            </w:pPr>
            <w:r>
              <w:rPr>
                <w:rFonts w:ascii="Arial" w:cs="Arial" w:eastAsia="Arial" w:hAnsi="Arial"/>
                <w:sz w:val="18"/>
                <w:szCs w:val="18"/>
                <w:color w:val="auto"/>
              </w:rPr>
              <w:t>Schedule I).</w:t>
            </w:r>
          </w:p>
        </w:tc>
      </w:tr>
      <w:tr>
        <w:trPr>
          <w:trHeight w:val="256"/>
        </w:trPr>
        <w:tc>
          <w:tcPr>
            <w:tcW w:w="1380" w:type="dxa"/>
            <w:vAlign w:val="bottom"/>
          </w:tcPr>
          <w:p>
            <w:pPr>
              <w:ind w:left="40"/>
              <w:spacing w:after="0"/>
              <w:rPr>
                <w:sz w:val="20"/>
                <w:szCs w:val="20"/>
                <w:color w:val="auto"/>
              </w:rPr>
            </w:pPr>
            <w:r>
              <w:rPr>
                <w:rFonts w:ascii="Arial" w:cs="Arial" w:eastAsia="Arial" w:hAnsi="Arial"/>
                <w:sz w:val="20"/>
                <w:szCs w:val="20"/>
                <w:color w:val="auto"/>
              </w:rPr>
              <w:t>10.1</w:t>
            </w:r>
          </w:p>
        </w:tc>
        <w:tc>
          <w:tcPr>
            <w:tcW w:w="9280" w:type="dxa"/>
            <w:vAlign w:val="bottom"/>
          </w:tcPr>
          <w:p>
            <w:pPr>
              <w:ind w:left="460"/>
              <w:spacing w:after="0"/>
              <w:rPr>
                <w:sz w:val="20"/>
                <w:szCs w:val="20"/>
                <w:color w:val="auto"/>
              </w:rPr>
            </w:pPr>
            <w:r>
              <w:rPr>
                <w:rFonts w:ascii="Arial" w:cs="Arial" w:eastAsia="Arial" w:hAnsi="Arial"/>
                <w:sz w:val="18"/>
                <w:szCs w:val="18"/>
                <w:color w:val="auto"/>
                <w:w w:val="90"/>
              </w:rPr>
              <w:t>Amended and Restated Five-Year Credit Agreement dated as of September 16, 2015 among the Company, a syndicate of</w:t>
            </w:r>
          </w:p>
        </w:tc>
      </w:tr>
      <w:tr>
        <w:trPr>
          <w:trHeight w:val="230"/>
        </w:trPr>
        <w:tc>
          <w:tcPr>
            <w:tcW w:w="1380" w:type="dxa"/>
            <w:vAlign w:val="bottom"/>
          </w:tcPr>
          <w:p>
            <w:pPr>
              <w:spacing w:after="0"/>
              <w:rPr>
                <w:sz w:val="20"/>
                <w:szCs w:val="20"/>
                <w:color w:val="auto"/>
              </w:rPr>
            </w:pPr>
          </w:p>
        </w:tc>
        <w:tc>
          <w:tcPr>
            <w:tcW w:w="9280" w:type="dxa"/>
            <w:vAlign w:val="bottom"/>
          </w:tcPr>
          <w:p>
            <w:pPr>
              <w:ind w:left="460"/>
              <w:spacing w:after="0"/>
              <w:rPr>
                <w:sz w:val="20"/>
                <w:szCs w:val="20"/>
                <w:color w:val="auto"/>
              </w:rPr>
            </w:pPr>
            <w:r>
              <w:rPr>
                <w:rFonts w:ascii="Arial" w:cs="Arial" w:eastAsia="Arial" w:hAnsi="Arial"/>
                <w:sz w:val="18"/>
                <w:szCs w:val="18"/>
                <w:color w:val="auto"/>
              </w:rPr>
              <w:t>lenders and Citibank, N.A., as Administrative Agent.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20"/>
          </w:cols>
          <w:pgMar w:left="240" w:top="796" w:right="239" w:bottom="31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640" w:type="dxa"/>
            <w:vAlign w:val="bottom"/>
            <w:gridSpan w:val="2"/>
          </w:tcPr>
          <w:p>
            <w:pPr>
              <w:ind w:left="140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Dated: September 17, 2015</w:t>
            </w:r>
          </w:p>
        </w:tc>
        <w:tc>
          <w:tcPr>
            <w:tcW w:w="2200" w:type="dxa"/>
            <w:vAlign w:val="bottom"/>
          </w:tcPr>
          <w:p>
            <w:pPr>
              <w:ind w:left="140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200" w:type="dxa"/>
            <w:vAlign w:val="bottom"/>
            <w:vMerge w:val="restart"/>
          </w:tcPr>
          <w:p>
            <w:pPr>
              <w:ind w:left="1400"/>
              <w:spacing w:after="0"/>
              <w:rPr>
                <w:sz w:val="20"/>
                <w:szCs w:val="20"/>
                <w:color w:val="auto"/>
              </w:rPr>
            </w:pPr>
            <w:r>
              <w:rPr>
                <w:rFonts w:ascii="Arial" w:cs="Arial" w:eastAsia="Arial" w:hAnsi="Arial"/>
                <w:sz w:val="18"/>
                <w:szCs w:val="18"/>
                <w:color w:val="auto"/>
              </w:rPr>
              <w:t>Name:</w:t>
            </w: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200" w:type="dxa"/>
            <w:vAlign w:val="bottom"/>
            <w:vMerge w:val="continue"/>
          </w:tcPr>
          <w:p>
            <w:pPr>
              <w:spacing w:after="0"/>
              <w:rPr>
                <w:sz w:val="20"/>
                <w:szCs w:val="20"/>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2200" w:type="dxa"/>
            <w:vAlign w:val="bottom"/>
          </w:tcPr>
          <w:p>
            <w:pPr>
              <w:ind w:left="1400"/>
              <w:spacing w:after="0"/>
              <w:rPr>
                <w:sz w:val="20"/>
                <w:szCs w:val="20"/>
                <w:color w:val="auto"/>
              </w:rPr>
            </w:pPr>
            <w:r>
              <w:rPr>
                <w:rFonts w:ascii="Arial" w:cs="Arial" w:eastAsia="Arial" w:hAnsi="Arial"/>
                <w:sz w:val="18"/>
                <w:szCs w:val="18"/>
                <w:color w:val="auto"/>
              </w:rPr>
              <w:t>Title:</w:t>
            </w:r>
          </w:p>
        </w:tc>
        <w:tc>
          <w:tcPr>
            <w:tcW w:w="4440" w:type="dxa"/>
            <w:vAlign w:val="bottom"/>
          </w:tcPr>
          <w:p>
            <w:pPr>
              <w:ind w:left="120"/>
              <w:spacing w:after="0"/>
              <w:rPr>
                <w:sz w:val="20"/>
                <w:szCs w:val="20"/>
                <w:color w:val="auto"/>
              </w:rPr>
            </w:pPr>
            <w:r>
              <w:rPr>
                <w:rFonts w:ascii="Arial" w:cs="Arial" w:eastAsia="Arial" w:hAnsi="Arial"/>
                <w:sz w:val="18"/>
                <w:szCs w:val="18"/>
                <w:color w:val="auto"/>
                <w:w w:val="98"/>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0179"/>
          </w:cols>
          <w:pgMar w:left="28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32" w:lineRule="exact"/>
        <w:rPr>
          <w:sz w:val="20"/>
          <w:szCs w:val="20"/>
          <w:color w:val="auto"/>
        </w:rPr>
      </w:pPr>
    </w:p>
    <w:p>
      <w:pPr>
        <w:ind w:left="620" w:hanging="647"/>
        <w:spacing w:after="0" w:line="309"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Fiscal and Paying Agency Agreement between the Company and Citibank, N.A., as Fiscal Agent, Principal Paying Agent and Registrar and Transfer Agent, dated as of September 11, 2015 (including the form of Note attached thereto as Schedule I).</w:t>
      </w:r>
    </w:p>
    <w:p>
      <w:pPr>
        <w:spacing w:after="0" w:line="200" w:lineRule="exact"/>
        <w:rPr>
          <w:sz w:val="20"/>
          <w:szCs w:val="20"/>
          <w:color w:val="auto"/>
        </w:rPr>
      </w:pPr>
    </w:p>
    <w:p>
      <w:pPr>
        <w:spacing w:after="0" w:line="347" w:lineRule="exact"/>
        <w:rPr>
          <w:sz w:val="20"/>
          <w:szCs w:val="20"/>
          <w:color w:val="auto"/>
        </w:rPr>
      </w:pPr>
    </w:p>
    <w:p>
      <w:pPr>
        <w:ind w:left="620" w:hanging="647"/>
        <w:spacing w:after="0" w:line="309" w:lineRule="auto"/>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Five-Year Credit Agreement dated as of September 16, 2015 among the Company, a syndicate of lenders and Citibank, N.A., as Administrative Agent.</w:t>
      </w:r>
    </w:p>
    <w:p>
      <w:pPr>
        <w:sectPr>
          <w:pgSz w:w="11900" w:h="16838" w:orient="portrait"/>
          <w:cols w:equalWidth="0" w:num="1">
            <w:col w:w="11340"/>
          </w:cols>
          <w:pgMar w:left="280" w:top="796"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80"/>
        <w:spacing w:after="0"/>
        <w:rPr>
          <w:sz w:val="20"/>
          <w:szCs w:val="20"/>
          <w:color w:val="auto"/>
        </w:rPr>
      </w:pPr>
      <w:r>
        <w:rPr>
          <w:rFonts w:ascii="Arial" w:cs="Arial" w:eastAsia="Arial" w:hAnsi="Arial"/>
          <w:sz w:val="28"/>
          <w:szCs w:val="28"/>
          <w:b w:val="1"/>
          <w:bCs w:val="1"/>
          <w:color w:val="auto"/>
        </w:rPr>
        <w:t>FISCAL AND PAYING AGENCY AGREEMENT</w:t>
      </w:r>
    </w:p>
    <w:p>
      <w:pPr>
        <w:spacing w:after="0" w:line="7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SEPTEMBER 11, 2015</w:t>
      </w:r>
    </w:p>
    <w:p>
      <w:pPr>
        <w:spacing w:after="0" w:line="5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Between</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MANPOWERGROUP INC.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CITIBANK, N.A., LONDON BRANCH</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Fiscal Agent, Principal Paying Agent,</w:t>
      </w:r>
    </w:p>
    <w:p>
      <w:pPr>
        <w:jc w:val="center"/>
        <w:ind w:right="1180"/>
        <w:spacing w:after="0"/>
        <w:rPr>
          <w:sz w:val="20"/>
          <w:szCs w:val="20"/>
          <w:color w:val="auto"/>
        </w:rPr>
      </w:pPr>
      <w:r>
        <w:rPr>
          <w:rFonts w:ascii="Arial" w:cs="Arial" w:eastAsia="Arial" w:hAnsi="Arial"/>
          <w:sz w:val="20"/>
          <w:szCs w:val="20"/>
          <w:b w:val="1"/>
          <w:bCs w:val="1"/>
          <w:color w:val="auto"/>
        </w:rPr>
        <w:t>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831850</wp:posOffset>
            </wp:positionV>
            <wp:extent cx="1252220"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Allen &amp; Overy LLP</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0010155-0002339 ICM:22527054.5C</w:t>
      </w:r>
    </w:p>
    <w:p>
      <w:pPr>
        <w:sectPr>
          <w:pgSz w:w="11900" w:h="16838" w:orient="portrait"/>
          <w:cols w:equalWidth="0" w:num="1">
            <w:col w:w="10220"/>
          </w:cols>
          <w:pgMar w:left="1440" w:top="112"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Clause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520" w:type="dxa"/>
            <w:vAlign w:val="bottom"/>
          </w:tcPr>
          <w:p>
            <w:pPr>
              <w:ind w:left="2700"/>
              <w:spacing w:after="0"/>
              <w:rPr>
                <w:sz w:val="20"/>
                <w:szCs w:val="20"/>
                <w:color w:val="auto"/>
              </w:rPr>
            </w:pPr>
            <w:r>
              <w:rPr>
                <w:rFonts w:ascii="Arial" w:cs="Arial" w:eastAsia="Arial" w:hAnsi="Arial"/>
                <w:sz w:val="20"/>
                <w:szCs w:val="20"/>
                <w:b w:val="1"/>
                <w:bCs w:val="1"/>
                <w:color w:val="auto"/>
              </w:rPr>
              <w:t>CONTENTS</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7"/>
        </w:trPr>
        <w:tc>
          <w:tcPr>
            <w:tcW w:w="652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20"/>
                <w:szCs w:val="20"/>
                <w:b w:val="1"/>
                <w:bCs w:val="1"/>
                <w:color w:val="auto"/>
                <w:w w:val="79"/>
              </w:rPr>
              <w:t>Page</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90"/>
              </w:rPr>
              <w:t xml:space="preserve">General </w:t>
            </w:r>
            <w:r>
              <w:rPr>
                <w:rFonts w:ascii="Arial" w:cs="Arial" w:eastAsia="Arial" w:hAnsi="Arial"/>
                <w:sz w:val="18"/>
                <w:szCs w:val="18"/>
                <w:color w:val="auto"/>
                <w:w w:val="90"/>
              </w:rPr>
              <w:t>................................................................................................................................</w:t>
            </w:r>
          </w:p>
        </w:tc>
        <w:tc>
          <w:tcPr>
            <w:tcW w:w="440" w:type="dxa"/>
            <w:vAlign w:val="bottom"/>
          </w:tcPr>
          <w:p>
            <w:pPr>
              <w:ind w:lef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73"/>
        </w:trPr>
        <w:tc>
          <w:tcPr>
            <w:tcW w:w="6520" w:type="dxa"/>
            <w:vAlign w:val="bottom"/>
          </w:tcPr>
          <w:p>
            <w:pPr>
              <w:spacing w:after="0"/>
              <w:rPr>
                <w:sz w:val="20"/>
                <w:szCs w:val="20"/>
                <w:color w:val="auto"/>
              </w:rPr>
            </w:pPr>
            <w:r>
              <w:rPr>
                <w:rFonts w:ascii="Arial" w:cs="Arial" w:eastAsia="Arial" w:hAnsi="Arial"/>
                <w:sz w:val="20"/>
                <w:szCs w:val="20"/>
                <w:color w:val="auto"/>
                <w:w w:val="95"/>
              </w:rPr>
              <w:t>Appointment of the Fiscal Agent, Registrar, Transfer Agent and Paying Agent</w:t>
            </w: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60"/>
              <w:spacing w:after="0"/>
              <w:rPr>
                <w:sz w:val="20"/>
                <w:szCs w:val="20"/>
                <w:color w:val="auto"/>
              </w:rPr>
            </w:pPr>
            <w:r>
              <w:rPr>
                <w:rFonts w:ascii="Arial" w:cs="Arial" w:eastAsia="Arial" w:hAnsi="Arial"/>
                <w:sz w:val="20"/>
                <w:szCs w:val="20"/>
                <w:color w:val="auto"/>
              </w:rPr>
              <w:t>......</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1"/>
        </w:trPr>
        <w:tc>
          <w:tcPr>
            <w:tcW w:w="6520" w:type="dxa"/>
            <w:vAlign w:val="bottom"/>
          </w:tcPr>
          <w:p>
            <w:pPr>
              <w:spacing w:after="0"/>
              <w:rPr>
                <w:sz w:val="20"/>
                <w:szCs w:val="20"/>
                <w:color w:val="auto"/>
              </w:rPr>
            </w:pPr>
            <w:r>
              <w:rPr>
                <w:rFonts w:ascii="Arial" w:cs="Arial" w:eastAsia="Arial" w:hAnsi="Arial"/>
                <w:sz w:val="20"/>
                <w:szCs w:val="20"/>
                <w:color w:val="auto"/>
                <w:w w:val="91"/>
              </w:rPr>
              <w:t>Amount; Additional Notes; Execution .....................................................................</w:t>
            </w:r>
          </w:p>
        </w:tc>
        <w:tc>
          <w:tcPr>
            <w:tcW w:w="440" w:type="dxa"/>
            <w:vAlign w:val="bottom"/>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73"/>
        </w:trPr>
        <w:tc>
          <w:tcPr>
            <w:tcW w:w="6520" w:type="dxa"/>
            <w:vAlign w:val="bottom"/>
          </w:tcPr>
          <w:p>
            <w:pPr>
              <w:spacing w:after="0"/>
              <w:rPr>
                <w:sz w:val="20"/>
                <w:szCs w:val="20"/>
                <w:color w:val="auto"/>
              </w:rPr>
            </w:pPr>
            <w:r>
              <w:rPr>
                <w:rFonts w:ascii="Arial" w:cs="Arial" w:eastAsia="Arial" w:hAnsi="Arial"/>
                <w:sz w:val="20"/>
                <w:szCs w:val="20"/>
                <w:color w:val="auto"/>
              </w:rPr>
              <w:t>Authorized Representatives</w:t>
            </w: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60"/>
              <w:spacing w:after="0"/>
              <w:rPr>
                <w:sz w:val="20"/>
                <w:szCs w:val="20"/>
                <w:color w:val="auto"/>
              </w:rPr>
            </w:pPr>
            <w:r>
              <w:rPr>
                <w:rFonts w:ascii="Arial" w:cs="Arial" w:eastAsia="Arial" w:hAnsi="Arial"/>
                <w:sz w:val="20"/>
                <w:szCs w:val="20"/>
                <w:color w:val="auto"/>
              </w:rPr>
              <w:t>......................................................................................</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1"/>
        </w:trPr>
        <w:tc>
          <w:tcPr>
            <w:tcW w:w="6520" w:type="dxa"/>
            <w:vAlign w:val="bottom"/>
          </w:tcPr>
          <w:p>
            <w:pPr>
              <w:spacing w:after="0"/>
              <w:rPr>
                <w:sz w:val="20"/>
                <w:szCs w:val="20"/>
                <w:color w:val="auto"/>
              </w:rPr>
            </w:pPr>
            <w:r>
              <w:rPr>
                <w:rFonts w:ascii="Arial" w:cs="Arial" w:eastAsia="Arial" w:hAnsi="Arial"/>
                <w:sz w:val="20"/>
                <w:szCs w:val="20"/>
                <w:color w:val="auto"/>
                <w:w w:val="89"/>
              </w:rPr>
              <w:t>Form of the Notes .....................................................................................................</w:t>
            </w:r>
          </w:p>
        </w:tc>
        <w:tc>
          <w:tcPr>
            <w:tcW w:w="440" w:type="dxa"/>
            <w:vAlign w:val="bottom"/>
          </w:tcPr>
          <w:p>
            <w:pPr>
              <w:ind w:lef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90"/>
              </w:rPr>
              <w:t>Book-Entry Provisions .............................................................................................</w:t>
            </w:r>
          </w:p>
        </w:tc>
        <w:tc>
          <w:tcPr>
            <w:tcW w:w="440" w:type="dxa"/>
            <w:vAlign w:val="bottom"/>
          </w:tcPr>
          <w:p>
            <w:pPr>
              <w:ind w:lef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88"/>
              </w:rPr>
              <w:t>Transfer and Exchange .............................................................................................</w:t>
            </w:r>
          </w:p>
        </w:tc>
        <w:tc>
          <w:tcPr>
            <w:tcW w:w="440" w:type="dxa"/>
            <w:vAlign w:val="bottom"/>
          </w:tcPr>
          <w:p>
            <w:pPr>
              <w:ind w:lef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73"/>
        </w:trPr>
        <w:tc>
          <w:tcPr>
            <w:tcW w:w="6520" w:type="dxa"/>
            <w:vAlign w:val="bottom"/>
          </w:tcPr>
          <w:p>
            <w:pPr>
              <w:spacing w:after="0"/>
              <w:rPr>
                <w:sz w:val="20"/>
                <w:szCs w:val="20"/>
                <w:color w:val="auto"/>
              </w:rPr>
            </w:pPr>
            <w:r>
              <w:rPr>
                <w:rFonts w:ascii="Arial" w:cs="Arial" w:eastAsia="Arial" w:hAnsi="Arial"/>
                <w:sz w:val="20"/>
                <w:szCs w:val="20"/>
                <w:color w:val="auto"/>
              </w:rPr>
              <w:t>Definitive Notes</w:t>
            </w: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60"/>
              <w:spacing w:after="0"/>
              <w:rPr>
                <w:sz w:val="20"/>
                <w:szCs w:val="20"/>
                <w:color w:val="auto"/>
              </w:rPr>
            </w:pPr>
            <w:r>
              <w:rPr>
                <w:rFonts w:ascii="Arial" w:cs="Arial" w:eastAsia="Arial" w:hAnsi="Arial"/>
                <w:sz w:val="20"/>
                <w:szCs w:val="20"/>
                <w:color w:val="auto"/>
              </w:rPr>
              <w:t>........................................................................................................</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1"/>
        </w:trPr>
        <w:tc>
          <w:tcPr>
            <w:tcW w:w="6520" w:type="dxa"/>
            <w:vAlign w:val="bottom"/>
          </w:tcPr>
          <w:p>
            <w:pPr>
              <w:spacing w:after="0"/>
              <w:rPr>
                <w:sz w:val="20"/>
                <w:szCs w:val="20"/>
                <w:color w:val="auto"/>
              </w:rPr>
            </w:pPr>
            <w:r>
              <w:rPr>
                <w:rFonts w:ascii="Arial" w:cs="Arial" w:eastAsia="Arial" w:hAnsi="Arial"/>
                <w:sz w:val="20"/>
                <w:szCs w:val="20"/>
                <w:color w:val="auto"/>
                <w:w w:val="89"/>
              </w:rPr>
              <w:t>Reliance on Instructions ...........................................................................................</w:t>
            </w:r>
          </w:p>
        </w:tc>
        <w:tc>
          <w:tcPr>
            <w:tcW w:w="440" w:type="dxa"/>
            <w:vAlign w:val="bottom"/>
          </w:tcPr>
          <w:p>
            <w:pPr>
              <w:ind w:lef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73"/>
        </w:trPr>
        <w:tc>
          <w:tcPr>
            <w:tcW w:w="6520" w:type="dxa"/>
            <w:vAlign w:val="bottom"/>
          </w:tcPr>
          <w:p>
            <w:pPr>
              <w:spacing w:after="0"/>
              <w:rPr>
                <w:sz w:val="20"/>
                <w:szCs w:val="20"/>
                <w:color w:val="auto"/>
              </w:rPr>
            </w:pPr>
            <w:r>
              <w:rPr>
                <w:rFonts w:ascii="Arial" w:cs="Arial" w:eastAsia="Arial" w:hAnsi="Arial"/>
                <w:sz w:val="20"/>
                <w:szCs w:val="20"/>
                <w:color w:val="auto"/>
              </w:rPr>
              <w:t>Company's Representations and Warranties</w:t>
            </w: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60"/>
              <w:spacing w:after="0"/>
              <w:rPr>
                <w:sz w:val="20"/>
                <w:szCs w:val="20"/>
                <w:color w:val="auto"/>
              </w:rPr>
            </w:pPr>
            <w:r>
              <w:rPr>
                <w:rFonts w:ascii="Arial" w:cs="Arial" w:eastAsia="Arial" w:hAnsi="Arial"/>
                <w:sz w:val="20"/>
                <w:szCs w:val="20"/>
                <w:color w:val="auto"/>
              </w:rPr>
              <w:t>.............................................................</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2"/>
        </w:trPr>
        <w:tc>
          <w:tcPr>
            <w:tcW w:w="6520" w:type="dxa"/>
            <w:vAlign w:val="bottom"/>
          </w:tcPr>
          <w:p>
            <w:pPr>
              <w:spacing w:after="0"/>
              <w:rPr>
                <w:sz w:val="20"/>
                <w:szCs w:val="20"/>
                <w:color w:val="auto"/>
              </w:rPr>
            </w:pPr>
            <w:r>
              <w:rPr>
                <w:rFonts w:ascii="Arial" w:cs="Arial" w:eastAsia="Arial" w:hAnsi="Arial"/>
                <w:sz w:val="20"/>
                <w:szCs w:val="20"/>
                <w:color w:val="auto"/>
                <w:w w:val="93"/>
              </w:rPr>
              <w:t>Payment of Note Principal and Interest; Interest Payment Dates; Record Dates</w:t>
            </w: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60"/>
              <w:spacing w:after="0"/>
              <w:rPr>
                <w:sz w:val="20"/>
                <w:szCs w:val="20"/>
                <w:color w:val="auto"/>
              </w:rPr>
            </w:pPr>
            <w:r>
              <w:rPr>
                <w:rFonts w:ascii="Arial" w:cs="Arial" w:eastAsia="Arial" w:hAnsi="Arial"/>
                <w:sz w:val="20"/>
                <w:szCs w:val="20"/>
                <w:color w:val="auto"/>
              </w:rPr>
              <w:t>.....</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1"/>
        </w:trPr>
        <w:tc>
          <w:tcPr>
            <w:tcW w:w="6520" w:type="dxa"/>
            <w:vAlign w:val="bottom"/>
          </w:tcPr>
          <w:p>
            <w:pPr>
              <w:spacing w:after="0"/>
              <w:rPr>
                <w:sz w:val="20"/>
                <w:szCs w:val="20"/>
                <w:color w:val="auto"/>
              </w:rPr>
            </w:pPr>
            <w:r>
              <w:rPr>
                <w:rFonts w:ascii="Arial" w:cs="Arial" w:eastAsia="Arial" w:hAnsi="Arial"/>
                <w:sz w:val="20"/>
                <w:szCs w:val="20"/>
                <w:color w:val="auto"/>
                <w:w w:val="89"/>
              </w:rPr>
              <w:t>Duties of the Fiscal Agent ........................................................................................</w:t>
            </w:r>
          </w:p>
        </w:tc>
        <w:tc>
          <w:tcPr>
            <w:tcW w:w="440" w:type="dxa"/>
            <w:vAlign w:val="bottom"/>
          </w:tcPr>
          <w:p>
            <w:pPr>
              <w:ind w:lef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90"/>
              </w:rPr>
              <w:t>Liability ....................................................................................................................</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90"/>
              </w:rPr>
              <w:t>Indemnification by Company ...................................................................................</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79"/>
        </w:trPr>
        <w:tc>
          <w:tcPr>
            <w:tcW w:w="6520" w:type="dxa"/>
            <w:vAlign w:val="bottom"/>
          </w:tcPr>
          <w:p>
            <w:pPr>
              <w:spacing w:after="0"/>
              <w:rPr>
                <w:sz w:val="20"/>
                <w:szCs w:val="20"/>
                <w:color w:val="auto"/>
              </w:rPr>
            </w:pPr>
            <w:r>
              <w:rPr>
                <w:rFonts w:ascii="Arial" w:cs="Arial" w:eastAsia="Arial" w:hAnsi="Arial"/>
                <w:sz w:val="20"/>
                <w:szCs w:val="20"/>
                <w:color w:val="auto"/>
              </w:rPr>
              <w:t>Indemnification by the Agents</w:t>
            </w:r>
          </w:p>
        </w:tc>
        <w:tc>
          <w:tcPr>
            <w:tcW w:w="440" w:type="dxa"/>
            <w:vAlign w:val="bottom"/>
          </w:tcPr>
          <w:p>
            <w:pPr>
              <w:ind w:lef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520" w:type="dxa"/>
            <w:vAlign w:val="bottom"/>
          </w:tcPr>
          <w:p>
            <w:pPr>
              <w:ind w:left="6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0"/>
                <w:szCs w:val="20"/>
                <w:color w:val="auto"/>
              </w:rPr>
            </w:pPr>
            <w:r>
              <w:rPr>
                <w:rFonts w:ascii="Arial" w:cs="Arial" w:eastAsia="Arial" w:hAnsi="Arial"/>
                <w:sz w:val="20"/>
                <w:szCs w:val="20"/>
                <w:color w:val="auto"/>
              </w:rPr>
              <w:t>Compensation of the Agents</w:t>
            </w:r>
          </w:p>
        </w:tc>
        <w:tc>
          <w:tcPr>
            <w:tcW w:w="440" w:type="dxa"/>
            <w:vAlign w:val="bottom"/>
          </w:tcPr>
          <w:p>
            <w:pPr>
              <w:ind w:lef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520" w:type="dxa"/>
            <w:vAlign w:val="bottom"/>
          </w:tcPr>
          <w:p>
            <w:pPr>
              <w:ind w:left="6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520" w:type="dxa"/>
            <w:vAlign w:val="bottom"/>
            <w:vMerge w:val="restart"/>
          </w:tcPr>
          <w:p>
            <w:pPr>
              <w:spacing w:after="0"/>
              <w:rPr>
                <w:sz w:val="20"/>
                <w:szCs w:val="20"/>
                <w:color w:val="auto"/>
              </w:rPr>
            </w:pPr>
            <w:r>
              <w:rPr>
                <w:rFonts w:ascii="Arial" w:cs="Arial" w:eastAsia="Arial" w:hAnsi="Arial"/>
                <w:sz w:val="20"/>
                <w:szCs w:val="20"/>
                <w:color w:val="auto"/>
                <w:w w:val="89"/>
              </w:rPr>
              <w:t>Meetings of the Noteholders ....................................................................................</w:t>
            </w:r>
          </w:p>
        </w:tc>
        <w:tc>
          <w:tcPr>
            <w:tcW w:w="440" w:type="dxa"/>
            <w:vAlign w:val="bottom"/>
          </w:tcPr>
          <w:p>
            <w:pPr>
              <w:ind w:lef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2"/>
        </w:trPr>
        <w:tc>
          <w:tcPr>
            <w:tcW w:w="65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6520" w:type="dxa"/>
            <w:vAlign w:val="bottom"/>
            <w:vMerge w:val="restart"/>
          </w:tcPr>
          <w:p>
            <w:pPr>
              <w:spacing w:after="0"/>
              <w:rPr>
                <w:sz w:val="20"/>
                <w:szCs w:val="20"/>
                <w:color w:val="auto"/>
              </w:rPr>
            </w:pPr>
            <w:r>
              <w:rPr>
                <w:rFonts w:ascii="Arial" w:cs="Arial" w:eastAsia="Arial" w:hAnsi="Arial"/>
                <w:sz w:val="20"/>
                <w:szCs w:val="20"/>
                <w:color w:val="auto"/>
                <w:w w:val="89"/>
              </w:rPr>
              <w:t>Notices ......................................................................................................................</w:t>
            </w:r>
          </w:p>
        </w:tc>
        <w:tc>
          <w:tcPr>
            <w:tcW w:w="440" w:type="dxa"/>
            <w:vAlign w:val="bottom"/>
          </w:tcPr>
          <w:p>
            <w:pPr>
              <w:ind w:lef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2"/>
        </w:trPr>
        <w:tc>
          <w:tcPr>
            <w:tcW w:w="65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6520" w:type="dxa"/>
            <w:vAlign w:val="bottom"/>
          </w:tcPr>
          <w:p>
            <w:pPr>
              <w:spacing w:after="0"/>
              <w:rPr>
                <w:sz w:val="20"/>
                <w:szCs w:val="20"/>
                <w:color w:val="auto"/>
              </w:rPr>
            </w:pPr>
            <w:r>
              <w:rPr>
                <w:rFonts w:ascii="Arial" w:cs="Arial" w:eastAsia="Arial" w:hAnsi="Arial"/>
                <w:sz w:val="20"/>
                <w:szCs w:val="20"/>
                <w:color w:val="auto"/>
              </w:rPr>
              <w:t>Resignation or Removal of the Agents</w:t>
            </w: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25"/>
        </w:trPr>
        <w:tc>
          <w:tcPr>
            <w:tcW w:w="6520" w:type="dxa"/>
            <w:vAlign w:val="bottom"/>
            <w:vMerge w:val="restart"/>
          </w:tcPr>
          <w:p>
            <w:pPr>
              <w:ind w:left="660"/>
              <w:spacing w:after="0"/>
              <w:rPr>
                <w:sz w:val="20"/>
                <w:szCs w:val="20"/>
                <w:color w:val="auto"/>
              </w:rPr>
            </w:pPr>
            <w:r>
              <w:rPr>
                <w:rFonts w:ascii="Arial" w:cs="Arial" w:eastAsia="Arial" w:hAnsi="Arial"/>
                <w:sz w:val="20"/>
                <w:szCs w:val="20"/>
                <w:color w:val="auto"/>
              </w:rPr>
              <w:t>.....................................................................</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1"/>
        </w:trPr>
        <w:tc>
          <w:tcPr>
            <w:tcW w:w="6520" w:type="dxa"/>
            <w:vAlign w:val="bottom"/>
          </w:tcPr>
          <w:p>
            <w:pPr>
              <w:spacing w:after="0"/>
              <w:rPr>
                <w:sz w:val="20"/>
                <w:szCs w:val="20"/>
                <w:color w:val="auto"/>
              </w:rPr>
            </w:pPr>
            <w:r>
              <w:rPr>
                <w:rFonts w:ascii="Arial" w:cs="Arial" w:eastAsia="Arial" w:hAnsi="Arial"/>
                <w:sz w:val="20"/>
                <w:szCs w:val="20"/>
                <w:color w:val="auto"/>
                <w:w w:val="90"/>
              </w:rPr>
              <w:t>Benefit of Agreement ...............................................................................................</w:t>
            </w:r>
          </w:p>
        </w:tc>
        <w:tc>
          <w:tcPr>
            <w:tcW w:w="440" w:type="dxa"/>
            <w:vAlign w:val="bottom"/>
          </w:tcPr>
          <w:p>
            <w:pPr>
              <w:ind w:lef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89"/>
              </w:rPr>
              <w:t>Notes held by a Paying Agent ..................................................................................</w:t>
            </w:r>
          </w:p>
        </w:tc>
        <w:tc>
          <w:tcPr>
            <w:tcW w:w="440" w:type="dxa"/>
            <w:vAlign w:val="bottom"/>
          </w:tcPr>
          <w:p>
            <w:pPr>
              <w:ind w:lef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89"/>
              </w:rPr>
              <w:t>Change of Control ....................................................................................................</w:t>
            </w:r>
          </w:p>
        </w:tc>
        <w:tc>
          <w:tcPr>
            <w:tcW w:w="440" w:type="dxa"/>
            <w:vAlign w:val="bottom"/>
          </w:tcPr>
          <w:p>
            <w:pPr>
              <w:ind w:lef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2">
            <w:col w:w="840" w:space="720"/>
            <w:col w:w="7759"/>
          </w:cols>
          <w:pgMar w:left="1140" w:top="738" w:right="1440" w:bottom="0" w:gutter="0" w:footer="0" w:header="0"/>
        </w:sectPr>
      </w:pPr>
    </w:p>
    <w:bookmarkStart w:id="6" w:name="page7"/>
    <w:bookmarkEnd w:id="6"/>
    <w:p>
      <w:pPr>
        <w:ind w:left="86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395" w:lineRule="exact"/>
        <w:rPr>
          <w:sz w:val="20"/>
          <w:szCs w:val="20"/>
          <w:color w:val="auto"/>
        </w:rPr>
      </w:pPr>
    </w:p>
    <w:p>
      <w:pPr>
        <w:jc w:val="center"/>
        <w:ind w:left="780"/>
        <w:spacing w:after="0"/>
        <w:rPr>
          <w:sz w:val="20"/>
          <w:szCs w:val="20"/>
          <w:color w:val="auto"/>
        </w:rPr>
      </w:pPr>
      <w:r>
        <w:rPr>
          <w:rFonts w:ascii="Arial" w:cs="Arial" w:eastAsia="Arial" w:hAnsi="Arial"/>
          <w:sz w:val="16"/>
          <w:szCs w:val="16"/>
          <w:b w:val="1"/>
          <w:bCs w:val="1"/>
          <w:color w:val="auto"/>
        </w:rPr>
        <w:t>Schedule</w:t>
      </w:r>
    </w:p>
    <w:p>
      <w:pPr>
        <w:spacing w:after="0" w:line="200" w:lineRule="exact"/>
        <w:rPr>
          <w:sz w:val="20"/>
          <w:szCs w:val="20"/>
          <w:color w:val="auto"/>
        </w:rPr>
      </w:pPr>
    </w:p>
    <w:p>
      <w:pPr>
        <w:spacing w:after="0" w:line="2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520" w:type="dxa"/>
            <w:vAlign w:val="bottom"/>
          </w:tcPr>
          <w:p>
            <w:pPr>
              <w:spacing w:after="0"/>
              <w:rPr>
                <w:sz w:val="20"/>
                <w:szCs w:val="20"/>
                <w:color w:val="auto"/>
              </w:rPr>
            </w:pPr>
            <w:r>
              <w:rPr>
                <w:rFonts w:ascii="Arial" w:cs="Arial" w:eastAsia="Arial" w:hAnsi="Arial"/>
                <w:sz w:val="20"/>
                <w:szCs w:val="20"/>
                <w:color w:val="auto"/>
                <w:w w:val="89"/>
              </w:rPr>
              <w:t>Counterparts .............................................................................................................</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702"/>
        </w:trPr>
        <w:tc>
          <w:tcPr>
            <w:tcW w:w="6520" w:type="dxa"/>
            <w:vAlign w:val="bottom"/>
          </w:tcPr>
          <w:p>
            <w:pPr>
              <w:spacing w:after="0"/>
              <w:rPr>
                <w:sz w:val="20"/>
                <w:szCs w:val="20"/>
                <w:color w:val="auto"/>
              </w:rPr>
            </w:pPr>
            <w:r>
              <w:rPr>
                <w:rFonts w:ascii="Arial" w:cs="Arial" w:eastAsia="Arial" w:hAnsi="Arial"/>
                <w:sz w:val="20"/>
                <w:szCs w:val="20"/>
                <w:color w:val="auto"/>
                <w:w w:val="91"/>
              </w:rPr>
              <w:t xml:space="preserve">Governing Law </w:t>
            </w:r>
            <w:r>
              <w:rPr>
                <w:rFonts w:ascii="Arial" w:cs="Arial" w:eastAsia="Arial" w:hAnsi="Arial"/>
                <w:sz w:val="18"/>
                <w:szCs w:val="18"/>
                <w:color w:val="auto"/>
                <w:w w:val="9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576"/>
        </w:trPr>
        <w:tc>
          <w:tcPr>
            <w:tcW w:w="6520" w:type="dxa"/>
            <w:vAlign w:val="bottom"/>
          </w:tcPr>
          <w:p>
            <w:pPr>
              <w:spacing w:after="0"/>
              <w:rPr>
                <w:sz w:val="20"/>
                <w:szCs w:val="20"/>
                <w:color w:val="auto"/>
              </w:rPr>
            </w:pPr>
            <w:r>
              <w:rPr>
                <w:rFonts w:ascii="Arial" w:cs="Arial" w:eastAsia="Arial" w:hAnsi="Arial"/>
                <w:sz w:val="20"/>
                <w:szCs w:val="20"/>
                <w:color w:val="auto"/>
              </w:rPr>
              <w:t>Submission to New York Jurisdiction</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122"/>
        </w:trPr>
        <w:tc>
          <w:tcPr>
            <w:tcW w:w="652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8"/>
        </w:trPr>
        <w:tc>
          <w:tcPr>
            <w:tcW w:w="6520" w:type="dxa"/>
            <w:vAlign w:val="bottom"/>
          </w:tcPr>
          <w:p>
            <w:pPr>
              <w:spacing w:after="0"/>
              <w:rPr>
                <w:sz w:val="20"/>
                <w:szCs w:val="20"/>
                <w:color w:val="auto"/>
              </w:rPr>
            </w:pPr>
            <w:r>
              <w:rPr>
                <w:rFonts w:ascii="Arial" w:cs="Arial" w:eastAsia="Arial" w:hAnsi="Arial"/>
                <w:sz w:val="20"/>
                <w:szCs w:val="20"/>
                <w:color w:val="auto"/>
                <w:w w:val="91"/>
              </w:rPr>
              <w:t xml:space="preserve">Modification of Agreement and Notes </w:t>
            </w:r>
            <w:r>
              <w:rPr>
                <w:rFonts w:ascii="Arial" w:cs="Arial" w:eastAsia="Arial" w:hAnsi="Arial"/>
                <w:sz w:val="18"/>
                <w:szCs w:val="18"/>
                <w:color w:val="auto"/>
                <w:w w:val="9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dot" w:pos="6540" w:val="left"/>
        </w:tabs>
        <w:rPr>
          <w:sz w:val="20"/>
          <w:szCs w:val="20"/>
          <w:color w:val="auto"/>
        </w:rPr>
      </w:pPr>
      <w:r>
        <w:rPr>
          <w:rFonts w:ascii="Arial" w:cs="Arial" w:eastAsia="Arial" w:hAnsi="Arial"/>
          <w:sz w:val="20"/>
          <w:szCs w:val="20"/>
          <w:color w:val="auto"/>
        </w:rPr>
        <w:t>Form of Note</w:t>
      </w:r>
      <w:r>
        <w:rPr>
          <w:sz w:val="20"/>
          <w:szCs w:val="20"/>
          <w:color w:val="auto"/>
        </w:rPr>
        <w:tab/>
      </w:r>
      <w:r>
        <w:rPr>
          <w:rFonts w:ascii="Arial" w:cs="Arial" w:eastAsia="Arial" w:hAnsi="Arial"/>
          <w:sz w:val="16"/>
          <w:szCs w:val="16"/>
          <w:color w:val="auto"/>
        </w:rPr>
        <w:t>18</w:t>
      </w:r>
    </w:p>
    <w:p>
      <w:pPr>
        <w:spacing w:after="0" w:line="200" w:lineRule="exact"/>
        <w:rPr>
          <w:sz w:val="20"/>
          <w:szCs w:val="20"/>
          <w:color w:val="auto"/>
        </w:rPr>
      </w:pPr>
    </w:p>
    <w:p>
      <w:pPr>
        <w:spacing w:after="0" w:line="272" w:lineRule="exact"/>
        <w:rPr>
          <w:sz w:val="20"/>
          <w:szCs w:val="20"/>
          <w:color w:val="auto"/>
        </w:rPr>
      </w:pPr>
    </w:p>
    <w:p>
      <w:pPr>
        <w:spacing w:after="0"/>
        <w:tabs>
          <w:tab w:leader="dot" w:pos="6540" w:val="left"/>
        </w:tabs>
        <w:rPr>
          <w:sz w:val="20"/>
          <w:szCs w:val="20"/>
          <w:color w:val="auto"/>
        </w:rPr>
      </w:pPr>
      <w:r>
        <w:rPr>
          <w:rFonts w:ascii="Arial" w:cs="Arial" w:eastAsia="Arial" w:hAnsi="Arial"/>
          <w:sz w:val="20"/>
          <w:szCs w:val="20"/>
          <w:color w:val="auto"/>
        </w:rPr>
        <w:t>Provisions for Meetings of the Noteholders</w:t>
      </w:r>
      <w:r>
        <w:rPr>
          <w:sz w:val="20"/>
          <w:szCs w:val="20"/>
          <w:color w:val="auto"/>
        </w:rPr>
        <w:tab/>
      </w:r>
      <w:r>
        <w:rPr>
          <w:rFonts w:ascii="Arial" w:cs="Arial" w:eastAsia="Arial" w:hAnsi="Arial"/>
          <w:sz w:val="16"/>
          <w:szCs w:val="16"/>
          <w:color w:val="auto"/>
        </w:rPr>
        <w:t>36</w:t>
      </w:r>
    </w:p>
    <w:p>
      <w:pPr>
        <w:spacing w:after="0" w:line="200" w:lineRule="exact"/>
        <w:rPr>
          <w:sz w:val="20"/>
          <w:szCs w:val="20"/>
          <w:color w:val="auto"/>
        </w:rPr>
      </w:pPr>
    </w:p>
    <w:p>
      <w:pPr>
        <w:sectPr>
          <w:pgSz w:w="11900" w:h="16838" w:orient="portrait"/>
          <w:cols w:equalWidth="0" w:num="2">
            <w:col w:w="1700" w:space="720"/>
            <w:col w:w="7759"/>
          </w:cols>
          <w:pgMar w:left="280" w:top="2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1119"/>
        <w:spacing w:after="0"/>
        <w:tabs>
          <w:tab w:leader="dot" w:pos="160" w:val="left"/>
        </w:tabs>
        <w:rPr>
          <w:sz w:val="20"/>
          <w:szCs w:val="20"/>
          <w:color w:val="auto"/>
        </w:rPr>
      </w:pPr>
      <w:r>
        <w:rPr>
          <w:rFonts w:ascii="Arial" w:cs="Arial" w:eastAsia="Arial" w:hAnsi="Arial"/>
          <w:sz w:val="20"/>
          <w:szCs w:val="20"/>
          <w:color w:val="auto"/>
        </w:rPr>
        <w:t>Signatories</w:t>
      </w:r>
      <w:r>
        <w:rPr>
          <w:sz w:val="20"/>
          <w:szCs w:val="20"/>
          <w:color w:val="auto"/>
        </w:rPr>
        <w:tab/>
      </w:r>
      <w:r>
        <w:rPr>
          <w:rFonts w:ascii="Arial" w:cs="Arial" w:eastAsia="Arial" w:hAnsi="Arial"/>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0010155-0002339 ICM:22527054.5C</w:t>
      </w:r>
    </w:p>
    <w:p>
      <w:pPr>
        <w:sectPr>
          <w:pgSz w:w="11900" w:h="16838" w:orient="portrait"/>
          <w:cols w:equalWidth="0" w:num="1">
            <w:col w:w="10179"/>
          </w:cols>
          <w:pgMar w:left="280" w:top="260" w:right="1440" w:bottom="1440" w:gutter="0" w:footer="0" w:header="0"/>
          <w:type w:val="continuous"/>
        </w:sectPr>
      </w:pPr>
    </w:p>
    <w:bookmarkStart w:id="7" w:name="page8"/>
    <w:bookmarkEnd w:id="7"/>
    <w:p>
      <w:pPr>
        <w:jc w:val="both"/>
        <w:spacing w:after="0" w:line="292" w:lineRule="auto"/>
        <w:rPr>
          <w:sz w:val="20"/>
          <w:szCs w:val="20"/>
          <w:color w:val="auto"/>
        </w:rPr>
      </w:pPr>
      <w:r>
        <w:rPr>
          <w:rFonts w:ascii="Arial" w:cs="Arial" w:eastAsia="Arial" w:hAnsi="Arial"/>
          <w:sz w:val="19"/>
          <w:szCs w:val="19"/>
          <w:b w:val="1"/>
          <w:bCs w:val="1"/>
          <w:color w:val="auto"/>
        </w:rPr>
        <w:t xml:space="preserve">FISCAL AND PAYING AGENCY AGREEMENT </w:t>
      </w:r>
      <w:r>
        <w:rPr>
          <w:rFonts w:ascii="Arial" w:cs="Arial" w:eastAsia="Arial" w:hAnsi="Arial"/>
          <w:sz w:val="19"/>
          <w:szCs w:val="19"/>
          <w:color w:val="auto"/>
        </w:rPr>
        <w:t>dated as of September 11, 2015 (the</w:t>
      </w:r>
      <w:r>
        <w:rPr>
          <w:rFonts w:ascii="Arial" w:cs="Arial" w:eastAsia="Arial" w:hAnsi="Arial"/>
          <w:sz w:val="19"/>
          <w:szCs w:val="19"/>
          <w:b w:val="1"/>
          <w:bCs w:val="1"/>
          <w:color w:val="auto"/>
        </w:rPr>
        <w:t xml:space="preserve"> Agreement</w:t>
      </w:r>
      <w:r>
        <w:rPr>
          <w:rFonts w:ascii="Arial" w:cs="Arial" w:eastAsia="Arial" w:hAnsi="Arial"/>
          <w:sz w:val="19"/>
          <w:szCs w:val="19"/>
          <w:color w:val="auto"/>
        </w:rPr>
        <w:t>) among</w:t>
      </w:r>
      <w:r>
        <w:rPr>
          <w:rFonts w:ascii="Arial" w:cs="Arial" w:eastAsia="Arial" w:hAnsi="Arial"/>
          <w:sz w:val="19"/>
          <w:szCs w:val="19"/>
          <w:b w:val="1"/>
          <w:bCs w:val="1"/>
          <w:color w:val="auto"/>
        </w:rPr>
        <w:t xml:space="preserve"> MANPOWERGROUP INC.</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corporation organized under the laws of the State of Wisconsin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and </w:t>
      </w:r>
      <w:r>
        <w:rPr>
          <w:rFonts w:ascii="Arial" w:cs="Arial" w:eastAsia="Arial" w:hAnsi="Arial"/>
          <w:sz w:val="19"/>
          <w:szCs w:val="19"/>
          <w:b w:val="1"/>
          <w:bCs w:val="1"/>
          <w:color w:val="auto"/>
        </w:rPr>
        <w:t>CITIBANK, N.A., LONDON BRANCH,</w:t>
      </w:r>
      <w:r>
        <w:rPr>
          <w:rFonts w:ascii="Arial" w:cs="Arial" w:eastAsia="Arial" w:hAnsi="Arial"/>
          <w:sz w:val="19"/>
          <w:szCs w:val="19"/>
          <w:color w:val="auto"/>
        </w:rPr>
        <w:t xml:space="preserve"> acting through its office at Citigroup Centre, 25 Canada Square, Canary Wharf, London E14 5LB, England, as fiscal and principal paying agent, (Citibank, N.A., London Branch or any successor or additional person acting as fiscal or principal paying agent, as applicable, appointed hereunder being called the </w:t>
      </w:r>
      <w:r>
        <w:rPr>
          <w:rFonts w:ascii="Arial" w:cs="Arial" w:eastAsia="Arial" w:hAnsi="Arial"/>
          <w:sz w:val="19"/>
          <w:szCs w:val="19"/>
          <w:b w:val="1"/>
          <w:bCs w:val="1"/>
          <w:color w:val="auto"/>
        </w:rPr>
        <w:t>Fiscal Agent</w:t>
      </w:r>
      <w:r>
        <w:rPr>
          <w:rFonts w:ascii="Arial" w:cs="Arial" w:eastAsia="Arial" w:hAnsi="Arial"/>
          <w:sz w:val="19"/>
          <w:szCs w:val="19"/>
          <w:color w:val="auto"/>
        </w:rPr>
        <w:t xml:space="preserve"> and the </w:t>
      </w:r>
      <w:r>
        <w:rPr>
          <w:rFonts w:ascii="Arial" w:cs="Arial" w:eastAsia="Arial" w:hAnsi="Arial"/>
          <w:sz w:val="19"/>
          <w:szCs w:val="19"/>
          <w:b w:val="1"/>
          <w:bCs w:val="1"/>
          <w:color w:val="auto"/>
        </w:rPr>
        <w:t>Paying Agent</w:t>
      </w:r>
      <w:r>
        <w:rPr>
          <w:rFonts w:ascii="Arial" w:cs="Arial" w:eastAsia="Arial" w:hAnsi="Arial"/>
          <w:sz w:val="19"/>
          <w:szCs w:val="19"/>
          <w:color w:val="auto"/>
        </w:rPr>
        <w:t>,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WITNESSETH</w:t>
      </w:r>
      <w:r>
        <w:rPr>
          <w:rFonts w:ascii="Arial" w:cs="Arial" w:eastAsia="Arial" w:hAnsi="Arial"/>
          <w:sz w:val="20"/>
          <w:szCs w:val="20"/>
          <w:color w:val="auto"/>
        </w:rPr>
        <w:t>:</w:t>
      </w:r>
    </w:p>
    <w:p>
      <w:pPr>
        <w:spacing w:after="0" w:line="24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42" w:lineRule="exact"/>
        <w:rPr>
          <w:rFonts w:ascii="Arial" w:cs="Arial" w:eastAsia="Arial" w:hAnsi="Arial"/>
          <w:sz w:val="20"/>
          <w:szCs w:val="20"/>
          <w:b w:val="1"/>
          <w:bCs w:val="1"/>
          <w:color w:val="auto"/>
        </w:rPr>
      </w:pPr>
    </w:p>
    <w:p>
      <w:pPr>
        <w:jc w:val="both"/>
        <w:ind w:left="660"/>
        <w:spacing w:after="0" w:line="276" w:lineRule="auto"/>
        <w:rPr>
          <w:rFonts w:ascii="Arial" w:cs="Arial" w:eastAsia="Arial" w:hAnsi="Arial"/>
          <w:sz w:val="20"/>
          <w:szCs w:val="20"/>
          <w:b w:val="1"/>
          <w:bCs w:val="1"/>
          <w:color w:val="auto"/>
        </w:rPr>
      </w:pPr>
      <w:r>
        <w:rPr>
          <w:rFonts w:ascii="Arial" w:cs="Arial" w:eastAsia="Arial" w:hAnsi="Arial"/>
          <w:sz w:val="20"/>
          <w:szCs w:val="20"/>
          <w:color w:val="auto"/>
        </w:rPr>
        <w:t xml:space="preserve">The Company has authorized the creation and issue of €400,000,000 1.875% notes due September 11, 2022 (the </w:t>
      </w:r>
      <w:r>
        <w:rPr>
          <w:rFonts w:ascii="Arial" w:cs="Arial" w:eastAsia="Arial" w:hAnsi="Arial"/>
          <w:sz w:val="20"/>
          <w:szCs w:val="20"/>
          <w:b w:val="1"/>
          <w:bCs w:val="1"/>
          <w:color w:val="auto"/>
        </w:rPr>
        <w:t>Notes</w:t>
      </w:r>
      <w:r>
        <w:rPr>
          <w:rFonts w:ascii="Arial" w:cs="Arial" w:eastAsia="Arial" w:hAnsi="Arial"/>
          <w:sz w:val="20"/>
          <w:szCs w:val="20"/>
          <w:color w:val="auto"/>
        </w:rPr>
        <w:t>). The Notes will be senior to all of the Company's unsecured subordinated indebtedness, effectively junior to all of the Company's secured indebtedness to the extent of the value of the collateral, and effectively junior to all indebtedness and other obligations, including trade payables, of all of the Company's Subsidiaries</w:t>
      </w:r>
      <w:r>
        <w:rPr>
          <w:rFonts w:ascii="Arial" w:cs="Arial" w:eastAsia="Arial" w:hAnsi="Arial"/>
          <w:sz w:val="18"/>
          <w:szCs w:val="18"/>
          <w:color w:val="auto"/>
        </w:rPr>
        <w:t>.</w:t>
      </w:r>
    </w:p>
    <w:p>
      <w:pPr>
        <w:spacing w:after="0" w:line="184" w:lineRule="exact"/>
        <w:rPr>
          <w:rFonts w:ascii="Arial" w:cs="Arial" w:eastAsia="Arial" w:hAnsi="Arial"/>
          <w:sz w:val="20"/>
          <w:szCs w:val="20"/>
          <w:b w:val="1"/>
          <w:bCs w:val="1"/>
          <w:color w:val="auto"/>
        </w:rPr>
      </w:pPr>
    </w:p>
    <w:p>
      <w:pPr>
        <w:ind w:left="660" w:hanging="652"/>
        <w:spacing w:after="0"/>
        <w:tabs>
          <w:tab w:leader="none" w:pos="6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 OF THE FISCAL AGENT, REGISTRAR, TRANSFER AGENT AND PAYING AGENT</w:t>
      </w:r>
    </w:p>
    <w:p>
      <w:pPr>
        <w:spacing w:after="0" w:line="24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 xml:space="preserve">The Company hereby appoints the Fiscal Agent to act, and the Fiscal Agent hereby accepts such appointment, on the terms and conditions specified herein and in the Notes, as fiscal and principal paying agent for the Notes. The Company shall maintain an office or agency in London where Notes may be presented for registration (the </w:t>
      </w:r>
      <w:r>
        <w:rPr>
          <w:rFonts w:ascii="Arial" w:cs="Arial" w:eastAsia="Arial" w:hAnsi="Arial"/>
          <w:sz w:val="19"/>
          <w:szCs w:val="19"/>
          <w:b w:val="1"/>
          <w:bCs w:val="1"/>
          <w:color w:val="auto"/>
        </w:rPr>
        <w:t>Registrar</w:t>
      </w:r>
      <w:r>
        <w:rPr>
          <w:rFonts w:ascii="Arial" w:cs="Arial" w:eastAsia="Arial" w:hAnsi="Arial"/>
          <w:sz w:val="19"/>
          <w:szCs w:val="19"/>
          <w:color w:val="auto"/>
        </w:rPr>
        <w:t xml:space="preserve">) and an office or agency in London where Notes may be presented for transfer or exchange or for payment (the </w:t>
      </w:r>
      <w:r>
        <w:rPr>
          <w:rFonts w:ascii="Arial" w:cs="Arial" w:eastAsia="Arial" w:hAnsi="Arial"/>
          <w:sz w:val="19"/>
          <w:szCs w:val="19"/>
          <w:b w:val="1"/>
          <w:bCs w:val="1"/>
          <w:color w:val="auto"/>
        </w:rPr>
        <w:t>Transfer Agent</w:t>
      </w:r>
      <w:r>
        <w:rPr>
          <w:rFonts w:ascii="Arial" w:cs="Arial" w:eastAsia="Arial" w:hAnsi="Arial"/>
          <w:sz w:val="19"/>
          <w:szCs w:val="19"/>
          <w:color w:val="auto"/>
        </w:rPr>
        <w:t xml:space="preserve">). The Registrar shall keep a register of the Notes and of their transfer and exchange. The Company may have one or more co-registrars and one or more additional transfer and paying agents. The terms </w:t>
      </w:r>
      <w:r>
        <w:rPr>
          <w:rFonts w:ascii="Arial" w:cs="Arial" w:eastAsia="Arial" w:hAnsi="Arial"/>
          <w:sz w:val="19"/>
          <w:szCs w:val="19"/>
          <w:b w:val="1"/>
          <w:bCs w:val="1"/>
          <w:color w:val="auto"/>
        </w:rPr>
        <w:t>Paying Agents</w:t>
      </w:r>
      <w:r>
        <w:rPr>
          <w:rFonts w:ascii="Arial" w:cs="Arial" w:eastAsia="Arial" w:hAnsi="Arial"/>
          <w:sz w:val="19"/>
          <w:szCs w:val="19"/>
          <w:color w:val="auto"/>
        </w:rPr>
        <w:t xml:space="preserve"> and </w:t>
      </w:r>
      <w:r>
        <w:rPr>
          <w:rFonts w:ascii="Arial" w:cs="Arial" w:eastAsia="Arial" w:hAnsi="Arial"/>
          <w:sz w:val="19"/>
          <w:szCs w:val="19"/>
          <w:b w:val="1"/>
          <w:bCs w:val="1"/>
          <w:color w:val="auto"/>
        </w:rPr>
        <w:t>Transfer Agent</w:t>
      </w:r>
      <w:r>
        <w:rPr>
          <w:rFonts w:ascii="Arial" w:cs="Arial" w:eastAsia="Arial" w:hAnsi="Arial"/>
          <w:sz w:val="19"/>
          <w:szCs w:val="19"/>
          <w:color w:val="auto"/>
        </w:rPr>
        <w:t xml:space="preserve"> include any additional paying agent or transfer agent, as applicable, and the term </w:t>
      </w:r>
      <w:r>
        <w:rPr>
          <w:rFonts w:ascii="Arial" w:cs="Arial" w:eastAsia="Arial" w:hAnsi="Arial"/>
          <w:sz w:val="19"/>
          <w:szCs w:val="19"/>
          <w:b w:val="1"/>
          <w:bCs w:val="1"/>
          <w:color w:val="auto"/>
        </w:rPr>
        <w:t xml:space="preserve">Registrar </w:t>
      </w:r>
      <w:r>
        <w:rPr>
          <w:rFonts w:ascii="Arial" w:cs="Arial" w:eastAsia="Arial" w:hAnsi="Arial"/>
          <w:sz w:val="19"/>
          <w:szCs w:val="19"/>
          <w:color w:val="auto"/>
        </w:rPr>
        <w:t>includes any co-registrars. The Company initially appoints Citibank, N.A., London Branch, who accepts such appointment,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Registrar and Transfer Agent. In addition, the Company undertakes that it will ensure, to the extent practicable, that it maintains a paying agent in a member state of the European Union that is not obliged to withhold or deduct tax pursuant to European Council Directive 2003/48/EC (the </w:t>
      </w:r>
      <w:r>
        <w:rPr>
          <w:rFonts w:ascii="Arial" w:cs="Arial" w:eastAsia="Arial" w:hAnsi="Arial"/>
          <w:sz w:val="19"/>
          <w:szCs w:val="19"/>
          <w:b w:val="1"/>
          <w:bCs w:val="1"/>
          <w:color w:val="auto"/>
        </w:rPr>
        <w:t>Directive</w:t>
      </w:r>
      <w:r>
        <w:rPr>
          <w:rFonts w:ascii="Arial" w:cs="Arial" w:eastAsia="Arial" w:hAnsi="Arial"/>
          <w:sz w:val="19"/>
          <w:szCs w:val="19"/>
          <w:color w:val="auto"/>
        </w:rPr>
        <w:t xml:space="preserve">) regarding the taxation of savings income or any law implementing or complying with, or introduced in order to conform to, the Directive. The Fiscal Agent, the Paying Agents, the Transfer Agent and the Registrar will be referred to collectively as </w:t>
      </w:r>
      <w:r>
        <w:rPr>
          <w:rFonts w:ascii="Arial" w:cs="Arial" w:eastAsia="Arial" w:hAnsi="Arial"/>
          <w:sz w:val="19"/>
          <w:szCs w:val="19"/>
          <w:b w:val="1"/>
          <w:bCs w:val="1"/>
          <w:color w:val="auto"/>
        </w:rPr>
        <w:t>Agents</w:t>
      </w:r>
      <w:r>
        <w:rPr>
          <w:rFonts w:ascii="Arial" w:cs="Arial" w:eastAsia="Arial" w:hAnsi="Arial"/>
          <w:sz w:val="19"/>
          <w:szCs w:val="19"/>
          <w:color w:val="auto"/>
        </w:rPr>
        <w:t>.</w:t>
      </w:r>
    </w:p>
    <w:p>
      <w:pPr>
        <w:spacing w:after="0" w:line="182"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The Company shall enter into an appropriate agency agreement with any registrar, transfer agent or paying agent not a party to this Agreement, which shall implement the provisions of this Agreement that relate to such agent. The Company shall notify the Fiscal Agent of the name and address of any such agent. If the Company fails to maintain a Registrar, Transfer Agent or Paying Agent, the Fiscal Agent shall be entitled, but not obliged, to act as such and shall be entitled to appropriate compensation therefor pursuant to Clause 16 hereof.</w:t>
      </w:r>
    </w:p>
    <w:p>
      <w:pPr>
        <w:spacing w:after="0" w:line="191"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Except as specifically provided in this Agreement, any Registrar, Transfer Agent or Paying Agent will act solely as agents of the Company and will not assume any fiduciary duty, obligation or relationship of agency or trust to or with the holders of the Notes (</w:t>
      </w:r>
      <w:r>
        <w:rPr>
          <w:rFonts w:ascii="Arial" w:cs="Arial" w:eastAsia="Arial" w:hAnsi="Arial"/>
          <w:sz w:val="20"/>
          <w:szCs w:val="20"/>
          <w:b w:val="1"/>
          <w:bCs w:val="1"/>
          <w:color w:val="auto"/>
        </w:rPr>
        <w:t>Noteholders</w:t>
      </w:r>
      <w:r>
        <w:rPr>
          <w:rFonts w:ascii="Arial" w:cs="Arial" w:eastAsia="Arial" w:hAnsi="Arial"/>
          <w:sz w:val="20"/>
          <w:szCs w:val="20"/>
          <w:color w:val="auto"/>
        </w:rPr>
        <w: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The obligations of the Agents under this Agreement shall be several and not joint.</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1</w:t>
            </w:r>
          </w:p>
        </w:tc>
      </w:tr>
    </w:tbl>
    <w:p>
      <w:pPr>
        <w:sectPr>
          <w:pgSz w:w="11900" w:h="16838" w:orient="portrait"/>
          <w:cols w:equalWidth="0" w:num="1">
            <w:col w:w="11420"/>
          </w:cols>
          <w:pgMar w:left="240" w:top="819" w:right="239" w:bottom="1440" w:gutter="0" w:footer="0" w:header="0"/>
        </w:sectPr>
      </w:pPr>
    </w:p>
    <w:bookmarkStart w:id="8" w:name="page9"/>
    <w:bookmarkEnd w:id="8"/>
    <w:p>
      <w:pPr>
        <w:ind w:left="652" w:hanging="652"/>
        <w:spacing w:after="0"/>
        <w:tabs>
          <w:tab w:leader="none" w:pos="652"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AMOUNT; ADDITIONAL NOTES; EXECUTION</w:t>
      </w:r>
    </w:p>
    <w:p>
      <w:pPr>
        <w:spacing w:after="0" w:line="249" w:lineRule="exact"/>
        <w:rPr>
          <w:sz w:val="20"/>
          <w:szCs w:val="20"/>
          <w:color w:val="auto"/>
        </w:rPr>
      </w:pPr>
    </w:p>
    <w:p>
      <w:pPr>
        <w:jc w:val="both"/>
        <w:ind w:left="652" w:hanging="647"/>
        <w:spacing w:after="0" w:line="278" w:lineRule="auto"/>
        <w:tabs>
          <w:tab w:leader="none" w:pos="632"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aggregate principal amount of Notes which may be initially issued hereunder is €400,000,000. Additional Notes may be issued from time to time under this Agreement, and if issued, they may form the same series and will be governed by the same Agreement as the Notes offered hereby.</w:t>
      </w:r>
    </w:p>
    <w:p>
      <w:pPr>
        <w:spacing w:after="0" w:line="181" w:lineRule="exact"/>
        <w:rPr>
          <w:sz w:val="20"/>
          <w:szCs w:val="20"/>
          <w:color w:val="auto"/>
        </w:rPr>
      </w:pPr>
    </w:p>
    <w:p>
      <w:pPr>
        <w:jc w:val="both"/>
        <w:ind w:left="652" w:hanging="647"/>
        <w:spacing w:after="0" w:line="281" w:lineRule="auto"/>
        <w:tabs>
          <w:tab w:leader="none" w:pos="632"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 xml:space="preserve">The Global Note (as defined in Clause 5 below) and any certificated security (the </w:t>
      </w:r>
      <w:r>
        <w:rPr>
          <w:rFonts w:ascii="Arial" w:cs="Arial" w:eastAsia="Arial" w:hAnsi="Arial"/>
          <w:sz w:val="20"/>
          <w:szCs w:val="20"/>
          <w:b w:val="1"/>
          <w:bCs w:val="1"/>
          <w:color w:val="auto"/>
        </w:rPr>
        <w:t>Definitive Notes</w:t>
      </w:r>
      <w:r>
        <w:rPr>
          <w:rFonts w:ascii="Arial" w:cs="Arial" w:eastAsia="Arial" w:hAnsi="Arial"/>
          <w:sz w:val="20"/>
          <w:szCs w:val="20"/>
          <w:color w:val="auto"/>
        </w:rPr>
        <w:t>) shall be executed by or on behalf of the Company by the manual or facsimile signature of an Authorized Representative (as defined in Clause 4 below) of the Company and authenticated manually by or on behalf of the Fiscal Agent.</w:t>
      </w:r>
    </w:p>
    <w:p>
      <w:pPr>
        <w:spacing w:after="0" w:line="178" w:lineRule="exact"/>
        <w:rPr>
          <w:sz w:val="20"/>
          <w:szCs w:val="20"/>
          <w:color w:val="auto"/>
        </w:rPr>
      </w:pPr>
    </w:p>
    <w:p>
      <w:pPr>
        <w:ind w:left="652" w:hanging="652"/>
        <w:spacing w:after="0"/>
        <w:tabs>
          <w:tab w:leader="none" w:pos="652"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AUTHORIZED REPRESENTATIVES</w:t>
      </w:r>
    </w:p>
    <w:p>
      <w:pPr>
        <w:spacing w:after="0" w:line="248" w:lineRule="exact"/>
        <w:rPr>
          <w:rFonts w:ascii="Arial" w:cs="Arial" w:eastAsia="Arial" w:hAnsi="Arial"/>
          <w:sz w:val="20"/>
          <w:szCs w:val="20"/>
          <w:b w:val="1"/>
          <w:bCs w:val="1"/>
          <w:color w:val="auto"/>
        </w:rPr>
      </w:pPr>
    </w:p>
    <w:p>
      <w:pPr>
        <w:jc w:val="both"/>
        <w:ind w:left="652"/>
        <w:spacing w:after="0" w:line="285" w:lineRule="auto"/>
        <w:rPr>
          <w:rFonts w:ascii="Arial" w:cs="Arial" w:eastAsia="Arial" w:hAnsi="Arial"/>
          <w:sz w:val="20"/>
          <w:szCs w:val="20"/>
          <w:b w:val="1"/>
          <w:bCs w:val="1"/>
          <w:color w:val="auto"/>
        </w:rPr>
      </w:pPr>
      <w:r>
        <w:rPr>
          <w:rFonts w:ascii="Arial" w:cs="Arial" w:eastAsia="Arial" w:hAnsi="Arial"/>
          <w:sz w:val="19"/>
          <w:szCs w:val="19"/>
          <w:color w:val="auto"/>
        </w:rPr>
        <w:t xml:space="preserve">From time to time the Company will furnish the Fiscal Agent with a certificate of the Company certifying the incumbency and specimen signatures of officers authorized to execute Notes on behalf of the Company (each an </w:t>
      </w:r>
      <w:r>
        <w:rPr>
          <w:rFonts w:ascii="Arial" w:cs="Arial" w:eastAsia="Arial" w:hAnsi="Arial"/>
          <w:sz w:val="19"/>
          <w:szCs w:val="19"/>
          <w:b w:val="1"/>
          <w:bCs w:val="1"/>
          <w:color w:val="auto"/>
        </w:rPr>
        <w:t>Authorized Representative</w:t>
      </w:r>
      <w:r>
        <w:rPr>
          <w:rFonts w:ascii="Arial" w:cs="Arial" w:eastAsia="Arial" w:hAnsi="Arial"/>
          <w:sz w:val="19"/>
          <w:szCs w:val="19"/>
          <w:color w:val="auto"/>
        </w:rPr>
        <w:t>). Until the Fiscal Agent receives a subsequent incumbency certificate of the Company, the Fiscal Agent shall be entitled to rely on the last such certificate delivered to it for purposes of determining the Authorized Representatives. The Fiscal Agent shall have no responsibility to the Company to determine by whom or by what means a facsimile signature may have been affixed on the Notes or to determine whether any facsimile or manual signature is genuine, if such facsimile or manual signature resembles the specimen signatures filed with the Fiscal Agent by a duly authorized officer of the Company. Any Note bearing the manual or facsimile signature of a person who is an Authorized Representative on the date such signature is affixed shall bind the Company after the authentication and registration thereof by the Fiscal Agent, notwithstanding that such person shall have ceased to hold office on the date such Note is authenticated and delivered by the Fiscal Agent.</w:t>
      </w:r>
    </w:p>
    <w:p>
      <w:pPr>
        <w:spacing w:after="0" w:line="181" w:lineRule="exact"/>
        <w:rPr>
          <w:rFonts w:ascii="Arial" w:cs="Arial" w:eastAsia="Arial" w:hAnsi="Arial"/>
          <w:sz w:val="20"/>
          <w:szCs w:val="20"/>
          <w:b w:val="1"/>
          <w:bCs w:val="1"/>
          <w:color w:val="auto"/>
        </w:rPr>
      </w:pPr>
    </w:p>
    <w:p>
      <w:pPr>
        <w:ind w:left="652" w:hanging="652"/>
        <w:spacing w:after="0"/>
        <w:tabs>
          <w:tab w:leader="none" w:pos="652"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FORM OF THE NOTES</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With regard to the issuance of Notes:</w:t>
      </w:r>
    </w:p>
    <w:p>
      <w:pPr>
        <w:spacing w:after="0" w:line="242" w:lineRule="exact"/>
        <w:rPr>
          <w:rFonts w:ascii="Arial" w:cs="Arial" w:eastAsia="Arial" w:hAnsi="Arial"/>
          <w:sz w:val="20"/>
          <w:szCs w:val="20"/>
          <w:b w:val="1"/>
          <w:bCs w:val="1"/>
          <w:color w:val="auto"/>
        </w:rPr>
      </w:pPr>
    </w:p>
    <w:p>
      <w:pPr>
        <w:jc w:val="both"/>
        <w:ind w:left="1292" w:hanging="644"/>
        <w:spacing w:after="0" w:line="285" w:lineRule="auto"/>
        <w:tabs>
          <w:tab w:leader="none" w:pos="1292"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The Notes will be offered and sold by the Company pursuant to a Subscription Agreement. The Notes will be resold initially only to persons other than U.S. persons (as defined in Regulation S under the United States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xml:space="preserve">)) in reliance on Regulation S. The Notes shall be issued in the form of one permanent global note in fully registered form substantially in the form of Schedule 1 attached hereto (the </w:t>
      </w:r>
      <w:r>
        <w:rPr>
          <w:rFonts w:ascii="Arial" w:cs="Arial" w:eastAsia="Arial" w:hAnsi="Arial"/>
          <w:sz w:val="19"/>
          <w:szCs w:val="19"/>
          <w:b w:val="1"/>
          <w:bCs w:val="1"/>
          <w:color w:val="auto"/>
        </w:rPr>
        <w:t>Global Note</w:t>
      </w:r>
      <w:r>
        <w:rPr>
          <w:rFonts w:ascii="Arial" w:cs="Arial" w:eastAsia="Arial" w:hAnsi="Arial"/>
          <w:sz w:val="19"/>
          <w:szCs w:val="19"/>
          <w:color w:val="auto"/>
        </w:rPr>
        <w:t xml:space="preserve">), without interest coupons and with the global securities legend and the applicable restricted securities legends, which shall be deposited with Citibank Europe plc as common depositary (the </w:t>
      </w:r>
      <w:r>
        <w:rPr>
          <w:rFonts w:ascii="Arial" w:cs="Arial" w:eastAsia="Arial" w:hAnsi="Arial"/>
          <w:sz w:val="19"/>
          <w:szCs w:val="19"/>
          <w:b w:val="1"/>
          <w:bCs w:val="1"/>
          <w:color w:val="auto"/>
        </w:rPr>
        <w:t>Depositary</w:t>
      </w:r>
      <w:r>
        <w:rPr>
          <w:rFonts w:ascii="Arial" w:cs="Arial" w:eastAsia="Arial" w:hAnsi="Arial"/>
          <w:sz w:val="19"/>
          <w:szCs w:val="19"/>
          <w:color w:val="auto"/>
        </w:rPr>
        <w:t>) for Euroclear Bank SA/NV (</w:t>
      </w:r>
      <w:r>
        <w:rPr>
          <w:rFonts w:ascii="Arial" w:cs="Arial" w:eastAsia="Arial" w:hAnsi="Arial"/>
          <w:sz w:val="19"/>
          <w:szCs w:val="19"/>
          <w:b w:val="1"/>
          <w:bCs w:val="1"/>
          <w:color w:val="auto"/>
        </w:rPr>
        <w:t>Euroclear</w:t>
      </w:r>
      <w:r>
        <w:rPr>
          <w:rFonts w:ascii="Arial" w:cs="Arial" w:eastAsia="Arial" w:hAnsi="Arial"/>
          <w:sz w:val="19"/>
          <w:szCs w:val="19"/>
          <w:color w:val="auto"/>
        </w:rPr>
        <w:t xml:space="preserve">)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w:t>
      </w:r>
      <w:r>
        <w:rPr>
          <w:rFonts w:ascii="Arial" w:cs="Arial" w:eastAsia="Arial" w:hAnsi="Arial"/>
          <w:sz w:val="19"/>
          <w:szCs w:val="19"/>
          <w:b w:val="1"/>
          <w:bCs w:val="1"/>
          <w:color w:val="auto"/>
        </w:rPr>
        <w:t>Clearstream</w:t>
      </w:r>
      <w:r>
        <w:rPr>
          <w:rFonts w:ascii="Arial" w:cs="Arial" w:eastAsia="Arial" w:hAnsi="Arial"/>
          <w:sz w:val="19"/>
          <w:szCs w:val="19"/>
          <w:color w:val="auto"/>
        </w:rPr>
        <w:t>) and registered in the nominee name for such Depositary, and shall be duly executed by the Company and authenticated by the Fiscal Agent as provided in this Agreement. The terms of the Notes set forth in Schedule 1 and the provisions for the meetings of the Noteholders set forth in Schedule 2 are hereby expressly incorporated in and made part of the terms of this Agreement.</w:t>
      </w:r>
    </w:p>
    <w:p>
      <w:pPr>
        <w:spacing w:after="0" w:line="187" w:lineRule="exact"/>
        <w:rPr>
          <w:rFonts w:ascii="Arial" w:cs="Arial" w:eastAsia="Arial" w:hAnsi="Arial"/>
          <w:sz w:val="19"/>
          <w:szCs w:val="19"/>
          <w:color w:val="auto"/>
        </w:rPr>
      </w:pPr>
    </w:p>
    <w:p>
      <w:pPr>
        <w:jc w:val="both"/>
        <w:ind w:left="1292" w:hanging="644"/>
        <w:spacing w:after="0" w:line="274" w:lineRule="auto"/>
        <w:tabs>
          <w:tab w:leader="none" w:pos="1292" w:val="left"/>
        </w:tabs>
        <w:numPr>
          <w:ilvl w:val="1"/>
          <w:numId w:val="4"/>
        </w:numPr>
        <w:rPr>
          <w:rFonts w:ascii="Arial" w:cs="Arial" w:eastAsia="Arial" w:hAnsi="Arial"/>
          <w:sz w:val="20"/>
          <w:szCs w:val="20"/>
          <w:color w:val="auto"/>
        </w:rPr>
      </w:pPr>
      <w:r>
        <w:rPr>
          <w:rFonts w:ascii="Arial" w:cs="Arial" w:eastAsia="Arial" w:hAnsi="Arial"/>
          <w:sz w:val="20"/>
          <w:szCs w:val="20"/>
          <w:color w:val="auto"/>
        </w:rPr>
        <w:t xml:space="preserve">Prior to and including the date which is 40 days after the later of (i) the day on which the Notes are first offered to persons other than distributors (as defined in Regulation S under the Securities Act) in reliance on Regulation S, and (ii) the date of the closing of the offering (the </w:t>
      </w:r>
      <w:r>
        <w:rPr>
          <w:rFonts w:ascii="Arial" w:cs="Arial" w:eastAsia="Arial" w:hAnsi="Arial"/>
          <w:sz w:val="20"/>
          <w:szCs w:val="20"/>
          <w:b w:val="1"/>
          <w:bCs w:val="1"/>
          <w:color w:val="auto"/>
        </w:rPr>
        <w:t>Distribution Compliance Period</w:t>
      </w:r>
      <w:r>
        <w:rPr>
          <w:rFonts w:ascii="Arial" w:cs="Arial" w:eastAsia="Arial" w:hAnsi="Arial"/>
          <w:sz w:val="20"/>
          <w:szCs w:val="20"/>
          <w:color w:val="auto"/>
        </w:rPr>
        <w:t>), beneficial interests in the Global Note may not be transferred to a U.S. person or for the account or benefit of a U.S. person.</w:t>
      </w:r>
    </w:p>
    <w:p>
      <w:pPr>
        <w:spacing w:after="0" w:line="389"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412"/>
          </w:cols>
          <w:pgMar w:left="248" w:top="819" w:right="239" w:bottom="1440" w:gutter="0" w:footer="0" w:header="0"/>
        </w:sectPr>
      </w:pPr>
    </w:p>
    <w:bookmarkStart w:id="9" w:name="page10"/>
    <w:bookmarkEnd w:id="9"/>
    <w:p>
      <w:pPr>
        <w:ind w:left="1300" w:hanging="644"/>
        <w:spacing w:after="0" w:line="289" w:lineRule="auto"/>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aggregate principal amount of the Global Notes may from time to time be increased or decreased by adjustments made on the records of the Registrar and the Depositary or its nominee as hereinafter provided.</w:t>
      </w:r>
    </w:p>
    <w:p>
      <w:pPr>
        <w:spacing w:after="0" w:line="169" w:lineRule="exact"/>
        <w:rPr>
          <w:rFonts w:ascii="Arial" w:cs="Arial" w:eastAsia="Arial" w:hAnsi="Arial"/>
          <w:sz w:val="20"/>
          <w:szCs w:val="20"/>
          <w:color w:val="auto"/>
        </w:rPr>
      </w:pPr>
    </w:p>
    <w:p>
      <w:pPr>
        <w:ind w:left="660" w:hanging="652"/>
        <w:spacing w:after="0"/>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BOOK-ENTRY PROVISIONS</w:t>
      </w:r>
    </w:p>
    <w:p>
      <w:pPr>
        <w:spacing w:after="0" w:line="248" w:lineRule="exact"/>
        <w:rPr>
          <w:rFonts w:ascii="Arial" w:cs="Arial" w:eastAsia="Arial" w:hAnsi="Arial"/>
          <w:sz w:val="20"/>
          <w:szCs w:val="20"/>
          <w:b w:val="1"/>
          <w:bCs w:val="1"/>
          <w:color w:val="auto"/>
        </w:rPr>
      </w:pPr>
    </w:p>
    <w:p>
      <w:pPr>
        <w:jc w:val="both"/>
        <w:ind w:left="1300" w:hanging="644"/>
        <w:spacing w:after="0" w:line="273"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This Clause 6 shall apply only to a Global Note deposited with or on behalf of, and registered in the name of a nominee of, the Depositary. The Company shall execute and the Fiscal Agent shall, in accordance with this Clause 6, authenticate and deliver the Global Note, which (i) shall be registered in the nominee name of the Depositary for such Global Note and (ii) shall be delivered by the Fiscal Agent to such Depositary or pursuant to such Depositary's instructions or held by a security custodian appointed by the Depositary.</w:t>
      </w:r>
    </w:p>
    <w:p>
      <w:pPr>
        <w:spacing w:after="0" w:line="185" w:lineRule="exact"/>
        <w:rPr>
          <w:rFonts w:ascii="Arial" w:cs="Arial" w:eastAsia="Arial" w:hAnsi="Arial"/>
          <w:sz w:val="20"/>
          <w:szCs w:val="20"/>
          <w:color w:val="auto"/>
        </w:rPr>
      </w:pPr>
    </w:p>
    <w:p>
      <w:pPr>
        <w:jc w:val="both"/>
        <w:ind w:left="1300" w:hanging="644"/>
        <w:spacing w:after="0" w:line="30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Members of, or participants in, Euroclear and/or Clearstream (</w:t>
      </w:r>
      <w:r>
        <w:rPr>
          <w:rFonts w:ascii="Arial" w:cs="Arial" w:eastAsia="Arial" w:hAnsi="Arial"/>
          <w:sz w:val="18"/>
          <w:szCs w:val="18"/>
          <w:b w:val="1"/>
          <w:bCs w:val="1"/>
          <w:color w:val="auto"/>
        </w:rPr>
        <w:t>Agent Members</w:t>
      </w:r>
      <w:r>
        <w:rPr>
          <w:rFonts w:ascii="Arial" w:cs="Arial" w:eastAsia="Arial" w:hAnsi="Arial"/>
          <w:sz w:val="18"/>
          <w:szCs w:val="18"/>
          <w:color w:val="auto"/>
        </w:rPr>
        <w:t xml:space="preserve">) shall have no rights under this Agreement with respect to any Global Note held on behalf of Euroclear and Clearstream (the </w:t>
      </w:r>
      <w:r>
        <w:rPr>
          <w:rFonts w:ascii="Arial" w:cs="Arial" w:eastAsia="Arial" w:hAnsi="Arial"/>
          <w:sz w:val="18"/>
          <w:szCs w:val="18"/>
          <w:b w:val="1"/>
          <w:bCs w:val="1"/>
          <w:color w:val="auto"/>
        </w:rPr>
        <w:t>Clearing Systems</w:t>
      </w:r>
      <w:r>
        <w:rPr>
          <w:rFonts w:ascii="Arial" w:cs="Arial" w:eastAsia="Arial" w:hAnsi="Arial"/>
          <w:sz w:val="18"/>
          <w:szCs w:val="18"/>
          <w:color w:val="auto"/>
        </w:rPr>
        <w:t>) by the Depositary or by its custodian or under such Global Note, and the Company, the Fiscal Agent and any agent of the Company or the Fiscal Agent shall be entitled to treat the Depositary or its nominee as the absolute owner of such Global Note for all purposes whatsoever. Notwithstanding the foregoing, nothing herein shall prevent the Company, the Fiscal Agent or any agent of the Company or the Fiscal Agent from giving effect to any written certification, proxy or other authorization furnished by the Depositary or impair, as between the Clearing Systems and their Agent Members, the operation of customary practices of such Depositary governing the exercise of the rights of a holder of a beneficial interest in any Global Note.</w:t>
      </w:r>
    </w:p>
    <w:p>
      <w:pPr>
        <w:spacing w:after="0" w:line="164"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TRANSFER AND EXCHANGE</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color w:val="auto"/>
        </w:rPr>
        <w:t>Transfer and Exchange of Definitive Notes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When Definitive Notes are presented to the Registrar with a request:</w:t>
      </w:r>
    </w:p>
    <w:p>
      <w:pPr>
        <w:spacing w:after="0" w:line="243"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register the transfer of such Definitive Notes; or</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exchange such Definitive Notes for an equal principal amount of Definitive Notes of other authorized denominations,</w:t>
      </w:r>
    </w:p>
    <w:p>
      <w:pPr>
        <w:spacing w:after="0" w:line="254" w:lineRule="exact"/>
        <w:rPr>
          <w:sz w:val="20"/>
          <w:szCs w:val="20"/>
          <w:color w:val="auto"/>
        </w:rPr>
      </w:pPr>
    </w:p>
    <w:p>
      <w:pPr>
        <w:ind w:left="660"/>
        <w:spacing w:after="0" w:line="289" w:lineRule="auto"/>
        <w:rPr>
          <w:sz w:val="20"/>
          <w:szCs w:val="20"/>
          <w:color w:val="auto"/>
        </w:rPr>
      </w:pPr>
      <w:r>
        <w:rPr>
          <w:rFonts w:ascii="Arial" w:cs="Arial" w:eastAsia="Arial" w:hAnsi="Arial"/>
          <w:sz w:val="20"/>
          <w:szCs w:val="20"/>
          <w:color w:val="auto"/>
        </w:rPr>
        <w:t xml:space="preserve">the Registrar shall register the transfer or make the exchange as requested if its reasonable requirements for such transaction are met; </w:t>
      </w:r>
      <w:r>
        <w:rPr>
          <w:rFonts w:ascii="Arial" w:cs="Arial" w:eastAsia="Arial" w:hAnsi="Arial"/>
          <w:sz w:val="20"/>
          <w:szCs w:val="20"/>
          <w:b w:val="1"/>
          <w:bCs w:val="1"/>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however</w:t>
      </w:r>
      <w:r>
        <w:rPr>
          <w:rFonts w:ascii="Arial" w:cs="Arial" w:eastAsia="Arial" w:hAnsi="Arial"/>
          <w:sz w:val="20"/>
          <w:szCs w:val="20"/>
          <w:color w:val="auto"/>
        </w:rPr>
        <w:t>, that the Definitive Notes surrendered for transfer or exchange:</w:t>
      </w:r>
    </w:p>
    <w:p>
      <w:pPr>
        <w:spacing w:after="0" w:line="175" w:lineRule="exact"/>
        <w:rPr>
          <w:sz w:val="20"/>
          <w:szCs w:val="20"/>
          <w:color w:val="auto"/>
        </w:rPr>
      </w:pPr>
    </w:p>
    <w:p>
      <w:pPr>
        <w:ind w:left="1300" w:hanging="644"/>
        <w:spacing w:after="0" w:line="289"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shall be duly endorsed or accompanied by a written instrument of transfer in form reasonably satisfactory to the Company and the Registrar, duly executed by the Noteholder thereof or its attorney duly authorized in writing; and</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shall be accompanied by the following additional information and documents, as applicable:</w:t>
      </w:r>
    </w:p>
    <w:p>
      <w:pPr>
        <w:spacing w:after="0" w:line="242" w:lineRule="exact"/>
        <w:rPr>
          <w:rFonts w:ascii="Arial" w:cs="Arial" w:eastAsia="Arial" w:hAnsi="Arial"/>
          <w:sz w:val="20"/>
          <w:szCs w:val="20"/>
          <w:color w:val="auto"/>
        </w:rPr>
      </w:pPr>
    </w:p>
    <w:p>
      <w:pPr>
        <w:ind w:left="1960" w:right="20" w:hanging="655"/>
        <w:spacing w:after="0" w:line="289" w:lineRule="auto"/>
        <w:tabs>
          <w:tab w:leader="none" w:pos="1960" w:val="left"/>
        </w:tabs>
        <w:numPr>
          <w:ilvl w:val="1"/>
          <w:numId w:val="8"/>
        </w:numPr>
        <w:rPr>
          <w:rFonts w:ascii="Arial" w:cs="Arial" w:eastAsia="Arial" w:hAnsi="Arial"/>
          <w:sz w:val="20"/>
          <w:szCs w:val="20"/>
          <w:color w:val="auto"/>
        </w:rPr>
      </w:pPr>
      <w:r>
        <w:rPr>
          <w:rFonts w:ascii="Arial" w:cs="Arial" w:eastAsia="Arial" w:hAnsi="Arial"/>
          <w:sz w:val="20"/>
          <w:szCs w:val="20"/>
          <w:color w:val="auto"/>
        </w:rPr>
        <w:t>if such Definitive Notes are being delivered to the Registrar by a Noteholder for registration in the name of such Noteholder, without transfer, a certification from such Noteholder to that effect; or</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20"/>
          </w:cols>
          <w:pgMar w:left="240" w:top="825" w:right="239" w:bottom="1440" w:gutter="0" w:footer="0" w:header="0"/>
        </w:sectPr>
      </w:pPr>
    </w:p>
    <w:bookmarkStart w:id="10" w:name="page11"/>
    <w:bookmarkEnd w:id="10"/>
    <w:p>
      <w:pPr>
        <w:ind w:left="1960" w:right="20" w:hanging="655"/>
        <w:spacing w:after="0" w:line="289" w:lineRule="auto"/>
        <w:tabs>
          <w:tab w:leader="none" w:pos="19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if such Definitive Notes are being transferred to the Company or pursuant to an effective registration statement under the Securities Act of 1933, a certification to that effect; or</w:t>
      </w:r>
    </w:p>
    <w:p>
      <w:pPr>
        <w:spacing w:after="0" w:line="175" w:lineRule="exact"/>
        <w:rPr>
          <w:rFonts w:ascii="Arial" w:cs="Arial" w:eastAsia="Arial" w:hAnsi="Arial"/>
          <w:sz w:val="20"/>
          <w:szCs w:val="20"/>
          <w:color w:val="auto"/>
        </w:rPr>
      </w:pPr>
    </w:p>
    <w:p>
      <w:pPr>
        <w:jc w:val="both"/>
        <w:ind w:left="1960" w:hanging="655"/>
        <w:spacing w:after="0" w:line="293" w:lineRule="auto"/>
        <w:tabs>
          <w:tab w:leader="none" w:pos="1960" w:val="left"/>
        </w:tabs>
        <w:numPr>
          <w:ilvl w:val="0"/>
          <w:numId w:val="9"/>
        </w:numPr>
        <w:rPr>
          <w:rFonts w:ascii="Arial" w:cs="Arial" w:eastAsia="Arial" w:hAnsi="Arial"/>
          <w:sz w:val="19"/>
          <w:szCs w:val="19"/>
          <w:color w:val="auto"/>
        </w:rPr>
      </w:pPr>
      <w:r>
        <w:rPr>
          <w:rFonts w:ascii="Arial" w:cs="Arial" w:eastAsia="Arial" w:hAnsi="Arial"/>
          <w:sz w:val="19"/>
          <w:szCs w:val="19"/>
          <w:color w:val="auto"/>
        </w:rPr>
        <w:t>if such Definitive Notes are being transferred (i) pursuant to an exemption from registration in accordance with Regulation S under the Securities Act or (ii) in reliance upon another exemption from the requirements of the Securities Act (x) a certification to that effect and (y) if the Company so requests, an opinion of counsel or other evidence reasonably satisfactory to it as to the compliance with the requirements of the Securities Act.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color w:val="auto"/>
        </w:rPr>
        <w:t>Transfer and Exchange of Global Notes</w:t>
      </w:r>
    </w:p>
    <w:p>
      <w:pPr>
        <w:spacing w:after="0" w:line="249" w:lineRule="exact"/>
        <w:rPr>
          <w:sz w:val="20"/>
          <w:szCs w:val="20"/>
          <w:color w:val="auto"/>
        </w:rPr>
      </w:pPr>
    </w:p>
    <w:p>
      <w:pPr>
        <w:jc w:val="both"/>
        <w:ind w:left="660" w:hanging="652"/>
        <w:spacing w:after="0" w:line="287"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transfer and exchange of the Global Note or beneficial interests therein shall be effected through the Depositary, in accordance with this Agreement (including applicable restrictions on transfer set forth herein, if any) and the procedures of the Depositary therefor. A transferor of a beneficial interest in the Global Note shall deliver to the Registrar a written order, given in accordance with the Depositary's procedures, containing information regarding the participant account of the Depositary to be credited with a beneficial interest in the Global Note. The Registrar shall, in accordance with such instructions, instruct the Depositary to credit to the account of the person specified in such instructions a beneficial interest in the Global Note and to debit the account of the person making the transfer the beneficial interest in the Global Note being transferred.</w:t>
      </w:r>
    </w:p>
    <w:p>
      <w:pPr>
        <w:spacing w:after="0" w:line="183" w:lineRule="exact"/>
        <w:rPr>
          <w:rFonts w:ascii="Arial" w:cs="Arial" w:eastAsia="Arial" w:hAnsi="Arial"/>
          <w:sz w:val="19"/>
          <w:szCs w:val="19"/>
          <w:color w:val="auto"/>
        </w:rPr>
      </w:pPr>
    </w:p>
    <w:p>
      <w:pPr>
        <w:jc w:val="both"/>
        <w:ind w:left="660" w:hanging="652"/>
        <w:spacing w:after="0" w:line="274"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Notwithstanding any other provisions of this Agreement (other than the provisions set forth in Clause 8), the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92" w:lineRule="exact"/>
        <w:rPr>
          <w:rFonts w:ascii="Arial" w:cs="Arial" w:eastAsia="Arial" w:hAnsi="Arial"/>
          <w:sz w:val="20"/>
          <w:szCs w:val="20"/>
          <w:color w:val="auto"/>
        </w:rPr>
      </w:pPr>
    </w:p>
    <w:p>
      <w:pPr>
        <w:jc w:val="both"/>
        <w:ind w:left="660" w:hanging="652"/>
        <w:spacing w:after="0" w:line="31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that the Global Note is exchanged for Definitive Notes pursuant to Clause 8 of this Agreement, such securities may be exchanged only in accordance with such procedures as are substantially consistent with the provisions of this Clause 7 (including the certification requirements intended to ensure that such transfers comply with Regulation S or another applicable exemption under the Securities Act, as the case may be) and such other procedures as may from time to time be adopted by the Company.</w:t>
      </w:r>
    </w:p>
    <w:p>
      <w:pPr>
        <w:spacing w:after="0" w:line="15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DEFINITIVE NOTES</w:t>
      </w:r>
    </w:p>
    <w:p>
      <w:pPr>
        <w:spacing w:after="0" w:line="24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The Global Note deposited with the Depositary or with a securities custodian for the Depositary pursuant to Clause 6(a) shall be transferred to the beneficial owners thereof in the form of Definitive Notes in an aggregate principal amount equal to the principal amount of such Global Note, in exchange for such Global Note, only if such transfer complies with Clause 7 hereof and (a) the Depositary notifies the Company that it is unwilling or unable to continue as Depositary for such Global Note and a successor Depositary is not appointed by the Company within three months of such notice; (b) the Company, Euroclear or Clearstream so requests following an Event of Default under the Notes (in which case such securities may be exchanged in whole but not in part);</w:t>
      </w:r>
    </w:p>
    <w:p>
      <w:pPr>
        <w:spacing w:after="0" w:line="3" w:lineRule="exact"/>
        <w:rPr>
          <w:sz w:val="20"/>
          <w:szCs w:val="20"/>
          <w:color w:val="auto"/>
        </w:rPr>
      </w:pPr>
    </w:p>
    <w:p>
      <w:pPr>
        <w:jc w:val="both"/>
        <w:ind w:left="660" w:hanging="4"/>
        <w:spacing w:after="0" w:line="273" w:lineRule="auto"/>
        <w:tabs>
          <w:tab w:leader="none" w:pos="97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owner of a book-entry interest requests such exchange in writing delivered through Euroclear and/or Clearstream or the Company following an Event of Default under the Notes; or (d) the Company would suffer a material disadvantage as a result of a change in laws or regulations (taxation or otherwise) or as a result of a change in the practice of Euroclear and/or Clearstream which would not be suffered were the Notes in definitive form and a certificate to such effect signed by two duly authorized officers of the Company is given to the Fiscal Agent. In the case of (b) and</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20"/>
          </w:cols>
          <w:pgMar w:left="240" w:top="825" w:right="239" w:bottom="1440" w:gutter="0" w:footer="0" w:header="0"/>
        </w:sectPr>
      </w:pPr>
    </w:p>
    <w:bookmarkStart w:id="11" w:name="page12"/>
    <w:bookmarkEnd w:id="11"/>
    <w:p>
      <w:pPr>
        <w:ind w:left="652" w:hanging="4"/>
        <w:spacing w:after="0" w:line="303" w:lineRule="auto"/>
        <w:tabs>
          <w:tab w:leader="none" w:pos="953" w:val="left"/>
        </w:tabs>
        <w:numPr>
          <w:ilvl w:val="0"/>
          <w:numId w:val="13"/>
        </w:numPr>
        <w:rPr>
          <w:rFonts w:ascii="Arial" w:cs="Arial" w:eastAsia="Arial" w:hAnsi="Arial"/>
          <w:sz w:val="20"/>
          <w:szCs w:val="20"/>
          <w:color w:val="auto"/>
        </w:rPr>
      </w:pPr>
      <w:r>
        <w:rPr>
          <w:rFonts w:ascii="Arial" w:cs="Arial" w:eastAsia="Arial" w:hAnsi="Arial"/>
          <w:sz w:val="20"/>
          <w:szCs w:val="20"/>
          <w:color w:val="auto"/>
        </w:rPr>
        <w:t>above, the Company may give notice to the Fiscal Agent and the Noteholders of its intention to exchange the Global Notes for Definitive Notes.</w:t>
      </w:r>
    </w:p>
    <w:p>
      <w:pPr>
        <w:spacing w:after="0" w:line="162" w:lineRule="exact"/>
        <w:rPr>
          <w:sz w:val="20"/>
          <w:szCs w:val="20"/>
          <w:color w:val="auto"/>
        </w:rPr>
      </w:pPr>
    </w:p>
    <w:p>
      <w:pPr>
        <w:jc w:val="both"/>
        <w:ind w:left="652" w:hanging="647"/>
        <w:spacing w:after="0" w:line="271" w:lineRule="auto"/>
        <w:tabs>
          <w:tab w:leader="none" w:pos="632"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Any Global Note that is transferable to the beneficial owners thereof pursuant to this Clause 8 shall be surrendered by the Depositary to the Registrar located at its principal corporate trust office, to be so transferred, in whole, without charge, and the Registrar shall authenticate and deliver, upon such transfer of each portion of such Global Note, an equal aggregate principal amount of Definitive Notes of authorized denominations. Any portion of a Global Note transferred pursuant to this Clause 8 shall be executed, authenticated and delivered only in minimum denominations of €100,000 and integral multiples of €1,000 in excess thereof and registered in such names as the Depositary shall direct. Any Definitive Note delivered in exchange for an interest in a restricted security shall bear the applicable restricted securities legend.</w:t>
      </w:r>
    </w:p>
    <w:p>
      <w:pPr>
        <w:spacing w:after="0" w:line="194" w:lineRule="exact"/>
        <w:rPr>
          <w:sz w:val="20"/>
          <w:szCs w:val="20"/>
          <w:color w:val="auto"/>
        </w:rPr>
      </w:pPr>
    </w:p>
    <w:p>
      <w:pPr>
        <w:jc w:val="both"/>
        <w:ind w:left="652" w:hanging="647"/>
        <w:spacing w:after="0" w:line="316" w:lineRule="auto"/>
        <w:tabs>
          <w:tab w:leader="none" w:pos="632"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color w:val="auto"/>
        </w:rPr>
        <w:t>In the event of the occurrence of one of the events specified in Clause 8.1 hereof, the Company shall promptly make available to the Registrar a reasonable supply of Definitive Notes in definitive, fully registered form without interest coupons.</w:t>
      </w:r>
    </w:p>
    <w:p>
      <w:pPr>
        <w:spacing w:after="0" w:line="154" w:lineRule="exact"/>
        <w:rPr>
          <w:sz w:val="20"/>
          <w:szCs w:val="20"/>
          <w:color w:val="auto"/>
        </w:rPr>
      </w:pPr>
    </w:p>
    <w:p>
      <w:pPr>
        <w:jc w:val="both"/>
        <w:ind w:left="652" w:hanging="647"/>
        <w:spacing w:after="0" w:line="271" w:lineRule="auto"/>
        <w:tabs>
          <w:tab w:leader="none" w:pos="632"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If Definitive Notes are issued and a holder thereof claims that such Definitive Note has been lost, destroyed or wrongfully taken, or if such Definitive Note is mutilated and is surrendered to the Registrar or at the office of a Transfer Agent, the Company will issue and the Fiscal Agent will authenticate a replacement Definitive Note if the Fiscal Agent's and the Company's requirements are met. The Company or the Fiscal Agent may require a Noteholder requesting replacement of a Definitive Note to furnish an indemnity bond sufficient in the judgment of both to protect the Company, the Fiscal Agent or the Paying Agent appointed pursuant to this Agreement from any loss which any of them may suffer if a Definitive Note is replaced. The Company may charge for any expenses incurred in replacing a Definitive Note.</w:t>
      </w:r>
    </w:p>
    <w:p>
      <w:pPr>
        <w:spacing w:after="0" w:line="194" w:lineRule="exact"/>
        <w:rPr>
          <w:sz w:val="20"/>
          <w:szCs w:val="20"/>
          <w:color w:val="auto"/>
        </w:rPr>
      </w:pPr>
    </w:p>
    <w:p>
      <w:pPr>
        <w:jc w:val="both"/>
        <w:ind w:left="652" w:hanging="647"/>
        <w:spacing w:after="0" w:line="299" w:lineRule="auto"/>
        <w:tabs>
          <w:tab w:leader="none" w:pos="632"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9"/>
          <w:szCs w:val="19"/>
          <w:color w:val="auto"/>
        </w:rPr>
        <w:t>In case any such mutilated, destroyed, lost or stolen Definitive Note has become or is about to become due and payable, or is about to be redeemed or purchased by the Company pursuant to the provisions of this Agreement, the Company, in its discretion, may, instead of issuing a new Definitive Note, pay, redeem or purchase such Definitive Note, as the case may be.</w:t>
      </w:r>
    </w:p>
    <w:p>
      <w:pPr>
        <w:spacing w:after="0" w:line="169" w:lineRule="exact"/>
        <w:rPr>
          <w:sz w:val="20"/>
          <w:szCs w:val="20"/>
          <w:color w:val="auto"/>
        </w:rPr>
      </w:pPr>
    </w:p>
    <w:p>
      <w:pPr>
        <w:jc w:val="both"/>
        <w:ind w:left="652" w:hanging="647"/>
        <w:spacing w:after="0" w:line="289" w:lineRule="auto"/>
        <w:tabs>
          <w:tab w:leader="none" w:pos="632"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20"/>
          <w:szCs w:val="20"/>
          <w:color w:val="auto"/>
        </w:rPr>
        <w:t>To the extent permitted by law, the Company and the Agents shall be entitled to treat the registered holder as the absolute owner thereof.</w:t>
      </w:r>
    </w:p>
    <w:p>
      <w:pPr>
        <w:spacing w:after="0" w:line="169"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RELIANCE ON INSTRUCTIONS</w:t>
      </w:r>
    </w:p>
    <w:p>
      <w:pPr>
        <w:spacing w:after="0" w:line="248" w:lineRule="exact"/>
        <w:rPr>
          <w:rFonts w:ascii="Arial" w:cs="Arial" w:eastAsia="Arial" w:hAnsi="Arial"/>
          <w:sz w:val="20"/>
          <w:szCs w:val="20"/>
          <w:b w:val="1"/>
          <w:bCs w:val="1"/>
          <w:color w:val="auto"/>
        </w:rPr>
      </w:pPr>
    </w:p>
    <w:p>
      <w:pPr>
        <w:ind w:left="652"/>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No Agent shall incur any liability to the Company acting hereunder pursuant to instructions which such Agent believed in good faith to have been given by an Authorized Representative.</w:t>
      </w:r>
    </w:p>
    <w:p>
      <w:pPr>
        <w:spacing w:after="0" w:line="169" w:lineRule="exact"/>
        <w:rPr>
          <w:rFonts w:ascii="Arial" w:cs="Arial" w:eastAsia="Arial" w:hAnsi="Arial"/>
          <w:sz w:val="20"/>
          <w:szCs w:val="20"/>
          <w:b w:val="1"/>
          <w:bCs w:val="1"/>
          <w:color w:val="auto"/>
        </w:rPr>
      </w:pPr>
    </w:p>
    <w:p>
      <w:pPr>
        <w:ind w:left="652" w:hanging="652"/>
        <w:spacing w:after="0"/>
        <w:tabs>
          <w:tab w:leader="none" w:pos="652"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COMPANY'S REPRESENTATIONS AND WARRANTIES</w:t>
      </w:r>
    </w:p>
    <w:p>
      <w:pPr>
        <w:spacing w:after="0" w:line="248" w:lineRule="exact"/>
        <w:rPr>
          <w:rFonts w:ascii="Arial" w:cs="Arial" w:eastAsia="Arial" w:hAnsi="Arial"/>
          <w:sz w:val="20"/>
          <w:szCs w:val="20"/>
          <w:b w:val="1"/>
          <w:bCs w:val="1"/>
          <w:color w:val="auto"/>
        </w:rPr>
      </w:pPr>
    </w:p>
    <w:p>
      <w:pPr>
        <w:jc w:val="both"/>
        <w:ind w:left="652"/>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Each Agent is entitled to assume that the issuance and delivery of the Notes by the Company have been duly and validly authorized by the Company and that the Notes, when completed, authenticated and delivered pursuant hereto, will constitute the legal, valid and binding obligations of the Company.</w:t>
      </w:r>
    </w:p>
    <w:p>
      <w:pPr>
        <w:spacing w:after="0" w:line="384"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412"/>
          </w:cols>
          <w:pgMar w:left="248" w:top="838" w:right="239" w:bottom="1440" w:gutter="0" w:footer="0" w:header="0"/>
        </w:sectPr>
      </w:pPr>
    </w:p>
    <w:bookmarkStart w:id="12" w:name="page13"/>
    <w:bookmarkEnd w:id="12"/>
    <w:p>
      <w:pPr>
        <w:ind w:right="1720" w:firstLine="8"/>
        <w:spacing w:after="0" w:line="496" w:lineRule="auto"/>
        <w:tabs>
          <w:tab w:leader="none" w:pos="648"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OF NOTE PRINCIPAL AND INTEREST; INTEREST PAYMENT DATES; RECORD DATES 11.1 </w:t>
      </w:r>
      <w:r>
        <w:rPr>
          <w:rFonts w:ascii="Arial" w:cs="Arial" w:eastAsia="Arial" w:hAnsi="Arial"/>
          <w:sz w:val="20"/>
          <w:szCs w:val="20"/>
          <w:color w:val="auto"/>
        </w:rPr>
        <w:t>Payment</w:t>
      </w:r>
    </w:p>
    <w:p>
      <w:pPr>
        <w:spacing w:after="0" w:line="1"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The Company will, on each date on which any payment in respect of the Notes becomes due, transfer to the Fiscal Agent by 10.00 a.m. (local time in the city of the Fiscal Agent's specified office) such amount as may be required for the purposes of such payment. The Company will deliver to the Fiscal Agent by 10.00 a.m. (local time in the city of the Fiscal Agent's specified office) on the second business day in the city of the Fiscal Agent's specified office before the due date for any such payment a copy of irrevocable instructions issued by it for such payment to be made to the Fiscal Agent. In this subclause, the date on which a payment in respect of the Notes becomes due means the first date on which the holder of a Note could claim the relevant payment by transfer to an account under the Notes. The Fiscal Agent will, in turn, make such payments to the order of the common depositary for Euroclear and Clearstream, which will distribute such payments to participants by wire transfer of immediately available funds to the account specified by the holder or holders thereof and in accordance with their respective customary procedures.</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6"/>
          <w:szCs w:val="16"/>
          <w:color w:val="auto"/>
        </w:rPr>
        <w:t>Method of Payment</w:t>
      </w:r>
    </w:p>
    <w:p>
      <w:pPr>
        <w:spacing w:after="0" w:line="249" w:lineRule="exact"/>
        <w:rPr>
          <w:sz w:val="20"/>
          <w:szCs w:val="20"/>
          <w:color w:val="auto"/>
        </w:rPr>
      </w:pPr>
    </w:p>
    <w:p>
      <w:pPr>
        <w:jc w:val="both"/>
        <w:ind w:left="660"/>
        <w:spacing w:after="0" w:line="285" w:lineRule="auto"/>
        <w:rPr>
          <w:sz w:val="20"/>
          <w:szCs w:val="20"/>
          <w:color w:val="auto"/>
        </w:rPr>
      </w:pPr>
      <w:r>
        <w:rPr>
          <w:rFonts w:ascii="Arial" w:cs="Arial" w:eastAsia="Arial" w:hAnsi="Arial"/>
          <w:sz w:val="19"/>
          <w:szCs w:val="19"/>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8"/>
          <w:szCs w:val="18"/>
          <w:color w:val="auto"/>
        </w:rPr>
        <w:t>Notification of Non-payment</w:t>
      </w:r>
    </w:p>
    <w:p>
      <w:pPr>
        <w:spacing w:after="0" w:line="249" w:lineRule="exact"/>
        <w:rPr>
          <w:sz w:val="20"/>
          <w:szCs w:val="20"/>
          <w:color w:val="auto"/>
        </w:rPr>
      </w:pPr>
    </w:p>
    <w:p>
      <w:pPr>
        <w:jc w:val="both"/>
        <w:ind w:left="660"/>
        <w:spacing w:after="0" w:line="289" w:lineRule="auto"/>
        <w:rPr>
          <w:sz w:val="20"/>
          <w:szCs w:val="20"/>
          <w:color w:val="auto"/>
        </w:rPr>
      </w:pPr>
      <w:r>
        <w:rPr>
          <w:rFonts w:ascii="Arial" w:cs="Arial" w:eastAsia="Arial" w:hAnsi="Arial"/>
          <w:sz w:val="20"/>
          <w:szCs w:val="20"/>
          <w:color w:val="auto"/>
        </w:rPr>
        <w:t>The Fiscal Agent will forthwith notify each other Paying Agent and the Company if the Fiscal Agent has not by the due date for any payment due in respect of the Notes received the full amount so payable on such date.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color w:val="auto"/>
        </w:rPr>
        <w:t>Payment by Paying Agents</w:t>
      </w:r>
    </w:p>
    <w:p>
      <w:pPr>
        <w:spacing w:after="0" w:line="249" w:lineRule="exact"/>
        <w:rPr>
          <w:sz w:val="20"/>
          <w:szCs w:val="20"/>
          <w:color w:val="auto"/>
        </w:rPr>
      </w:pPr>
    </w:p>
    <w:p>
      <w:pPr>
        <w:jc w:val="both"/>
        <w:ind w:left="660"/>
        <w:spacing w:after="0" w:line="272" w:lineRule="auto"/>
        <w:rPr>
          <w:sz w:val="20"/>
          <w:szCs w:val="20"/>
          <w:color w:val="auto"/>
        </w:rPr>
      </w:pPr>
      <w:r>
        <w:rPr>
          <w:rFonts w:ascii="Arial" w:cs="Arial" w:eastAsia="Arial" w:hAnsi="Arial"/>
          <w:sz w:val="20"/>
          <w:szCs w:val="20"/>
          <w:color w:val="auto"/>
        </w:rPr>
        <w:t>Each Paying Agent will, subject to and in accordance with the Notes, pay or cause to be paid on behalf of the Company on and after each due date therefor the amounts due in respect of the Notes and, in the case of each Paying Agent other than the Fiscal Agent, will be entitled to claim any amounts so paid from the Fiscal Agent. If any payment provided for in subclause 11.1 is made late but otherwise in accordance with this Agreement, the Paying Agents may nevertheless make payments in respect of the Notes. However, unless and until the full amount of any such payment has been made to the Fiscal Agent in cleared funds, the Paying Agents will not be bound to make such payments.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420"/>
          </w:cols>
          <w:pgMar w:left="240" w:top="819" w:right="239" w:bottom="1440" w:gutter="0" w:footer="0" w:header="0"/>
        </w:sectPr>
      </w:pPr>
    </w:p>
    <w:bookmarkStart w:id="13" w:name="page14"/>
    <w:bookmarkEnd w:id="13"/>
    <w:p>
      <w:pPr>
        <w:spacing w:after="0"/>
        <w:tabs>
          <w:tab w:leader="none" w:pos="6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color w:val="auto"/>
        </w:rPr>
        <w:t>Reimbursement of Paying Agents</w:t>
      </w:r>
    </w:p>
    <w:p>
      <w:pPr>
        <w:spacing w:after="0" w:line="249" w:lineRule="exact"/>
        <w:rPr>
          <w:sz w:val="20"/>
          <w:szCs w:val="20"/>
          <w:color w:val="auto"/>
        </w:rPr>
      </w:pPr>
    </w:p>
    <w:p>
      <w:pPr>
        <w:jc w:val="both"/>
        <w:ind w:left="660"/>
        <w:spacing w:after="0" w:line="289" w:lineRule="auto"/>
        <w:rPr>
          <w:sz w:val="20"/>
          <w:szCs w:val="20"/>
          <w:color w:val="auto"/>
        </w:rPr>
      </w:pPr>
      <w:r>
        <w:rPr>
          <w:rFonts w:ascii="Arial" w:cs="Arial" w:eastAsia="Arial" w:hAnsi="Arial"/>
          <w:sz w:val="20"/>
          <w:szCs w:val="20"/>
          <w:color w:val="auto"/>
        </w:rPr>
        <w:t>The Fiscal Agent will on demand promptly reimburse each other Paying Agent for payments in respect of the Notes properly made by it in accordance with the Notes and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6"/>
          <w:szCs w:val="16"/>
          <w:color w:val="auto"/>
        </w:rPr>
        <w:t>Late Payment</w:t>
      </w:r>
    </w:p>
    <w:p>
      <w:pPr>
        <w:spacing w:after="0" w:line="249" w:lineRule="exact"/>
        <w:rPr>
          <w:sz w:val="20"/>
          <w:szCs w:val="20"/>
          <w:color w:val="auto"/>
        </w:rPr>
      </w:pPr>
    </w:p>
    <w:p>
      <w:pPr>
        <w:jc w:val="both"/>
        <w:ind w:left="660" w:right="20"/>
        <w:spacing w:after="0" w:line="347" w:lineRule="auto"/>
        <w:rPr>
          <w:sz w:val="20"/>
          <w:szCs w:val="20"/>
          <w:color w:val="auto"/>
        </w:rPr>
      </w:pPr>
      <w:r>
        <w:rPr>
          <w:rFonts w:ascii="Arial" w:cs="Arial" w:eastAsia="Arial" w:hAnsi="Arial"/>
          <w:sz w:val="18"/>
          <w:szCs w:val="18"/>
          <w:color w:val="auto"/>
        </w:rPr>
        <w:t>If the Fiscal Agent has not by the due date for any payment in respect of the Notes received the full amount payable on such date but receives it later, it will forthwith give notice to each other Paying Agent and Noteholders that it has received such full amount.</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8"/>
          <w:szCs w:val="18"/>
          <w:color w:val="auto"/>
        </w:rPr>
        <w:t>Moneys Held by the Fiscal Agent</w:t>
      </w:r>
    </w:p>
    <w:p>
      <w:pPr>
        <w:spacing w:after="0" w:line="249"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The Fiscal Agent may deal with moneys paid to it under this Agreement in the same manner as other moneys paid to it as a banker by its customers except that (a) it may not exercise any lien, right of set-off or similar claim in respect of them and (b) it shall not be liable to anyone for interest on any sums held by it under this Agreement. Any moneys paid by the Company to the Fiscal Agent for payment of principal or interest which remain unclaimed for two years after such moneys have become due and payable will be repaid to the Company upon its written request and the holder may thereafter look only to the Company for payment thereof. Moneys held by the Fiscal Agent need not be segregated except as required by law. Any funds held by the Agent will not be subject to the United Kingdom FSA Client Money Rules.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6"/>
          <w:szCs w:val="16"/>
          <w:color w:val="auto"/>
        </w:rPr>
        <w:t>Partial Payments</w:t>
      </w:r>
    </w:p>
    <w:p>
      <w:pPr>
        <w:spacing w:after="0" w:line="249" w:lineRule="exact"/>
        <w:rPr>
          <w:sz w:val="20"/>
          <w:szCs w:val="20"/>
          <w:color w:val="auto"/>
        </w:rPr>
      </w:pPr>
    </w:p>
    <w:p>
      <w:pPr>
        <w:jc w:val="both"/>
        <w:ind w:left="660"/>
        <w:spacing w:after="0" w:line="278" w:lineRule="auto"/>
        <w:rPr>
          <w:sz w:val="20"/>
          <w:szCs w:val="20"/>
          <w:color w:val="auto"/>
        </w:rPr>
      </w:pPr>
      <w:r>
        <w:rPr>
          <w:rFonts w:ascii="Arial" w:cs="Arial" w:eastAsia="Arial" w:hAnsi="Arial"/>
          <w:sz w:val="20"/>
          <w:szCs w:val="20"/>
          <w:color w:val="auto"/>
        </w:rPr>
        <w:t>If on presentation of a Note only part of the amount payable in respect of it is paid (except as a result of deduction of tax as permitted by the terms and conditions of the Notes) the Paying Agent to whom the Note is presented shall ensure that such Note shall have attached to it a memorandum of the amount paid and the date of payment.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8"/>
          <w:szCs w:val="18"/>
          <w:color w:val="auto"/>
        </w:rPr>
        <w:t>FATCA</w:t>
      </w:r>
    </w:p>
    <w:p>
      <w:pPr>
        <w:spacing w:after="0" w:line="249"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 xml:space="preserve">Payments will, without prejudice to the provisions of Clause 8 of the terms and conditions of the Notes, be subject in all cases to (i) any applicable fiscal or other laws and regulations, and (ii) any withholding or deduction (the </w:t>
      </w:r>
      <w:r>
        <w:rPr>
          <w:rFonts w:ascii="Arial" w:cs="Arial" w:eastAsia="Arial" w:hAnsi="Arial"/>
          <w:sz w:val="19"/>
          <w:szCs w:val="19"/>
          <w:b w:val="1"/>
          <w:bCs w:val="1"/>
          <w:color w:val="auto"/>
        </w:rPr>
        <w:t>FATCA Withholding Tax</w:t>
      </w:r>
      <w:r>
        <w:rPr>
          <w:rFonts w:ascii="Arial" w:cs="Arial" w:eastAsia="Arial" w:hAnsi="Arial"/>
          <w:sz w:val="19"/>
          <w:szCs w:val="19"/>
          <w:color w:val="auto"/>
        </w:rPr>
        <w:t xml:space="preserve">) required pursuant to an agreement described in Section 1471(b) of the U.S. Internal Revenue Code of 1986 (the </w:t>
      </w:r>
      <w:r>
        <w:rPr>
          <w:rFonts w:ascii="Arial" w:cs="Arial" w:eastAsia="Arial" w:hAnsi="Arial"/>
          <w:sz w:val="19"/>
          <w:szCs w:val="19"/>
          <w:b w:val="1"/>
          <w:bCs w:val="1"/>
          <w:color w:val="auto"/>
        </w:rPr>
        <w:t>Code</w:t>
      </w:r>
      <w:r>
        <w:rPr>
          <w:rFonts w:ascii="Arial" w:cs="Arial" w:eastAsia="Arial" w:hAnsi="Arial"/>
          <w:sz w:val="19"/>
          <w:szCs w:val="19"/>
          <w:color w:val="auto"/>
        </w:rPr>
        <w:t>) or otherwise imposed pursuant to Sections 1471 through 1474 of the Code, any regulations or agreements thereunder, official interpretations thereof, or any law implementing an intergovernmental approach thereto (</w:t>
      </w:r>
      <w:r>
        <w:rPr>
          <w:rFonts w:ascii="Arial" w:cs="Arial" w:eastAsia="Arial" w:hAnsi="Arial"/>
          <w:sz w:val="19"/>
          <w:szCs w:val="19"/>
          <w:b w:val="1"/>
          <w:bCs w:val="1"/>
          <w:color w:val="auto"/>
        </w:rPr>
        <w:t>FATCA</w:t>
      </w:r>
      <w:r>
        <w:rPr>
          <w:rFonts w:ascii="Arial" w:cs="Arial" w:eastAsia="Arial" w:hAnsi="Arial"/>
          <w:sz w:val="19"/>
          <w:szCs w:val="19"/>
          <w:color w:val="auto"/>
        </w:rPr>
        <w:t>).</w:t>
      </w:r>
    </w:p>
    <w:p>
      <w:pPr>
        <w:spacing w:after="0" w:line="173" w:lineRule="exact"/>
        <w:rPr>
          <w:sz w:val="20"/>
          <w:szCs w:val="20"/>
          <w:color w:val="auto"/>
        </w:rPr>
      </w:pPr>
    </w:p>
    <w:p>
      <w:pPr>
        <w:jc w:val="both"/>
        <w:ind w:left="660"/>
        <w:spacing w:after="0" w:line="307" w:lineRule="auto"/>
        <w:rPr>
          <w:sz w:val="20"/>
          <w:szCs w:val="20"/>
          <w:color w:val="auto"/>
        </w:rPr>
      </w:pPr>
      <w:r>
        <w:rPr>
          <w:rFonts w:ascii="Arial" w:cs="Arial" w:eastAsia="Arial" w:hAnsi="Arial"/>
          <w:sz w:val="18"/>
          <w:szCs w:val="18"/>
          <w:color w:val="auto"/>
        </w:rPr>
        <w:t xml:space="preserve">If, for any reason, each of the Agents that is a "foreign financial institution," as such term is defined under FATCA (the </w:t>
      </w:r>
      <w:r>
        <w:rPr>
          <w:rFonts w:ascii="Arial" w:cs="Arial" w:eastAsia="Arial" w:hAnsi="Arial"/>
          <w:sz w:val="18"/>
          <w:szCs w:val="18"/>
          <w:b w:val="1"/>
          <w:bCs w:val="1"/>
          <w:color w:val="auto"/>
        </w:rPr>
        <w:t>FFI</w:t>
      </w:r>
      <w:r>
        <w:rPr>
          <w:rFonts w:ascii="Arial" w:cs="Arial" w:eastAsia="Arial" w:hAnsi="Arial"/>
          <w:sz w:val="18"/>
          <w:szCs w:val="18"/>
          <w:color w:val="auto"/>
        </w:rPr>
        <w:t xml:space="preserve">) does not become, or ceases to be, an FFI that, as from the effective date of any rules requiring withholding on "withholdable payments" or "passthru payments" (as such terms are defined pursuant to FATCA), meets the requirements of Section 1471(b) of the Code and any regulations or other official guidance issued thereunder and that has not elected to be withheld upon pursuant to Section 1471(b)(3) of the Code (the </w:t>
      </w:r>
      <w:r>
        <w:rPr>
          <w:rFonts w:ascii="Arial" w:cs="Arial" w:eastAsia="Arial" w:hAnsi="Arial"/>
          <w:sz w:val="18"/>
          <w:szCs w:val="18"/>
          <w:b w:val="1"/>
          <w:bCs w:val="1"/>
          <w:color w:val="auto"/>
        </w:rPr>
        <w:t>Participating FFI</w:t>
      </w:r>
      <w:r>
        <w:rPr>
          <w:rFonts w:ascii="Arial" w:cs="Arial" w:eastAsia="Arial" w:hAnsi="Arial"/>
          <w:sz w:val="18"/>
          <w:szCs w:val="18"/>
          <w:color w:val="auto"/>
        </w:rPr>
        <w:t>) and the Company considers in its sole discretion that it may be liable as a result to pay any FATCA Withholding Tax in respect of any payment due on any Notes, then the Company will be entitled to remove any or all the agents in accordance with Clause 19 in order that the payment may be made without FATCA Withholding Tax.</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420"/>
          </w:cols>
          <w:pgMar w:left="240" w:top="819" w:right="239" w:bottom="1440" w:gutter="0" w:footer="0" w:header="0"/>
        </w:sectPr>
      </w:pPr>
    </w:p>
    <w:bookmarkStart w:id="14" w:name="page15"/>
    <w:bookmarkEnd w:id="14"/>
    <w:p>
      <w:pPr>
        <w:jc w:val="both"/>
        <w:ind w:left="652"/>
        <w:spacing w:after="0" w:line="322" w:lineRule="auto"/>
        <w:rPr>
          <w:sz w:val="20"/>
          <w:szCs w:val="20"/>
          <w:color w:val="auto"/>
        </w:rPr>
      </w:pPr>
      <w:r>
        <w:rPr>
          <w:rFonts w:ascii="Arial" w:cs="Arial" w:eastAsia="Arial" w:hAnsi="Arial"/>
          <w:sz w:val="18"/>
          <w:szCs w:val="18"/>
          <w:color w:val="auto"/>
        </w:rPr>
        <w:t>The Company undertakes to the Agents that it (a) will provide to the Agents all documentation and other information required by the Agents from time to time to comply with its obligations under FATCA forthwith upon reasonable request by the Agents; and (b) will notify the Agents in writing within 30 days of any relevant change that affects the Company's tax status for FATCA purposes.</w:t>
      </w:r>
    </w:p>
    <w:p>
      <w:pPr>
        <w:spacing w:after="0" w:line="153" w:lineRule="exact"/>
        <w:rPr>
          <w:sz w:val="20"/>
          <w:szCs w:val="20"/>
          <w:color w:val="auto"/>
        </w:rPr>
      </w:pPr>
    </w:p>
    <w:p>
      <w:pPr>
        <w:jc w:val="both"/>
        <w:ind w:left="652"/>
        <w:spacing w:after="0" w:line="300" w:lineRule="auto"/>
        <w:rPr>
          <w:sz w:val="20"/>
          <w:szCs w:val="20"/>
          <w:color w:val="auto"/>
        </w:rPr>
      </w:pPr>
      <w:r>
        <w:rPr>
          <w:rFonts w:ascii="Arial" w:cs="Arial" w:eastAsia="Arial" w:hAnsi="Arial"/>
          <w:sz w:val="18"/>
          <w:szCs w:val="18"/>
          <w:color w:val="auto"/>
        </w:rPr>
        <w:t xml:space="preserve">The Agents will treat information relating to or provided by the Company as confidential, but (unless consent is prohibited by law) the Company consents to the processing, transfer and disclosure by the Agents of any information relating to or provided by the Company to any of the Agents, their affiliates and agents, and third parties (including service providers) selected by any of them, wherever situated (together, the </w:t>
      </w:r>
      <w:r>
        <w:rPr>
          <w:rFonts w:ascii="Arial" w:cs="Arial" w:eastAsia="Arial" w:hAnsi="Arial"/>
          <w:sz w:val="18"/>
          <w:szCs w:val="18"/>
          <w:b w:val="1"/>
          <w:bCs w:val="1"/>
          <w:color w:val="auto"/>
        </w:rPr>
        <w:t>Authorized Recipients</w:t>
      </w:r>
      <w:r>
        <w:rPr>
          <w:rFonts w:ascii="Arial" w:cs="Arial" w:eastAsia="Arial" w:hAnsi="Arial"/>
          <w:sz w:val="18"/>
          <w:szCs w:val="18"/>
          <w:color w:val="auto"/>
        </w:rPr>
        <w:t>), for confidential use (including without limitation in connection with the provision of any service and for data processing, statistical and risk analysis purposes and for compliance with FATCA) provided that the Agents have ensured or shall ensure that each such Authorized Recipient to which they provide such confidential information is aware that such information is confidential and should be treated accordingly. The Agents, their affiliates and agents, and third parties referred to above may also transfer and disclose any such information as is required or requested by, or to, any court, legal process, FATCA or any competent regulatory, prosecuting, tax or governmental authority in any jurisdiction, domestic or foreign, including an auditor of a party to this Agreement and including any payor or payee as required by FATCA, and may use (and their performance will be subject to the rules of) any communications, clearing or payment systems, intermediary bank or other system. The Company (a) acknowledges that the transfers permitted by this clause may include transfers to jurisdictions which do not have strict data protection or data privacy laws; and (b) represents that it has provided to and secured from any person regarding whom it has provided information to the Agents any notices, consents and waivers necessary to permit the processing, transfer and disclosure of that information as permitted by this clause and that it will provide such notices and secure such necessary consents and waivers in advance of providing similar information to the Agents in the future.</w:t>
      </w:r>
    </w:p>
    <w:p>
      <w:pPr>
        <w:spacing w:after="0" w:line="182" w:lineRule="exact"/>
        <w:rPr>
          <w:sz w:val="20"/>
          <w:szCs w:val="20"/>
          <w:color w:val="auto"/>
        </w:rPr>
      </w:pPr>
    </w:p>
    <w:p>
      <w:pPr>
        <w:jc w:val="both"/>
        <w:ind w:left="652"/>
        <w:spacing w:after="0" w:line="270" w:lineRule="auto"/>
        <w:rPr>
          <w:sz w:val="20"/>
          <w:szCs w:val="20"/>
          <w:color w:val="auto"/>
        </w:rPr>
      </w:pPr>
      <w:r>
        <w:rPr>
          <w:rFonts w:ascii="Arial" w:cs="Arial" w:eastAsia="Arial" w:hAnsi="Arial"/>
          <w:sz w:val="20"/>
          <w:szCs w:val="20"/>
          <w:color w:val="auto"/>
        </w:rPr>
        <w:t xml:space="preserve">Any payment by the Agents under this Agreement will be made without any deduction or withholding for or on account of any taxes, levies, imposts, charges, assessments, deductions, withholdings and related liabilities relating to payments made under the Notes that are required by applicable law (together, </w:t>
      </w:r>
      <w:r>
        <w:rPr>
          <w:rFonts w:ascii="Arial" w:cs="Arial" w:eastAsia="Arial" w:hAnsi="Arial"/>
          <w:sz w:val="20"/>
          <w:szCs w:val="20"/>
          <w:b w:val="1"/>
          <w:bCs w:val="1"/>
          <w:color w:val="auto"/>
        </w:rPr>
        <w:t>Taxes</w:t>
      </w:r>
      <w:r>
        <w:rPr>
          <w:rFonts w:ascii="Arial" w:cs="Arial" w:eastAsia="Arial" w:hAnsi="Arial"/>
          <w:sz w:val="20"/>
          <w:szCs w:val="20"/>
          <w:color w:val="auto"/>
        </w:rPr>
        <w:t>); provided, however, that the Agents shall be entitled to make payments net of any Taxes or other sums required by any applicable law to be withheld or deducted. If Taxes are paid by an Agent or an Agent’s affiliate, then the Company agrees that it shall promptly reimburse the Agent or the Agent’s affiliate, as applicable, for such payment to the extent required by Section 14 hereof and to the extent not covered by withholding from any payment. If an Agent is required to make a deduction or withholding referred to above, it will not pay an additional amount in respect of that deduction or withholding to the Company.</w:t>
      </w:r>
    </w:p>
    <w:p>
      <w:pPr>
        <w:spacing w:after="0" w:line="193"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DUTIES OF THE FISCAL AGENT</w:t>
      </w:r>
    </w:p>
    <w:p>
      <w:pPr>
        <w:spacing w:after="0" w:line="181" w:lineRule="exact"/>
        <w:rPr>
          <w:rFonts w:ascii="Arial" w:cs="Arial" w:eastAsia="Arial" w:hAnsi="Arial"/>
          <w:sz w:val="20"/>
          <w:szCs w:val="20"/>
          <w:b w:val="1"/>
          <w:bCs w:val="1"/>
          <w:color w:val="auto"/>
        </w:rPr>
      </w:pPr>
    </w:p>
    <w:p>
      <w:pPr>
        <w:ind w:left="652"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In accordance with the terms and conditions of the Notes and this Agreement or if otherwise requested by the Company, the Fiscal Agent will:</w:t>
      </w:r>
    </w:p>
    <w:p>
      <w:pPr>
        <w:spacing w:after="0" w:line="122" w:lineRule="exact"/>
        <w:rPr>
          <w:rFonts w:ascii="Arial" w:cs="Arial" w:eastAsia="Arial" w:hAnsi="Arial"/>
          <w:sz w:val="20"/>
          <w:szCs w:val="20"/>
          <w:b w:val="1"/>
          <w:bCs w:val="1"/>
          <w:color w:val="auto"/>
        </w:rPr>
      </w:pPr>
    </w:p>
    <w:p>
      <w:pPr>
        <w:ind w:left="1292" w:hanging="644"/>
        <w:spacing w:after="0"/>
        <w:tabs>
          <w:tab w:leader="none" w:pos="1292" w:val="left"/>
        </w:tabs>
        <w:numPr>
          <w:ilvl w:val="1"/>
          <w:numId w:val="16"/>
        </w:numPr>
        <w:rPr>
          <w:rFonts w:ascii="Arial" w:cs="Arial" w:eastAsia="Arial" w:hAnsi="Arial"/>
          <w:sz w:val="20"/>
          <w:szCs w:val="20"/>
          <w:color w:val="auto"/>
        </w:rPr>
      </w:pPr>
      <w:r>
        <w:rPr>
          <w:rFonts w:ascii="Arial" w:cs="Arial" w:eastAsia="Arial" w:hAnsi="Arial"/>
          <w:sz w:val="20"/>
          <w:szCs w:val="20"/>
          <w:color w:val="auto"/>
        </w:rPr>
        <w:t>receive requests to effect exchanges of the Global Note to Definitive Notes;</w:t>
      </w:r>
    </w:p>
    <w:p>
      <w:pPr>
        <w:spacing w:after="0" w:line="161" w:lineRule="exact"/>
        <w:rPr>
          <w:rFonts w:ascii="Arial" w:cs="Arial" w:eastAsia="Arial" w:hAnsi="Arial"/>
          <w:sz w:val="20"/>
          <w:szCs w:val="20"/>
          <w:color w:val="auto"/>
        </w:rPr>
      </w:pPr>
    </w:p>
    <w:p>
      <w:pPr>
        <w:ind w:left="1292" w:hanging="644"/>
        <w:spacing w:after="0"/>
        <w:tabs>
          <w:tab w:leader="none" w:pos="1292" w:val="left"/>
        </w:tabs>
        <w:numPr>
          <w:ilvl w:val="1"/>
          <w:numId w:val="16"/>
        </w:numPr>
        <w:rPr>
          <w:rFonts w:ascii="Arial" w:cs="Arial" w:eastAsia="Arial" w:hAnsi="Arial"/>
          <w:sz w:val="19"/>
          <w:szCs w:val="19"/>
          <w:color w:val="auto"/>
        </w:rPr>
      </w:pPr>
      <w:r>
        <w:rPr>
          <w:rFonts w:ascii="Arial" w:cs="Arial" w:eastAsia="Arial" w:hAnsi="Arial"/>
          <w:sz w:val="19"/>
          <w:szCs w:val="19"/>
          <w:color w:val="auto"/>
        </w:rPr>
        <w:t>maintain a record of the Global Note and the certificate number or numbers of all Definitive Notes delivered hereunder;</w:t>
      </w:r>
    </w:p>
    <w:p>
      <w:pPr>
        <w:spacing w:after="0" w:line="173" w:lineRule="exact"/>
        <w:rPr>
          <w:rFonts w:ascii="Arial" w:cs="Arial" w:eastAsia="Arial" w:hAnsi="Arial"/>
          <w:sz w:val="19"/>
          <w:szCs w:val="19"/>
          <w:color w:val="auto"/>
        </w:rPr>
      </w:pPr>
    </w:p>
    <w:p>
      <w:pPr>
        <w:jc w:val="both"/>
        <w:ind w:left="1292" w:hanging="644"/>
        <w:spacing w:after="0" w:line="246" w:lineRule="auto"/>
        <w:tabs>
          <w:tab w:leader="none" w:pos="1292" w:val="left"/>
        </w:tabs>
        <w:numPr>
          <w:ilvl w:val="1"/>
          <w:numId w:val="16"/>
        </w:numPr>
        <w:rPr>
          <w:rFonts w:ascii="Arial" w:cs="Arial" w:eastAsia="Arial" w:hAnsi="Arial"/>
          <w:sz w:val="20"/>
          <w:szCs w:val="20"/>
          <w:color w:val="auto"/>
        </w:rPr>
      </w:pPr>
      <w:r>
        <w:rPr>
          <w:rFonts w:ascii="Arial" w:cs="Arial" w:eastAsia="Arial" w:hAnsi="Arial"/>
          <w:sz w:val="20"/>
          <w:szCs w:val="20"/>
          <w:color w:val="auto"/>
        </w:rPr>
        <w:t>carry out such other acts as may be necessary to give effect to the terms and conditions of the Notes with respect to payment, transfer, cancellation and replacement, including, with respect to Definitive Notes, (i) retaining Forms W-9, W-8BEN, W-8BEN-E, W-8ECI, W-8IMY or other appropriate tax certification provided by or on behalf of the Noteholders necessary to exempt such</w:t>
      </w:r>
    </w:p>
    <w:p>
      <w:pPr>
        <w:spacing w:after="0" w:line="200" w:lineRule="exact"/>
        <w:rPr>
          <w:sz w:val="20"/>
          <w:szCs w:val="20"/>
          <w:color w:val="auto"/>
        </w:rPr>
      </w:pPr>
    </w:p>
    <w:p>
      <w:pPr>
        <w:spacing w:after="0" w:line="202"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11412"/>
          </w:cols>
          <w:pgMar w:left="248" w:top="825" w:right="239" w:bottom="1440" w:gutter="0" w:footer="0" w:header="0"/>
        </w:sectPr>
      </w:pPr>
    </w:p>
    <w:bookmarkStart w:id="15" w:name="page16"/>
    <w:bookmarkEnd w:id="15"/>
    <w:p>
      <w:pPr>
        <w:jc w:val="both"/>
        <w:ind w:left="1292"/>
        <w:spacing w:after="0" w:line="314" w:lineRule="auto"/>
        <w:rPr>
          <w:sz w:val="20"/>
          <w:szCs w:val="20"/>
          <w:color w:val="auto"/>
        </w:rPr>
      </w:pPr>
      <w:r>
        <w:rPr>
          <w:rFonts w:ascii="Arial" w:cs="Arial" w:eastAsia="Arial" w:hAnsi="Arial"/>
          <w:sz w:val="18"/>
          <w:szCs w:val="18"/>
          <w:color w:val="auto"/>
        </w:rPr>
        <w:t>Noteholders from withholding tax under the Internal Revenue Code of 1986, as amended, (ii) preparing and mailing to Noteholders and (iii) filing with the U.S. Internal Revenue Service any applicable forms or reports with respect to any payment made by the Fiscal Agent hereunder. The Fiscal Agent shall withhold and remit any withholding tax required to be withheld from any payments to Noteholders who have not supplied the required certification specified in subclause (i) above;</w:t>
      </w:r>
    </w:p>
    <w:p>
      <w:pPr>
        <w:spacing w:after="0" w:line="92" w:lineRule="exact"/>
        <w:rPr>
          <w:sz w:val="20"/>
          <w:szCs w:val="20"/>
          <w:color w:val="auto"/>
        </w:rPr>
      </w:pPr>
    </w:p>
    <w:p>
      <w:pPr>
        <w:jc w:val="both"/>
        <w:ind w:left="1292" w:hanging="644"/>
        <w:spacing w:after="0" w:line="244" w:lineRule="auto"/>
        <w:tabs>
          <w:tab w:leader="none" w:pos="1292" w:val="left"/>
        </w:tabs>
        <w:numPr>
          <w:ilvl w:val="1"/>
          <w:numId w:val="17"/>
        </w:numPr>
        <w:rPr>
          <w:rFonts w:ascii="Arial" w:cs="Arial" w:eastAsia="Arial" w:hAnsi="Arial"/>
          <w:sz w:val="20"/>
          <w:szCs w:val="20"/>
          <w:color w:val="auto"/>
        </w:rPr>
      </w:pPr>
      <w:r>
        <w:rPr>
          <w:rFonts w:ascii="Arial" w:cs="Arial" w:eastAsia="Arial" w:hAnsi="Arial"/>
          <w:sz w:val="20"/>
          <w:szCs w:val="20"/>
          <w:color w:val="auto"/>
        </w:rPr>
        <w:t>subject to the Company's right of redemption set forth in Clause 8.5 above, if any Note is mutilated or defaced or is apparently destroyed, lost or stolen, replace such Note at a specified office of any Paying Agent, subject to all applicable laws and stock exchange requirements, upon payment by the claimant of the expenses incurred in connection therewith and on such terms and with such indemnity as the Company and the Fiscal Agent may require (mutilated or defaced Notes must be surrendered before replacements will be issued); and</w:t>
      </w:r>
    </w:p>
    <w:p>
      <w:pPr>
        <w:spacing w:after="0" w:line="140" w:lineRule="exact"/>
        <w:rPr>
          <w:rFonts w:ascii="Arial" w:cs="Arial" w:eastAsia="Arial" w:hAnsi="Arial"/>
          <w:sz w:val="20"/>
          <w:szCs w:val="20"/>
          <w:color w:val="auto"/>
        </w:rPr>
      </w:pPr>
    </w:p>
    <w:p>
      <w:pPr>
        <w:jc w:val="both"/>
        <w:ind w:left="1292" w:hanging="644"/>
        <w:spacing w:after="0" w:line="246" w:lineRule="auto"/>
        <w:tabs>
          <w:tab w:leader="none" w:pos="1292"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upon and in accordance with the instructions, and at the expense, of the Company received at least 10 days before the proposed publication date, arrange for the publication of any notice which is to be given to the Noteholders and supply a copy thereof to each other Paying Agent, Euroclear, Clearstream and, so long as the Notes are listed thereon, the Irish Stock Exchange Limited (the </w:t>
      </w:r>
      <w:r>
        <w:rPr>
          <w:rFonts w:ascii="Arial" w:cs="Arial" w:eastAsia="Arial" w:hAnsi="Arial"/>
          <w:sz w:val="20"/>
          <w:szCs w:val="20"/>
          <w:b w:val="1"/>
          <w:bCs w:val="1"/>
          <w:color w:val="auto"/>
        </w:rPr>
        <w:t>Irish Stock Exchange</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ind w:left="652" w:hanging="652"/>
        <w:spacing w:after="0"/>
        <w:tabs>
          <w:tab w:leader="none" w:pos="65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LIABILITY</w:t>
      </w:r>
    </w:p>
    <w:p>
      <w:pPr>
        <w:spacing w:after="0" w:line="235" w:lineRule="exact"/>
        <w:rPr>
          <w:rFonts w:ascii="Arial" w:cs="Arial" w:eastAsia="Arial" w:hAnsi="Arial"/>
          <w:sz w:val="20"/>
          <w:szCs w:val="20"/>
          <w:b w:val="1"/>
          <w:bCs w:val="1"/>
          <w:color w:val="auto"/>
        </w:rPr>
      </w:pPr>
    </w:p>
    <w:p>
      <w:pPr>
        <w:jc w:val="both"/>
        <w:ind w:left="652"/>
        <w:spacing w:after="0" w:line="301" w:lineRule="auto"/>
        <w:rPr>
          <w:rFonts w:ascii="Arial" w:cs="Arial" w:eastAsia="Arial" w:hAnsi="Arial"/>
          <w:sz w:val="20"/>
          <w:szCs w:val="20"/>
          <w:b w:val="1"/>
          <w:bCs w:val="1"/>
          <w:color w:val="auto"/>
        </w:rPr>
      </w:pPr>
      <w:r>
        <w:rPr>
          <w:rFonts w:ascii="Arial" w:cs="Arial" w:eastAsia="Arial" w:hAnsi="Arial"/>
          <w:sz w:val="18"/>
          <w:szCs w:val="18"/>
          <w:color w:val="auto"/>
        </w:rPr>
        <w:t>Neither the Agents nor their officers or employees shall be liable for any act or omission hereunder except in the case of gross negligence or willful default. The duties and obligations of the Agents and their officers and employees shall be determined by the express provisions of this Agreement and they shall not be liable except for the performance of such duties and obligations as are specifically set forth herein, and no implied covenants shall be read into this Agreement against them. The Agents shall be protected and shall incur no liability for or in respect of any action taken, omitted or suffered in reliance upon any instruction, request or order from the Company, or any Note, form of transfer, resolution, direction, consent, certificate, affidavit, statement, facsimile transmission, electronic message or other paper or document reasonably believed by it, acting in good faith, to be genuine and to have been delivered, signed or sent by the proper party or parties. The Agents shall be entitled to do nothing, without liability, if conflicting, unclear or equivocal instructions are received in order to comply with any Applicable Law. The Agents may consult with counsel or other professionals and shall be fully protected in any action reasonably taken, omitted or suffered in good faith in accordance with the advice of counsel. Neither the Agents nor their officers or employees shall be required to ascertain whether any issuance or sale of Notes (or any amendment or termination of this Agreement) have been duly authorized or are in compliance with any other agreement to which the Company is a party (whether or not the Agents are also a party to such other agreement).</w:t>
      </w:r>
    </w:p>
    <w:p>
      <w:pPr>
        <w:spacing w:after="0" w:line="177"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Notwithstanding anything else herein contained, the Agents may refrain without liability from doing anything that would or might in their opinion be contrary to any law of any state or jurisdiction (including but not limited to the United States of America or any jurisdiction forming a part of it, and England &amp; Wales) or any directive or regulation of any agency of any such state or jurisdiction or which would or might otherwise render the Agents liable to any person or may without liability do anything which is, in the Agents’ opinion, necessary to comply with any such law, directive or regulation</w:t>
      </w:r>
      <w:r>
        <w:rPr>
          <w:rFonts w:ascii="Arial" w:cs="Arial" w:eastAsia="Arial" w:hAnsi="Arial"/>
          <w:sz w:val="20"/>
          <w:szCs w:val="20"/>
          <w:color w:val="0516BB"/>
        </w:rPr>
        <w:t>.</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BY COMPANY</w:t>
      </w:r>
    </w:p>
    <w:p>
      <w:pPr>
        <w:spacing w:after="0" w:line="248" w:lineRule="exact"/>
        <w:rPr>
          <w:rFonts w:ascii="Arial" w:cs="Arial" w:eastAsia="Arial" w:hAnsi="Arial"/>
          <w:sz w:val="20"/>
          <w:szCs w:val="20"/>
          <w:b w:val="1"/>
          <w:bCs w:val="1"/>
          <w:color w:val="auto"/>
        </w:rPr>
      </w:pPr>
    </w:p>
    <w:p>
      <w:pPr>
        <w:ind w:left="652"/>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The Company agrees to indemnify and hold harmless each Agent and each of its respective directors, officers, employees and agents from and against any and all liabilities (including liability for penalties),</w:t>
      </w:r>
    </w:p>
    <w:p>
      <w:pPr>
        <w:spacing w:after="0" w:line="373"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780" w:type="dxa"/>
            <w:vAlign w:val="bottom"/>
          </w:tcPr>
          <w:p>
            <w:pPr>
              <w:jc w:val="right"/>
              <w:spacing w:after="0"/>
              <w:rPr>
                <w:sz w:val="20"/>
                <w:szCs w:val="20"/>
                <w:color w:val="auto"/>
              </w:rPr>
            </w:pPr>
            <w:r>
              <w:rPr>
                <w:rFonts w:ascii="Arial" w:cs="Arial" w:eastAsia="Arial" w:hAnsi="Arial"/>
                <w:sz w:val="14"/>
                <w:szCs w:val="14"/>
                <w:color w:val="auto"/>
              </w:rPr>
              <w:t>9</w:t>
            </w:r>
          </w:p>
        </w:tc>
      </w:tr>
    </w:tbl>
    <w:p>
      <w:pPr>
        <w:sectPr>
          <w:pgSz w:w="11900" w:h="16838" w:orient="portrait"/>
          <w:cols w:equalWidth="0" w:num="1">
            <w:col w:w="11412"/>
          </w:cols>
          <w:pgMar w:left="248" w:top="771" w:right="239" w:bottom="1440" w:gutter="0" w:footer="0" w:header="0"/>
        </w:sectPr>
      </w:pPr>
    </w:p>
    <w:bookmarkStart w:id="16" w:name="page17"/>
    <w:bookmarkEnd w:id="16"/>
    <w:p>
      <w:pPr>
        <w:jc w:val="both"/>
        <w:ind w:left="652"/>
        <w:spacing w:after="0" w:line="287" w:lineRule="auto"/>
        <w:rPr>
          <w:sz w:val="20"/>
          <w:szCs w:val="20"/>
          <w:color w:val="auto"/>
        </w:rPr>
      </w:pPr>
      <w:r>
        <w:rPr>
          <w:rFonts w:ascii="Arial" w:cs="Arial" w:eastAsia="Arial" w:hAnsi="Arial"/>
          <w:sz w:val="19"/>
          <w:szCs w:val="19"/>
          <w:color w:val="auto"/>
        </w:rPr>
        <w:t>losses, claims, damages, actions, suits, judgments, demands, costs and expenses (including reasonable legal fees and expenses) relating to or arising out of or in connection with its or their respective performance under this Agreement, except to the extent that they are caused by the gross negligence or willful default of each such Agent or the directors, officers, employees and agents of each such Agent. The foregoing indemnity includes, but is not limited to, any action taken or omitted in good faith within the scope of this Agreement upon telephone, telecopier or other electronically transmitted instructions, if authorized herein, received from or believed by the Agents in good faith to have been given by, an Authorized Representative. This indemnity shall survive the resignation or removal of any Agent and the expiry or termination of this Agreement.</w:t>
      </w:r>
    </w:p>
    <w:p>
      <w:pPr>
        <w:spacing w:after="0" w:line="177"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BY THE AGENTS</w:t>
      </w:r>
    </w:p>
    <w:p>
      <w:pPr>
        <w:spacing w:after="0" w:line="248" w:lineRule="exact"/>
        <w:rPr>
          <w:rFonts w:ascii="Arial" w:cs="Arial" w:eastAsia="Arial" w:hAnsi="Arial"/>
          <w:sz w:val="20"/>
          <w:szCs w:val="20"/>
          <w:b w:val="1"/>
          <w:bCs w:val="1"/>
          <w:color w:val="auto"/>
        </w:rPr>
      </w:pPr>
    </w:p>
    <w:p>
      <w:pPr>
        <w:jc w:val="both"/>
        <w:ind w:left="652"/>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Each Agent agrees severally to indemnify and hold harmless the Company, its directors, officers, employees and agents from and against any and all liabilities (including liability for penalties), losses, claims, damages, actions, suits, judgments, demands, costs and expenses (including reasonable legal fees and expenses) relating to or arising out of or in connection with its performance, in any capacity, under this Agreement, to the extent that they are caused by the gross negligence or willful default of such Agent. Each Agent shall have no liability whatsoever for any consequential or indirect loss (including, but not limited to, loss of business, goodwill, opportunity or profit) of any kind whatsoever. This indemnity shall survive the resignation or removal of any Agent and the expiry or termination of this Agreement.</w:t>
      </w:r>
    </w:p>
    <w:p>
      <w:pPr>
        <w:spacing w:after="0" w:line="188" w:lineRule="exact"/>
        <w:rPr>
          <w:rFonts w:ascii="Arial" w:cs="Arial" w:eastAsia="Arial" w:hAnsi="Arial"/>
          <w:sz w:val="20"/>
          <w:szCs w:val="20"/>
          <w:b w:val="1"/>
          <w:bCs w:val="1"/>
          <w:color w:val="auto"/>
        </w:rPr>
      </w:pPr>
    </w:p>
    <w:p>
      <w:pPr>
        <w:ind w:left="652" w:hanging="652"/>
        <w:spacing w:after="0"/>
        <w:tabs>
          <w:tab w:leader="none" w:pos="65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OF THE AGENTS</w:t>
      </w:r>
    </w:p>
    <w:p>
      <w:pPr>
        <w:spacing w:after="0" w:line="248"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The Company agrees to pay the compensation of each Agent at such rates as shall be agreed upon from time to time and to reimburse each Agent for reasonable and documented out-of-pocket expenses (including costs of preparation of the Notes and reasonable legal fees and expenses), disbursements and advances incurred or made in accordance with any provisions of this Agreement. The obligations of the Company to each Agent pursuant to this Clause 16 shall survive the resignation or removal of any Agent and the expiry or termination of this Agreement.</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MEETINGS OF THE NOTEHOLDERS</w:t>
      </w:r>
    </w:p>
    <w:p>
      <w:pPr>
        <w:spacing w:after="0" w:line="248" w:lineRule="exact"/>
        <w:rPr>
          <w:rFonts w:ascii="Arial" w:cs="Arial" w:eastAsia="Arial" w:hAnsi="Arial"/>
          <w:sz w:val="20"/>
          <w:szCs w:val="20"/>
          <w:b w:val="1"/>
          <w:bCs w:val="1"/>
          <w:color w:val="auto"/>
        </w:rPr>
      </w:pPr>
    </w:p>
    <w:p>
      <w:pPr>
        <w:jc w:val="both"/>
        <w:ind w:left="652"/>
        <w:spacing w:after="0" w:line="305" w:lineRule="auto"/>
        <w:rPr>
          <w:rFonts w:ascii="Arial" w:cs="Arial" w:eastAsia="Arial" w:hAnsi="Arial"/>
          <w:sz w:val="20"/>
          <w:szCs w:val="20"/>
          <w:b w:val="1"/>
          <w:bCs w:val="1"/>
          <w:color w:val="auto"/>
        </w:rPr>
      </w:pPr>
      <w:r>
        <w:rPr>
          <w:rFonts w:ascii="Arial" w:cs="Arial" w:eastAsia="Arial" w:hAnsi="Arial"/>
          <w:sz w:val="18"/>
          <w:szCs w:val="18"/>
          <w:color w:val="auto"/>
        </w:rPr>
        <w:t>Attached hereto as Schedule 2 are the provisions for meetings of the Noteholders. A Paying Agent shall, at the request of any Noteholder, issue Voting Certificates and Block Voting Instructions as defined in and in a form and manner which comply with the provisions of Schedule 2 (Provisions for Meetings of the Noteholders) (except that it shall not be required to issue the same less than 48 hours before the time fixed for any Meeting provided for therein). Such Paying Agent shall keep a full record of Voting Certificates and Block Voting Instructions issued by it and shall give to the Company, not less than 24 hours before the time appointed for any Meeting, full particulars of all Voting Certificates and Block Voting Instructions issued by it in respect of such Meeting. The terms used in this Clause 17 but not otherwise defined shall have the meaning given to them in Schedule 2 to this Agreement.</w:t>
      </w:r>
    </w:p>
    <w:p>
      <w:pPr>
        <w:spacing w:after="0" w:line="164" w:lineRule="exact"/>
        <w:rPr>
          <w:rFonts w:ascii="Arial" w:cs="Arial" w:eastAsia="Arial" w:hAnsi="Arial"/>
          <w:sz w:val="20"/>
          <w:szCs w:val="20"/>
          <w:b w:val="1"/>
          <w:bCs w:val="1"/>
          <w:color w:val="auto"/>
        </w:rPr>
      </w:pPr>
    </w:p>
    <w:p>
      <w:pPr>
        <w:ind w:left="652" w:hanging="652"/>
        <w:spacing w:after="0"/>
        <w:tabs>
          <w:tab w:leader="none" w:pos="65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49" w:lineRule="exact"/>
        <w:rPr>
          <w:sz w:val="20"/>
          <w:szCs w:val="20"/>
          <w:color w:val="auto"/>
        </w:rPr>
      </w:pPr>
    </w:p>
    <w:p>
      <w:pPr>
        <w:jc w:val="both"/>
        <w:ind w:left="652" w:hanging="647"/>
        <w:spacing w:after="0" w:line="278" w:lineRule="auto"/>
        <w:tabs>
          <w:tab w:leader="none" w:pos="632" w:val="left"/>
        </w:tabs>
        <w:rPr>
          <w:sz w:val="20"/>
          <w:szCs w:val="20"/>
          <w:color w:val="auto"/>
        </w:rPr>
      </w:pPr>
      <w:r>
        <w:rPr>
          <w:rFonts w:ascii="Arial" w:cs="Arial" w:eastAsia="Arial" w:hAnsi="Arial"/>
          <w:sz w:val="20"/>
          <w:szCs w:val="20"/>
          <w:color w:val="auto"/>
        </w:rPr>
        <w:t>18.1</w:t>
        <w:tab/>
        <w:t>All communications by or on behalf of the Company relating to the issuance, transfer, exchange or payment of Notes or interest thereon shall be directed to the Fiscal Agent at its address set forth in subclause 18.2(b) hereof (or such other address as the Fiscal Agent shall specify in writing to the Company).</w:t>
      </w:r>
    </w:p>
    <w:p>
      <w:pPr>
        <w:spacing w:after="0" w:line="384"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12"/>
          </w:cols>
          <w:pgMar w:left="248" w:top="825" w:right="239" w:bottom="1440" w:gutter="0" w:footer="0" w:header="0"/>
        </w:sectPr>
      </w:pPr>
    </w:p>
    <w:bookmarkStart w:id="17" w:name="page18"/>
    <w:bookmarkEnd w:id="17"/>
    <w:p>
      <w:pPr>
        <w:ind w:left="652" w:hanging="647"/>
        <w:spacing w:after="0" w:line="289" w:lineRule="auto"/>
        <w:tabs>
          <w:tab w:leader="none" w:pos="632" w:val="left"/>
        </w:tabs>
        <w:rPr>
          <w:sz w:val="20"/>
          <w:szCs w:val="20"/>
          <w:color w:val="auto"/>
        </w:rPr>
      </w:pPr>
      <w:r>
        <w:rPr>
          <w:rFonts w:ascii="Arial" w:cs="Arial" w:eastAsia="Arial" w:hAnsi="Arial"/>
          <w:sz w:val="20"/>
          <w:szCs w:val="20"/>
          <w:color w:val="auto"/>
        </w:rPr>
        <w:t>18.2</w:t>
        <w:tab/>
        <w:t>Notices and other communications hereunder shall (except to the extent otherwise expressly provided) be in writing and shall be addressed as follows, or to such other addresses as the parties hereto shall specify from time to time:</w:t>
      </w:r>
    </w:p>
    <w:p>
      <w:pPr>
        <w:spacing w:after="0" w:line="175" w:lineRule="exact"/>
        <w:rPr>
          <w:sz w:val="20"/>
          <w:szCs w:val="20"/>
          <w:color w:val="auto"/>
        </w:rPr>
      </w:pPr>
    </w:p>
    <w:p>
      <w:pPr>
        <w:ind w:left="1292" w:right="8400" w:hanging="644"/>
        <w:spacing w:after="0" w:line="297" w:lineRule="auto"/>
        <w:tabs>
          <w:tab w:leader="none" w:pos="12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to the Company: ManpowerGroup Inc.</w:t>
      </w:r>
    </w:p>
    <w:p>
      <w:pPr>
        <w:ind w:left="1292" w:right="8320"/>
        <w:spacing w:after="0" w:line="297" w:lineRule="auto"/>
        <w:rPr>
          <w:rFonts w:ascii="Arial" w:cs="Arial" w:eastAsia="Arial" w:hAnsi="Arial"/>
          <w:sz w:val="18"/>
          <w:szCs w:val="18"/>
          <w:color w:val="auto"/>
        </w:rPr>
      </w:pPr>
      <w:r>
        <w:rPr>
          <w:rFonts w:ascii="Arial" w:cs="Arial" w:eastAsia="Arial" w:hAnsi="Arial"/>
          <w:sz w:val="18"/>
          <w:szCs w:val="18"/>
          <w:color w:val="auto"/>
        </w:rPr>
        <w:t>100 Manpower Place Milwaukee, WI 53212</w:t>
      </w:r>
    </w:p>
    <w:p>
      <w:pPr>
        <w:ind w:left="1292"/>
        <w:spacing w:after="0"/>
        <w:rPr>
          <w:rFonts w:ascii="Arial" w:cs="Arial" w:eastAsia="Arial" w:hAnsi="Arial"/>
          <w:sz w:val="18"/>
          <w:szCs w:val="18"/>
          <w:color w:val="auto"/>
        </w:rPr>
      </w:pPr>
      <w:r>
        <w:rPr>
          <w:rFonts w:ascii="Arial" w:cs="Arial" w:eastAsia="Arial" w:hAnsi="Arial"/>
          <w:sz w:val="20"/>
          <w:szCs w:val="20"/>
          <w:color w:val="auto"/>
        </w:rPr>
        <w:t>Attention:  Senior Vice President, Corporate Controller and Treasurer</w:t>
      </w:r>
    </w:p>
    <w:p>
      <w:pPr>
        <w:spacing w:after="0" w:line="26"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Fax no: +1 414 906 7875</w:t>
      </w:r>
    </w:p>
    <w:p>
      <w:pPr>
        <w:spacing w:after="0" w:line="242" w:lineRule="exact"/>
        <w:rPr>
          <w:rFonts w:ascii="Arial" w:cs="Arial" w:eastAsia="Arial" w:hAnsi="Arial"/>
          <w:sz w:val="18"/>
          <w:szCs w:val="18"/>
          <w:color w:val="auto"/>
        </w:rPr>
      </w:pPr>
    </w:p>
    <w:p>
      <w:pPr>
        <w:ind w:left="1292" w:right="7620" w:hanging="644"/>
        <w:spacing w:after="0" w:line="267" w:lineRule="auto"/>
        <w:tabs>
          <w:tab w:leader="none" w:pos="1292"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to the Fiscal Agent: Citibank, N.A., London Branch Citigroup Centre</w:t>
      </w:r>
    </w:p>
    <w:p>
      <w:pPr>
        <w:spacing w:after="0" w:line="2" w:lineRule="exact"/>
        <w:rPr>
          <w:rFonts w:ascii="Arial" w:cs="Arial" w:eastAsia="Arial" w:hAnsi="Arial"/>
          <w:sz w:val="20"/>
          <w:szCs w:val="20"/>
          <w:color w:val="auto"/>
        </w:rPr>
      </w:pPr>
    </w:p>
    <w:p>
      <w:pPr>
        <w:ind w:left="1292" w:right="7720"/>
        <w:spacing w:after="0" w:line="273" w:lineRule="auto"/>
        <w:rPr>
          <w:rFonts w:ascii="Arial" w:cs="Arial" w:eastAsia="Arial" w:hAnsi="Arial"/>
          <w:sz w:val="20"/>
          <w:szCs w:val="20"/>
          <w:color w:val="auto"/>
        </w:rPr>
      </w:pPr>
      <w:r>
        <w:rPr>
          <w:rFonts w:ascii="Arial" w:cs="Arial" w:eastAsia="Arial" w:hAnsi="Arial"/>
          <w:sz w:val="20"/>
          <w:szCs w:val="20"/>
          <w:color w:val="auto"/>
        </w:rPr>
        <w:t>25 Canada Square Canary Wharf London E14 5LB Attention: Agency and Trust Fax no: +353 1622 2210</w:t>
      </w:r>
    </w:p>
    <w:p>
      <w:pPr>
        <w:spacing w:after="0" w:line="191" w:lineRule="exact"/>
        <w:rPr>
          <w:sz w:val="20"/>
          <w:szCs w:val="20"/>
          <w:color w:val="auto"/>
        </w:rPr>
      </w:pPr>
    </w:p>
    <w:p>
      <w:pPr>
        <w:ind w:left="652" w:right="20" w:hanging="647"/>
        <w:spacing w:after="0" w:line="289" w:lineRule="auto"/>
        <w:tabs>
          <w:tab w:leader="none" w:pos="632" w:val="left"/>
        </w:tabs>
        <w:rPr>
          <w:sz w:val="20"/>
          <w:szCs w:val="20"/>
          <w:color w:val="auto"/>
        </w:rPr>
      </w:pPr>
      <w:r>
        <w:rPr>
          <w:rFonts w:ascii="Arial" w:cs="Arial" w:eastAsia="Arial" w:hAnsi="Arial"/>
          <w:sz w:val="20"/>
          <w:szCs w:val="20"/>
          <w:color w:val="auto"/>
        </w:rPr>
        <w:t>18.3</w:t>
        <w:tab/>
        <w:t>While the Notes are held through the Clearing Systems, a notice will be deemed to have been given to Noteholders if such notice is sent to the Clearing Systems for publication to Noteholders.</w:t>
      </w:r>
    </w:p>
    <w:p>
      <w:pPr>
        <w:spacing w:after="0" w:line="169"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RESIGNATION OR REMOVAL OF THE AGENTS</w:t>
      </w:r>
    </w:p>
    <w:p>
      <w:pPr>
        <w:spacing w:after="0" w:line="248" w:lineRule="exact"/>
        <w:rPr>
          <w:rFonts w:ascii="Arial" w:cs="Arial" w:eastAsia="Arial" w:hAnsi="Arial"/>
          <w:sz w:val="20"/>
          <w:szCs w:val="20"/>
          <w:b w:val="1"/>
          <w:bCs w:val="1"/>
          <w:color w:val="auto"/>
        </w:rPr>
      </w:pPr>
    </w:p>
    <w:p>
      <w:pPr>
        <w:jc w:val="both"/>
        <w:ind w:left="652"/>
        <w:spacing w:after="0" w:line="284" w:lineRule="auto"/>
        <w:rPr>
          <w:rFonts w:ascii="Arial" w:cs="Arial" w:eastAsia="Arial" w:hAnsi="Arial"/>
          <w:sz w:val="20"/>
          <w:szCs w:val="20"/>
          <w:b w:val="1"/>
          <w:bCs w:val="1"/>
          <w:color w:val="auto"/>
        </w:rPr>
      </w:pPr>
      <w:r>
        <w:rPr>
          <w:rFonts w:ascii="Arial" w:cs="Arial" w:eastAsia="Arial" w:hAnsi="Arial"/>
          <w:sz w:val="19"/>
          <w:szCs w:val="19"/>
          <w:color w:val="auto"/>
        </w:rPr>
        <w:t xml:space="preserve">The Agents may at any time resign from their respective roles by giving written notice to the Company of such intention on their part, specifying the date on which its desired resignation shall become effective;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xml:space="preserve">, that such date shall be not less than 30 days after the giving of such notice by the Agents to the Company. The Agents may be removed at any time, immediately if such Agent is an FFI, and does not become, or ceases to be, a Participating FFI and with not less than 30 days' notice in all other cases, by the filing with them of an instrument in writing signed by a duly authorized officer of the Company and specifying such removal and the date upon which it is intended to become effective. Such resignation or removal shall take effect on the date of the appointment by the Company of a successor Agent and the acceptance of such appointment by such successor Agent. In the event of resignation by, or removal of, any of the Agents, if a successor Agent has not been appointed by the Company by the tenth day before the expiry of any notice given by such Agent or the Company, the Agent may itself appoint as its replacement any reputable and experienced financial institution. Immediately following such appointment, Agent shall give notice of such appointment to the Company, the remaining Agents and the Noteholders, whereupon the Company, the remaining Agents and the replacement Agent shall acquire and become subject to the same rights and obligations between themselves as if they had entered into an agreement in the form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of this Agreement.</w:t>
      </w:r>
    </w:p>
    <w:p>
      <w:pPr>
        <w:spacing w:after="0" w:line="184" w:lineRule="exact"/>
        <w:rPr>
          <w:rFonts w:ascii="Arial" w:cs="Arial" w:eastAsia="Arial" w:hAnsi="Arial"/>
          <w:sz w:val="20"/>
          <w:szCs w:val="20"/>
          <w:b w:val="1"/>
          <w:bCs w:val="1"/>
          <w:color w:val="auto"/>
        </w:rPr>
      </w:pPr>
    </w:p>
    <w:p>
      <w:pPr>
        <w:ind w:left="652" w:hanging="652"/>
        <w:spacing w:after="0"/>
        <w:tabs>
          <w:tab w:leader="none" w:pos="652"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BENEFIT OF AGREEMENT</w:t>
      </w:r>
    </w:p>
    <w:p>
      <w:pPr>
        <w:spacing w:after="0" w:line="248" w:lineRule="exact"/>
        <w:rPr>
          <w:rFonts w:ascii="Arial" w:cs="Arial" w:eastAsia="Arial" w:hAnsi="Arial"/>
          <w:sz w:val="20"/>
          <w:szCs w:val="20"/>
          <w:b w:val="1"/>
          <w:bCs w:val="1"/>
          <w:color w:val="auto"/>
        </w:rPr>
      </w:pPr>
    </w:p>
    <w:p>
      <w:pPr>
        <w:ind w:left="652" w:right="20"/>
        <w:spacing w:after="0" w:line="316" w:lineRule="auto"/>
        <w:rPr>
          <w:rFonts w:ascii="Arial" w:cs="Arial" w:eastAsia="Arial" w:hAnsi="Arial"/>
          <w:sz w:val="20"/>
          <w:szCs w:val="20"/>
          <w:b w:val="1"/>
          <w:bCs w:val="1"/>
          <w:color w:val="auto"/>
        </w:rPr>
      </w:pPr>
      <w:r>
        <w:rPr>
          <w:rFonts w:ascii="Arial" w:cs="Arial" w:eastAsia="Arial" w:hAnsi="Arial"/>
          <w:sz w:val="19"/>
          <w:szCs w:val="19"/>
          <w:color w:val="auto"/>
        </w:rPr>
        <w:t>This Agreement is solely for the benefit of the parties hereto, their successors, assigns and any additional agents appointed in accordance with Clause 19 above and no other person shall acquire or have any right under or by virtue hereof.</w:t>
      </w:r>
    </w:p>
    <w:p>
      <w:pPr>
        <w:spacing w:after="0" w:line="351"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12"/>
          </w:cols>
          <w:pgMar w:left="248" w:top="825" w:right="239" w:bottom="1440" w:gutter="0" w:footer="0" w:header="0"/>
        </w:sectPr>
      </w:pPr>
    </w:p>
    <w:bookmarkStart w:id="18" w:name="page19"/>
    <w:bookmarkEnd w:id="18"/>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NOTES HELD BY A PAYING AGENT</w:t>
      </w:r>
    </w:p>
    <w:p>
      <w:pPr>
        <w:spacing w:after="0" w:line="248" w:lineRule="exact"/>
        <w:rPr>
          <w:rFonts w:ascii="Arial" w:cs="Arial" w:eastAsia="Arial" w:hAnsi="Arial"/>
          <w:sz w:val="20"/>
          <w:szCs w:val="20"/>
          <w:b w:val="1"/>
          <w:bCs w:val="1"/>
          <w:color w:val="auto"/>
        </w:rPr>
      </w:pPr>
    </w:p>
    <w:p>
      <w:pPr>
        <w:jc w:val="both"/>
        <w:ind w:left="66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Each Agent, in its individual or other capacity, may become the owner or pledgee of the Notes with the same rights it would have if it were not acting as fiscal and/or paying agent hereunder and may engage or be interested in any financial or other transaction with the Company and may act on, or as depositary, trustee or agent for, any committee or body of holders of Notes or other obligations of the Company as freely as if it were not appointed hereunder.</w:t>
      </w:r>
    </w:p>
    <w:p>
      <w:pPr>
        <w:spacing w:after="0" w:line="186" w:lineRule="exact"/>
        <w:rPr>
          <w:rFonts w:ascii="Arial" w:cs="Arial" w:eastAsia="Arial" w:hAnsi="Arial"/>
          <w:sz w:val="20"/>
          <w:szCs w:val="20"/>
          <w:b w:val="1"/>
          <w:bCs w:val="1"/>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CONTROL</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8"/>
          <w:szCs w:val="18"/>
          <w:color w:val="auto"/>
        </w:rPr>
        <w:t>Change of Control Triggering Event</w:t>
      </w:r>
    </w:p>
    <w:p>
      <w:pPr>
        <w:spacing w:after="0" w:line="243"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 xml:space="preserve">If the Company experiences both a Change of Control and a Rating Decline (each as defined below and together, a </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w:t>
      </w:r>
      <w:r>
        <w:rPr>
          <w:rFonts w:ascii="Arial" w:cs="Arial" w:eastAsia="Arial" w:hAnsi="Arial"/>
          <w:sz w:val="19"/>
          <w:szCs w:val="19"/>
          <w:b w:val="1"/>
          <w:bCs w:val="1"/>
          <w:color w:val="auto"/>
        </w:rPr>
        <w:t>Triggering Event</w:t>
      </w:r>
      <w:r>
        <w:rPr>
          <w:rFonts w:ascii="Arial" w:cs="Arial" w:eastAsia="Arial" w:hAnsi="Arial"/>
          <w:sz w:val="19"/>
          <w:szCs w:val="19"/>
          <w:color w:val="auto"/>
        </w:rPr>
        <w:t>), each Noteholder will have the right to require the Company to repurchase all or any part of such Noteholder's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Notes at a purchase price in cash equal to 101% of the aggregate principal amount of the Notes repurchased plus accrued and unpaid interest on the Notes repurchased to the date of purchase (subject to the right of Noteholders of record on the relevant record date to receive interest due on the relevant interest payment date);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the Company shall not be obliged to repurchase Notes in the event and to the extent that it has unconditionally exercised its right to redeem all of the Notes or all conditions to such redemption have been satisfied or waived.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color w:val="auto"/>
        </w:rPr>
        <w:t>Change of Control Procedures</w:t>
      </w:r>
    </w:p>
    <w:p>
      <w:pPr>
        <w:spacing w:after="0" w:line="249" w:lineRule="exact"/>
        <w:rPr>
          <w:sz w:val="20"/>
          <w:szCs w:val="20"/>
          <w:color w:val="auto"/>
        </w:rPr>
      </w:pPr>
    </w:p>
    <w:p>
      <w:pPr>
        <w:jc w:val="both"/>
        <w:ind w:left="660"/>
        <w:spacing w:after="0" w:line="278" w:lineRule="auto"/>
        <w:rPr>
          <w:sz w:val="20"/>
          <w:szCs w:val="20"/>
          <w:color w:val="auto"/>
        </w:rPr>
      </w:pPr>
      <w:r>
        <w:rPr>
          <w:rFonts w:ascii="Arial" w:cs="Arial" w:eastAsia="Arial" w:hAnsi="Arial"/>
          <w:sz w:val="20"/>
          <w:szCs w:val="20"/>
          <w:color w:val="auto"/>
        </w:rPr>
        <w:t xml:space="preserve">Unless the Company has unconditionally exercised its right to redeem all the Notes or all conditions to such redemption have been satisfied or waived, no later than the date that is 30 days after any Change of Control Triggering Event, the Company will mail a notice (the </w:t>
      </w:r>
      <w:r>
        <w:rPr>
          <w:rFonts w:ascii="Arial" w:cs="Arial" w:eastAsia="Arial" w:hAnsi="Arial"/>
          <w:sz w:val="20"/>
          <w:szCs w:val="20"/>
          <w:b w:val="1"/>
          <w:bCs w:val="1"/>
          <w:color w:val="auto"/>
        </w:rPr>
        <w:t>Change of Control Offer</w:t>
      </w:r>
      <w:r>
        <w:rPr>
          <w:rFonts w:ascii="Arial" w:cs="Arial" w:eastAsia="Arial" w:hAnsi="Arial"/>
          <w:sz w:val="20"/>
          <w:szCs w:val="20"/>
          <w:color w:val="auto"/>
        </w:rPr>
        <w:t>) to each Noteholder, with a copy to the Fiscal Agent:</w:t>
      </w:r>
    </w:p>
    <w:p>
      <w:pPr>
        <w:spacing w:after="0" w:line="187" w:lineRule="exact"/>
        <w:rPr>
          <w:sz w:val="20"/>
          <w:szCs w:val="20"/>
          <w:color w:val="auto"/>
        </w:rPr>
      </w:pPr>
    </w:p>
    <w:p>
      <w:pPr>
        <w:jc w:val="both"/>
        <w:ind w:left="1300" w:hanging="644"/>
        <w:spacing w:after="0" w:line="293" w:lineRule="auto"/>
        <w:tabs>
          <w:tab w:leader="none" w:pos="13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stating that a Change of Control Triggering Event has occurred and that such Noteholder has the right to require the Company to purchase such Noteholder's Notes at a purchase price in cash equal to 101% of the aggregate principal amount of such Notes plus accrued and unpaid interest to the date of purchase (subject to the right of the Noteholders of record on a record date to receive interest on the relevant interest payment date) (the </w:t>
      </w:r>
      <w:r>
        <w:rPr>
          <w:rFonts w:ascii="Arial" w:cs="Arial" w:eastAsia="Arial" w:hAnsi="Arial"/>
          <w:sz w:val="19"/>
          <w:szCs w:val="19"/>
          <w:b w:val="1"/>
          <w:bCs w:val="1"/>
          <w:color w:val="auto"/>
        </w:rPr>
        <w:t>Change of Control Payment</w:t>
      </w:r>
      <w:r>
        <w:rPr>
          <w:rFonts w:ascii="Arial" w:cs="Arial" w:eastAsia="Arial" w:hAnsi="Arial"/>
          <w:sz w:val="19"/>
          <w:szCs w:val="19"/>
          <w:color w:val="auto"/>
        </w:rPr>
        <w:t>);</w:t>
      </w:r>
    </w:p>
    <w:p>
      <w:pPr>
        <w:spacing w:after="0" w:line="175" w:lineRule="exact"/>
        <w:rPr>
          <w:rFonts w:ascii="Arial" w:cs="Arial" w:eastAsia="Arial" w:hAnsi="Arial"/>
          <w:sz w:val="19"/>
          <w:szCs w:val="19"/>
          <w:color w:val="auto"/>
        </w:rPr>
      </w:pPr>
    </w:p>
    <w:p>
      <w:pPr>
        <w:ind w:left="1300" w:hanging="644"/>
        <w:spacing w:after="0" w:line="289"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stating the repurchase date (which shall be no earlier than 30 days nor later than 60 days from the date such notice is mailed) (the </w:t>
      </w:r>
      <w:r>
        <w:rPr>
          <w:rFonts w:ascii="Arial" w:cs="Arial" w:eastAsia="Arial" w:hAnsi="Arial"/>
          <w:sz w:val="20"/>
          <w:szCs w:val="20"/>
          <w:b w:val="1"/>
          <w:bCs w:val="1"/>
          <w:color w:val="auto"/>
        </w:rPr>
        <w:t>Change of Control Payment Date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describing the circumstances and relevant facts regarding the transaction or transactions that constitute the Change of Control Triggering Event;</w:t>
      </w:r>
    </w:p>
    <w:p>
      <w:pPr>
        <w:spacing w:after="0" w:line="175"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describing the procedures determined by the Company, consistent with this Agreement, that a Noteholder must follow in order to have its Notes repurchased; and</w:t>
      </w:r>
    </w:p>
    <w:p>
      <w:pPr>
        <w:spacing w:after="0" w:line="175"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if such notice is mailed prior to the occurrence of a Change of Control Triggering Event, stating that the Change of Control Offer is conditional on the occurrence of such Change of Control Triggering Event.</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1420"/>
          </w:cols>
          <w:pgMar w:left="240" w:top="819"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0"/>
          <w:szCs w:val="20"/>
          <w:color w:val="auto"/>
        </w:rPr>
        <w:t>On the Change of Control Payment Date, the Company will, to the extent lawful:</w:t>
      </w:r>
    </w:p>
    <w:p>
      <w:pPr>
        <w:spacing w:after="0" w:line="243"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accept for payment all Notes or portions of Notes properly tendered pursuant to the Change of Control Offer;</w:t>
      </w:r>
    </w:p>
    <w:p>
      <w:pPr>
        <w:spacing w:after="0" w:line="242"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deposit with the principal Paying Agent an amount equal to the Change of Control Payment in respect of all Notes or portions of Notes properly tendered;</w:t>
      </w:r>
    </w:p>
    <w:p>
      <w:pPr>
        <w:spacing w:after="0" w:line="175" w:lineRule="exact"/>
        <w:rPr>
          <w:rFonts w:ascii="Arial" w:cs="Arial" w:eastAsia="Arial" w:hAnsi="Arial"/>
          <w:sz w:val="20"/>
          <w:szCs w:val="20"/>
          <w:color w:val="auto"/>
        </w:rPr>
      </w:pPr>
    </w:p>
    <w:p>
      <w:pPr>
        <w:ind w:left="1300" w:hanging="644"/>
        <w:spacing w:after="0" w:line="34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or cause to be delivered to the Fiscal Agent the Notes properly accepted and an officer's certificate stating the aggregate principal amount of Notes or portions of Notes being purchased by the Company in the Change of Control Offer;</w:t>
      </w:r>
    </w:p>
    <w:p>
      <w:pPr>
        <w:spacing w:after="0" w:line="130" w:lineRule="exact"/>
        <w:rPr>
          <w:rFonts w:ascii="Arial" w:cs="Arial" w:eastAsia="Arial" w:hAnsi="Arial"/>
          <w:sz w:val="18"/>
          <w:szCs w:val="18"/>
          <w:color w:val="auto"/>
        </w:rPr>
      </w:pPr>
    </w:p>
    <w:p>
      <w:pPr>
        <w:ind w:left="1300" w:hanging="644"/>
        <w:spacing w:after="0" w:line="289"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deliver, or cause to be delivered, to the principal Paying Agent the Global Notes in order to reflect thereon the portion of such Notes or portions thereof that have been tendered to and purchased by the Company; and</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or cause to be delivered, to the Registrar for cancellation all Definitive Notes accepted for purchase by the Company.</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color w:val="auto"/>
        </w:rPr>
        <w:t>Definitive Notes</w:t>
      </w:r>
    </w:p>
    <w:p>
      <w:pPr>
        <w:spacing w:after="0" w:line="249"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 xml:space="preserve">If any Definitive Notes have been issued, the principal Paying Agent will promptly mail to each Noteholder of Definitive Notes properly tendered the Change of Control Payment for such Notes, and the Fiscal Agent will promptly authenticate and the Registrar will mail, at the cost of the Noteholder, (or cause to be transferred by book entry) to each Noteholder of the Definitive Notes a new Note equal in principal amount to the unpurchased portion of the Notes surrendered, if any;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that each such new Note will be in a principal amount that is at least €100,000 and an integral multiple of €1,000 in excess thereof.</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8"/>
          <w:szCs w:val="18"/>
          <w:color w:val="auto"/>
        </w:rPr>
        <w:t>Notice to the Irish Stock Exchange</w:t>
      </w:r>
    </w:p>
    <w:p>
      <w:pPr>
        <w:spacing w:after="0" w:line="243" w:lineRule="exact"/>
        <w:rPr>
          <w:sz w:val="20"/>
          <w:szCs w:val="20"/>
          <w:color w:val="auto"/>
        </w:rPr>
      </w:pPr>
    </w:p>
    <w:p>
      <w:pPr>
        <w:jc w:val="both"/>
        <w:ind w:left="660"/>
        <w:spacing w:after="0" w:line="281" w:lineRule="auto"/>
        <w:rPr>
          <w:sz w:val="20"/>
          <w:szCs w:val="20"/>
          <w:color w:val="auto"/>
        </w:rPr>
      </w:pPr>
      <w:r>
        <w:rPr>
          <w:rFonts w:ascii="Arial" w:cs="Arial" w:eastAsia="Arial" w:hAnsi="Arial"/>
          <w:sz w:val="20"/>
          <w:szCs w:val="20"/>
          <w:color w:val="auto"/>
        </w:rPr>
        <w:t xml:space="preserve">For so long as the Notes are listed on the official list of the Irish Stock Exchange (the </w:t>
      </w:r>
      <w:r>
        <w:rPr>
          <w:rFonts w:ascii="Arial" w:cs="Arial" w:eastAsia="Arial" w:hAnsi="Arial"/>
          <w:sz w:val="20"/>
          <w:szCs w:val="20"/>
          <w:b w:val="1"/>
          <w:bCs w:val="1"/>
          <w:color w:val="auto"/>
        </w:rPr>
        <w:t>Official List</w:t>
      </w:r>
      <w:r>
        <w:rPr>
          <w:rFonts w:ascii="Arial" w:cs="Arial" w:eastAsia="Arial" w:hAnsi="Arial"/>
          <w:sz w:val="20"/>
          <w:szCs w:val="20"/>
          <w:color w:val="auto"/>
        </w:rPr>
        <w:t>) and the rules of such exchange so require, the Company will give notice with respect to the results of the Change of Control Offer to the Companies Announcement Office in Dublin.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9"/>
          <w:szCs w:val="19"/>
          <w:color w:val="auto"/>
        </w:rPr>
        <w:t>Applicability</w:t>
      </w:r>
    </w:p>
    <w:p>
      <w:pPr>
        <w:spacing w:after="0" w:line="249" w:lineRule="exact"/>
        <w:rPr>
          <w:sz w:val="20"/>
          <w:szCs w:val="20"/>
          <w:color w:val="auto"/>
        </w:rPr>
      </w:pPr>
    </w:p>
    <w:p>
      <w:pPr>
        <w:jc w:val="both"/>
        <w:ind w:left="660"/>
        <w:spacing w:after="0" w:line="289" w:lineRule="auto"/>
        <w:rPr>
          <w:sz w:val="20"/>
          <w:szCs w:val="20"/>
          <w:color w:val="auto"/>
        </w:rPr>
      </w:pPr>
      <w:r>
        <w:rPr>
          <w:rFonts w:ascii="Arial" w:cs="Arial" w:eastAsia="Arial" w:hAnsi="Arial"/>
          <w:sz w:val="20"/>
          <w:szCs w:val="20"/>
          <w:color w:val="auto"/>
        </w:rPr>
        <w:t>The provisions described above that require the Company to make a Change of Control Offer following a Change of Control Triggering Event will be applicable whether or not any other provisions of this Agreement are applicable.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18"/>
          <w:szCs w:val="18"/>
          <w:color w:val="auto"/>
        </w:rPr>
        <w:t>Compliance with the Exchange Act</w:t>
      </w:r>
    </w:p>
    <w:p>
      <w:pPr>
        <w:spacing w:after="0" w:line="249" w:lineRule="exact"/>
        <w:rPr>
          <w:sz w:val="20"/>
          <w:szCs w:val="20"/>
          <w:color w:val="auto"/>
        </w:rPr>
      </w:pPr>
    </w:p>
    <w:p>
      <w:pPr>
        <w:jc w:val="both"/>
        <w:ind w:left="660"/>
        <w:spacing w:after="0" w:line="310" w:lineRule="auto"/>
        <w:rPr>
          <w:sz w:val="20"/>
          <w:szCs w:val="20"/>
          <w:color w:val="auto"/>
        </w:rPr>
      </w:pPr>
      <w:r>
        <w:rPr>
          <w:rFonts w:ascii="Arial" w:cs="Arial" w:eastAsia="Arial" w:hAnsi="Arial"/>
          <w:sz w:val="18"/>
          <w:szCs w:val="18"/>
          <w:color w:val="auto"/>
        </w:rPr>
        <w:t>The Company will comply, to the extent applicable, with the requirements of Section 14(e) of the United States Securities Exchange Act of 1934 and any other securities laws or regulations in connection with the repurchase of Notes as a result of a Change of Control Triggering Event. To the extent that the provisions of any securities laws or regulations conflict with the Change of Control provisions of this Agreement, the Company will comply with the applicable securities laws and regulations and will not be deemed to have breached its obligations under the Change of Control provisions of this Agreement by virtue of such compliance.</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420"/>
          </w:cols>
          <w:pgMar w:left="240" w:top="825" w:right="2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8"/>
          <w:szCs w:val="18"/>
          <w:color w:val="auto"/>
        </w:rPr>
        <w:t>Change of Control Definitions</w:t>
      </w:r>
    </w:p>
    <w:p>
      <w:pPr>
        <w:spacing w:after="0" w:line="249" w:lineRule="exact"/>
        <w:rPr>
          <w:sz w:val="20"/>
          <w:szCs w:val="20"/>
          <w:color w:val="auto"/>
        </w:rPr>
      </w:pPr>
    </w:p>
    <w:p>
      <w:pPr>
        <w:ind w:left="660"/>
        <w:spacing w:after="0" w:line="289" w:lineRule="auto"/>
        <w:rPr>
          <w:sz w:val="20"/>
          <w:szCs w:val="20"/>
          <w:color w:val="auto"/>
        </w:rPr>
      </w:pPr>
      <w:r>
        <w:rPr>
          <w:rFonts w:ascii="Arial" w:cs="Arial" w:eastAsia="Arial" w:hAnsi="Arial"/>
          <w:sz w:val="20"/>
          <w:szCs w:val="20"/>
          <w:color w:val="auto"/>
        </w:rPr>
        <w:t>For the purposes of this clause, the defined terms not otherwise defined in any other clause of this Agreement have the following meaning:</w:t>
      </w:r>
    </w:p>
    <w:p>
      <w:pPr>
        <w:spacing w:after="0" w:line="169" w:lineRule="exact"/>
        <w:rPr>
          <w:sz w:val="20"/>
          <w:szCs w:val="20"/>
          <w:color w:val="auto"/>
        </w:rPr>
      </w:pPr>
    </w:p>
    <w:p>
      <w:pPr>
        <w:jc w:val="both"/>
        <w:ind w:left="1300" w:hanging="644"/>
        <w:spacing w:after="0" w:line="273"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Change of Control </w:t>
      </w:r>
      <w:r>
        <w:rPr>
          <w:rFonts w:ascii="Arial" w:cs="Arial" w:eastAsia="Arial" w:hAnsi="Arial"/>
          <w:sz w:val="20"/>
          <w:szCs w:val="20"/>
          <w:color w:val="auto"/>
        </w:rPr>
        <w:t>refers to (i) the acquisition by any person, or persons acting in concert or any person or persons acting on</w:t>
      </w:r>
      <w:r>
        <w:rPr>
          <w:rFonts w:ascii="Arial" w:cs="Arial" w:eastAsia="Arial" w:hAnsi="Arial"/>
          <w:sz w:val="20"/>
          <w:szCs w:val="20"/>
          <w:b w:val="1"/>
          <w:bCs w:val="1"/>
          <w:color w:val="auto"/>
        </w:rPr>
        <w:t xml:space="preserve"> </w:t>
      </w:r>
      <w:r>
        <w:rPr>
          <w:rFonts w:ascii="Arial" w:cs="Arial" w:eastAsia="Arial" w:hAnsi="Arial"/>
          <w:sz w:val="20"/>
          <w:szCs w:val="20"/>
          <w:color w:val="auto"/>
        </w:rPr>
        <w:t>behalf of any such person(s), at any time, directly or indirectly, of more than 50% of the Company's outstanding common stock, (ii) the approval by the Company's shareholders who hold more than 50% of the Company's outstanding common stock of a merger or consolidation with any other entity or (iii) the direct or indirect sale, lease, transfer, conveyance or other disposition of all or substantially all of the property or assets of the Company and its Subsidiaries taken as a whole to a person or group of persons.</w:t>
      </w:r>
    </w:p>
    <w:p>
      <w:pPr>
        <w:spacing w:after="0" w:line="186" w:lineRule="exact"/>
        <w:rPr>
          <w:rFonts w:ascii="Arial" w:cs="Arial" w:eastAsia="Arial" w:hAnsi="Arial"/>
          <w:sz w:val="20"/>
          <w:szCs w:val="20"/>
          <w:color w:val="auto"/>
        </w:rPr>
      </w:pPr>
    </w:p>
    <w:p>
      <w:pPr>
        <w:jc w:val="both"/>
        <w:ind w:left="1300" w:hanging="644"/>
        <w:spacing w:after="0" w:line="281"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Rating Agencies </w:t>
      </w:r>
      <w:r>
        <w:rPr>
          <w:rFonts w:ascii="Arial" w:cs="Arial" w:eastAsia="Arial" w:hAnsi="Arial"/>
          <w:sz w:val="20"/>
          <w:szCs w:val="20"/>
          <w:color w:val="auto"/>
        </w:rPr>
        <w:t>means Moody's and S&amp;P or, in the event Moody's or S&amp;P no longer assigns a rating to the Notes,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Nationally Recognized Statistical Rating Organization that assigns a rating to the Notes in lieu of the ratings by Moody's or S&amp;P.</w:t>
      </w:r>
    </w:p>
    <w:p>
      <w:pPr>
        <w:spacing w:after="0" w:line="178"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Rating Date </w:t>
      </w:r>
      <w:r>
        <w:rPr>
          <w:rFonts w:ascii="Arial" w:cs="Arial" w:eastAsia="Arial" w:hAnsi="Arial"/>
          <w:sz w:val="20"/>
          <w:szCs w:val="20"/>
          <w:color w:val="auto"/>
        </w:rPr>
        <w:t>means the date which is 90 days prior to the earlier of:</w:t>
      </w:r>
    </w:p>
    <w:p>
      <w:pPr>
        <w:spacing w:after="0" w:line="248" w:lineRule="exact"/>
        <w:rPr>
          <w:rFonts w:ascii="Arial" w:cs="Arial" w:eastAsia="Arial" w:hAnsi="Arial"/>
          <w:sz w:val="20"/>
          <w:szCs w:val="20"/>
          <w:color w:val="auto"/>
        </w:rPr>
      </w:pPr>
    </w:p>
    <w:p>
      <w:pPr>
        <w:ind w:left="1960" w:hanging="655"/>
        <w:spacing w:after="0"/>
        <w:tabs>
          <w:tab w:leader="none" w:pos="19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a Change of Control, and</w:t>
      </w:r>
    </w:p>
    <w:p>
      <w:pPr>
        <w:spacing w:after="0" w:line="242" w:lineRule="exact"/>
        <w:rPr>
          <w:rFonts w:ascii="Arial" w:cs="Arial" w:eastAsia="Arial" w:hAnsi="Arial"/>
          <w:sz w:val="20"/>
          <w:szCs w:val="20"/>
          <w:color w:val="auto"/>
        </w:rPr>
      </w:pPr>
    </w:p>
    <w:p>
      <w:pPr>
        <w:ind w:left="1960" w:hanging="655"/>
        <w:spacing w:after="0" w:line="289" w:lineRule="auto"/>
        <w:tabs>
          <w:tab w:leader="none" w:pos="19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public notice of the occurrence of a Change of Control or of the intention of the Company to effect a Change of Control.</w:t>
      </w:r>
    </w:p>
    <w:p>
      <w:pPr>
        <w:spacing w:after="0" w:line="169" w:lineRule="exact"/>
        <w:rPr>
          <w:rFonts w:ascii="Arial" w:cs="Arial" w:eastAsia="Arial" w:hAnsi="Arial"/>
          <w:sz w:val="20"/>
          <w:szCs w:val="20"/>
          <w:color w:val="auto"/>
        </w:rPr>
      </w:pPr>
    </w:p>
    <w:p>
      <w:pPr>
        <w:jc w:val="both"/>
        <w:ind w:left="1300" w:hanging="644"/>
        <w:spacing w:after="0" w:line="276"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Rating Decline </w:t>
      </w:r>
      <w:r>
        <w:rPr>
          <w:rFonts w:ascii="Arial" w:cs="Arial" w:eastAsia="Arial" w:hAnsi="Arial"/>
          <w:sz w:val="20"/>
          <w:szCs w:val="20"/>
          <w:color w:val="auto"/>
        </w:rPr>
        <w:t>means the occurrence of the following on, or within 60 days after, the earlier of the date of public notice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occurrence of a Change of Control or of the intention of the Company to effect a Change of Control (which period shall be extended so long as the rating of the Notes is under publicly announced consideration for possible downgrade by any of the Rating Agencies):</w:t>
      </w:r>
    </w:p>
    <w:p>
      <w:pPr>
        <w:spacing w:after="0" w:line="190" w:lineRule="exact"/>
        <w:rPr>
          <w:rFonts w:ascii="Arial" w:cs="Arial" w:eastAsia="Arial" w:hAnsi="Arial"/>
          <w:sz w:val="20"/>
          <w:szCs w:val="20"/>
          <w:color w:val="auto"/>
        </w:rPr>
      </w:pPr>
    </w:p>
    <w:p>
      <w:pPr>
        <w:ind w:left="1960" w:right="20" w:hanging="655"/>
        <w:spacing w:after="0" w:line="289" w:lineRule="auto"/>
        <w:tabs>
          <w:tab w:leader="none" w:pos="19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in the event the Notes are assigned an Investment Grade Rating by both Rating Agencies on the Rating Date, the rating of the Notes by one of the Rating Agencies shall be below an Investment Grade Rating; or</w:t>
      </w:r>
    </w:p>
    <w:p>
      <w:pPr>
        <w:spacing w:after="0" w:line="175" w:lineRule="exact"/>
        <w:rPr>
          <w:rFonts w:ascii="Arial" w:cs="Arial" w:eastAsia="Arial" w:hAnsi="Arial"/>
          <w:sz w:val="20"/>
          <w:szCs w:val="20"/>
          <w:color w:val="auto"/>
        </w:rPr>
      </w:pPr>
    </w:p>
    <w:p>
      <w:pPr>
        <w:jc w:val="both"/>
        <w:ind w:left="1960" w:right="20" w:hanging="655"/>
        <w:spacing w:after="0" w:line="299" w:lineRule="auto"/>
        <w:tabs>
          <w:tab w:leader="none" w:pos="1960" w:val="left"/>
        </w:tabs>
        <w:numPr>
          <w:ilvl w:val="1"/>
          <w:numId w:val="25"/>
        </w:numPr>
        <w:rPr>
          <w:rFonts w:ascii="Arial" w:cs="Arial" w:eastAsia="Arial" w:hAnsi="Arial"/>
          <w:sz w:val="19"/>
          <w:szCs w:val="19"/>
          <w:color w:val="auto"/>
        </w:rPr>
      </w:pPr>
      <w:r>
        <w:rPr>
          <w:rFonts w:ascii="Arial" w:cs="Arial" w:eastAsia="Arial" w:hAnsi="Arial"/>
          <w:sz w:val="19"/>
          <w:szCs w:val="19"/>
          <w:color w:val="auto"/>
        </w:rPr>
        <w:t>in the event the Notes are rated below an Investment Grade Rating by at least one of the Rating Agencies on the Rating Date, the rating of the Notes by at least one of the Rating Agencies shall be decreased by one or more gradations (including gradations within rating categories as well as between rating categories).</w:t>
      </w:r>
    </w:p>
    <w:p>
      <w:pPr>
        <w:spacing w:after="0" w:line="163" w:lineRule="exact"/>
        <w:rPr>
          <w:rFonts w:ascii="Arial" w:cs="Arial" w:eastAsia="Arial" w:hAnsi="Arial"/>
          <w:sz w:val="19"/>
          <w:szCs w:val="19"/>
          <w:color w:val="auto"/>
        </w:rPr>
      </w:pPr>
    </w:p>
    <w:p>
      <w:pPr>
        <w:ind w:left="1300" w:hanging="644"/>
        <w:spacing w:after="0" w:line="295"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Investment Grade Rating </w:t>
      </w:r>
      <w:r>
        <w:rPr>
          <w:rFonts w:ascii="Arial" w:cs="Arial" w:eastAsia="Arial" w:hAnsi="Arial"/>
          <w:sz w:val="20"/>
          <w:szCs w:val="20"/>
          <w:color w:val="auto"/>
        </w:rPr>
        <w:t>means a rating equal to or higher than Baa3 (or the equivalent) by Moody's and BBB – (or the</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 by S&amp;P.</w:t>
      </w:r>
    </w:p>
    <w:p>
      <w:pPr>
        <w:spacing w:after="0" w:line="163" w:lineRule="exact"/>
        <w:rPr>
          <w:rFonts w:ascii="Arial" w:cs="Arial" w:eastAsia="Arial" w:hAnsi="Arial"/>
          <w:sz w:val="20"/>
          <w:szCs w:val="20"/>
          <w:color w:val="auto"/>
        </w:rPr>
      </w:pPr>
    </w:p>
    <w:p>
      <w:pPr>
        <w:ind w:left="1300" w:right="20" w:hanging="644"/>
        <w:spacing w:after="0" w:line="295"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Moody's </w:t>
      </w:r>
      <w:r>
        <w:rPr>
          <w:rFonts w:ascii="Arial" w:cs="Arial" w:eastAsia="Arial" w:hAnsi="Arial"/>
          <w:sz w:val="20"/>
          <w:szCs w:val="20"/>
          <w:color w:val="auto"/>
        </w:rPr>
        <w:t>means Moody's Investors Service, Inc., or any of its successors or assigns that is a Nationally Recognized Statistical</w:t>
      </w:r>
      <w:r>
        <w:rPr>
          <w:rFonts w:ascii="Arial" w:cs="Arial" w:eastAsia="Arial" w:hAnsi="Arial"/>
          <w:sz w:val="20"/>
          <w:szCs w:val="20"/>
          <w:b w:val="1"/>
          <w:bCs w:val="1"/>
          <w:color w:val="auto"/>
        </w:rPr>
        <w:t xml:space="preserve"> </w:t>
      </w:r>
      <w:r>
        <w:rPr>
          <w:rFonts w:ascii="Arial" w:cs="Arial" w:eastAsia="Arial" w:hAnsi="Arial"/>
          <w:sz w:val="20"/>
          <w:szCs w:val="20"/>
          <w:color w:val="auto"/>
        </w:rPr>
        <w:t>Rating Organization.</w:t>
      </w:r>
    </w:p>
    <w:p>
      <w:pPr>
        <w:spacing w:after="0" w:line="163" w:lineRule="exact"/>
        <w:rPr>
          <w:rFonts w:ascii="Arial" w:cs="Arial" w:eastAsia="Arial" w:hAnsi="Arial"/>
          <w:sz w:val="20"/>
          <w:szCs w:val="20"/>
          <w:color w:val="auto"/>
        </w:rPr>
      </w:pPr>
    </w:p>
    <w:p>
      <w:pPr>
        <w:ind w:left="1300" w:hanging="644"/>
        <w:spacing w:after="0" w:line="295"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Nationally Recognized Statistical Rating Organization </w:t>
      </w:r>
      <w:r>
        <w:rPr>
          <w:rFonts w:ascii="Arial" w:cs="Arial" w:eastAsia="Arial" w:hAnsi="Arial"/>
          <w:sz w:val="20"/>
          <w:szCs w:val="20"/>
          <w:color w:val="auto"/>
        </w:rPr>
        <w:t>means a nationally recognized statistical rating organization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of Rule 436 under the Securities Act.</w:t>
      </w:r>
    </w:p>
    <w:p>
      <w:pPr>
        <w:spacing w:after="0" w:line="163" w:lineRule="exact"/>
        <w:rPr>
          <w:rFonts w:ascii="Arial" w:cs="Arial" w:eastAsia="Arial" w:hAnsi="Arial"/>
          <w:sz w:val="20"/>
          <w:szCs w:val="20"/>
          <w:color w:val="auto"/>
        </w:rPr>
      </w:pPr>
    </w:p>
    <w:p>
      <w:pPr>
        <w:ind w:left="1300" w:right="20" w:hanging="644"/>
        <w:spacing w:after="0" w:line="295"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S&amp;P </w:t>
      </w:r>
      <w:r>
        <w:rPr>
          <w:rFonts w:ascii="Arial" w:cs="Arial" w:eastAsia="Arial" w:hAnsi="Arial"/>
          <w:sz w:val="20"/>
          <w:szCs w:val="20"/>
          <w:color w:val="auto"/>
        </w:rPr>
        <w:t>means Standard &amp; Poor's Investors Ratings Services or any of its successors or assigns that is a Nationally Recognized</w:t>
      </w:r>
      <w:r>
        <w:rPr>
          <w:rFonts w:ascii="Arial" w:cs="Arial" w:eastAsia="Arial" w:hAnsi="Arial"/>
          <w:sz w:val="20"/>
          <w:szCs w:val="20"/>
          <w:b w:val="1"/>
          <w:bCs w:val="1"/>
          <w:color w:val="auto"/>
        </w:rPr>
        <w:t xml:space="preserve"> </w:t>
      </w:r>
      <w:r>
        <w:rPr>
          <w:rFonts w:ascii="Arial" w:cs="Arial" w:eastAsia="Arial" w:hAnsi="Arial"/>
          <w:sz w:val="20"/>
          <w:szCs w:val="20"/>
          <w:color w:val="auto"/>
        </w:rPr>
        <w:t>Statistical Rating Organization.</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14</w:t>
            </w:r>
          </w:p>
        </w:tc>
      </w:tr>
    </w:tbl>
    <w:p>
      <w:pPr>
        <w:sectPr>
          <w:pgSz w:w="11900" w:h="16838" w:orient="portrait"/>
          <w:cols w:equalWidth="0" w:num="1">
            <w:col w:w="11420"/>
          </w:cols>
          <w:pgMar w:left="240" w:top="819" w:right="239" w:bottom="1440" w:gutter="0" w:footer="0" w:header="0"/>
        </w:sectPr>
      </w:pPr>
    </w:p>
    <w:bookmarkStart w:id="21" w:name="page22"/>
    <w:bookmarkEnd w:id="21"/>
    <w:p>
      <w:pPr>
        <w:ind w:left="652" w:hanging="652"/>
        <w:spacing w:after="0"/>
        <w:tabs>
          <w:tab w:leader="none" w:pos="6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48" w:lineRule="exact"/>
        <w:rPr>
          <w:rFonts w:ascii="Arial" w:cs="Arial" w:eastAsia="Arial" w:hAnsi="Arial"/>
          <w:sz w:val="20"/>
          <w:szCs w:val="20"/>
          <w:b w:val="1"/>
          <w:bCs w:val="1"/>
          <w:color w:val="auto"/>
        </w:rPr>
      </w:pPr>
    </w:p>
    <w:p>
      <w:pPr>
        <w:jc w:val="both"/>
        <w:ind w:left="652"/>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This Agreement may be executed by the parties hereto in any number of counterparts, and by each of the parties hereto in separate counterparts, and each such counterpart, when so executed and delivered, shall be deemed to be an original, but all such counterparts shall together constitute but one and the same instrument.</w:t>
      </w:r>
    </w:p>
    <w:p>
      <w:pPr>
        <w:spacing w:after="0" w:line="180" w:lineRule="exact"/>
        <w:rPr>
          <w:rFonts w:ascii="Arial" w:cs="Arial" w:eastAsia="Arial" w:hAnsi="Arial"/>
          <w:sz w:val="20"/>
          <w:szCs w:val="20"/>
          <w:b w:val="1"/>
          <w:bCs w:val="1"/>
          <w:color w:val="auto"/>
        </w:rPr>
      </w:pPr>
    </w:p>
    <w:p>
      <w:pPr>
        <w:ind w:left="652" w:hanging="652"/>
        <w:spacing w:after="0"/>
        <w:tabs>
          <w:tab w:leader="none" w:pos="6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48" w:lineRule="exact"/>
        <w:rPr>
          <w:rFonts w:ascii="Arial" w:cs="Arial" w:eastAsia="Arial" w:hAnsi="Arial"/>
          <w:sz w:val="20"/>
          <w:szCs w:val="20"/>
          <w:b w:val="1"/>
          <w:bCs w:val="1"/>
          <w:color w:val="auto"/>
        </w:rPr>
      </w:pPr>
    </w:p>
    <w:p>
      <w:pPr>
        <w:ind w:left="652" w:right="20"/>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This Agreement is to be delivered and performed in, and shall be construed and enforced in accordance with, and the rights of the parties shall be governed by, the laws of the State of New York.</w:t>
      </w:r>
    </w:p>
    <w:p>
      <w:pPr>
        <w:spacing w:after="0" w:line="169" w:lineRule="exact"/>
        <w:rPr>
          <w:rFonts w:ascii="Arial" w:cs="Arial" w:eastAsia="Arial" w:hAnsi="Arial"/>
          <w:sz w:val="20"/>
          <w:szCs w:val="20"/>
          <w:b w:val="1"/>
          <w:bCs w:val="1"/>
          <w:color w:val="auto"/>
        </w:rPr>
      </w:pPr>
    </w:p>
    <w:p>
      <w:pPr>
        <w:ind w:left="652" w:hanging="652"/>
        <w:spacing w:after="0"/>
        <w:tabs>
          <w:tab w:leader="none" w:pos="6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SUBMISSION TO NEW YORK JURISDICTION</w:t>
      </w:r>
    </w:p>
    <w:p>
      <w:pPr>
        <w:spacing w:after="0" w:line="248" w:lineRule="exact"/>
        <w:rPr>
          <w:rFonts w:ascii="Arial" w:cs="Arial" w:eastAsia="Arial" w:hAnsi="Arial"/>
          <w:sz w:val="20"/>
          <w:szCs w:val="20"/>
          <w:b w:val="1"/>
          <w:bCs w:val="1"/>
          <w:color w:val="auto"/>
        </w:rPr>
      </w:pPr>
    </w:p>
    <w:p>
      <w:pPr>
        <w:jc w:val="both"/>
        <w:ind w:left="652"/>
        <w:spacing w:after="0" w:line="340" w:lineRule="auto"/>
        <w:rPr>
          <w:rFonts w:ascii="Arial" w:cs="Arial" w:eastAsia="Arial" w:hAnsi="Arial"/>
          <w:sz w:val="20"/>
          <w:szCs w:val="20"/>
          <w:b w:val="1"/>
          <w:bCs w:val="1"/>
          <w:color w:val="auto"/>
        </w:rPr>
      </w:pPr>
      <w:r>
        <w:rPr>
          <w:rFonts w:ascii="Arial" w:cs="Arial" w:eastAsia="Arial" w:hAnsi="Arial"/>
          <w:sz w:val="16"/>
          <w:szCs w:val="16"/>
          <w:color w:val="auto"/>
        </w:rPr>
        <w:t>The Agents and the Company hereby irrevocably submit to the nonexclusive jurisdiction of any New York State or United States Federal court sitting in New York City over any suit, action or proceeding arising out of or relating to this Agreement or the Notes. The Agents and the Company irrevocably waive, to the fullest extent permitted by law, any objection which they may have to the laying of the venue of any such suit, action or proceeding brought in such a court and any claim that any such suit, action or proceeding brought in such a court has been brought in an inconvenient forum. As long as any of the Notes remain outstanding, the Company and the Agents will at all times have an authorized agent in New York City, upon whom process may be served in any suit, action or proceeding arising out of or relating to this Agreement or any Notes. Service of process upon such agent and written notice of such service mailed or delivered to the Company shall to the extent permitted by law be deemed in every respect effective service of process upon the Company in any such suit, action or proceeding. The Company hereby appoints C T Corporation System, 111 Eighth Avenue, New York, New York 10011 as its agent for such purpose, and covenants and agrees that (a) service of process in any such suit, action or proceeding may be made upon it at the specified office of such agent (or such other address or at the office of any other authorized agent which the Company may designate by written notice to the Agents) and (b) prior to any termination of such agency for any reason, it will so appoint a successor thereto as agent hereunder. Each Agent hereby appoints Citibank, N.A., New York Branch, Agency &amp; Trust, 14th Floor, 388 Greenwich Street, New York, New York 10013 as its agent for such purpose, and covenants and agrees that (i) service of process in any such suit, action or proceeding may be made upon it at the specified office of such agent (or such other address or at the office of any other authorized agent which the Agents may designate by written notice to the Company) and</w:t>
      </w:r>
    </w:p>
    <w:p>
      <w:pPr>
        <w:spacing w:after="0" w:line="195" w:lineRule="exact"/>
        <w:rPr>
          <w:rFonts w:ascii="Arial" w:cs="Arial" w:eastAsia="Arial" w:hAnsi="Arial"/>
          <w:sz w:val="20"/>
          <w:szCs w:val="20"/>
          <w:b w:val="1"/>
          <w:bCs w:val="1"/>
          <w:color w:val="auto"/>
        </w:rPr>
      </w:pPr>
    </w:p>
    <w:p>
      <w:pPr>
        <w:ind w:left="932" w:hanging="284"/>
        <w:spacing w:after="0"/>
        <w:tabs>
          <w:tab w:leader="none" w:pos="932" w:val="left"/>
        </w:tabs>
        <w:numPr>
          <w:ilvl w:val="1"/>
          <w:numId w:val="26"/>
        </w:numPr>
        <w:rPr>
          <w:rFonts w:ascii="Arial" w:cs="Arial" w:eastAsia="Arial" w:hAnsi="Arial"/>
          <w:sz w:val="20"/>
          <w:szCs w:val="20"/>
          <w:color w:val="auto"/>
        </w:rPr>
      </w:pPr>
      <w:r>
        <w:rPr>
          <w:rFonts w:ascii="Arial" w:cs="Arial" w:eastAsia="Arial" w:hAnsi="Arial"/>
          <w:sz w:val="20"/>
          <w:szCs w:val="20"/>
          <w:color w:val="auto"/>
        </w:rPr>
        <w:t>prior to any termination of such agency for any reason, it will so appoint a successor thereto as agent hereunder.</w:t>
      </w:r>
    </w:p>
    <w:p>
      <w:pPr>
        <w:spacing w:after="0" w:line="236" w:lineRule="exact"/>
        <w:rPr>
          <w:rFonts w:ascii="Arial" w:cs="Arial" w:eastAsia="Arial" w:hAnsi="Arial"/>
          <w:sz w:val="20"/>
          <w:szCs w:val="20"/>
          <w:color w:val="auto"/>
        </w:rPr>
      </w:pPr>
    </w:p>
    <w:p>
      <w:pPr>
        <w:ind w:left="652" w:hanging="652"/>
        <w:spacing w:after="0"/>
        <w:tabs>
          <w:tab w:leader="none" w:pos="6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MODIFICATION OF AGREEMENT AND NOTES</w:t>
      </w:r>
    </w:p>
    <w:p>
      <w:pPr>
        <w:spacing w:after="0" w:line="248" w:lineRule="exact"/>
        <w:rPr>
          <w:rFonts w:ascii="Arial" w:cs="Arial" w:eastAsia="Arial" w:hAnsi="Arial"/>
          <w:sz w:val="20"/>
          <w:szCs w:val="20"/>
          <w:b w:val="1"/>
          <w:bCs w:val="1"/>
          <w:color w:val="auto"/>
        </w:rPr>
      </w:pPr>
    </w:p>
    <w:p>
      <w:pPr>
        <w:jc w:val="both"/>
        <w:ind w:left="652"/>
        <w:spacing w:after="0" w:line="288" w:lineRule="auto"/>
        <w:rPr>
          <w:rFonts w:ascii="Arial" w:cs="Arial" w:eastAsia="Arial" w:hAnsi="Arial"/>
          <w:sz w:val="20"/>
          <w:szCs w:val="20"/>
          <w:b w:val="1"/>
          <w:bCs w:val="1"/>
          <w:color w:val="auto"/>
        </w:rPr>
      </w:pPr>
      <w:r>
        <w:rPr>
          <w:rFonts w:ascii="Arial" w:cs="Arial" w:eastAsia="Arial" w:hAnsi="Arial"/>
          <w:sz w:val="19"/>
          <w:szCs w:val="19"/>
          <w:color w:val="auto"/>
        </w:rPr>
        <w:t>This Agreement or the terms and conditions of the Notes may be amended by the Company and the Fiscal Agent, without the consent of the Noteholders, for the purposes of curing any ambiguity, or of curing, correcting or supplementing any defective provisions contained therein or for any other purpose which the Company and the Fiscal Agent may deem necessary or desirable and which will not be inconsistent with the Notes and which will not adversely affect the interests of the Noteholders, in the sole opinion of the Company. For the avoidance of doubt, the Company may change its legal name and such name change shall not require an amendment hereto or the consent of the Fiscal Agent or the Noteholders.</w:t>
      </w:r>
    </w:p>
    <w:p>
      <w:pPr>
        <w:spacing w:after="0" w:line="176" w:lineRule="exact"/>
        <w:rPr>
          <w:rFonts w:ascii="Arial" w:cs="Arial" w:eastAsia="Arial" w:hAnsi="Arial"/>
          <w:sz w:val="20"/>
          <w:szCs w:val="20"/>
          <w:b w:val="1"/>
          <w:bCs w:val="1"/>
          <w:color w:val="auto"/>
        </w:rPr>
      </w:pPr>
    </w:p>
    <w:p>
      <w:pPr>
        <w:ind w:left="452" w:hanging="452"/>
        <w:spacing w:after="0"/>
        <w:tabs>
          <w:tab w:leader="none" w:pos="452"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200" w:lineRule="exact"/>
        <w:rPr>
          <w:sz w:val="20"/>
          <w:szCs w:val="20"/>
          <w:color w:val="auto"/>
        </w:rPr>
      </w:pP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412"/>
          </w:cols>
          <w:pgMar w:left="248" w:top="819" w:right="239" w:bottom="1440" w:gutter="0" w:footer="0" w:header="0"/>
        </w:sectPr>
      </w:pPr>
    </w:p>
    <w:bookmarkStart w:id="22" w:name="page23"/>
    <w:bookmarkEnd w:id="22"/>
    <w:p>
      <w:pPr>
        <w:jc w:val="both"/>
        <w:ind w:left="620"/>
        <w:spacing w:after="0" w:line="305" w:lineRule="auto"/>
        <w:rPr>
          <w:sz w:val="20"/>
          <w:szCs w:val="20"/>
          <w:color w:val="auto"/>
        </w:rPr>
      </w:pPr>
      <w:r>
        <w:rPr>
          <w:rFonts w:ascii="Arial" w:cs="Arial" w:eastAsia="Arial" w:hAnsi="Arial"/>
          <w:sz w:val="18"/>
          <w:szCs w:val="18"/>
          <w:color w:val="auto"/>
        </w:rPr>
        <w:t>This Agreement contains the whole agreement between the parties relating to the subject matter of this Agreement at the date of this Agreement to the exclusion of any terms implied by law which may be excluded by contract and supersedes any previous written or oral agreement between the parties in relation to the matters dealt with in this Agreement. Each party acknowledges that it has not been induced to enter into this Agreement by any representation, warranty or undertaking not expressly incorporated into it. So far as is permitted by law and except in the case of fraud, each party agrees and acknowledges that its only right and remedy in relation to any representation, warranty or undertaking made or given in connection with this Agreement shall be for breach of the terms of this Agreement to the exclusion of all other rights and remedies (including those in tort or arising under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16</w:t>
            </w:r>
          </w:p>
        </w:tc>
      </w:tr>
    </w:tbl>
    <w:p>
      <w:pPr>
        <w:sectPr>
          <w:pgSz w:w="11900" w:h="16838" w:orient="portrait"/>
          <w:cols w:equalWidth="0" w:num="1">
            <w:col w:w="11380"/>
          </w:cols>
          <w:pgMar w:left="280" w:top="825" w:right="239" w:bottom="1440" w:gutter="0" w:footer="0" w:header="0"/>
        </w:sectPr>
      </w:pPr>
    </w:p>
    <w:bookmarkStart w:id="23" w:name="page24"/>
    <w:bookmarkEnd w:id="23"/>
    <w:p>
      <w:pPr>
        <w:spacing w:after="0" w:line="295" w:lineRule="auto"/>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whereof, the parties hereto have caused this Agreement to be executed on their behalf by their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1">
            <w:col w:w="11420"/>
          </w:cols>
          <w:pgMar w:left="240" w:top="819" w:right="239" w:bottom="1440" w:gutter="0" w:footer="0" w:header="0"/>
        </w:sectPr>
      </w:pPr>
    </w:p>
    <w:bookmarkStart w:id="24" w:name="page25"/>
    <w:bookmarkEnd w:id="24"/>
    <w:p>
      <w:pPr>
        <w:ind w:left="4620"/>
        <w:spacing w:after="0"/>
        <w:rPr>
          <w:sz w:val="20"/>
          <w:szCs w:val="20"/>
          <w:color w:val="auto"/>
        </w:rPr>
      </w:pPr>
      <w:r>
        <w:rPr>
          <w:rFonts w:ascii="Arial" w:cs="Arial" w:eastAsia="Arial" w:hAnsi="Arial"/>
          <w:sz w:val="20"/>
          <w:szCs w:val="20"/>
          <w:b w:val="1"/>
          <w:bCs w:val="1"/>
          <w:color w:val="auto"/>
        </w:rPr>
        <w:t>Schedule 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[Include if this is a Global Note: UNLESS THIS GLOBAL NOTE IS PRESENTED BY AN AUTHORIZED REPRESENTATIVE OF EUROCLEAR BANK SA/NV (</w:t>
      </w:r>
      <w:r>
        <w:rPr>
          <w:rFonts w:ascii="Arial" w:cs="Arial" w:eastAsia="Arial" w:hAnsi="Arial"/>
          <w:sz w:val="19"/>
          <w:szCs w:val="19"/>
          <w:b w:val="1"/>
          <w:bCs w:val="1"/>
          <w:color w:val="auto"/>
        </w:rPr>
        <w:t>EUROCLEAR</w:t>
      </w:r>
      <w:r>
        <w:rPr>
          <w:rFonts w:ascii="Arial" w:cs="Arial" w:eastAsia="Arial" w:hAnsi="Arial"/>
          <w:sz w:val="19"/>
          <w:szCs w:val="19"/>
          <w:color w:val="auto"/>
        </w:rPr>
        <w:t>), OR CLEARSTREAM BANKING, SOCIÉTÉ ANONYME (</w:t>
      </w:r>
      <w:r>
        <w:rPr>
          <w:rFonts w:ascii="Arial" w:cs="Arial" w:eastAsia="Arial" w:hAnsi="Arial"/>
          <w:sz w:val="19"/>
          <w:szCs w:val="19"/>
          <w:b w:val="1"/>
          <w:bCs w:val="1"/>
          <w:color w:val="auto"/>
        </w:rPr>
        <w:t>CLEARSTREAM</w:t>
      </w:r>
      <w:r>
        <w:rPr>
          <w:rFonts w:ascii="Arial" w:cs="Arial" w:eastAsia="Arial" w:hAnsi="Arial"/>
          <w:sz w:val="19"/>
          <w:szCs w:val="19"/>
          <w:color w:val="auto"/>
        </w:rPr>
        <w:t>), TO THE COMPANY OR ITS AGENT FOR REGISTRATION OF TRANSFER, EXCHANGE OR PAYMENT, AND ANY NOTE ISSUED IS REGISTERED IN THE NAME OF ITS AUTHORIZED NOMINEE OR SUCH OTHER NAME AS IS REQUESTED BY AN AUTHORIZED REPRESENTATIVE OF EUROCLEAR OR CLEARSTREAM (AND ANY PAYMENT IS MADE TO ITS AUTHORIZED NOMINEE, OR TO SUCH OTHER ENTITY AS IS REQUESTED BY AN AUTHORIZED REPRESENTATIVE OF EUROCLEAR OR CLEARSTREAM), ANY TRANSFER, PLEDGE OR OTHER USE HEREOF FOR VALUE OR OTHERWISE BY OR TO ANY PERSON IS WRONGFUL INASMUCH AS THE REGISTERED OWNER HEREOF, ITS AUTHORIZED NOMINEE, HAS AN INTEREST HEREIN.</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TRANSFERS OF THIS GLOBAL NOTE SHALL BE LIMITED TO TRANSFERS IN WHOLE, BUT NOT IN PART, TO NOMINEES OF EUROCLEAR OR CLEARSTREAM OR TO A SUCCESSOR THEREOF OR SUCH SUCCESSOR'S NOMINEE AND TRANSFERS OF PORTIONS OF THIS GLOBAL NOTE SHALL BE LIMITED TO TRANSFERS MADE IN ACCORDANCE WITH THE RESTRICTIONS SET FORTH IN THE FISCAL AND PAYING AGENCY AGREEMENT REFERRED TO ON THE REVERSE HEREOF.]</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 xml:space="preserve">UNTIL 40 DAYS AFTER THE LATER OF THE DAY ON WHICH THE NOTES EVIDENCED HEREBY ARE FIRST OFFERED TO PERSONS OTHER THAN DISTRIBUTORS (AS DEFINED IN REGULATION S) AND THE DATE OF THE CLOSING OF THE OFFERING OF THE NOTES, AN OFFER OR SALE OF THE NOTES WITHIN THE UNITED STATES (AS DEFINED IN THE U.S. SECURITIES ACT OF 1933, AS AMENDED (THE </w:t>
      </w:r>
      <w:r>
        <w:rPr>
          <w:rFonts w:ascii="Arial" w:cs="Arial" w:eastAsia="Arial" w:hAnsi="Arial"/>
          <w:sz w:val="20"/>
          <w:szCs w:val="20"/>
          <w:b w:val="1"/>
          <w:bCs w:val="1"/>
          <w:color w:val="auto"/>
        </w:rPr>
        <w:t>U.S. SECURITIES ACT</w:t>
      </w:r>
      <w:r>
        <w:rPr>
          <w:rFonts w:ascii="Arial" w:cs="Arial" w:eastAsia="Arial" w:hAnsi="Arial"/>
          <w:sz w:val="20"/>
          <w:szCs w:val="20"/>
          <w:color w:val="auto"/>
        </w:rPr>
        <w:t>) MAY VIOLATE THE REGISTRATION REQUIREMENTS OF THE U.S. SECURITIES ACT.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NEITHER THE NOTES EVIDENCED HEREBY NOR ANY BENEFICIAL INTEREST OR PARTICIPATION HEREIN HAVE BEEN REGISTERED UNDER THE U.S. SECURITIES ACT OR OTHER SECURITIES LAWS OF ANY STATE OR OTHER JURISDICTION. NEITHER THE NOTES EVIDENCED HEREBY NOR ANY BENEFICIAL INTEREST OR PARTICIPATION HEREIN MAY BE OFFERED, SOLD, ASSIGNED, TRANSFERRED, PLEDGED, ENCUMBERED OR OTHERWISE DISPOSED OF IN THE ABSENCE OF SUCH REGISTRATION UNLESS THE TRANSACTION IS EXEMPT FROM, OR NOT SUBJECT TO, THE REGISTRATION REQUIREMENTS OF THE U.S. SECURITIES ACT.</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HOLDER OF THE NOTES EVIDENCED HEREBY BY ITS ACCEPTANCE HEREOF (1) REPRESENTS THAT IT IS NOT A U.S. PERSON AND IS ACQUIRING THE NOTES IN AN OFFSHORE TRANSACTION PURSUANT TO REGULATION S UNDER THE U.S. SECURITIES ACT (</w:t>
      </w:r>
      <w:r>
        <w:rPr>
          <w:rFonts w:ascii="Arial" w:cs="Arial" w:eastAsia="Arial" w:hAnsi="Arial"/>
          <w:sz w:val="19"/>
          <w:szCs w:val="19"/>
          <w:b w:val="1"/>
          <w:bCs w:val="1"/>
          <w:color w:val="auto"/>
        </w:rPr>
        <w:t>REGULATION S</w:t>
      </w:r>
      <w:r>
        <w:rPr>
          <w:rFonts w:ascii="Arial" w:cs="Arial" w:eastAsia="Arial" w:hAnsi="Arial"/>
          <w:sz w:val="19"/>
          <w:szCs w:val="19"/>
          <w:color w:val="auto"/>
        </w:rPr>
        <w:t xml:space="preserve">), (2) AGREES ON ITS OWN BEHALF AND ON BEHALF OF ANY INVESTOR ACCOUNT FOR WHICH IT HAS PURCHASED NOTES THAT IT WILL NOT PRIOR TO (X) THE DATE WHICH IS 40 DAYS AFTER THE LATER OF THE ORIGINAL ISSUE DATE OF THE NOTES EVIDENCED HEREBY OR THE LAST DAY ON WHICH THE COMPANY OR ANY AFFILIATE OF THE COMPANY WERE THE OWNERS OF THE NOTES EVIDENCED HEREBY AND (Y) SUCH LATER DATE, IF ANY, AS MAY BE REQUIRED BY APPLICABLE LAW (THE </w:t>
      </w:r>
      <w:r>
        <w:rPr>
          <w:rFonts w:ascii="Arial" w:cs="Arial" w:eastAsia="Arial" w:hAnsi="Arial"/>
          <w:sz w:val="19"/>
          <w:szCs w:val="19"/>
          <w:b w:val="1"/>
          <w:bCs w:val="1"/>
          <w:color w:val="auto"/>
        </w:rPr>
        <w:t>RESALE RESTRICTION TERMINATION DATE</w:t>
      </w:r>
      <w:r>
        <w:rPr>
          <w:rFonts w:ascii="Arial" w:cs="Arial" w:eastAsia="Arial" w:hAnsi="Arial"/>
          <w:sz w:val="19"/>
          <w:szCs w:val="19"/>
          <w:color w:val="auto"/>
        </w:rPr>
        <w:t>), OFFER, SELL OR OTHERWISE TRANSFER THE NOTES EVIDENCED HEREBY OR BENEFICIAL INTEREST OR PARTICIPATION HEREIN EXCEPT</w:t>
      </w:r>
    </w:p>
    <w:p>
      <w:pPr>
        <w:spacing w:after="0" w:line="6" w:lineRule="exact"/>
        <w:rPr>
          <w:sz w:val="20"/>
          <w:szCs w:val="20"/>
          <w:color w:val="auto"/>
        </w:rPr>
      </w:pPr>
    </w:p>
    <w:p>
      <w:pPr>
        <w:ind w:right="20" w:firstLine="8"/>
        <w:spacing w:after="0" w:line="289" w:lineRule="auto"/>
        <w:tabs>
          <w:tab w:leader="none" w:pos="33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TO THE COMPANY, (B) PURSUANT TO A REGISTRATION STATEMENT WHICH HAS BEEN DECLARED EFFECTIVE UNDER THE U.S. SECURITIES ACT, (C) PURSUANT TO OFFERS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18</w:t>
            </w:r>
          </w:p>
        </w:tc>
      </w:tr>
    </w:tbl>
    <w:p>
      <w:pPr>
        <w:sectPr>
          <w:pgSz w:w="11900" w:h="16838" w:orient="portrait"/>
          <w:cols w:equalWidth="0" w:num="1">
            <w:col w:w="11420"/>
          </w:cols>
          <w:pgMar w:left="240" w:top="832"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20"/>
          <w:szCs w:val="20"/>
          <w:color w:val="auto"/>
        </w:rPr>
        <w:t xml:space="preserve">AND SALES TO NON-U.S. PERSONS THAT OCCUR OUTSIDE THE UNITED STATES WITHIN THE MEANING OF REGULATION S OR (D) PURSUANT TO ANY OTHER AVAILABLE EXEMPTION FROM THE REGISTRATION REQUIREMENTS OF THE U.S. SECURITIES ACT, AND (3) AGREES THAT IT WILL GIVE TO EACH PERSON TO WHOM THE NOTES EVIDENCED HEREBY OR ANY BENEFICIAL INTEREST OR PARTICIPATION HEREIN IS TRANSFERRED A NOTICE SUBSTANTIALLY TO THE EFFECT OF THIS LEGEND; PROVIDED THAT THE COMPANY, THE FISCAL AGENT, THE REGISTRAR AND THE TRANSFER AGENT SHALL HAVE THE RIGHT PRIOR TO ANY SUCH OFFER, SALE OR TRANSFER PURSUANT TO SUBCLAUSE (C) PRIOR TO THE END OF THE 40-DAY DISTRIBUTION COMPLIANCE PERIOD WITHIN THE MEANING OF REGULATION S OR PURSUANT TO SUBCLAUSE (D) PRIOR TO THE RESALE RESTRICTION TERMINATION DATE TO REQUIRE THAT AN OPINION OF COUNSEL, CERTIFICATIONS AND/OR OTHER INFORMATION SATISFACTORY TO THE COMPANY, THE FISCAL AGENT, THE REGISTRAR AND THE TRANSFER AGENT IS COMPLETED AND DELIVERED BY THE TRANSFEROR. THIS LEGEND WILL BE REMOVED UPON THE REQUEST OF THE HOLDER AFTER THE RESALE RESTRICTION TERMINATION DATE. AS USED HEREIN, THE TERMS </w:t>
      </w:r>
      <w:r>
        <w:rPr>
          <w:rFonts w:ascii="Arial" w:cs="Arial" w:eastAsia="Arial" w:hAnsi="Arial"/>
          <w:sz w:val="20"/>
          <w:szCs w:val="20"/>
          <w:b w:val="1"/>
          <w:bCs w:val="1"/>
          <w:color w:val="auto"/>
        </w:rPr>
        <w:t>OFFSHORE TRANSACTION</w:t>
      </w:r>
      <w:r>
        <w:rPr>
          <w:rFonts w:ascii="Arial" w:cs="Arial" w:eastAsia="Arial" w:hAnsi="Arial"/>
          <w:sz w:val="20"/>
          <w:szCs w:val="20"/>
          <w:color w:val="auto"/>
        </w:rPr>
        <w:t xml:space="preserve">, </w:t>
      </w:r>
      <w:r>
        <w:rPr>
          <w:rFonts w:ascii="Arial" w:cs="Arial" w:eastAsia="Arial" w:hAnsi="Arial"/>
          <w:sz w:val="20"/>
          <w:szCs w:val="20"/>
          <w:b w:val="1"/>
          <w:bCs w:val="1"/>
          <w:color w:val="auto"/>
        </w:rPr>
        <w:t>UNITED STATES</w:t>
      </w:r>
      <w:r>
        <w:rPr>
          <w:rFonts w:ascii="Arial" w:cs="Arial" w:eastAsia="Arial" w:hAnsi="Arial"/>
          <w:sz w:val="20"/>
          <w:szCs w:val="20"/>
          <w:color w:val="auto"/>
        </w:rPr>
        <w:t xml:space="preserve"> AND </w:t>
      </w:r>
      <w:r>
        <w:rPr>
          <w:rFonts w:ascii="Arial" w:cs="Arial" w:eastAsia="Arial" w:hAnsi="Arial"/>
          <w:sz w:val="20"/>
          <w:szCs w:val="20"/>
          <w:b w:val="1"/>
          <w:bCs w:val="1"/>
          <w:color w:val="auto"/>
        </w:rPr>
        <w:t>U.S. PERSON</w:t>
      </w:r>
      <w:r>
        <w:rPr>
          <w:rFonts w:ascii="Arial" w:cs="Arial" w:eastAsia="Arial" w:hAnsi="Arial"/>
          <w:sz w:val="20"/>
          <w:szCs w:val="20"/>
          <w:color w:val="auto"/>
        </w:rPr>
        <w:t xml:space="preserve"> HAVE THE MEANINGS GIVEN TO THEM BY REGULATION 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NOTES MAY NOT BE OFFERED OR SOLD WITHIN THE UNITED STATES OR TO, OR FOR THE ACCOUNT OR BENEFIT OF, U.S. PERSONS (I) AS PART OF THEIR DISTRIBUTION AT ANY TIME OR (II) OTHERWISE UNTIL 40 DAYS AFTER THE LATER OF THE DATE OF THE COMMENCEMENT OF THE OFFERING AND THE DATE OF ORIGINAL ISSUANCE, EXCEPT IN EITHER CASE IN ACCORDANCE WITH REGULATION S UNDER THE SECURITIES ACT.</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[Include if this is a Definitive Note: 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420"/>
          </w:cols>
          <w:pgMar w:left="240" w:top="82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MANPOWERGROUP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NOTE]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1.875% NOTES DUE SEPTEMBER 11, 2022</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Common Code No. [l]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ISIN No. [l]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No.[l]</w:t>
      </w:r>
    </w:p>
    <w:p>
      <w:pPr>
        <w:spacing w:after="0" w:line="237"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 xml:space="preserve">MANPOWERGROUP INC., a Corporation organized under the laws of the State of Wisconsin (the </w:t>
      </w:r>
      <w:r>
        <w:rPr>
          <w:rFonts w:ascii="Arial" w:cs="Arial" w:eastAsia="Arial" w:hAnsi="Arial"/>
          <w:sz w:val="19"/>
          <w:szCs w:val="19"/>
          <w:b w:val="1"/>
          <w:bCs w:val="1"/>
          <w:color w:val="auto"/>
        </w:rPr>
        <w:t>Company</w:t>
      </w:r>
      <w:r>
        <w:rPr>
          <w:rFonts w:ascii="Arial" w:cs="Arial" w:eastAsia="Arial" w:hAnsi="Arial"/>
          <w:sz w:val="19"/>
          <w:szCs w:val="19"/>
          <w:color w:val="auto"/>
        </w:rPr>
        <w:t>), for value received, hereby promises to pay to [Citivic Nominees Limited], or its registered assigns, the principal sum of €[l] on [September 11, 2022].</w:t>
      </w:r>
    </w:p>
    <w:p>
      <w:pPr>
        <w:spacing w:after="0" w:line="147"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color w:val="auto"/>
        </w:rPr>
        <w:t>Interest Payment Date:</w:t>
      </w:r>
      <w:r>
        <w:rPr>
          <w:sz w:val="20"/>
          <w:szCs w:val="20"/>
          <w:color w:val="auto"/>
        </w:rPr>
        <w:tab/>
      </w:r>
      <w:r>
        <w:rPr>
          <w:rFonts w:ascii="Arial" w:cs="Arial" w:eastAsia="Arial" w:hAnsi="Arial"/>
          <w:sz w:val="16"/>
          <w:szCs w:val="16"/>
          <w:color w:val="auto"/>
        </w:rPr>
        <w:t>[September 11].</w:t>
      </w:r>
    </w:p>
    <w:p>
      <w:pPr>
        <w:sectPr>
          <w:pgSz w:w="11900" w:h="16838" w:orient="portrait"/>
          <w:cols w:equalWidth="0" w:num="1">
            <w:col w:w="11420"/>
          </w:cols>
          <w:pgMar w:left="240" w:top="819" w:right="2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Include if this is a Global Note:</w:t>
      </w:r>
      <w:r>
        <w:rPr>
          <w:rFonts w:ascii="Arial" w:cs="Arial" w:eastAsia="Arial" w:hAnsi="Arial"/>
          <w:sz w:val="18"/>
          <w:szCs w:val="18"/>
          <w:color w:val="auto"/>
        </w:rPr>
        <w:t xml:space="preserve"> One ICSD Business Day prior to the Interest Payment Date][</w:t>
      </w:r>
      <w:r>
        <w:rPr>
          <w:rFonts w:ascii="Arial" w:cs="Arial" w:eastAsia="Arial" w:hAnsi="Arial"/>
          <w:sz w:val="18"/>
          <w:szCs w:val="18"/>
          <w:i w:val="1"/>
          <w:iCs w:val="1"/>
          <w:color w:val="auto"/>
        </w:rPr>
        <w:t>Include if this is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 Definitive Note: </w:t>
      </w:r>
      <w:r>
        <w:rPr>
          <w:rFonts w:ascii="Arial" w:cs="Arial" w:eastAsia="Arial" w:hAnsi="Arial"/>
          <w:sz w:val="20"/>
          <w:szCs w:val="20"/>
          <w:color w:val="auto"/>
        </w:rPr>
        <w:t>September [l]].</w:t>
      </w:r>
    </w:p>
    <w:p>
      <w:pPr>
        <w:spacing w:after="0" w:line="200" w:lineRule="exact"/>
        <w:rPr>
          <w:sz w:val="20"/>
          <w:szCs w:val="20"/>
          <w:color w:val="auto"/>
        </w:rPr>
      </w:pPr>
    </w:p>
    <w:p>
      <w:pPr>
        <w:sectPr>
          <w:pgSz w:w="11900" w:h="16838" w:orient="portrait"/>
          <w:cols w:equalWidth="0" w:num="2">
            <w:col w:w="1860" w:space="720"/>
            <w:col w:w="8840"/>
          </w:cols>
          <w:pgMar w:left="240" w:top="819" w:right="239" w:bottom="1440" w:gutter="0" w:footer="0" w:header="0"/>
          <w:type w:val="continuous"/>
        </w:sectPr>
      </w:pPr>
    </w:p>
    <w:p>
      <w:pPr>
        <w:spacing w:after="0" w:line="37" w:lineRule="exact"/>
        <w:rPr>
          <w:sz w:val="20"/>
          <w:szCs w:val="20"/>
          <w:color w:val="auto"/>
        </w:rPr>
      </w:pPr>
    </w:p>
    <w:p>
      <w:pPr>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Include if this is a Global Note:</w:t>
      </w:r>
      <w:r>
        <w:rPr>
          <w:rFonts w:ascii="Arial" w:cs="Arial" w:eastAsia="Arial" w:hAnsi="Arial"/>
          <w:sz w:val="20"/>
          <w:szCs w:val="20"/>
          <w:color w:val="auto"/>
        </w:rPr>
        <w:t xml:space="preserve"> </w:t>
      </w:r>
      <w:r>
        <w:rPr>
          <w:rFonts w:ascii="Arial" w:cs="Arial" w:eastAsia="Arial" w:hAnsi="Arial"/>
          <w:sz w:val="20"/>
          <w:szCs w:val="20"/>
          <w:b w:val="1"/>
          <w:bCs w:val="1"/>
          <w:color w:val="auto"/>
        </w:rPr>
        <w:t>ICSD Business Day</w:t>
      </w:r>
      <w:r>
        <w:rPr>
          <w:rFonts w:ascii="Arial" w:cs="Arial" w:eastAsia="Arial" w:hAnsi="Arial"/>
          <w:sz w:val="20"/>
          <w:szCs w:val="20"/>
          <w:color w:val="auto"/>
        </w:rPr>
        <w:t xml:space="preserve"> means any day which is a Monday to Friday inclusive except December 25 and January 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Additional provisions of this Note are set forth on the other side of this Note.</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20</w:t>
            </w:r>
          </w:p>
        </w:tc>
      </w:tr>
    </w:tbl>
    <w:p>
      <w:pPr>
        <w:sectPr>
          <w:pgSz w:w="11900" w:h="16838" w:orient="portrait"/>
          <w:cols w:equalWidth="0" w:num="1">
            <w:col w:w="11420"/>
          </w:cols>
          <w:pgMar w:left="240" w:top="819"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Dated: [l]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MANPOWERGROUP INC.,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[Seal]</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0219"/>
          </w:cols>
          <w:pgMar w:left="240" w:top="825" w:right="1440" w:bottom="1440" w:gutter="0" w:footer="0" w:header="0"/>
        </w:sectPr>
      </w:pPr>
    </w:p>
    <w:bookmarkStart w:id="28" w:name="page29"/>
    <w:bookmarkEnd w:id="28"/>
    <w:p>
      <w:pPr>
        <w:ind w:left="3940"/>
        <w:spacing w:after="0"/>
        <w:rPr>
          <w:sz w:val="20"/>
          <w:szCs w:val="20"/>
          <w:color w:val="auto"/>
        </w:rPr>
      </w:pPr>
      <w:r>
        <w:rPr>
          <w:rFonts w:ascii="Arial" w:cs="Arial" w:eastAsia="Arial" w:hAnsi="Arial"/>
          <w:sz w:val="20"/>
          <w:szCs w:val="20"/>
          <w:b w:val="1"/>
          <w:bCs w:val="1"/>
          <w:color w:val="auto"/>
        </w:rPr>
        <w:t>CERTIFICATE OF AUTHENTICATION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This is [a Definitive Note][the Global Note] described in the within-mentioned Fiscal and Paying Agency Agreement.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CITIBANK, N.A., London Branch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as Fiscal Agent,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Authorized Officer</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22</w:t>
            </w:r>
          </w:p>
        </w:tc>
      </w:tr>
    </w:tbl>
    <w:p>
      <w:pPr>
        <w:sectPr>
          <w:pgSz w:w="11900" w:h="16838" w:orient="portrait"/>
          <w:cols w:equalWidth="0" w:num="1">
            <w:col w:w="10219"/>
          </w:cols>
          <w:pgMar w:left="240" w:top="819"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TERMS AND CONDITIONS OF THE NOTES</w:t>
      </w:r>
    </w:p>
    <w:p>
      <w:pPr>
        <w:spacing w:after="0" w:line="243"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49" w:lineRule="exact"/>
        <w:rPr>
          <w:sz w:val="20"/>
          <w:szCs w:val="20"/>
          <w:color w:val="auto"/>
        </w:rPr>
      </w:pPr>
    </w:p>
    <w:p>
      <w:pPr>
        <w:jc w:val="both"/>
        <w:ind w:left="660" w:hanging="647"/>
        <w:spacing w:after="0" w:line="303"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 xml:space="preserve">This Note is one of a duly authorized issue of debt securities of the Company, designated as its 1.875% Notes due September 11, 2022 limited to the aggregate principal amount of €400,000,000 (except as otherwise provided below) and issued or to be issued pursuant to a Fiscal and Paying Agency Agreement (the </w:t>
      </w:r>
      <w:r>
        <w:rPr>
          <w:rFonts w:ascii="Arial" w:cs="Arial" w:eastAsia="Arial" w:hAnsi="Arial"/>
          <w:sz w:val="18"/>
          <w:szCs w:val="18"/>
          <w:b w:val="1"/>
          <w:bCs w:val="1"/>
          <w:color w:val="auto"/>
        </w:rPr>
        <w:t>Fiscal and Paying Agency Agreement</w:t>
      </w:r>
      <w:r>
        <w:rPr>
          <w:rFonts w:ascii="Arial" w:cs="Arial" w:eastAsia="Arial" w:hAnsi="Arial"/>
          <w:sz w:val="18"/>
          <w:szCs w:val="18"/>
          <w:color w:val="auto"/>
        </w:rPr>
        <w:t xml:space="preserve">) dated as of September 11, 2015 between the Company and Citibank, N.A., London Branch, as fiscal and principal paying agent (the </w:t>
      </w:r>
      <w:r>
        <w:rPr>
          <w:rFonts w:ascii="Arial" w:cs="Arial" w:eastAsia="Arial" w:hAnsi="Arial"/>
          <w:sz w:val="18"/>
          <w:szCs w:val="18"/>
          <w:b w:val="1"/>
          <w:bCs w:val="1"/>
          <w:color w:val="auto"/>
        </w:rPr>
        <w:t>Fiscal Agent</w:t>
      </w:r>
      <w:r>
        <w:rPr>
          <w:rFonts w:ascii="Arial" w:cs="Arial" w:eastAsia="Arial" w:hAnsi="Arial"/>
          <w:sz w:val="18"/>
          <w:szCs w:val="18"/>
          <w:color w:val="auto"/>
        </w:rPr>
        <w:t xml:space="preserve">, and together with such other paying agents as may be appointed under the Fiscal and Paying Agency Agreement from time to time, the </w:t>
      </w:r>
      <w:r>
        <w:rPr>
          <w:rFonts w:ascii="Arial" w:cs="Arial" w:eastAsia="Arial" w:hAnsi="Arial"/>
          <w:sz w:val="18"/>
          <w:szCs w:val="18"/>
          <w:b w:val="1"/>
          <w:bCs w:val="1"/>
          <w:color w:val="auto"/>
        </w:rPr>
        <w:t>Paying Agents</w:t>
      </w:r>
      <w:r>
        <w:rPr>
          <w:rFonts w:ascii="Arial" w:cs="Arial" w:eastAsia="Arial" w:hAnsi="Arial"/>
          <w:sz w:val="18"/>
          <w:szCs w:val="18"/>
          <w:color w:val="auto"/>
        </w:rPr>
        <w:t xml:space="preserve">, which terms shall include their respective successors and assigns as such Fiscal Agent or Paying Agent, as the case may be), which also acts as registrar and transfer agent. The holders of the Notes (the </w:t>
      </w:r>
      <w:r>
        <w:rPr>
          <w:rFonts w:ascii="Arial" w:cs="Arial" w:eastAsia="Arial" w:hAnsi="Arial"/>
          <w:sz w:val="18"/>
          <w:szCs w:val="18"/>
          <w:b w:val="1"/>
          <w:bCs w:val="1"/>
          <w:color w:val="auto"/>
        </w:rPr>
        <w:t>Noteholders</w:t>
      </w:r>
      <w:r>
        <w:rPr>
          <w:rFonts w:ascii="Arial" w:cs="Arial" w:eastAsia="Arial" w:hAnsi="Arial"/>
          <w:sz w:val="18"/>
          <w:szCs w:val="18"/>
          <w:color w:val="auto"/>
        </w:rPr>
        <w:t>) will be entitled to the benefits of, be bound by, and be deemed to have notice of, all of the provisions of the Fiscal and Paying Agency Agreement. A copy of the Fiscal and Paying Agency Agreement is on file and may be inspected at the offices of the Paying Agent referred to below. Unless otherwise stated, terms used but not defined herein shall have the meaning assigned to them in the Fiscal and Paying Agency Agreement.</w:t>
      </w:r>
    </w:p>
    <w:p>
      <w:pPr>
        <w:spacing w:after="0" w:line="16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 xml:space="preserve">The Notes are direct unsecured obligations of the Company and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unsecured and unsubordinated indebtedness of the Company.</w:t>
      </w:r>
    </w:p>
    <w:p>
      <w:pPr>
        <w:spacing w:after="0" w:line="17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THE NOTES ARE NOT DEPOSITS INSURED BY THE FEDERAL DEPOSIT INSURANCE CORPORATION OR ANY OTHER GOVERNMENTAL AGENCY.</w:t>
      </w:r>
    </w:p>
    <w:p>
      <w:pPr>
        <w:spacing w:after="0" w:line="169"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DENOMINATIONS; TRANSFER; EXCHANGE</w:t>
      </w:r>
    </w:p>
    <w:p>
      <w:pPr>
        <w:spacing w:after="0" w:line="249"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The Notes are in registered form without interest coupons in minimum denominations of €100,000 principal amount and integral multiples of €1,000 in excess thereof. A Noteholder may transfer or exchange the Notes in accordance with the Fiscal and Paying Agency Agreement. In connection with any such transfer or exchange, the Fiscal and Paying Agency Agreement will require the transferring or exchanging Noteholder to, among other things, furnish appropriate endorsements and transfer documents, furnish information regarding the account of the transferee at Euroclear or Clearstream, where appropriate, furnish certain certificates and opinions, and pay any taxes, duties and governmental charges in connection with such transfer or exchange. Any such transfer or exchange will be made without charge to the Noteholder, other than any taxes, duties and governmental charges payable in connection with such transfer.</w:t>
      </w:r>
    </w:p>
    <w:p>
      <w:pPr>
        <w:spacing w:after="0" w:line="19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Notwithstanding the foregoing, the Company is not required to register the transfer or exchange of any Notes: (a) for a period of 15 calendar days prior to any date fixed for the redemption of the Notes; (b) for a period of 15 calendar days prior to the record date with respect to any interest payment date; or (c) which the Noteholder has tendered (and not withdrawn) for repurchase in connection with a Change of Control Triggering Event.</w:t>
      </w:r>
    </w:p>
    <w:p>
      <w:pPr>
        <w:spacing w:after="0" w:line="18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PERSONS DEEMED OWNERS</w:t>
      </w:r>
    </w:p>
    <w:p>
      <w:pPr>
        <w:spacing w:after="0" w:line="248"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registered Noteholder of this Note will be treated as the owner of it for all purposes.</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20"/>
          </w:cols>
          <w:pgMar w:left="240" w:top="819" w:right="239" w:bottom="1440" w:gutter="0" w:footer="0" w:header="0"/>
        </w:sectPr>
      </w:pPr>
    </w:p>
    <w:bookmarkStart w:id="30" w:name="page31"/>
    <w:bookmarkEnd w:id="30"/>
    <w:p>
      <w:pPr>
        <w:ind w:left="652" w:hanging="652"/>
        <w:spacing w:after="0"/>
        <w:tabs>
          <w:tab w:leader="none" w:pos="65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METHOD OF PAYMENT</w:t>
      </w:r>
    </w:p>
    <w:p>
      <w:pPr>
        <w:spacing w:after="0" w:line="248" w:lineRule="exact"/>
        <w:rPr>
          <w:rFonts w:ascii="Arial" w:cs="Arial" w:eastAsia="Arial" w:hAnsi="Arial"/>
          <w:sz w:val="20"/>
          <w:szCs w:val="20"/>
          <w:b w:val="1"/>
          <w:bCs w:val="1"/>
          <w:color w:val="auto"/>
        </w:rPr>
      </w:pPr>
    </w:p>
    <w:p>
      <w:pPr>
        <w:jc w:val="both"/>
        <w:ind w:left="652"/>
        <w:spacing w:after="0" w:line="285" w:lineRule="auto"/>
        <w:rPr>
          <w:rFonts w:ascii="Arial" w:cs="Arial" w:eastAsia="Arial" w:hAnsi="Arial"/>
          <w:sz w:val="20"/>
          <w:szCs w:val="20"/>
          <w:b w:val="1"/>
          <w:bCs w:val="1"/>
          <w:color w:val="auto"/>
        </w:rPr>
      </w:pPr>
      <w:r>
        <w:rPr>
          <w:rFonts w:ascii="Arial" w:cs="Arial" w:eastAsia="Arial" w:hAnsi="Arial"/>
          <w:sz w:val="19"/>
          <w:szCs w:val="19"/>
          <w:color w:val="auto"/>
        </w:rPr>
        <w:t xml:space="preserve">Noteholders must surrender Notes to a Paying Agent to collect principal payments. The Company will pay principal and interest in Euros or such other lawful currency of the participating Member States in the Third Stage of European Economic and Monetary Union of the Treaty on the Functioning of the European Union that at the time of payment is legal tender for payment of public and private debts. Payments in respect of the Notes represented by the Global Note (including principal, premium and interest) will be made by wire transfer of immediately available funds to the accounts specified by Euroclear or Clearstream. The Company will make all payments in respect of a Definitive Note (including principal, premium and interest) by mailing a check to the registered address of each Noteholder thereof;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payments on a Definitive Note will be made by wire transfer if such Noteholder elects payment by wire transfer by giving written notice to the Fiscal Agent or the Paying Agent to such effect designating such account no later than 30 days immediately preceding the relevant due date for payment (or such other date as the Fiscal Agent may accept in its discretion).</w:t>
      </w:r>
    </w:p>
    <w:p>
      <w:pPr>
        <w:spacing w:after="0" w:line="187"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 xml:space="preserve">Payments will, without prejudice to the provisions of Clause 8 of the terms and conditions of the Notes be subject in all cases to (i) any applicable fiscal or other laws and regulations, and (ii) any withholding or deduction required pursuant to an agreement described in Section 1471(b) of the of the U.S. Internal Revenue Code of 1986 (the </w:t>
      </w:r>
      <w:r>
        <w:rPr>
          <w:rFonts w:ascii="Arial" w:cs="Arial" w:eastAsia="Arial" w:hAnsi="Arial"/>
          <w:sz w:val="20"/>
          <w:szCs w:val="20"/>
          <w:b w:val="1"/>
          <w:bCs w:val="1"/>
          <w:color w:val="auto"/>
        </w:rPr>
        <w:t>Code</w:t>
      </w:r>
      <w:r>
        <w:rPr>
          <w:rFonts w:ascii="Arial" w:cs="Arial" w:eastAsia="Arial" w:hAnsi="Arial"/>
          <w:sz w:val="20"/>
          <w:szCs w:val="20"/>
          <w:color w:val="auto"/>
        </w:rPr>
        <w:t>) or otherwise imposed pursuant to Sections 1471 through 1474 of the Code, any regulations or agreements thereunder, official interpretations thereof, or any law implementing an intergovernmental approach thereto.</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PAYING AGENT, TRANSFER AGENT AND REGISTRAR</w:t>
      </w:r>
    </w:p>
    <w:p>
      <w:pPr>
        <w:spacing w:after="0" w:line="248" w:lineRule="exact"/>
        <w:rPr>
          <w:rFonts w:ascii="Arial" w:cs="Arial" w:eastAsia="Arial" w:hAnsi="Arial"/>
          <w:sz w:val="20"/>
          <w:szCs w:val="20"/>
          <w:b w:val="1"/>
          <w:bCs w:val="1"/>
          <w:color w:val="auto"/>
        </w:rPr>
      </w:pPr>
    </w:p>
    <w:p>
      <w:pPr>
        <w:jc w:val="both"/>
        <w:ind w:left="652"/>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Initially, Citibank, N.A., London Branch will act as principal Paying Agent, Transfer Agent and Registrar. The Company may appoint and change any Paying Agent, Transfer Agent or Registrar without notice. The Company or any of its Subsidiaries may act as Paying Agent (other than with respect to Global Notes) or Registrar.</w:t>
      </w:r>
    </w:p>
    <w:p>
      <w:pPr>
        <w:spacing w:after="0" w:line="180" w:lineRule="exact"/>
        <w:rPr>
          <w:rFonts w:ascii="Arial" w:cs="Arial" w:eastAsia="Arial" w:hAnsi="Arial"/>
          <w:sz w:val="20"/>
          <w:szCs w:val="20"/>
          <w:b w:val="1"/>
          <w:bCs w:val="1"/>
          <w:color w:val="auto"/>
        </w:rPr>
      </w:pPr>
    </w:p>
    <w:p>
      <w:pPr>
        <w:ind w:left="652" w:hanging="652"/>
        <w:spacing w:after="0"/>
        <w:tabs>
          <w:tab w:leader="none" w:pos="65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UNCLAIMED MONEY</w:t>
      </w:r>
    </w:p>
    <w:p>
      <w:pPr>
        <w:spacing w:after="0" w:line="248" w:lineRule="exact"/>
        <w:rPr>
          <w:rFonts w:ascii="Arial" w:cs="Arial" w:eastAsia="Arial" w:hAnsi="Arial"/>
          <w:sz w:val="20"/>
          <w:szCs w:val="20"/>
          <w:b w:val="1"/>
          <w:bCs w:val="1"/>
          <w:color w:val="auto"/>
        </w:rPr>
      </w:pPr>
    </w:p>
    <w:p>
      <w:pPr>
        <w:jc w:val="both"/>
        <w:ind w:left="652"/>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If money for the payment of principal or interest remains unclaimed for two years, the Fiscal Agent or Paying Agents shall pay the money back to the Company at its written request unless an applicable abandoned property law designates another person. After any such payment, Noteholders entitled to the money must look to the Company for payment as general creditors and the Fiscal Agent and the Paying Agents shall have no further liability with respect to such moneys.</w:t>
      </w:r>
    </w:p>
    <w:p>
      <w:pPr>
        <w:spacing w:after="0" w:line="186" w:lineRule="exact"/>
        <w:rPr>
          <w:rFonts w:ascii="Arial" w:cs="Arial" w:eastAsia="Arial" w:hAnsi="Arial"/>
          <w:sz w:val="20"/>
          <w:szCs w:val="20"/>
          <w:b w:val="1"/>
          <w:bCs w:val="1"/>
          <w:color w:val="auto"/>
        </w:rPr>
      </w:pPr>
    </w:p>
    <w:p>
      <w:pPr>
        <w:ind w:left="652" w:hanging="652"/>
        <w:spacing w:after="0"/>
        <w:tabs>
          <w:tab w:leader="none" w:pos="65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INTEREST</w:t>
      </w:r>
    </w:p>
    <w:p>
      <w:pPr>
        <w:spacing w:after="0" w:line="242" w:lineRule="exact"/>
        <w:rPr>
          <w:rFonts w:ascii="Arial" w:cs="Arial" w:eastAsia="Arial" w:hAnsi="Arial"/>
          <w:sz w:val="20"/>
          <w:szCs w:val="20"/>
          <w:b w:val="1"/>
          <w:bCs w:val="1"/>
          <w:color w:val="auto"/>
        </w:rPr>
      </w:pPr>
    </w:p>
    <w:p>
      <w:pPr>
        <w:jc w:val="both"/>
        <w:ind w:left="652"/>
        <w:spacing w:after="0" w:line="311" w:lineRule="auto"/>
        <w:rPr>
          <w:rFonts w:ascii="Arial" w:cs="Arial" w:eastAsia="Arial" w:hAnsi="Arial"/>
          <w:sz w:val="20"/>
          <w:szCs w:val="20"/>
          <w:b w:val="1"/>
          <w:bCs w:val="1"/>
          <w:color w:val="auto"/>
        </w:rPr>
      </w:pPr>
      <w:r>
        <w:rPr>
          <w:rFonts w:ascii="Arial" w:cs="Arial" w:eastAsia="Arial" w:hAnsi="Arial"/>
          <w:sz w:val="18"/>
          <w:szCs w:val="18"/>
          <w:color w:val="auto"/>
        </w:rPr>
        <w:t xml:space="preserve">The Notes will bear interest from September 11, 2015 (the </w:t>
      </w:r>
      <w:r>
        <w:rPr>
          <w:rFonts w:ascii="Arial" w:cs="Arial" w:eastAsia="Arial" w:hAnsi="Arial"/>
          <w:sz w:val="18"/>
          <w:szCs w:val="18"/>
          <w:b w:val="1"/>
          <w:bCs w:val="1"/>
          <w:color w:val="auto"/>
        </w:rPr>
        <w:t>Issue Date</w:t>
      </w:r>
      <w:r>
        <w:rPr>
          <w:rFonts w:ascii="Arial" w:cs="Arial" w:eastAsia="Arial" w:hAnsi="Arial"/>
          <w:sz w:val="18"/>
          <w:szCs w:val="18"/>
          <w:color w:val="auto"/>
        </w:rPr>
        <w:t>) until maturity, unless previously redeemed. Interest on the Notes will be payable annually in arrears on September 11 each year, commencing September 11, 2016. Whenever it is necessary to compute any amount of interest in respect of the Notes for a period of less than a full year, such interest shall be calculated on the basis of the actual number of days elapsed divided by 365 (or, if any of those days elapsed fall in a leap year, the sum of (a) the number of those days falling in a leap year divided by 366 and (b) the number of those days falling in a non-leap year divided by 365).</w:t>
      </w:r>
    </w:p>
    <w:p>
      <w:pPr>
        <w:spacing w:after="0" w:line="157" w:lineRule="exact"/>
        <w:rPr>
          <w:rFonts w:ascii="Arial" w:cs="Arial" w:eastAsia="Arial" w:hAnsi="Arial"/>
          <w:sz w:val="20"/>
          <w:szCs w:val="20"/>
          <w:b w:val="1"/>
          <w:bCs w:val="1"/>
          <w:color w:val="auto"/>
        </w:rPr>
      </w:pPr>
    </w:p>
    <w:p>
      <w:pPr>
        <w:ind w:left="652" w:hanging="652"/>
        <w:spacing w:after="0"/>
        <w:tabs>
          <w:tab w:leader="none" w:pos="65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AMOUNTS</w:t>
      </w:r>
    </w:p>
    <w:p>
      <w:pPr>
        <w:spacing w:after="0" w:line="200" w:lineRule="exact"/>
        <w:rPr>
          <w:sz w:val="20"/>
          <w:szCs w:val="20"/>
          <w:color w:val="auto"/>
        </w:rPr>
      </w:pP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24</w:t>
            </w:r>
          </w:p>
        </w:tc>
      </w:tr>
    </w:tbl>
    <w:p>
      <w:pPr>
        <w:sectPr>
          <w:pgSz w:w="11900" w:h="16838" w:orient="portrait"/>
          <w:cols w:equalWidth="0" w:num="1">
            <w:col w:w="11412"/>
          </w:cols>
          <w:pgMar w:left="248" w:top="819" w:right="239" w:bottom="1440" w:gutter="0" w:footer="0" w:header="0"/>
        </w:sectPr>
      </w:pPr>
    </w:p>
    <w:bookmarkStart w:id="31" w:name="page32"/>
    <w:bookmarkEnd w:id="31"/>
    <w:p>
      <w:pPr>
        <w:jc w:val="both"/>
        <w:ind w:left="620" w:hanging="647"/>
        <w:spacing w:after="0" w:line="286" w:lineRule="auto"/>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All payments of principal and interest on the Notes will be made without deduction or withholding for or on account of any present or future tax, assessment or other governmental charge, of whatever nature, imposed or levied by or within the United States or by or within any political subdivision or taxing authority thereof or therein, except as required by law. The Company will, subject to the exceptions and limitations set forth below, pay as additional interest (</w:t>
      </w:r>
      <w:r>
        <w:rPr>
          <w:rFonts w:ascii="Arial" w:cs="Arial" w:eastAsia="Arial" w:hAnsi="Arial"/>
          <w:sz w:val="19"/>
          <w:szCs w:val="19"/>
          <w:b w:val="1"/>
          <w:bCs w:val="1"/>
          <w:color w:val="auto"/>
        </w:rPr>
        <w:t>Additional Amounts</w:t>
      </w:r>
      <w:r>
        <w:rPr>
          <w:rFonts w:ascii="Arial" w:cs="Arial" w:eastAsia="Arial" w:hAnsi="Arial"/>
          <w:sz w:val="19"/>
          <w:szCs w:val="19"/>
          <w:color w:val="auto"/>
        </w:rPr>
        <w:t>) to the Noteholder of any Note who is a United States Alien (as defined below) such amounts as may be necessary so that every net payment by the Company or any of its Paying Agents on such Note, after deduction or withholding for or on account of any present or future tax, assessment or other governmental charge imposed upon such Noteholder by the United States (as defined below) (or any political subdivision or taxing authority thereof or therein), will not be less than the amount provided for in such Note to be then due and payable. However, the Company will not be required to make any payment of Additional Amounts for or on account of:</w:t>
      </w:r>
    </w:p>
    <w:p>
      <w:pPr>
        <w:spacing w:after="0" w:line="182" w:lineRule="exact"/>
        <w:rPr>
          <w:sz w:val="20"/>
          <w:szCs w:val="20"/>
          <w:color w:val="auto"/>
        </w:rPr>
      </w:pPr>
    </w:p>
    <w:p>
      <w:pPr>
        <w:jc w:val="both"/>
        <w:ind w:left="1260" w:hanging="644"/>
        <w:spacing w:after="0" w:line="286" w:lineRule="auto"/>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tax, assessment or other governmental charge that would not have been so imposed but for (i) the existence of any present or former connection between such Noteholder (or between a fiduciary, settlor or, beneficiary of, or a person holding a power over, such Noteholder, if such Noteholder is an estate or a trust, or a member or shareholder of such Noteholder, if such Noteholder is a partnership or a corporation) and the United States, including, without limitation, such Noteholder (or such fiduciary, settlor, beneficiary of, person holding a power, member or shareholder), being or having been a citizen or resident or treated as a resident thereof, or being or having been engaged in a trade or business within the United States or present therein or having, or having had, a permanent establishment therein, or (ii) the presentation by or on behalf of the Noteholder of a Note for payment more than 15 days after the date on which such payment became due and payable or on which payment thereof was duly provided for, whichever occurs later;</w:t>
      </w:r>
    </w:p>
    <w:p>
      <w:pPr>
        <w:spacing w:after="0" w:line="182" w:lineRule="exact"/>
        <w:rPr>
          <w:rFonts w:ascii="Arial" w:cs="Arial" w:eastAsia="Arial" w:hAnsi="Arial"/>
          <w:sz w:val="19"/>
          <w:szCs w:val="19"/>
          <w:color w:val="auto"/>
        </w:rPr>
      </w:pPr>
    </w:p>
    <w:p>
      <w:pPr>
        <w:ind w:left="1260" w:right="20" w:hanging="644"/>
        <w:spacing w:after="0" w:line="289" w:lineRule="auto"/>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tax, assessment or other governmental charge that is payable otherwise than by deduction or by withholding from a payment on a Note;</w:t>
      </w:r>
    </w:p>
    <w:p>
      <w:pPr>
        <w:spacing w:after="0" w:line="175" w:lineRule="exact"/>
        <w:rPr>
          <w:rFonts w:ascii="Arial" w:cs="Arial" w:eastAsia="Arial" w:hAnsi="Arial"/>
          <w:sz w:val="20"/>
          <w:szCs w:val="20"/>
          <w:color w:val="auto"/>
        </w:rPr>
      </w:pPr>
    </w:p>
    <w:p>
      <w:pPr>
        <w:ind w:left="1260" w:hanging="644"/>
        <w:spacing w:after="0" w:line="316" w:lineRule="auto"/>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tax, assessment or other governmental charge required to be deducted or withheld by any Paying Agent from any payments on a Note if such payment can be made without such deduction or withholding by any other Paying Agent;</w:t>
      </w:r>
    </w:p>
    <w:p>
      <w:pPr>
        <w:spacing w:after="0" w:line="153" w:lineRule="exact"/>
        <w:rPr>
          <w:rFonts w:ascii="Arial" w:cs="Arial" w:eastAsia="Arial" w:hAnsi="Arial"/>
          <w:sz w:val="19"/>
          <w:szCs w:val="19"/>
          <w:color w:val="auto"/>
        </w:rPr>
      </w:pPr>
    </w:p>
    <w:p>
      <w:pPr>
        <w:jc w:val="both"/>
        <w:ind w:left="1260" w:hanging="644"/>
        <w:spacing w:after="0" w:line="273" w:lineRule="auto"/>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tax, assessment or other governmental charge that would not have been imposed but for the failure to comply with any applicable certification, information, documentation or other reporting requirement concerning the nationality, residence, identity or connection with the United States of the Noteholder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191" w:lineRule="exact"/>
        <w:rPr>
          <w:rFonts w:ascii="Arial" w:cs="Arial" w:eastAsia="Arial" w:hAnsi="Arial"/>
          <w:sz w:val="20"/>
          <w:szCs w:val="20"/>
          <w:color w:val="auto"/>
        </w:rPr>
      </w:pPr>
    </w:p>
    <w:p>
      <w:pPr>
        <w:jc w:val="both"/>
        <w:ind w:left="1260" w:hanging="644"/>
        <w:spacing w:after="0" w:line="274" w:lineRule="auto"/>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tax, assessment or other governmental charge imposed by reason of the Noteholder (i) owning or having owned, directly or indirectly, actually or constructively, 10% or more of the total combined voting power of all classes of stock of the Company entitled to vote or (ii) being a controlled foreign corporation with respect to the United States that is related to the Company by actual or constructive stock ownership; or</w:t>
      </w:r>
    </w:p>
    <w:p>
      <w:pPr>
        <w:spacing w:after="0" w:line="192" w:lineRule="exact"/>
        <w:rPr>
          <w:rFonts w:ascii="Arial" w:cs="Arial" w:eastAsia="Arial" w:hAnsi="Arial"/>
          <w:sz w:val="20"/>
          <w:szCs w:val="20"/>
          <w:color w:val="auto"/>
        </w:rPr>
      </w:pPr>
    </w:p>
    <w:p>
      <w:pPr>
        <w:jc w:val="both"/>
        <w:ind w:left="1260" w:hanging="644"/>
        <w:spacing w:after="0" w:line="278" w:lineRule="auto"/>
        <w:tabs>
          <w:tab w:leader="none" w:pos="12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tax, assessment or other governmental charge imposed under Section 1471(b) of the Code or otherwise imposed pursuant to Sections 1471 through 1474 of the Code, any regulations or agreements thereunder, official interpretations thereof, or any law implementing an intergovernmental approach thereto,</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380"/>
          </w:cols>
          <w:pgMar w:left="280" w:top="825" w:right="239" w:bottom="1440" w:gutter="0" w:footer="0" w:header="0"/>
        </w:sectPr>
      </w:pPr>
    </w:p>
    <w:bookmarkStart w:id="32" w:name="page33"/>
    <w:bookmarkEnd w:id="32"/>
    <w:p>
      <w:pPr>
        <w:jc w:val="both"/>
        <w:ind w:left="652"/>
        <w:spacing w:after="0" w:line="274" w:lineRule="auto"/>
        <w:rPr>
          <w:sz w:val="20"/>
          <w:szCs w:val="20"/>
          <w:color w:val="auto"/>
        </w:rPr>
      </w:pPr>
      <w:r>
        <w:rPr>
          <w:rFonts w:ascii="Arial" w:cs="Arial" w:eastAsia="Arial" w:hAnsi="Arial"/>
          <w:sz w:val="20"/>
          <w:szCs w:val="20"/>
          <w:color w:val="auto"/>
        </w:rPr>
        <w:t>nor shall such Additional Amounts be paid with respect to any payment on a Note to a Noteholder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Noteholder of such Note.</w:t>
      </w:r>
    </w:p>
    <w:p>
      <w:pPr>
        <w:spacing w:after="0" w:line="186" w:lineRule="exact"/>
        <w:rPr>
          <w:sz w:val="20"/>
          <w:szCs w:val="20"/>
          <w:color w:val="auto"/>
        </w:rPr>
      </w:pPr>
    </w:p>
    <w:p>
      <w:pPr>
        <w:jc w:val="both"/>
        <w:ind w:left="652" w:hanging="647"/>
        <w:spacing w:after="0" w:line="292" w:lineRule="auto"/>
        <w:tabs>
          <w:tab w:leader="none" w:pos="632"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 xml:space="preserve">The term </w:t>
      </w:r>
      <w:r>
        <w:rPr>
          <w:rFonts w:ascii="Arial" w:cs="Arial" w:eastAsia="Arial" w:hAnsi="Arial"/>
          <w:sz w:val="19"/>
          <w:szCs w:val="19"/>
          <w:b w:val="1"/>
          <w:bCs w:val="1"/>
          <w:color w:val="auto"/>
        </w:rPr>
        <w:t>United States</w:t>
      </w:r>
      <w:r>
        <w:rPr>
          <w:rFonts w:ascii="Arial" w:cs="Arial" w:eastAsia="Arial" w:hAnsi="Arial"/>
          <w:sz w:val="19"/>
          <w:szCs w:val="19"/>
          <w:color w:val="auto"/>
        </w:rPr>
        <w:t xml:space="preserve"> means the United States of America (including the States and the District of Columbia), its territories, its possessions and other areas subject to its jurisdiction. The term </w:t>
      </w:r>
      <w:r>
        <w:rPr>
          <w:rFonts w:ascii="Arial" w:cs="Arial" w:eastAsia="Arial" w:hAnsi="Arial"/>
          <w:sz w:val="19"/>
          <w:szCs w:val="19"/>
          <w:b w:val="1"/>
          <w:bCs w:val="1"/>
          <w:color w:val="auto"/>
        </w:rPr>
        <w:t>United States Alien</w:t>
      </w:r>
      <w:r>
        <w:rPr>
          <w:rFonts w:ascii="Arial" w:cs="Arial" w:eastAsia="Arial" w:hAnsi="Arial"/>
          <w:sz w:val="19"/>
          <w:szCs w:val="19"/>
          <w:color w:val="auto"/>
        </w:rPr>
        <w:t xml:space="preserve">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70"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REDEMPTION</w:t>
      </w:r>
    </w:p>
    <w:p>
      <w:pPr>
        <w:spacing w:after="0" w:line="249" w:lineRule="exact"/>
        <w:rPr>
          <w:sz w:val="20"/>
          <w:szCs w:val="20"/>
          <w:color w:val="auto"/>
        </w:rPr>
      </w:pPr>
    </w:p>
    <w:p>
      <w:pPr>
        <w:jc w:val="both"/>
        <w:ind w:left="652" w:hanging="647"/>
        <w:spacing w:after="0" w:line="289" w:lineRule="auto"/>
        <w:tabs>
          <w:tab w:leader="none" w:pos="63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Notes will mature at par on September 11, 2022. Except as provided below and in the Fiscal and Paying Agency Agreement, the Notes may not be redeemed prior to maturity.</w:t>
      </w:r>
    </w:p>
    <w:p>
      <w:pPr>
        <w:spacing w:after="0" w:line="175" w:lineRule="exact"/>
        <w:rPr>
          <w:sz w:val="20"/>
          <w:szCs w:val="20"/>
          <w:color w:val="auto"/>
        </w:rPr>
      </w:pPr>
    </w:p>
    <w:p>
      <w:pPr>
        <w:jc w:val="both"/>
        <w:ind w:left="652" w:hanging="647"/>
        <w:spacing w:after="0" w:line="286" w:lineRule="auto"/>
        <w:tabs>
          <w:tab w:leader="none" w:pos="632"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The Notes will be redeemable at the Company's option, in whole or in part, at any time prior to June 11, 2022 (three months prior to the maturity date of the Notes) at a redemption price equal to the greater of (a) 100% of the principal amount of such Notes or (b) as determined by the Quotation Agent (as defined below), the sum of the present values of the remaining scheduled payments of principal and interest thereon (not including any portion of such payments of interest accrued as of the date of redemption) discounted to the redemption date on an annual basis (based on the actual number of days elapsed divided by 365 (or, if any of those days elapsed fall in a leap year, the sum of (i) the number of those days falling in a leap year divided by 366 and (ii) the number of those days falling in a non-leap year divided by 365)) at the Reference Dealer Rate (as defined below), plus 0.25%, plus in each case, accrued interest thereon to the date of redemption.</w:t>
      </w:r>
    </w:p>
    <w:p>
      <w:pPr>
        <w:spacing w:after="0" w:line="186" w:lineRule="exact"/>
        <w:rPr>
          <w:sz w:val="20"/>
          <w:szCs w:val="20"/>
          <w:color w:val="auto"/>
        </w:rPr>
      </w:pPr>
    </w:p>
    <w:p>
      <w:pPr>
        <w:jc w:val="both"/>
        <w:ind w:left="652"/>
        <w:spacing w:after="0" w:line="278" w:lineRule="auto"/>
        <w:rPr>
          <w:sz w:val="20"/>
          <w:szCs w:val="20"/>
          <w:color w:val="auto"/>
        </w:rPr>
      </w:pPr>
      <w:r>
        <w:rPr>
          <w:rFonts w:ascii="Arial" w:cs="Arial" w:eastAsia="Arial" w:hAnsi="Arial"/>
          <w:sz w:val="20"/>
          <w:szCs w:val="20"/>
          <w:color w:val="auto"/>
        </w:rPr>
        <w:t>In addition, the Notes will be redeemable at the Company’s option, in whole or in part, at any time on or after June 11, 2022 (three months prior to the maturity date of the Notes) at a redemption price equal to 100% of the principal amount of such Notes, plus accrued and unpaid interest thereon at the date of redemption.</w:t>
      </w:r>
    </w:p>
    <w:p>
      <w:pPr>
        <w:spacing w:after="0" w:line="181" w:lineRule="exact"/>
        <w:rPr>
          <w:sz w:val="20"/>
          <w:szCs w:val="20"/>
          <w:color w:val="auto"/>
        </w:rPr>
      </w:pPr>
    </w:p>
    <w:p>
      <w:pPr>
        <w:jc w:val="both"/>
        <w:ind w:left="652" w:right="20"/>
        <w:spacing w:after="0" w:line="295" w:lineRule="auto"/>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in relation to any place, a day on which commercial banks and foreign exchange markets settle payments in that</w:t>
      </w:r>
      <w:r>
        <w:rPr>
          <w:rFonts w:ascii="Arial" w:cs="Arial" w:eastAsia="Arial" w:hAnsi="Arial"/>
          <w:sz w:val="20"/>
          <w:szCs w:val="20"/>
          <w:b w:val="1"/>
          <w:bCs w:val="1"/>
          <w:color w:val="auto"/>
        </w:rPr>
        <w:t xml:space="preserve"> </w:t>
      </w:r>
      <w:r>
        <w:rPr>
          <w:rFonts w:ascii="Arial" w:cs="Arial" w:eastAsia="Arial" w:hAnsi="Arial"/>
          <w:sz w:val="20"/>
          <w:szCs w:val="20"/>
          <w:color w:val="auto"/>
        </w:rPr>
        <w:t>place.</w:t>
      </w:r>
    </w:p>
    <w:p>
      <w:pPr>
        <w:spacing w:after="0" w:line="164"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 xml:space="preserve">Quotation Agent </w:t>
      </w:r>
      <w:r>
        <w:rPr>
          <w:rFonts w:ascii="Arial" w:cs="Arial" w:eastAsia="Arial" w:hAnsi="Arial"/>
          <w:sz w:val="20"/>
          <w:szCs w:val="20"/>
          <w:color w:val="auto"/>
        </w:rPr>
        <w:t>means the Reference Dealer (as defined below).</w:t>
      </w:r>
    </w:p>
    <w:p>
      <w:pPr>
        <w:spacing w:after="0" w:line="243"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 xml:space="preserve">Reference Dealer </w:t>
      </w:r>
      <w:r>
        <w:rPr>
          <w:rFonts w:ascii="Arial" w:cs="Arial" w:eastAsia="Arial" w:hAnsi="Arial"/>
          <w:sz w:val="20"/>
          <w:szCs w:val="20"/>
          <w:color w:val="auto"/>
        </w:rPr>
        <w:t>means BNP Paribas and Goldman Sachs International or their respective successors.</w:t>
      </w:r>
    </w:p>
    <w:p>
      <w:pPr>
        <w:spacing w:after="0" w:line="243" w:lineRule="exact"/>
        <w:rPr>
          <w:sz w:val="20"/>
          <w:szCs w:val="20"/>
          <w:color w:val="auto"/>
        </w:rPr>
      </w:pPr>
    </w:p>
    <w:p>
      <w:pPr>
        <w:jc w:val="both"/>
        <w:ind w:left="652"/>
        <w:spacing w:after="0" w:line="316" w:lineRule="auto"/>
        <w:rPr>
          <w:sz w:val="20"/>
          <w:szCs w:val="20"/>
          <w:color w:val="auto"/>
        </w:rPr>
      </w:pPr>
      <w:r>
        <w:rPr>
          <w:rFonts w:ascii="Arial" w:cs="Arial" w:eastAsia="Arial" w:hAnsi="Arial"/>
          <w:sz w:val="18"/>
          <w:szCs w:val="18"/>
          <w:b w:val="1"/>
          <w:bCs w:val="1"/>
          <w:color w:val="auto"/>
        </w:rPr>
        <w:t xml:space="preserve">Reference Dealer Rate </w:t>
      </w:r>
      <w:r>
        <w:rPr>
          <w:rFonts w:ascii="Arial" w:cs="Arial" w:eastAsia="Arial" w:hAnsi="Arial"/>
          <w:sz w:val="18"/>
          <w:szCs w:val="18"/>
          <w:color w:val="auto"/>
        </w:rPr>
        <w:t>means, with respect to the Reference Dealers and any redemption date, the average of the three quotations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average midmarket annual yield to maturity of the Bundesrepublik Deutschland 1.500% due September 4, 2022 or, if that security is no longer outstanding, a similar security in the reasonable judgment of each Reference Dealer, at 11.00 a.m. (London time) on the third business day in London preceding such redemption date quoted in writing to the Fiscal Agent by the Reference Dealers.</w:t>
      </w:r>
    </w:p>
    <w:p>
      <w:pPr>
        <w:spacing w:after="0" w:line="356"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412"/>
          </w:cols>
          <w:pgMar w:left="248" w:top="825" w:right="239" w:bottom="1440" w:gutter="0" w:footer="0" w:header="0"/>
        </w:sectPr>
      </w:pPr>
    </w:p>
    <w:bookmarkStart w:id="33" w:name="page34"/>
    <w:bookmarkEnd w:id="33"/>
    <w:p>
      <w:pPr>
        <w:spacing w:after="0"/>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color w:val="auto"/>
        </w:rPr>
        <w:t>Notice of any redemption will be given to the Noteholders at least 30 days but not more than 60 days before the redemption date.</w:t>
      </w:r>
    </w:p>
    <w:p>
      <w:pPr>
        <w:spacing w:after="0" w:line="24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Unless the Company defaults in payment of the redemption price, on and after the redemption date, interest will cease to accrue on the Notes called for redemption.</w:t>
      </w:r>
    </w:p>
    <w:p>
      <w:pPr>
        <w:spacing w:after="0" w:line="175"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color w:val="auto"/>
        </w:rPr>
        <w:t xml:space="preserve">If, in the written opinion of independent counsel chosen by the Company, there is a substantial probability that the Company has or will become obligated to pay additional interest on the Notes as described under </w:t>
      </w:r>
      <w:r>
        <w:rPr>
          <w:rFonts w:ascii="Arial" w:cs="Arial" w:eastAsia="Arial" w:hAnsi="Arial"/>
          <w:sz w:val="19"/>
          <w:szCs w:val="19"/>
          <w:b w:val="1"/>
          <w:bCs w:val="1"/>
          <w:color w:val="auto"/>
        </w:rPr>
        <w:t>Additional Amounts</w:t>
      </w:r>
      <w:r>
        <w:rPr>
          <w:rFonts w:ascii="Arial" w:cs="Arial" w:eastAsia="Arial" w:hAnsi="Arial"/>
          <w:sz w:val="19"/>
          <w:szCs w:val="19"/>
          <w:color w:val="auto"/>
        </w:rPr>
        <w:t xml:space="preserve"> above, as a result of any Trigger Event (as defined below) occurring on or after September 11, 2015, then the Company may, at its option, upon not less than 30 nor more than 60 days' prior notice to the Noteholders for the time being of the Notes redeem the Notes in whole, but not in part, at a redemption price equal to 100% of the principal amount thereof plus accrued interest, if any, to the date fixed for redemption, provided that no such notice of redemption shall be given earlier than 90 days prior to the earliest date on which the Company would be obligated to pay such additional interest were a payment in respect of the Notes due on such date and, at the time such notification of redemption is given, such obligation to pay such additional interest remains in effect. Prior to the publication of any notice of redemption pursuant to this paragraph, the Company shall deliver to the Fiscal Agent (i) a certificate stating that the Company is entitled to effect such redemption and that the conditions precedent to the right of the Company to so redeem have occurred and (ii) an opinion of independent counsel chosen by the Company to the effect that there is a substantial probability that the Company has or will become obligated to pay additional interest on the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Trigger Event </w:t>
      </w:r>
      <w:r>
        <w:rPr>
          <w:rFonts w:ascii="Arial" w:cs="Arial" w:eastAsia="Arial" w:hAnsi="Arial"/>
          <w:sz w:val="20"/>
          <w:szCs w:val="20"/>
          <w:color w:val="auto"/>
        </w:rPr>
        <w:t>means any of the following events:</w:t>
      </w:r>
    </w:p>
    <w:p>
      <w:pPr>
        <w:spacing w:after="0" w:line="249" w:lineRule="exact"/>
        <w:rPr>
          <w:sz w:val="20"/>
          <w:szCs w:val="20"/>
          <w:color w:val="auto"/>
        </w:rPr>
      </w:pPr>
    </w:p>
    <w:p>
      <w:pPr>
        <w:jc w:val="both"/>
        <w:ind w:left="1300" w:hanging="644"/>
        <w:spacing w:after="0" w:line="278"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change in, or amendment to, the laws (or any regulations or rulings promulgated thereunder) of the United States or any political subdivision or taxing authority thereof or therein, or any change in official position regarding the application or interpretation of such laws, regulations or rulings,</w:t>
      </w:r>
    </w:p>
    <w:p>
      <w:pPr>
        <w:spacing w:after="0" w:line="186" w:lineRule="exact"/>
        <w:rPr>
          <w:rFonts w:ascii="Arial" w:cs="Arial" w:eastAsia="Arial" w:hAnsi="Arial"/>
          <w:sz w:val="20"/>
          <w:szCs w:val="20"/>
          <w:color w:val="auto"/>
        </w:rPr>
      </w:pPr>
    </w:p>
    <w:p>
      <w:pPr>
        <w:ind w:left="1300" w:right="20" w:hanging="644"/>
        <w:spacing w:after="0" w:line="289"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action taken by a taxing authority of the United States or any political subdivision thereof or therein affecting taxation, which action is generally applied or is taken with respect to the Company,</w:t>
      </w:r>
    </w:p>
    <w:p>
      <w:pPr>
        <w:spacing w:after="0" w:line="175"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decision rendered by a court of competent jurisdiction in the United States or any political subdivision thereof or therein, whether or not such decision was rendered with respect to the Company,</w:t>
      </w:r>
    </w:p>
    <w:p>
      <w:pPr>
        <w:spacing w:after="0" w:line="175"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private letter ruling or technical advice memorandum issued by the National Office of the United States Internal Revenue Service on substantially the same facts as those affecting the Company, or</w:t>
      </w:r>
    </w:p>
    <w:p>
      <w:pPr>
        <w:spacing w:after="0" w:line="175" w:lineRule="exact"/>
        <w:rPr>
          <w:rFonts w:ascii="Arial" w:cs="Arial" w:eastAsia="Arial" w:hAnsi="Arial"/>
          <w:sz w:val="20"/>
          <w:szCs w:val="20"/>
          <w:color w:val="auto"/>
        </w:rPr>
      </w:pPr>
    </w:p>
    <w:p>
      <w:pPr>
        <w:jc w:val="both"/>
        <w:ind w:left="1300" w:hanging="644"/>
        <w:spacing w:after="0" w:line="278"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change, amendment, application, interpretation or execution of the laws of the United States (or any regulations or rulings promulgated thereunder) shall have been officially proposed, and the Company determines that such obligation cannot be avoided by the use of reasonable measures then available to the Company.</w:t>
      </w:r>
    </w:p>
    <w:p>
      <w:pPr>
        <w:spacing w:after="0" w:line="187"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Notice of redemption of the Notes shall be given not less than 30 or more than 60 days prior to the date fixed for redemption, all as provided in the Fiscal and Paying Agency Agreement. Notice having been given, the Notes shall (except as otherwise provided in Clause 9.5 above) become due and payable on the</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20"/>
          </w:cols>
          <w:pgMar w:left="240" w:top="825" w:right="239" w:bottom="1440" w:gutter="0" w:footer="0" w:header="0"/>
        </w:sectPr>
      </w:pPr>
    </w:p>
    <w:bookmarkStart w:id="34" w:name="page35"/>
    <w:bookmarkEnd w:id="34"/>
    <w:p>
      <w:pPr>
        <w:jc w:val="both"/>
        <w:ind w:left="652"/>
        <w:spacing w:after="0" w:line="292" w:lineRule="auto"/>
        <w:rPr>
          <w:sz w:val="20"/>
          <w:szCs w:val="20"/>
          <w:color w:val="auto"/>
        </w:rPr>
      </w:pPr>
      <w:r>
        <w:rPr>
          <w:rFonts w:ascii="Arial" w:cs="Arial" w:eastAsia="Arial" w:hAnsi="Arial"/>
          <w:sz w:val="20"/>
          <w:szCs w:val="20"/>
          <w:color w:val="auto"/>
        </w:rPr>
        <w:t>date fixed for redemption and (upon presentation and surrender thereof) will be paid at the redemption price, together with Additional Amounts, if any, and accrued interest to the date fixed for redemption at the place or places of payment and in the manner specified herein.</w:t>
      </w:r>
    </w:p>
    <w:p>
      <w:pPr>
        <w:spacing w:after="0" w:line="173" w:lineRule="exact"/>
        <w:rPr>
          <w:sz w:val="20"/>
          <w:szCs w:val="20"/>
          <w:color w:val="auto"/>
        </w:rPr>
      </w:pPr>
    </w:p>
    <w:p>
      <w:pPr>
        <w:jc w:val="both"/>
        <w:ind w:left="652" w:hanging="647"/>
        <w:spacing w:after="0" w:line="293" w:lineRule="auto"/>
        <w:tabs>
          <w:tab w:leader="none" w:pos="632"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color w:val="auto"/>
        </w:rPr>
        <w:t>The Company may at any time purchase Notes in the open market or otherwise at any price. Any purchase by tender offer shall be made available to all Noteholders alike. The Notes so purchased, while held by or on behalf of the Company, shall not entitle the Noteholder to vote at any meetings of the Noteholders and shall not be deemed to be outstanding for the purposes of calculating quorums at meetings of the Noteholders or for the purposes of the provisions of Clause 14 below.</w:t>
      </w:r>
    </w:p>
    <w:p>
      <w:pPr>
        <w:spacing w:after="0" w:line="176" w:lineRule="exact"/>
        <w:rPr>
          <w:sz w:val="20"/>
          <w:szCs w:val="20"/>
          <w:color w:val="auto"/>
        </w:rPr>
      </w:pPr>
    </w:p>
    <w:p>
      <w:pPr>
        <w:jc w:val="both"/>
        <w:ind w:left="652" w:hanging="647"/>
        <w:spacing w:after="0" w:line="289" w:lineRule="auto"/>
        <w:tabs>
          <w:tab w:leader="none" w:pos="632"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0"/>
          <w:szCs w:val="20"/>
          <w:color w:val="auto"/>
        </w:rPr>
        <w:t>All Notes redeemed or purchased by the Company (other than any Notes purchased in the ordinary course of business of dealing in securities) will be canceled and may not be re-issued or resold.</w:t>
      </w:r>
    </w:p>
    <w:p>
      <w:pPr>
        <w:spacing w:after="0" w:line="169"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w:t>
      </w:r>
    </w:p>
    <w:p>
      <w:pPr>
        <w:spacing w:after="0" w:line="175" w:lineRule="exact"/>
        <w:rPr>
          <w:sz w:val="20"/>
          <w:szCs w:val="20"/>
          <w:color w:val="auto"/>
        </w:rPr>
      </w:pPr>
    </w:p>
    <w:p>
      <w:pPr>
        <w:ind w:left="652" w:hanging="647"/>
        <w:spacing w:after="0" w:line="267" w:lineRule="auto"/>
        <w:tabs>
          <w:tab w:leader="none" w:pos="632" w:val="left"/>
        </w:tabs>
        <w:rPr>
          <w:sz w:val="20"/>
          <w:szCs w:val="20"/>
          <w:color w:val="auto"/>
        </w:rPr>
      </w:pPr>
      <w:r>
        <w:rPr>
          <w:rFonts w:ascii="Arial" w:cs="Arial" w:eastAsia="Arial" w:hAnsi="Arial"/>
          <w:sz w:val="20"/>
          <w:szCs w:val="20"/>
          <w:color w:val="auto"/>
        </w:rPr>
        <w:t>10.1</w:t>
        <w:tab/>
        <w:t xml:space="preserve">The occurrence of any of the following events shall constitute an event of default (herein referred to as an </w:t>
      </w:r>
      <w:r>
        <w:rPr>
          <w:rFonts w:ascii="Arial" w:cs="Arial" w:eastAsia="Arial" w:hAnsi="Arial"/>
          <w:sz w:val="20"/>
          <w:szCs w:val="20"/>
          <w:b w:val="1"/>
          <w:bCs w:val="1"/>
          <w:color w:val="auto"/>
        </w:rPr>
        <w:t>Event of Default</w:t>
      </w:r>
      <w:r>
        <w:rPr>
          <w:rFonts w:ascii="Arial" w:cs="Arial" w:eastAsia="Arial" w:hAnsi="Arial"/>
          <w:sz w:val="20"/>
          <w:szCs w:val="20"/>
          <w:color w:val="auto"/>
        </w:rPr>
        <w:t>) hereunder with respect to the Notes:</w:t>
      </w:r>
    </w:p>
    <w:p>
      <w:pPr>
        <w:spacing w:after="0" w:line="116" w:lineRule="exact"/>
        <w:rPr>
          <w:sz w:val="20"/>
          <w:szCs w:val="20"/>
          <w:color w:val="auto"/>
        </w:rPr>
      </w:pPr>
    </w:p>
    <w:p>
      <w:pPr>
        <w:ind w:left="1292" w:hanging="644"/>
        <w:spacing w:after="0"/>
        <w:tabs>
          <w:tab w:leader="none" w:pos="1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due and punctual payment of the principal of any Note as and when the same shall become due and payable; or</w:t>
      </w:r>
    </w:p>
    <w:p>
      <w:pPr>
        <w:spacing w:after="0" w:line="184" w:lineRule="exact"/>
        <w:rPr>
          <w:rFonts w:ascii="Arial" w:cs="Arial" w:eastAsia="Arial" w:hAnsi="Arial"/>
          <w:sz w:val="18"/>
          <w:szCs w:val="18"/>
          <w:color w:val="auto"/>
        </w:rPr>
      </w:pPr>
    </w:p>
    <w:p>
      <w:pPr>
        <w:ind w:left="1292" w:hanging="644"/>
        <w:spacing w:after="0" w:line="260" w:lineRule="auto"/>
        <w:tabs>
          <w:tab w:leader="none" w:pos="1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default in the payment of any interest or any Additional Amounts as and when the same shall become due and payable, which continues for a period of 30 days; or</w:t>
      </w:r>
    </w:p>
    <w:p>
      <w:pPr>
        <w:spacing w:after="0" w:line="122" w:lineRule="exact"/>
        <w:rPr>
          <w:rFonts w:ascii="Arial" w:cs="Arial" w:eastAsia="Arial" w:hAnsi="Arial"/>
          <w:sz w:val="20"/>
          <w:szCs w:val="20"/>
          <w:color w:val="auto"/>
        </w:rPr>
      </w:pPr>
    </w:p>
    <w:p>
      <w:pPr>
        <w:jc w:val="both"/>
        <w:ind w:left="1292" w:hanging="644"/>
        <w:spacing w:after="0" w:line="278" w:lineRule="auto"/>
        <w:tabs>
          <w:tab w:leader="none" w:pos="1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on the part of the Company in the performance or observation of any other term, covenant or agreement on its part in the Notes or in the Fiscal and Paying Agency Agreement, which continues for a period of 30 days after the date on which written notice, by registered or certified mail, of such failure requiring the Company to remedy the same shall have been received by the Company from the Noteholders of at least 25% in aggregate principal amount of the Notes then outstanding, specifying such failure and requiring the same to be remedied and stating that such is a "notice of default" hereunder; or</w:t>
      </w:r>
    </w:p>
    <w:p>
      <w:pPr>
        <w:spacing w:after="0" w:line="111"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fails to fulfill within 30 days from its due date, as extended by any applicable grace or cure period, any payment obligation under any existing Debt (as defined in Clause 11 below) except if the aggregate amount of all such Debt would not exceed 10% of Consolidated Net Assets (as defined in Clause 11 below) of the Company; or</w:t>
      </w:r>
    </w:p>
    <w:p>
      <w:pPr>
        <w:spacing w:after="0" w:line="116" w:lineRule="exact"/>
        <w:rPr>
          <w:rFonts w:ascii="Arial" w:cs="Arial" w:eastAsia="Arial" w:hAnsi="Arial"/>
          <w:sz w:val="19"/>
          <w:szCs w:val="19"/>
          <w:color w:val="auto"/>
        </w:rPr>
      </w:pPr>
    </w:p>
    <w:p>
      <w:pPr>
        <w:jc w:val="both"/>
        <w:ind w:left="1292" w:hanging="644"/>
        <w:spacing w:after="0" w:line="244" w:lineRule="auto"/>
        <w:tabs>
          <w:tab w:leader="none" w:pos="1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decree or order of a court or agency or supervisory authority having jurisdiction in the premises for the appointment of a conservator or receiver or liquidator in any insolvency proceedings, readjustment of debt, marshaling of assets and liabilities or similar proceedings of the Company or of all or substantially all of its property, or for the winding-up or liquidation of its affairs, shall have been entered, and such decree or order shall have remained in force undischarged or unstayed for a period of 60 days; or</w:t>
      </w:r>
    </w:p>
    <w:p>
      <w:pPr>
        <w:spacing w:after="0" w:line="140" w:lineRule="exact"/>
        <w:rPr>
          <w:rFonts w:ascii="Arial" w:cs="Arial" w:eastAsia="Arial" w:hAnsi="Arial"/>
          <w:sz w:val="20"/>
          <w:szCs w:val="20"/>
          <w:color w:val="auto"/>
        </w:rPr>
      </w:pPr>
    </w:p>
    <w:p>
      <w:pPr>
        <w:jc w:val="both"/>
        <w:ind w:left="1292" w:hanging="644"/>
        <w:spacing w:after="0" w:line="250" w:lineRule="auto"/>
        <w:tabs>
          <w:tab w:leader="none" w:pos="1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shall have consented to the appointment of a conservator or receiver or liquidator, in any insolvency, readjustment of debt, marshaling of assets and liabilities or similar proceedings of the Company or of all or substantially all of its property; or</w:t>
      </w:r>
    </w:p>
    <w:p>
      <w:pPr>
        <w:spacing w:after="0" w:line="132" w:lineRule="exact"/>
        <w:rPr>
          <w:rFonts w:ascii="Arial" w:cs="Arial" w:eastAsia="Arial" w:hAnsi="Arial"/>
          <w:sz w:val="20"/>
          <w:szCs w:val="20"/>
          <w:color w:val="auto"/>
        </w:rPr>
      </w:pPr>
    </w:p>
    <w:p>
      <w:pPr>
        <w:ind w:left="1292" w:hanging="644"/>
        <w:spacing w:after="0" w:line="260" w:lineRule="auto"/>
        <w:tabs>
          <w:tab w:leader="none" w:pos="1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shall have filed a petition to take advantage of any applicable insolvency or reorganization statute or voluntarily generally suspended payment of its obligations; or</w:t>
      </w:r>
    </w:p>
    <w:p>
      <w:pPr>
        <w:spacing w:after="0" w:line="122" w:lineRule="exact"/>
        <w:rPr>
          <w:rFonts w:ascii="Arial" w:cs="Arial" w:eastAsia="Arial" w:hAnsi="Arial"/>
          <w:sz w:val="20"/>
          <w:szCs w:val="20"/>
          <w:color w:val="auto"/>
        </w:rPr>
      </w:pPr>
    </w:p>
    <w:p>
      <w:pPr>
        <w:ind w:left="1292" w:hanging="644"/>
        <w:spacing w:after="0" w:line="260" w:lineRule="auto"/>
        <w:tabs>
          <w:tab w:leader="none" w:pos="1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failure to provide a notice to Noteholders in the event of a Change in Control Triggering Event or failure to make the Change of Control Payment.</w:t>
      </w:r>
    </w:p>
    <w:p>
      <w:pPr>
        <w:spacing w:after="0" w:line="388"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28</w:t>
            </w:r>
          </w:p>
        </w:tc>
      </w:tr>
    </w:tbl>
    <w:p>
      <w:pPr>
        <w:sectPr>
          <w:pgSz w:w="11900" w:h="16838" w:orient="portrait"/>
          <w:cols w:equalWidth="0" w:num="1">
            <w:col w:w="11412"/>
          </w:cols>
          <w:pgMar w:left="248" w:top="838" w:right="239" w:bottom="1440" w:gutter="0" w:footer="0" w:header="0"/>
        </w:sectPr>
      </w:pPr>
    </w:p>
    <w:bookmarkStart w:id="35" w:name="page36"/>
    <w:bookmarkEnd w:id="35"/>
    <w:p>
      <w:pPr>
        <w:jc w:val="both"/>
        <w:ind w:left="652" w:hanging="647"/>
        <w:spacing w:after="0" w:line="301" w:lineRule="auto"/>
        <w:tabs>
          <w:tab w:leader="none" w:pos="632"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In case one or more of the Events of Default specified above shall have occurred and be continuing with respect to the Notes, any Noteholder, by written notice to the Company and the Fiscal Agent, may identify the applicable Event or Events of Default, declare the principal of its Note or Notes, together with accrued interest and additional amounts, if any, to be due and payable immediately, whereupon such amounts shall become due and payable immediately, unless prior to the receipt of such notice by the Company all such Events of Default have been cured. In case a Noteholder shall have proceeded to enforce any right as set forth herein and such proceedings shall have been discontinued or abandoned for any reason or shall have been determined adversely to such Noteholder, then and in every such case the Company and such Noteholder shall be restored to their respective several positions and rights hereunder, and all rights, remedies and powers of the Company and such Noteholder shall continue as though no such proceeding had been taken. Upon any such declaration being made, interest shall continue to accrue on the Note or Notes affected by such declaration until the Notes shall be paid in full or until the seventh day after the date upon which notice is duly given to the applicable Noteholders in accordance with the provisions of Clause 17 below that the principal amount of such Notes together with accrued interest and additional amounts thereon have been duly paid in full to the Fiscal Agent (provided that sufficient funds have actually been received and are available for such purpose), whichever is earlier.</w:t>
      </w:r>
    </w:p>
    <w:p>
      <w:pPr>
        <w:spacing w:after="0" w:line="177" w:lineRule="exact"/>
        <w:rPr>
          <w:sz w:val="20"/>
          <w:szCs w:val="20"/>
          <w:color w:val="auto"/>
        </w:rPr>
      </w:pPr>
    </w:p>
    <w:p>
      <w:pPr>
        <w:jc w:val="both"/>
        <w:ind w:left="652" w:hanging="647"/>
        <w:spacing w:after="0" w:line="274" w:lineRule="auto"/>
        <w:tabs>
          <w:tab w:leader="none" w:pos="632" w:val="left"/>
        </w:tabs>
        <w:rPr>
          <w:sz w:val="20"/>
          <w:szCs w:val="20"/>
          <w:color w:val="auto"/>
        </w:rPr>
      </w:pPr>
      <w:r>
        <w:rPr>
          <w:rFonts w:ascii="Arial" w:cs="Arial" w:eastAsia="Arial" w:hAnsi="Arial"/>
          <w:sz w:val="20"/>
          <w:szCs w:val="20"/>
          <w:color w:val="auto"/>
        </w:rPr>
        <w:t>10.3</w:t>
        <w:tab/>
        <w:t>The Noteholder of this Note shall be entitled to file such proof of claim, amendment of proof of claim, claim, petition or other document as may be necessary or advisable in order to have the claims of such Noteholder allowed in any insolvency proceedings, receivership, conservatorship, reorganization, readjustment of debt, marshaling of assets and liabilities, liquidation, winding-up or other similar proceedings of the Company as a whole or affecting its property.</w:t>
      </w:r>
    </w:p>
    <w:p>
      <w:pPr>
        <w:spacing w:after="0" w:line="186"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p>
    <w:p>
      <w:pPr>
        <w:spacing w:after="0" w:line="249" w:lineRule="exact"/>
        <w:rPr>
          <w:sz w:val="20"/>
          <w:szCs w:val="20"/>
          <w:color w:val="auto"/>
        </w:rPr>
      </w:pPr>
    </w:p>
    <w:p>
      <w:pPr>
        <w:jc w:val="both"/>
        <w:ind w:left="652" w:hanging="647"/>
        <w:spacing w:after="0" w:line="301" w:lineRule="auto"/>
        <w:tabs>
          <w:tab w:leader="none" w:pos="632"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Except as permitted under the Amended and Restated Five-Year Credit Agreement dated as of October 15, 2013, among the Company, as Borrower, and the initial lenders therein and Citibank, N.A. as Administrative Agent, as may be further amended, restated, modified, renewed, refunded, replaced or refinanced in whole or in part, on an unsecured basis, from time to time, the Company will not pledge, mortgage, encumber or otherwise grant, or permit any of its Subsidiaries to pledge, mortgage, encumber or otherwise grant, a security interest in any properties or assets owned by the Company or any of its Subsidiaries to secure Debt without securing the Notes equally and ratably with all Debt secured by such security interest, unless, after giving effect thereto, the aggregate amount of all such other Debt would not exceed 10% of Consolidated Net Assets of the Company (</w:t>
      </w:r>
      <w:r>
        <w:rPr>
          <w:rFonts w:ascii="Arial" w:cs="Arial" w:eastAsia="Arial" w:hAnsi="Arial"/>
          <w:sz w:val="18"/>
          <w:szCs w:val="18"/>
          <w:b w:val="1"/>
          <w:bCs w:val="1"/>
          <w:color w:val="auto"/>
        </w:rPr>
        <w:t>Excluded Debt</w:t>
      </w:r>
      <w:r>
        <w:rPr>
          <w:rFonts w:ascii="Arial" w:cs="Arial" w:eastAsia="Arial" w:hAnsi="Arial"/>
          <w:sz w:val="18"/>
          <w:szCs w:val="18"/>
          <w:color w:val="auto"/>
        </w:rPr>
        <w:t xml:space="preserve">). The term </w:t>
      </w:r>
      <w:r>
        <w:rPr>
          <w:rFonts w:ascii="Arial" w:cs="Arial" w:eastAsia="Arial" w:hAnsi="Arial"/>
          <w:sz w:val="18"/>
          <w:szCs w:val="18"/>
          <w:b w:val="1"/>
          <w:bCs w:val="1"/>
          <w:color w:val="auto"/>
        </w:rPr>
        <w:t>Debt</w:t>
      </w:r>
      <w:r>
        <w:rPr>
          <w:rFonts w:ascii="Arial" w:cs="Arial" w:eastAsia="Arial" w:hAnsi="Arial"/>
          <w:sz w:val="18"/>
          <w:szCs w:val="18"/>
          <w:color w:val="auto"/>
        </w:rPr>
        <w:t xml:space="preserve"> means indebtedness for money borrowed or evidenced by bonds, notes, debentures or other debt securities and which is reflected as a liability on the consolidated balance sheet, at the date of issuance, of the Company and its Subsidiaries in accordance with generally accepted accounting principles as in effect in the United States on the date hereof. The term </w:t>
      </w:r>
      <w:r>
        <w:rPr>
          <w:rFonts w:ascii="Arial" w:cs="Arial" w:eastAsia="Arial" w:hAnsi="Arial"/>
          <w:sz w:val="18"/>
          <w:szCs w:val="18"/>
          <w:b w:val="1"/>
          <w:bCs w:val="1"/>
          <w:color w:val="auto"/>
        </w:rPr>
        <w:t>Consolidated Net Assets</w:t>
      </w:r>
      <w:r>
        <w:rPr>
          <w:rFonts w:ascii="Arial" w:cs="Arial" w:eastAsia="Arial" w:hAnsi="Arial"/>
          <w:sz w:val="18"/>
          <w:szCs w:val="18"/>
          <w:color w:val="auto"/>
        </w:rPr>
        <w:t xml:space="preserve"> means the total assets appearing on the most recently prepared consolidated balance sheet of the Company and its Subsidiaries as at the end of the fiscal quarter of the Company, prepared in accordance with generally accepted accounting principles in the United States, less all current liabilities (due within one year) as shown on such balance sheet.</w:t>
      </w:r>
    </w:p>
    <w:p>
      <w:pPr>
        <w:spacing w:after="0" w:line="177" w:lineRule="exact"/>
        <w:rPr>
          <w:sz w:val="20"/>
          <w:szCs w:val="20"/>
          <w:color w:val="auto"/>
        </w:rPr>
      </w:pPr>
    </w:p>
    <w:p>
      <w:pPr>
        <w:jc w:val="both"/>
        <w:ind w:left="652" w:hanging="647"/>
        <w:spacing w:after="0" w:line="310" w:lineRule="auto"/>
        <w:tabs>
          <w:tab w:leader="none" w:pos="632"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Sale and leaseback transactions by the Company or any Subsidiary of any Principal Property (as defined below) (except for temporary leases for a term of not more than three years and except for leases between the Company and a Subsidiary or between Subsidiaries) are prohibited unless (a) the Company or such Subsidiary would be entitled to issue, assume or guarantee Debt secured by the property involved at least equal in amount to the Attributable Debt (as defined below) in respect of such transaction without equally and ratably securing the Notes (provided that such Attributable Debt shall thereupon be deemed to be Debt</w:t>
      </w:r>
    </w:p>
    <w:p>
      <w:pPr>
        <w:spacing w:after="0" w:line="359"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29</w:t>
            </w:r>
          </w:p>
        </w:tc>
      </w:tr>
    </w:tbl>
    <w:p>
      <w:pPr>
        <w:sectPr>
          <w:pgSz w:w="11900" w:h="16838" w:orient="portrait"/>
          <w:cols w:equalWidth="0" w:num="1">
            <w:col w:w="11412"/>
          </w:cols>
          <w:pgMar w:left="248" w:top="825" w:right="239" w:bottom="1440" w:gutter="0" w:footer="0" w:header="0"/>
        </w:sectPr>
      </w:pPr>
    </w:p>
    <w:bookmarkStart w:id="36" w:name="page37"/>
    <w:bookmarkEnd w:id="36"/>
    <w:p>
      <w:pPr>
        <w:jc w:val="both"/>
        <w:ind w:left="652"/>
        <w:spacing w:after="0" w:line="265" w:lineRule="exact"/>
        <w:rPr>
          <w:sz w:val="20"/>
          <w:szCs w:val="20"/>
          <w:color w:val="auto"/>
        </w:rPr>
      </w:pPr>
      <w:r>
        <w:rPr>
          <w:rFonts w:ascii="Arial" w:cs="Arial" w:eastAsia="Arial" w:hAnsi="Arial"/>
          <w:sz w:val="20"/>
          <w:szCs w:val="20"/>
          <w:color w:val="auto"/>
        </w:rPr>
        <w:t>subject to the provisions of the preceding paragraph) or (b) an amount in cash equal to such Attributable Debt is applied to the retirement (other than any mandatory retirement) of long-term non</w:t>
      </w:r>
      <w:r>
        <w:rPr>
          <w:rFonts w:ascii="MS PGothic" w:cs="MS PGothic" w:eastAsia="MS PGothic" w:hAnsi="MS PGothic"/>
          <w:sz w:val="20"/>
          <w:szCs w:val="20"/>
          <w:color w:val="auto"/>
        </w:rPr>
        <w:t>‑</w:t>
      </w:r>
      <w:r>
        <w:rPr>
          <w:rFonts w:ascii="Arial" w:cs="Arial" w:eastAsia="Arial" w:hAnsi="Arial"/>
          <w:sz w:val="20"/>
          <w:szCs w:val="20"/>
          <w:color w:val="auto"/>
        </w:rPr>
        <w:t xml:space="preserve">subordinated Debt of the Company or long-term Debt of a Subsidiary. </w:t>
      </w:r>
      <w:r>
        <w:rPr>
          <w:rFonts w:ascii="Arial" w:cs="Arial" w:eastAsia="Arial" w:hAnsi="Arial"/>
          <w:sz w:val="20"/>
          <w:szCs w:val="20"/>
          <w:b w:val="1"/>
          <w:bCs w:val="1"/>
          <w:color w:val="auto"/>
        </w:rPr>
        <w:t>Attributable Debt</w:t>
      </w:r>
      <w:r>
        <w:rPr>
          <w:rFonts w:ascii="Arial" w:cs="Arial" w:eastAsia="Arial" w:hAnsi="Arial"/>
          <w:sz w:val="20"/>
          <w:szCs w:val="20"/>
          <w:color w:val="auto"/>
        </w:rPr>
        <w:t xml:space="preserve"> means the present value (discounted at an appropriate rate) of the obligation of a lessee for rental payments during the remaining term of any lease.</w:t>
      </w:r>
    </w:p>
    <w:p>
      <w:pPr>
        <w:spacing w:after="0" w:line="219" w:lineRule="exact"/>
        <w:rPr>
          <w:sz w:val="20"/>
          <w:szCs w:val="20"/>
          <w:color w:val="auto"/>
        </w:rPr>
      </w:pPr>
    </w:p>
    <w:p>
      <w:pPr>
        <w:jc w:val="both"/>
        <w:ind w:left="652" w:hanging="647"/>
        <w:spacing w:after="0" w:line="305" w:lineRule="auto"/>
        <w:tabs>
          <w:tab w:leader="none" w:pos="632"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 xml:space="preserve">The term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corporation, association, or other business entity which is consolidated in the Company's accounts and any corporation, association, or other business entity of which at least a majority of the outstanding stock or ownership units having voting power under ordinary circumstances to elect a majority of the board of directors, managers or trustees or equivalents thereof of said corporation, association, or other business entity shall at the time be owned by the Company or by the Company and one or more Subsidiaries or by one or more Subsidiaries. The term </w:t>
      </w:r>
      <w:r>
        <w:rPr>
          <w:rFonts w:ascii="Arial" w:cs="Arial" w:eastAsia="Arial" w:hAnsi="Arial"/>
          <w:sz w:val="18"/>
          <w:szCs w:val="18"/>
          <w:b w:val="1"/>
          <w:bCs w:val="1"/>
          <w:color w:val="auto"/>
        </w:rPr>
        <w:t>Principal Property</w:t>
      </w:r>
      <w:r>
        <w:rPr>
          <w:rFonts w:ascii="Arial" w:cs="Arial" w:eastAsia="Arial" w:hAnsi="Arial"/>
          <w:sz w:val="18"/>
          <w:szCs w:val="18"/>
          <w:color w:val="auto"/>
        </w:rPr>
        <w:t xml:space="preserve"> means any office or facility which is owned by the Company or any Subsidiary, unless the Board of Directors of the Company (or any duly authorized committee thereof) by resolution declares that such office or facility, together with all other office and facilities previously so declared, is not of material importance to the total business conducted by the Company and its Subsidiaries as an entirety.</w:t>
      </w:r>
    </w:p>
    <w:p>
      <w:pPr>
        <w:spacing w:after="0" w:line="165"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CONTROL</w:t>
      </w:r>
    </w:p>
    <w:p>
      <w:pPr>
        <w:spacing w:after="0" w:line="248" w:lineRule="exact"/>
        <w:rPr>
          <w:rFonts w:ascii="Arial" w:cs="Arial" w:eastAsia="Arial" w:hAnsi="Arial"/>
          <w:sz w:val="20"/>
          <w:szCs w:val="20"/>
          <w:b w:val="1"/>
          <w:bCs w:val="1"/>
          <w:color w:val="auto"/>
        </w:rPr>
      </w:pPr>
    </w:p>
    <w:p>
      <w:pPr>
        <w:jc w:val="both"/>
        <w:ind w:left="652"/>
        <w:spacing w:after="0" w:line="363" w:lineRule="auto"/>
        <w:rPr>
          <w:rFonts w:ascii="Arial" w:cs="Arial" w:eastAsia="Arial" w:hAnsi="Arial"/>
          <w:sz w:val="20"/>
          <w:szCs w:val="20"/>
          <w:b w:val="1"/>
          <w:bCs w:val="1"/>
          <w:color w:val="auto"/>
        </w:rPr>
      </w:pPr>
      <w:r>
        <w:rPr>
          <w:rFonts w:ascii="Arial" w:cs="Arial" w:eastAsia="Arial" w:hAnsi="Arial"/>
          <w:sz w:val="16"/>
          <w:szCs w:val="16"/>
          <w:color w:val="auto"/>
        </w:rPr>
        <w:t>Upon the occurrence of a Change of Control Triggering Event, the Company will offer to repurchase all outstanding Notes at a purchase price in cash equal to 101% of the aggregate principal amount of the Notes repurchased plus accrued and unpaid interest on the Notes repurchased to the date of purchase (subject to the right of the Noteholders of record on the relevant record date to receive interest due on the relevant interest payment date) as provided in, and subject to the terms of, the Fiscal and Paying Agency Agreement.</w:t>
      </w:r>
    </w:p>
    <w:p>
      <w:pPr>
        <w:spacing w:after="0" w:line="123" w:lineRule="exact"/>
        <w:rPr>
          <w:rFonts w:ascii="Arial" w:cs="Arial" w:eastAsia="Arial" w:hAnsi="Arial"/>
          <w:sz w:val="20"/>
          <w:szCs w:val="20"/>
          <w:b w:val="1"/>
          <w:bCs w:val="1"/>
          <w:color w:val="auto"/>
        </w:rPr>
      </w:pPr>
    </w:p>
    <w:p>
      <w:pPr>
        <w:ind w:left="652" w:hanging="652"/>
        <w:spacing w:after="0"/>
        <w:tabs>
          <w:tab w:leader="none" w:pos="65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REPLACEMENT, EXCHANGE AND TRANSFER OF NOTES</w:t>
      </w:r>
    </w:p>
    <w:p>
      <w:pPr>
        <w:spacing w:after="0" w:line="248" w:lineRule="exact"/>
        <w:rPr>
          <w:rFonts w:ascii="Arial" w:cs="Arial" w:eastAsia="Arial" w:hAnsi="Arial"/>
          <w:sz w:val="20"/>
          <w:szCs w:val="20"/>
          <w:b w:val="1"/>
          <w:bCs w:val="1"/>
          <w:color w:val="auto"/>
        </w:rPr>
      </w:pPr>
    </w:p>
    <w:p>
      <w:pPr>
        <w:jc w:val="both"/>
        <w:ind w:left="652"/>
        <w:spacing w:after="0" w:line="345" w:lineRule="auto"/>
        <w:rPr>
          <w:rFonts w:ascii="Arial" w:cs="Arial" w:eastAsia="Arial" w:hAnsi="Arial"/>
          <w:sz w:val="20"/>
          <w:szCs w:val="20"/>
          <w:b w:val="1"/>
          <w:bCs w:val="1"/>
          <w:color w:val="auto"/>
        </w:rPr>
      </w:pPr>
      <w:r>
        <w:rPr>
          <w:rFonts w:ascii="Arial" w:cs="Arial" w:eastAsia="Arial" w:hAnsi="Arial"/>
          <w:sz w:val="16"/>
          <w:szCs w:val="16"/>
          <w:color w:val="auto"/>
        </w:rPr>
        <w:t>In case any Note shall become mutilated, defaced or be apparently destroyed, lost or stolen, the Company in its discretion may execute, and, upon the written request of the Company, the Fiscal Agent shall authenticate and deliver, all at the expense of the Noteholder, a new Note bearing a number not contemporaneously outstanding, in exchange and substitution for the mutilated or defaced Note (and upon surrender thereof, or in lieu of and in substitution for the apparently destroyed, lost or stolen Note). In every case the applicant for a substitute Note shall furnish to the Company and to the Fiscal Agent such security or indemnity as may be required by them to indemnify and defend and to hold each of them and any agent of the Company or the Fiscal Agent harmless and, in every case of destruction, loss or theft evidence to their satisfaction of the apparent destruction, loss or theft of such Note and of the ownership thereof. Upon the issuance of any substitute Note, the Company may require the payment of a sum sufficient to cover any tax or other governmental or insurance charge that may be imposed in relation thereto and any other expenses (including the fees and expenses of the Fiscal Agent) connected therewith. Mutilated or defaced Notes must be surrendered before a replacement will be issued.</w:t>
      </w:r>
    </w:p>
    <w:p>
      <w:pPr>
        <w:spacing w:after="0" w:line="395" w:lineRule="exact"/>
        <w:rPr>
          <w:rFonts w:ascii="Arial" w:cs="Arial" w:eastAsia="Arial" w:hAnsi="Arial"/>
          <w:sz w:val="20"/>
          <w:szCs w:val="20"/>
          <w:b w:val="1"/>
          <w:bCs w:val="1"/>
          <w:color w:val="auto"/>
        </w:rPr>
      </w:pPr>
    </w:p>
    <w:p>
      <w:pPr>
        <w:ind w:left="652" w:hanging="652"/>
        <w:spacing w:after="0"/>
        <w:tabs>
          <w:tab w:leader="none" w:pos="65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MODIFICATIONS AND AMENDMENTS; WAIVER</w:t>
      </w:r>
    </w:p>
    <w:p>
      <w:pPr>
        <w:spacing w:after="0" w:line="249" w:lineRule="exact"/>
        <w:rPr>
          <w:sz w:val="20"/>
          <w:szCs w:val="20"/>
          <w:color w:val="auto"/>
        </w:rPr>
      </w:pPr>
    </w:p>
    <w:p>
      <w:pPr>
        <w:jc w:val="both"/>
        <w:ind w:left="652" w:hanging="647"/>
        <w:spacing w:after="0" w:line="274" w:lineRule="auto"/>
        <w:tabs>
          <w:tab w:leader="none" w:pos="632" w:val="left"/>
        </w:tabs>
        <w:rPr>
          <w:sz w:val="20"/>
          <w:szCs w:val="20"/>
          <w:color w:val="auto"/>
        </w:rPr>
      </w:pPr>
      <w:r>
        <w:rPr>
          <w:rFonts w:ascii="Arial" w:cs="Arial" w:eastAsia="Arial" w:hAnsi="Arial"/>
          <w:sz w:val="20"/>
          <w:szCs w:val="20"/>
          <w:color w:val="auto"/>
        </w:rPr>
        <w:t>14.1</w:t>
        <w:tab/>
        <w:t>The Fiscal and Paying Agency Agreement or the terms and conditions of the Notes may be amended by the Company and the Fiscal Agent, without the consent of the Noteholder of any Note, for the purposes of curing any ambiguity, or of curing, correcting or supplementing any defective provisions contained therein or herein or for any other purpose which the Company and the Fiscal Agent may deem necessary</w:t>
      </w:r>
    </w:p>
    <w:p>
      <w:pPr>
        <w:spacing w:after="0" w:line="389"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30</w:t>
            </w:r>
          </w:p>
        </w:tc>
      </w:tr>
    </w:tbl>
    <w:p>
      <w:pPr>
        <w:sectPr>
          <w:pgSz w:w="11900" w:h="16838" w:orient="portrait"/>
          <w:cols w:equalWidth="0" w:num="1">
            <w:col w:w="11412"/>
          </w:cols>
          <w:pgMar w:left="248" w:top="838" w:right="239" w:bottom="1440" w:gutter="0" w:footer="0" w:header="0"/>
        </w:sectPr>
      </w:pPr>
    </w:p>
    <w:bookmarkStart w:id="37" w:name="page38"/>
    <w:bookmarkEnd w:id="37"/>
    <w:p>
      <w:pPr>
        <w:ind w:left="652"/>
        <w:spacing w:after="0" w:line="303" w:lineRule="auto"/>
        <w:rPr>
          <w:sz w:val="20"/>
          <w:szCs w:val="20"/>
          <w:color w:val="auto"/>
        </w:rPr>
      </w:pPr>
      <w:r>
        <w:rPr>
          <w:rFonts w:ascii="Arial" w:cs="Arial" w:eastAsia="Arial" w:hAnsi="Arial"/>
          <w:sz w:val="20"/>
          <w:szCs w:val="20"/>
          <w:color w:val="auto"/>
        </w:rPr>
        <w:t>or desirable and which will not be inconsistent with the Notes and which will not adversely affect the interests of the Noteholders, in the sole opinion of the Company.</w:t>
      </w:r>
    </w:p>
    <w:p>
      <w:pPr>
        <w:spacing w:after="0" w:line="162" w:lineRule="exact"/>
        <w:rPr>
          <w:sz w:val="20"/>
          <w:szCs w:val="20"/>
          <w:color w:val="auto"/>
        </w:rPr>
      </w:pPr>
    </w:p>
    <w:p>
      <w:pPr>
        <w:jc w:val="both"/>
        <w:ind w:left="652" w:hanging="647"/>
        <w:spacing w:after="0" w:line="289" w:lineRule="auto"/>
        <w:tabs>
          <w:tab w:leader="none" w:pos="632" w:val="left"/>
        </w:tabs>
        <w:rPr>
          <w:sz w:val="20"/>
          <w:szCs w:val="20"/>
          <w:color w:val="auto"/>
        </w:rPr>
      </w:pPr>
      <w:r>
        <w:rPr>
          <w:rFonts w:ascii="Arial" w:cs="Arial" w:eastAsia="Arial" w:hAnsi="Arial"/>
          <w:sz w:val="20"/>
          <w:szCs w:val="20"/>
          <w:color w:val="auto"/>
        </w:rPr>
        <w:t>14.2</w:t>
        <w:tab/>
        <w:t>The terms of Schedule 2 of the Fiscal and Paying Agency Agreement for meetings or actions of Noteholders, including the modification of any provisions of the Notes, are incorporated herein.</w:t>
      </w:r>
    </w:p>
    <w:p>
      <w:pPr>
        <w:spacing w:after="0" w:line="175" w:lineRule="exact"/>
        <w:rPr>
          <w:sz w:val="20"/>
          <w:szCs w:val="20"/>
          <w:color w:val="auto"/>
        </w:rPr>
      </w:pPr>
    </w:p>
    <w:p>
      <w:pPr>
        <w:jc w:val="both"/>
        <w:ind w:left="652" w:hanging="647"/>
        <w:spacing w:after="0" w:line="322" w:lineRule="auto"/>
        <w:tabs>
          <w:tab w:leader="none" w:pos="632"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color w:val="auto"/>
        </w:rPr>
        <w:t>No provision of this Note shall alter or impair the obligation of the Company, which is absolute and unconditional, to pay the principal of and interest on this Note at the places, at the respective times, at the rate and in the coin or currency herein prescribed, subject only to the provisions for the modifications set forth in Schedule 2 of the Fiscal and Paying Agency Agreement.</w:t>
      </w:r>
    </w:p>
    <w:p>
      <w:pPr>
        <w:spacing w:after="0" w:line="147"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NON-BUSINESS DAY</w:t>
      </w:r>
    </w:p>
    <w:p>
      <w:pPr>
        <w:spacing w:after="0" w:line="248" w:lineRule="exact"/>
        <w:rPr>
          <w:rFonts w:ascii="Arial" w:cs="Arial" w:eastAsia="Arial" w:hAnsi="Arial"/>
          <w:sz w:val="20"/>
          <w:szCs w:val="20"/>
          <w:b w:val="1"/>
          <w:bCs w:val="1"/>
          <w:color w:val="auto"/>
        </w:rPr>
      </w:pPr>
    </w:p>
    <w:p>
      <w:pPr>
        <w:jc w:val="both"/>
        <w:ind w:left="652"/>
        <w:spacing w:after="0" w:line="272" w:lineRule="auto"/>
        <w:rPr>
          <w:rFonts w:ascii="Arial" w:cs="Arial" w:eastAsia="Arial" w:hAnsi="Arial"/>
          <w:sz w:val="20"/>
          <w:szCs w:val="20"/>
          <w:b w:val="1"/>
          <w:bCs w:val="1"/>
          <w:color w:val="auto"/>
        </w:rPr>
      </w:pPr>
      <w:r>
        <w:rPr>
          <w:rFonts w:ascii="Arial" w:cs="Arial" w:eastAsia="Arial" w:hAnsi="Arial"/>
          <w:sz w:val="20"/>
          <w:szCs w:val="20"/>
          <w:color w:val="auto"/>
        </w:rPr>
        <w:t xml:space="preserve">If the date for payment on any Note is not a business day, then the Noteholder thereof shall not be entitled to payment of the amount due until the next following business day nor to any further interest or other payment in respect of such delay. For these purposes, </w:t>
      </w: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in respect of any place of presentation, any day on which banks are open for presentation and payment of bearer</w:t>
      </w:r>
      <w:r>
        <w:rPr>
          <w:rFonts w:ascii="Arial" w:cs="Arial" w:eastAsia="Arial" w:hAnsi="Arial"/>
          <w:sz w:val="20"/>
          <w:szCs w:val="20"/>
          <w:b w:val="1"/>
          <w:bCs w:val="1"/>
          <w:color w:val="auto"/>
        </w:rPr>
        <w:t xml:space="preserve"> </w:t>
      </w:r>
      <w:r>
        <w:rPr>
          <w:rFonts w:ascii="Arial" w:cs="Arial" w:eastAsia="Arial" w:hAnsi="Arial"/>
          <w:sz w:val="20"/>
          <w:szCs w:val="20"/>
          <w:color w:val="auto"/>
        </w:rPr>
        <w:t>debt securities and for dealings in foreign currencies in such place of presentation and, in the case of payment by transfer to a euro account, on which the Trans-European Automated Real-Time Gross Settlement Express Transfer (TARGET2) System, or any successor system thereof, is operating.</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FISCAL AGENT</w:t>
      </w:r>
    </w:p>
    <w:p>
      <w:pPr>
        <w:spacing w:after="0" w:line="248" w:lineRule="exact"/>
        <w:rPr>
          <w:rFonts w:ascii="Arial" w:cs="Arial" w:eastAsia="Arial" w:hAnsi="Arial"/>
          <w:sz w:val="20"/>
          <w:szCs w:val="20"/>
          <w:b w:val="1"/>
          <w:bCs w:val="1"/>
          <w:color w:val="auto"/>
        </w:rPr>
      </w:pPr>
    </w:p>
    <w:p>
      <w:pPr>
        <w:jc w:val="both"/>
        <w:ind w:left="652"/>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In acting under the Fiscal and Paying Agency Agreement and in connection with the Notes, the Fiscal Agent is acting solely as agent of the Company and does not assume any obligation towards or relationship of agency or trust for or with the Noteholders, except that any funds held by the Fiscal Agent for payment of principal of or interest on, or Additional Amounts with respect to, any Note shall be held in trust by it and applied as set forth herein, but need not be segregated from other funds held by it, except as required by law. For a description of the duties and the immunities and rights of the Fiscal Agent under the Fiscal and Paying Agency Agreement, reference is made to the Fiscal and Paying Agency Agreement, and the obligations of the Fiscal Agent to the Noteholders of the Notes are subject to such immunities and rights.</w:t>
      </w:r>
    </w:p>
    <w:p>
      <w:pPr>
        <w:spacing w:after="0" w:line="177" w:lineRule="exact"/>
        <w:rPr>
          <w:rFonts w:ascii="Arial" w:cs="Arial" w:eastAsia="Arial" w:hAnsi="Arial"/>
          <w:sz w:val="20"/>
          <w:szCs w:val="20"/>
          <w:b w:val="1"/>
          <w:bCs w:val="1"/>
          <w:color w:val="auto"/>
        </w:rPr>
      </w:pPr>
    </w:p>
    <w:p>
      <w:pPr>
        <w:ind w:left="652" w:hanging="652"/>
        <w:spacing w:after="0"/>
        <w:tabs>
          <w:tab w:leader="none" w:pos="652"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49" w:lineRule="exact"/>
        <w:rPr>
          <w:sz w:val="20"/>
          <w:szCs w:val="20"/>
          <w:color w:val="auto"/>
        </w:rPr>
      </w:pPr>
    </w:p>
    <w:p>
      <w:pPr>
        <w:jc w:val="both"/>
        <w:ind w:left="652" w:hanging="647"/>
        <w:spacing w:after="0" w:line="271" w:lineRule="auto"/>
        <w:tabs>
          <w:tab w:leader="none" w:pos="632" w:val="left"/>
        </w:tabs>
        <w:rPr>
          <w:sz w:val="20"/>
          <w:szCs w:val="20"/>
          <w:color w:val="auto"/>
        </w:rPr>
      </w:pPr>
      <w:r>
        <w:rPr>
          <w:rFonts w:ascii="Arial" w:cs="Arial" w:eastAsia="Arial" w:hAnsi="Arial"/>
          <w:sz w:val="20"/>
          <w:szCs w:val="20"/>
          <w:color w:val="auto"/>
        </w:rPr>
        <w:t>17.1</w:t>
        <w:tab/>
        <w:t>While any Notes are represented by one or more Global Notes, all notices to Noteholders shall be delivered to Euroclear and Clearstream, as applicable, for communication to entitled account Noteholders. So long as the Notes are listed on the Official List of the Irish Stock Exchange and its rules so require, all notices to Noteholders will also be published by the Company by delivery to the Companies Announcement Office in Dublin. If publication as provided above is not practicable, notice will be given in such other manner, and shall be deemed to have been given on such date, as the Company may approve. In the case of Definitive Notes, notices will be mailed to Noteholders by first-class mail or other equivalent means at their respective addresses as they appear on the records of the Registrar.</w:t>
      </w:r>
    </w:p>
    <w:p>
      <w:pPr>
        <w:spacing w:after="0" w:line="194" w:lineRule="exact"/>
        <w:rPr>
          <w:sz w:val="20"/>
          <w:szCs w:val="20"/>
          <w:color w:val="auto"/>
        </w:rPr>
      </w:pPr>
    </w:p>
    <w:p>
      <w:pPr>
        <w:jc w:val="both"/>
        <w:ind w:left="652" w:hanging="647"/>
        <w:spacing w:after="0" w:line="289" w:lineRule="auto"/>
        <w:tabs>
          <w:tab w:leader="none" w:pos="632" w:val="left"/>
        </w:tabs>
        <w:rPr>
          <w:sz w:val="20"/>
          <w:szCs w:val="20"/>
          <w:color w:val="auto"/>
        </w:rPr>
      </w:pPr>
      <w:r>
        <w:rPr>
          <w:rFonts w:ascii="Arial" w:cs="Arial" w:eastAsia="Arial" w:hAnsi="Arial"/>
          <w:sz w:val="20"/>
          <w:szCs w:val="20"/>
          <w:color w:val="auto"/>
        </w:rPr>
        <w:t>17.2</w:t>
        <w:tab/>
        <w:t>If and so long as the Notes are listed on any other securities exchange, notices will also be given in accordance with any applicable requirements of such securities exchange.</w:t>
      </w:r>
    </w:p>
    <w:p>
      <w:pPr>
        <w:spacing w:after="0" w:line="175" w:lineRule="exact"/>
        <w:rPr>
          <w:sz w:val="20"/>
          <w:szCs w:val="20"/>
          <w:color w:val="auto"/>
        </w:rPr>
      </w:pPr>
    </w:p>
    <w:p>
      <w:pPr>
        <w:jc w:val="both"/>
        <w:ind w:left="652" w:hanging="647"/>
        <w:spacing w:after="0" w:line="278" w:lineRule="auto"/>
        <w:tabs>
          <w:tab w:leader="none" w:pos="632" w:val="left"/>
        </w:tabs>
        <w:rPr>
          <w:sz w:val="20"/>
          <w:szCs w:val="20"/>
          <w:color w:val="auto"/>
        </w:rPr>
      </w:pPr>
      <w:r>
        <w:rPr>
          <w:rFonts w:ascii="Arial" w:cs="Arial" w:eastAsia="Arial" w:hAnsi="Arial"/>
          <w:sz w:val="20"/>
          <w:szCs w:val="20"/>
          <w:color w:val="auto"/>
        </w:rPr>
        <w:t>17.3</w:t>
        <w:tab/>
        <w:t>Notices given by publication will be deemed given on the first date on which publication is made. Notices delivered to Euroclear and Clearstream will be deemed given on the date when delivered. Notices given by first-class mail or other equivalent means will be deemed given seven days after mailing whether or</w:t>
      </w:r>
    </w:p>
    <w:p>
      <w:pPr>
        <w:spacing w:after="0" w:line="384"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31</w:t>
            </w:r>
          </w:p>
        </w:tc>
      </w:tr>
    </w:tbl>
    <w:p>
      <w:pPr>
        <w:sectPr>
          <w:pgSz w:w="11900" w:h="16838" w:orient="portrait"/>
          <w:cols w:equalWidth="0" w:num="1">
            <w:col w:w="11412"/>
          </w:cols>
          <w:pgMar w:left="248" w:top="838" w:right="239" w:bottom="1440" w:gutter="0" w:footer="0" w:header="0"/>
        </w:sectPr>
      </w:pPr>
    </w:p>
    <w:bookmarkStart w:id="38" w:name="page39"/>
    <w:bookmarkEnd w:id="38"/>
    <w:p>
      <w:pPr>
        <w:ind w:left="652"/>
        <w:spacing w:after="0" w:line="303" w:lineRule="auto"/>
        <w:rPr>
          <w:sz w:val="20"/>
          <w:szCs w:val="20"/>
          <w:color w:val="auto"/>
        </w:rPr>
      </w:pPr>
      <w:r>
        <w:rPr>
          <w:rFonts w:ascii="Arial" w:cs="Arial" w:eastAsia="Arial" w:hAnsi="Arial"/>
          <w:sz w:val="20"/>
          <w:szCs w:val="20"/>
          <w:color w:val="auto"/>
        </w:rPr>
        <w:t>not the addressee receives any such notice. Failure to mail a notice or communication to a Noteholder or any defect in it shall not affect its sufficiency with respect to other Noteholders.</w:t>
      </w:r>
    </w:p>
    <w:p>
      <w:pPr>
        <w:spacing w:after="0" w:line="156"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FURTHER ISSUES OF NOTES</w:t>
      </w:r>
    </w:p>
    <w:p>
      <w:pPr>
        <w:spacing w:after="0" w:line="248" w:lineRule="exact"/>
        <w:rPr>
          <w:rFonts w:ascii="Arial" w:cs="Arial" w:eastAsia="Arial" w:hAnsi="Arial"/>
          <w:sz w:val="20"/>
          <w:szCs w:val="20"/>
          <w:b w:val="1"/>
          <w:bCs w:val="1"/>
          <w:color w:val="auto"/>
        </w:rPr>
      </w:pPr>
    </w:p>
    <w:p>
      <w:pPr>
        <w:jc w:val="both"/>
        <w:ind w:left="652"/>
        <w:spacing w:after="0" w:line="286" w:lineRule="auto"/>
        <w:rPr>
          <w:rFonts w:ascii="Arial" w:cs="Arial" w:eastAsia="Arial" w:hAnsi="Arial"/>
          <w:sz w:val="20"/>
          <w:szCs w:val="20"/>
          <w:b w:val="1"/>
          <w:bCs w:val="1"/>
          <w:color w:val="auto"/>
        </w:rPr>
      </w:pPr>
      <w:r>
        <w:rPr>
          <w:rFonts w:ascii="Arial" w:cs="Arial" w:eastAsia="Arial" w:hAnsi="Arial"/>
          <w:sz w:val="19"/>
          <w:szCs w:val="19"/>
          <w:color w:val="auto"/>
        </w:rPr>
        <w:t>The Company may from time to time without the consent of the Noteholders create and issue further securities having the same terms and conditions as the Notes in all respects (or in all respects except for the first payment or interest thereon) and so that such further issue shall be consolidated and form a single series with the outstanding securities of any series (including the Notes) or upon such terms as the Company may determine at the time of their issue, provided that the Company will not issue any additional Notes unless such additional Notes do not cause holders of Notes to become subject to any United States reporting obligation or any United States withholding tax which holders of Notes would otherwise not have been subject to had the Company not issued the further Notes. References herein to the Notes include (unless the context otherwise requires) any other securities issued pursuant to this clause and forming a single series with the Notes.</w:t>
      </w:r>
    </w:p>
    <w:p>
      <w:pPr>
        <w:spacing w:after="0" w:line="179" w:lineRule="exact"/>
        <w:rPr>
          <w:rFonts w:ascii="Arial" w:cs="Arial" w:eastAsia="Arial" w:hAnsi="Arial"/>
          <w:sz w:val="20"/>
          <w:szCs w:val="20"/>
          <w:b w:val="1"/>
          <w:bCs w:val="1"/>
          <w:color w:val="auto"/>
        </w:rPr>
      </w:pPr>
    </w:p>
    <w:p>
      <w:pPr>
        <w:ind w:left="652" w:hanging="652"/>
        <w:spacing w:after="0"/>
        <w:tabs>
          <w:tab w:leader="none" w:pos="65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9"/>
          <w:szCs w:val="19"/>
          <w:color w:val="auto"/>
        </w:rPr>
        <w:t>The Notes shall be construed in accordance with and governed by the laws of the State of New York, United States of America.</w:t>
      </w:r>
    </w:p>
    <w:p>
      <w:pPr>
        <w:spacing w:after="0" w:line="248" w:lineRule="exact"/>
        <w:rPr>
          <w:rFonts w:ascii="Arial" w:cs="Arial" w:eastAsia="Arial" w:hAnsi="Arial"/>
          <w:sz w:val="20"/>
          <w:szCs w:val="20"/>
          <w:b w:val="1"/>
          <w:bCs w:val="1"/>
          <w:color w:val="auto"/>
        </w:rPr>
      </w:pPr>
    </w:p>
    <w:p>
      <w:pPr>
        <w:ind w:left="652" w:hanging="652"/>
        <w:spacing w:after="0"/>
        <w:tabs>
          <w:tab w:leader="none" w:pos="65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AUTHENTICATION</w:t>
      </w:r>
    </w:p>
    <w:p>
      <w:pPr>
        <w:spacing w:after="0" w:line="248" w:lineRule="exact"/>
        <w:rPr>
          <w:rFonts w:ascii="Arial" w:cs="Arial" w:eastAsia="Arial" w:hAnsi="Arial"/>
          <w:sz w:val="20"/>
          <w:szCs w:val="20"/>
          <w:b w:val="1"/>
          <w:bCs w:val="1"/>
          <w:color w:val="auto"/>
        </w:rPr>
      </w:pPr>
    </w:p>
    <w:p>
      <w:pPr>
        <w:ind w:left="652"/>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No Note attached thereto shall become valid or obligatory until the certificate of authentication thereon shall have been duly signed by the Fiscal Agent acting under the Fiscal and Paying Agency Agreement.</w:t>
      </w:r>
    </w:p>
    <w:p>
      <w:pPr>
        <w:spacing w:after="0" w:line="169" w:lineRule="exact"/>
        <w:rPr>
          <w:rFonts w:ascii="Arial" w:cs="Arial" w:eastAsia="Arial" w:hAnsi="Arial"/>
          <w:sz w:val="20"/>
          <w:szCs w:val="20"/>
          <w:b w:val="1"/>
          <w:bCs w:val="1"/>
          <w:color w:val="auto"/>
        </w:rPr>
      </w:pPr>
    </w:p>
    <w:p>
      <w:pPr>
        <w:ind w:left="652" w:hanging="652"/>
        <w:spacing w:after="0"/>
        <w:tabs>
          <w:tab w:leader="none" w:pos="65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WARRANTY OF THE COMPANY</w:t>
      </w:r>
    </w:p>
    <w:p>
      <w:pPr>
        <w:spacing w:after="0" w:line="248" w:lineRule="exact"/>
        <w:rPr>
          <w:rFonts w:ascii="Arial" w:cs="Arial" w:eastAsia="Arial" w:hAnsi="Arial"/>
          <w:sz w:val="20"/>
          <w:szCs w:val="20"/>
          <w:b w:val="1"/>
          <w:bCs w:val="1"/>
          <w:color w:val="auto"/>
        </w:rPr>
      </w:pPr>
    </w:p>
    <w:p>
      <w:pPr>
        <w:jc w:val="both"/>
        <w:ind w:left="652"/>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Subject to Clause 20, the Company hereby certifies and warrants that all acts, conditions and things required to be done and performed and to have happened precedent to the creation and issuance of the Notes and to constitute the same legal, valid and binding obligations of the Company enforceable in accordance with their terms, have been done and performed and have happened in compliance with all applicable laws.</w:t>
      </w:r>
    </w:p>
    <w:p>
      <w:pPr>
        <w:spacing w:after="0" w:line="186" w:lineRule="exact"/>
        <w:rPr>
          <w:rFonts w:ascii="Arial" w:cs="Arial" w:eastAsia="Arial" w:hAnsi="Arial"/>
          <w:sz w:val="20"/>
          <w:szCs w:val="20"/>
          <w:b w:val="1"/>
          <w:bCs w:val="1"/>
          <w:color w:val="auto"/>
        </w:rPr>
      </w:pPr>
    </w:p>
    <w:p>
      <w:pPr>
        <w:ind w:left="652" w:hanging="652"/>
        <w:spacing w:after="0"/>
        <w:tabs>
          <w:tab w:leader="none" w:pos="65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ISINS AND COMMON CODES</w:t>
      </w:r>
    </w:p>
    <w:p>
      <w:pPr>
        <w:spacing w:after="0" w:line="248"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The Company has caused ISINs and Common Codes to be printed on the Notes and has directed the Fiscal Agent to use ISINs and Common Codes in notices of redemption as a convenience to Noteholders. No representation is made as to the correctness of such numbers either as printed on the Notes or as contained in any notice of redemption or repurchase, and reliance may be placed only on the other identification numbers printed on the Notes. The Company shall promptly notify the Fiscal Agent of any change in the ISINs or Common Codes.</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DESCRIPTIVE HEADINGS</w:t>
      </w:r>
    </w:p>
    <w:p>
      <w:pPr>
        <w:spacing w:after="0" w:line="248" w:lineRule="exact"/>
        <w:rPr>
          <w:rFonts w:ascii="Arial" w:cs="Arial" w:eastAsia="Arial" w:hAnsi="Arial"/>
          <w:sz w:val="20"/>
          <w:szCs w:val="20"/>
          <w:b w:val="1"/>
          <w:bCs w:val="1"/>
          <w:color w:val="auto"/>
        </w:rPr>
      </w:pPr>
    </w:p>
    <w:p>
      <w:pPr>
        <w:ind w:left="652" w:right="20"/>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The descriptive headings appearing in these Terms and Conditions are for convenience of reference only and shall not alter, limit or define the provisions hereof.</w:t>
      </w:r>
    </w:p>
    <w:p>
      <w:pPr>
        <w:spacing w:after="0" w:line="373"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32</w:t>
            </w:r>
          </w:p>
        </w:tc>
      </w:tr>
    </w:tbl>
    <w:p>
      <w:pPr>
        <w:sectPr>
          <w:pgSz w:w="11900" w:h="16838" w:orient="portrait"/>
          <w:cols w:equalWidth="0" w:num="1">
            <w:col w:w="11412"/>
          </w:cols>
          <w:pgMar w:left="248" w:top="838" w:right="239" w:bottom="1440" w:gutter="0" w:footer="0" w:header="0"/>
        </w:sectPr>
      </w:pPr>
    </w:p>
    <w:bookmarkStart w:id="39" w:name="page40"/>
    <w:bookmarkEnd w:id="39"/>
    <w:p>
      <w:pPr>
        <w:jc w:val="center"/>
        <w:ind w:right="-1160"/>
        <w:spacing w:after="0"/>
        <w:rPr>
          <w:sz w:val="20"/>
          <w:szCs w:val="20"/>
          <w:color w:val="auto"/>
        </w:rPr>
      </w:pPr>
      <w:r>
        <w:rPr>
          <w:rFonts w:ascii="Arial" w:cs="Arial" w:eastAsia="Arial" w:hAnsi="Arial"/>
          <w:sz w:val="19"/>
          <w:szCs w:val="19"/>
          <w:b w:val="1"/>
          <w:bCs w:val="1"/>
          <w:color w:val="auto"/>
        </w:rPr>
        <w:t>FISCAL AGENT, REGISTRAR, TRANSFER AGENT AND</w:t>
      </w:r>
    </w:p>
    <w:p>
      <w:pPr>
        <w:spacing w:after="0" w:line="38"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PRINCIPAL PAYING AGENT</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Citibank, N.A., London Branch</w:t>
      </w:r>
    </w:p>
    <w:p>
      <w:pPr>
        <w:spacing w:after="0" w:line="33"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Citigroup Centre</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25 Canada Square</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Canary Wharf</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London E14 5LB</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England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0179"/>
          </w:cols>
          <w:pgMar w:left="280" w:top="819" w:right="1440" w:bottom="1440" w:gutter="0" w:footer="0" w:header="0"/>
        </w:sectPr>
      </w:pPr>
    </w:p>
    <w:bookmarkStart w:id="40" w:name="page41"/>
    <w:bookmarkEnd w:id="40"/>
    <w:p>
      <w:pPr>
        <w:ind w:left="4720"/>
        <w:spacing w:after="0"/>
        <w:rPr>
          <w:sz w:val="20"/>
          <w:szCs w:val="20"/>
          <w:color w:val="auto"/>
        </w:rPr>
      </w:pPr>
      <w:r>
        <w:rPr>
          <w:rFonts w:ascii="Arial" w:cs="Arial" w:eastAsia="Arial" w:hAnsi="Arial"/>
          <w:sz w:val="20"/>
          <w:szCs w:val="20"/>
          <w:b w:val="1"/>
          <w:bCs w:val="1"/>
          <w:color w:val="auto"/>
        </w:rPr>
        <w:t>ASSIGNMENT FORM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assign this Note, fill in the form below:</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or we assign and transfer this Note to</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(Print or type assignee's name, address and zip code)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(Insert assignee's soc. sec. or tax I.D. No.)</w:t>
      </w:r>
    </w:p>
    <w:p>
      <w:pPr>
        <w:spacing w:after="0" w:line="243"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color w:val="auto"/>
        </w:rPr>
        <w:t>and irrevocably appoint [</w:t>
      </w:r>
      <w:r>
        <w:rPr>
          <w:sz w:val="20"/>
          <w:szCs w:val="20"/>
          <w:color w:val="auto"/>
        </w:rPr>
        <w:tab/>
      </w:r>
      <w:r>
        <w:rPr>
          <w:rFonts w:ascii="Arial" w:cs="Arial" w:eastAsia="Arial" w:hAnsi="Arial"/>
          <w:sz w:val="16"/>
          <w:szCs w:val="16"/>
          <w:color w:val="auto"/>
        </w:rPr>
        <w:t>] 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285115</wp:posOffset>
            </wp:positionV>
            <wp:extent cx="125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Date:</w:t>
        <w:tab/>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125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-14605</wp:posOffset>
            </wp:positionV>
            <wp:extent cx="125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285115</wp:posOffset>
            </wp:positionV>
            <wp:extent cx="125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Sign exactly as your name appears on the other side of this Note.</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34</w:t>
            </w:r>
          </w:p>
        </w:tc>
      </w:tr>
    </w:tbl>
    <w:p>
      <w:pPr>
        <w:sectPr>
          <w:pgSz w:w="11900" w:h="16838" w:orient="portrait"/>
          <w:cols w:equalWidth="0" w:num="1">
            <w:col w:w="10800"/>
          </w:cols>
          <w:pgMar w:left="240" w:top="819" w:right="85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CERTIFICATE TO BE DELIVERED UPON EXCHANGE OR REGISTRATION OF NOTES</w:t>
      </w:r>
    </w:p>
    <w:p>
      <w:pPr>
        <w:spacing w:after="0" w:line="249" w:lineRule="exact"/>
        <w:rPr>
          <w:sz w:val="20"/>
          <w:szCs w:val="20"/>
          <w:color w:val="auto"/>
        </w:rPr>
      </w:pPr>
    </w:p>
    <w:p>
      <w:pPr>
        <w:spacing w:after="0" w:line="230" w:lineRule="exact"/>
        <w:tabs>
          <w:tab w:leader="none" w:pos="2300" w:val="left"/>
          <w:tab w:leader="none" w:pos="7160" w:val="left"/>
          <w:tab w:leader="none" w:pos="8440" w:val="left"/>
        </w:tabs>
        <w:rPr>
          <w:sz w:val="20"/>
          <w:szCs w:val="20"/>
          <w:color w:val="auto"/>
        </w:rPr>
      </w:pPr>
      <w:r>
        <w:rPr>
          <w:rFonts w:ascii="Arial" w:cs="Arial" w:eastAsia="Arial" w:hAnsi="Arial"/>
          <w:sz w:val="20"/>
          <w:szCs w:val="20"/>
          <w:color w:val="auto"/>
        </w:rPr>
        <w:t>This certificate relates to €</w:t>
        <w:tab/>
        <w:t>principal amount of Notes held in (check applicable space)</w:t>
        <w:tab/>
        <w:t>book</w:t>
      </w:r>
      <w:r>
        <w:rPr>
          <w:rFonts w:ascii="MS PGothic" w:cs="MS PGothic" w:eastAsia="MS PGothic" w:hAnsi="MS PGothic"/>
          <w:sz w:val="20"/>
          <w:szCs w:val="20"/>
          <w:color w:val="auto"/>
        </w:rPr>
        <w:t>‑</w:t>
      </w:r>
      <w:r>
        <w:rPr>
          <w:rFonts w:ascii="Arial" w:cs="Arial" w:eastAsia="Arial" w:hAnsi="Arial"/>
          <w:sz w:val="20"/>
          <w:szCs w:val="20"/>
          <w:color w:val="auto"/>
        </w:rPr>
        <w:t>entry or</w:t>
      </w:r>
      <w:r>
        <w:rPr>
          <w:sz w:val="20"/>
          <w:szCs w:val="20"/>
          <w:color w:val="auto"/>
        </w:rPr>
        <w:tab/>
      </w:r>
      <w:r>
        <w:rPr>
          <w:rFonts w:ascii="Arial" w:cs="Arial" w:eastAsia="Arial" w:hAnsi="Arial"/>
          <w:sz w:val="18"/>
          <w:szCs w:val="18"/>
          <w:color w:val="auto"/>
        </w:rPr>
        <w:t>definitive form by the undersigned.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(check one box below):</w:t>
      </w:r>
    </w:p>
    <w:p>
      <w:pPr>
        <w:spacing w:after="0" w:line="243" w:lineRule="exact"/>
        <w:rPr>
          <w:sz w:val="20"/>
          <w:szCs w:val="20"/>
          <w:color w:val="auto"/>
        </w:rPr>
      </w:pPr>
    </w:p>
    <w:p>
      <w:pPr>
        <w:jc w:val="both"/>
        <w:ind w:left="660" w:hanging="652"/>
        <w:spacing w:after="0" w:line="278" w:lineRule="auto"/>
        <w:tabs>
          <w:tab w:leader="none" w:pos="660" w:val="left"/>
        </w:tabs>
        <w:numPr>
          <w:ilvl w:val="0"/>
          <w:numId w:val="41"/>
        </w:numPr>
        <w:rPr>
          <w:rFonts w:ascii="MS PGothic" w:cs="MS PGothic" w:eastAsia="MS PGothic" w:hAnsi="MS PGothic"/>
          <w:sz w:val="20"/>
          <w:szCs w:val="20"/>
          <w:color w:val="auto"/>
        </w:rPr>
      </w:pPr>
      <w:r>
        <w:rPr>
          <w:rFonts w:ascii="Arial" w:cs="Arial" w:eastAsia="Arial" w:hAnsi="Arial"/>
          <w:sz w:val="20"/>
          <w:szCs w:val="20"/>
          <w:color w:val="auto"/>
        </w:rPr>
        <w:t>has requested the Fiscal Agent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or</w:t>
      </w:r>
    </w:p>
    <w:p>
      <w:pPr>
        <w:spacing w:after="0" w:line="186" w:lineRule="exact"/>
        <w:rPr>
          <w:rFonts w:ascii="MS PGothic" w:cs="MS PGothic" w:eastAsia="MS PGothic" w:hAnsi="MS PGothic"/>
          <w:sz w:val="20"/>
          <w:szCs w:val="20"/>
          <w:color w:val="auto"/>
        </w:rPr>
      </w:pPr>
    </w:p>
    <w:p>
      <w:pPr>
        <w:ind w:left="380" w:hanging="372"/>
        <w:spacing w:after="0"/>
        <w:tabs>
          <w:tab w:leader="none" w:pos="380" w:val="left"/>
        </w:tabs>
        <w:numPr>
          <w:ilvl w:val="0"/>
          <w:numId w:val="41"/>
        </w:numPr>
        <w:rPr>
          <w:rFonts w:ascii="MS PGothic" w:cs="MS PGothic" w:eastAsia="MS PGothic" w:hAnsi="MS PGothic"/>
          <w:sz w:val="20"/>
          <w:szCs w:val="20"/>
          <w:color w:val="auto"/>
        </w:rPr>
      </w:pPr>
      <w:r>
        <w:rPr>
          <w:rFonts w:ascii="Arial" w:cs="Arial" w:eastAsia="Arial" w:hAnsi="Arial"/>
          <w:sz w:val="20"/>
          <w:szCs w:val="20"/>
          <w:color w:val="auto"/>
        </w:rPr>
        <w:t>has requested the Fiscal Agent by written order to exchange or register the transfer of a Note or Notes.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connection with any transfer of any of the Notes evidenced by this certificate occurring prior to the date which is 40 days after the later of the date of original issuance of such Notes and the last date, if any, on which such Notes were owned by the Company or any affiliate of the Company or such later date as may be required by applicable law, the undersigned confirms that such Notes are being transferred in accordance with its terms: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CHECK ONE BOX BELOW</w:t>
      </w:r>
    </w:p>
    <w:p>
      <w:pPr>
        <w:spacing w:after="0" w:line="205" w:lineRule="exact"/>
        <w:rPr>
          <w:sz w:val="20"/>
          <w:szCs w:val="20"/>
          <w:color w:val="auto"/>
        </w:rPr>
      </w:pPr>
    </w:p>
    <w:p>
      <w:pPr>
        <w:ind w:left="660" w:hanging="652"/>
        <w:spacing w:after="0" w:line="230" w:lineRule="exact"/>
        <w:tabs>
          <w:tab w:leader="none" w:pos="660" w:val="left"/>
        </w:tabs>
        <w:numPr>
          <w:ilvl w:val="0"/>
          <w:numId w:val="4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to the Company; or</w:t>
      </w:r>
    </w:p>
    <w:p>
      <w:pPr>
        <w:spacing w:after="0" w:line="242" w:lineRule="exact"/>
        <w:rPr>
          <w:rFonts w:ascii="Arial" w:cs="Arial" w:eastAsia="Arial" w:hAnsi="Arial"/>
          <w:sz w:val="20"/>
          <w:szCs w:val="20"/>
          <w:color w:val="auto"/>
        </w:rPr>
      </w:pPr>
    </w:p>
    <w:p>
      <w:pPr>
        <w:ind w:left="660" w:hanging="652"/>
        <w:spacing w:after="0" w:line="230" w:lineRule="exact"/>
        <w:tabs>
          <w:tab w:leader="none" w:pos="660" w:val="left"/>
        </w:tabs>
        <w:numPr>
          <w:ilvl w:val="0"/>
          <w:numId w:val="4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to the Registrar for registration in the name of the Holder, without transfer; or</w:t>
      </w:r>
    </w:p>
    <w:p>
      <w:pPr>
        <w:spacing w:after="0" w:line="242" w:lineRule="exact"/>
        <w:rPr>
          <w:rFonts w:ascii="Arial" w:cs="Arial" w:eastAsia="Arial" w:hAnsi="Arial"/>
          <w:sz w:val="20"/>
          <w:szCs w:val="20"/>
          <w:color w:val="auto"/>
        </w:rPr>
      </w:pPr>
    </w:p>
    <w:p>
      <w:pPr>
        <w:ind w:left="660" w:hanging="652"/>
        <w:spacing w:after="0" w:line="230" w:lineRule="exact"/>
        <w:tabs>
          <w:tab w:leader="none" w:pos="660" w:val="left"/>
        </w:tabs>
        <w:numPr>
          <w:ilvl w:val="0"/>
          <w:numId w:val="4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pursuant to an effective registration statement under the Securities Act of 1933; or</w:t>
      </w:r>
    </w:p>
    <w:p>
      <w:pPr>
        <w:spacing w:after="0" w:line="242" w:lineRule="exact"/>
        <w:rPr>
          <w:rFonts w:ascii="Arial" w:cs="Arial" w:eastAsia="Arial" w:hAnsi="Arial"/>
          <w:sz w:val="20"/>
          <w:szCs w:val="20"/>
          <w:color w:val="auto"/>
        </w:rPr>
      </w:pPr>
    </w:p>
    <w:p>
      <w:pPr>
        <w:ind w:left="1300" w:hanging="1292"/>
        <w:spacing w:after="0" w:line="273" w:lineRule="exact"/>
        <w:tabs>
          <w:tab w:leader="none" w:pos="652" w:val="left"/>
        </w:tabs>
        <w:numPr>
          <w:ilvl w:val="0"/>
          <w:numId w:val="4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pursuant to offers and sales to non-U.S. person that occur outside the United States within the meaning of Regulation S under the Securities Act of 1933; or</w:t>
      </w:r>
    </w:p>
    <w:p>
      <w:pPr>
        <w:spacing w:after="0" w:line="185" w:lineRule="exact"/>
        <w:rPr>
          <w:rFonts w:ascii="Arial" w:cs="Arial" w:eastAsia="Arial" w:hAnsi="Arial"/>
          <w:sz w:val="20"/>
          <w:szCs w:val="20"/>
          <w:color w:val="auto"/>
        </w:rPr>
      </w:pPr>
    </w:p>
    <w:p>
      <w:pPr>
        <w:ind w:left="660" w:hanging="652"/>
        <w:spacing w:after="0" w:line="230" w:lineRule="exact"/>
        <w:tabs>
          <w:tab w:leader="none" w:pos="660" w:val="left"/>
        </w:tabs>
        <w:numPr>
          <w:ilvl w:val="0"/>
          <w:numId w:val="4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pursuant to another exemption from registration under the Securities Act of 1933.</w:t>
      </w:r>
    </w:p>
    <w:p>
      <w:pPr>
        <w:spacing w:after="0" w:line="28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Unless one of the boxes is checked, the Fiscal Agent and the Registrar will refuse to register any of the Notes evidenced by this certificate in the name of any person other than the registered Noteholder thereof;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however</w:t>
      </w:r>
      <w:r>
        <w:rPr>
          <w:rFonts w:ascii="Arial" w:cs="Arial" w:eastAsia="Arial" w:hAnsi="Arial"/>
          <w:sz w:val="19"/>
          <w:szCs w:val="19"/>
          <w:color w:val="auto"/>
        </w:rPr>
        <w:t>, that if box (4) or (5) is checked, the Fiscal Agent may require, prior to registering any such transfer of the Notes, such legal opinions, certifications and other information as the Fiscal Agent, Registrar or Company has reasonably requested to confirm that such transfer is being made pursuant to an exemption from, or in a transaction not subject to, the registration requirements of the Securities Act of 1933.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54875" cy="1140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20"/>
          <w:szCs w:val="20"/>
          <w:color w:val="auto"/>
        </w:rPr>
        <w:t>Signature Guarantee</w:t>
      </w:r>
      <w:r>
        <w:rPr>
          <w:rFonts w:ascii="Arial" w:cs="Arial" w:eastAsia="Arial" w:hAnsi="Arial"/>
          <w:sz w:val="20"/>
          <w:szCs w:val="20"/>
          <w:b w:val="1"/>
          <w:bCs w:val="1"/>
          <w:color w:val="auto"/>
        </w:rPr>
        <w: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w:t>
      </w:r>
    </w:p>
    <w:p>
      <w:pPr>
        <w:spacing w:after="0" w:line="2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Signature of 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420"/>
          </w:cols>
          <w:pgMar w:left="240" w:top="819" w:right="239" w:bottom="1440" w:gutter="0" w:footer="0" w:header="0"/>
        </w:sectPr>
      </w:pPr>
    </w:p>
    <w:bookmarkStart w:id="42" w:name="page43"/>
    <w:bookmarkEnd w:id="42"/>
    <w:p>
      <w:pPr>
        <w:jc w:val="center"/>
        <w:ind w:right="-980"/>
        <w:spacing w:after="0"/>
        <w:rPr>
          <w:sz w:val="20"/>
          <w:szCs w:val="20"/>
          <w:color w:val="auto"/>
        </w:rPr>
      </w:pPr>
      <w:r>
        <w:rPr>
          <w:rFonts w:ascii="Arial" w:cs="Arial" w:eastAsia="Arial" w:hAnsi="Arial"/>
          <w:sz w:val="20"/>
          <w:szCs w:val="20"/>
          <w:b w:val="1"/>
          <w:bCs w:val="1"/>
          <w:color w:val="auto"/>
        </w:rPr>
        <w:t>SCHEDULE 2</w:t>
      </w:r>
    </w:p>
    <w:p>
      <w:pPr>
        <w:spacing w:after="0" w:line="243" w:lineRule="exact"/>
        <w:rPr>
          <w:sz w:val="20"/>
          <w:szCs w:val="20"/>
          <w:color w:val="auto"/>
        </w:rPr>
      </w:pPr>
    </w:p>
    <w:p>
      <w:pPr>
        <w:jc w:val="right"/>
        <w:ind w:right="1919"/>
        <w:spacing w:after="0"/>
        <w:rPr>
          <w:sz w:val="20"/>
          <w:szCs w:val="20"/>
          <w:color w:val="auto"/>
        </w:rPr>
      </w:pPr>
      <w:r>
        <w:rPr>
          <w:rFonts w:ascii="Arial" w:cs="Arial" w:eastAsia="Arial" w:hAnsi="Arial"/>
          <w:sz w:val="20"/>
          <w:szCs w:val="20"/>
          <w:b w:val="1"/>
          <w:bCs w:val="1"/>
          <w:color w:val="auto"/>
        </w:rPr>
        <w:t>PROVISIONS FOR MEETINGS OF THE NOTEHOLDERS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36</w:t>
            </w:r>
          </w:p>
        </w:tc>
      </w:tr>
    </w:tbl>
    <w:p>
      <w:pPr>
        <w:sectPr>
          <w:pgSz w:w="11900" w:h="16838" w:orient="portrait"/>
          <w:cols w:equalWidth="0" w:num="1">
            <w:col w:w="10179"/>
          </w:cols>
          <w:pgMar w:left="280" w:top="819" w:right="1440"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Clause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jc w:val="center"/>
        <w:ind w:right="1099"/>
        <w:spacing w:after="0"/>
        <w:rPr>
          <w:sz w:val="20"/>
          <w:szCs w:val="20"/>
          <w:color w:val="auto"/>
        </w:rPr>
      </w:pPr>
      <w:r>
        <w:rPr>
          <w:rFonts w:ascii="Arial" w:cs="Arial" w:eastAsia="Arial" w:hAnsi="Arial"/>
          <w:sz w:val="20"/>
          <w:szCs w:val="20"/>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639"/>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78"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Definitions</w:t>
      </w:r>
      <w:r>
        <w:rPr>
          <w:sz w:val="20"/>
          <w:szCs w:val="20"/>
          <w:color w:val="auto"/>
        </w:rPr>
        <w:tab/>
      </w:r>
      <w:r>
        <w:rPr>
          <w:rFonts w:ascii="Arial" w:cs="Arial" w:eastAsia="Arial" w:hAnsi="Arial"/>
          <w:sz w:val="16"/>
          <w:szCs w:val="16"/>
          <w:color w:val="auto"/>
        </w:rPr>
        <w:t>38</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Issue of Voting Certificates and Block Voting Instructions</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References to Blocking/Release of Notes</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Validity of Block Voting Instructions and Forms of Proxy</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Record Date</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Convening of Meeting</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Notice</w:t>
      </w:r>
      <w:r>
        <w:rPr>
          <w:sz w:val="20"/>
          <w:szCs w:val="20"/>
          <w:color w:val="auto"/>
        </w:rPr>
        <w:tab/>
      </w:r>
      <w:r>
        <w:rPr>
          <w:rFonts w:ascii="Arial" w:cs="Arial" w:eastAsia="Arial" w:hAnsi="Arial"/>
          <w:sz w:val="16"/>
          <w:szCs w:val="16"/>
          <w:color w:val="auto"/>
        </w:rPr>
        <w:t>41</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Chairman</w:t>
      </w:r>
      <w:r>
        <w:rPr>
          <w:sz w:val="20"/>
          <w:szCs w:val="20"/>
          <w:color w:val="auto"/>
        </w:rPr>
        <w:tab/>
      </w:r>
      <w:r>
        <w:rPr>
          <w:rFonts w:ascii="Arial" w:cs="Arial" w:eastAsia="Arial" w:hAnsi="Arial"/>
          <w:sz w:val="16"/>
          <w:szCs w:val="16"/>
          <w:color w:val="auto"/>
        </w:rPr>
        <w:t>41</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Quorum</w:t>
      </w:r>
      <w:r>
        <w:rPr>
          <w:sz w:val="20"/>
          <w:szCs w:val="20"/>
          <w:color w:val="auto"/>
        </w:rPr>
        <w:tab/>
      </w:r>
      <w:r>
        <w:rPr>
          <w:rFonts w:ascii="Arial" w:cs="Arial" w:eastAsia="Arial" w:hAnsi="Arial"/>
          <w:sz w:val="16"/>
          <w:szCs w:val="16"/>
          <w:color w:val="auto"/>
        </w:rPr>
        <w:t>41</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Adjournment for Want of Quorum</w:t>
      </w:r>
      <w:r>
        <w:rPr>
          <w:sz w:val="20"/>
          <w:szCs w:val="20"/>
          <w:color w:val="auto"/>
        </w:rPr>
        <w:tab/>
      </w:r>
      <w:r>
        <w:rPr>
          <w:rFonts w:ascii="Arial" w:cs="Arial" w:eastAsia="Arial" w:hAnsi="Arial"/>
          <w:sz w:val="16"/>
          <w:szCs w:val="16"/>
          <w:color w:val="auto"/>
        </w:rPr>
        <w:t>41</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Adjourned Meeting</w:t>
      </w:r>
      <w:r>
        <w:rPr>
          <w:sz w:val="20"/>
          <w:szCs w:val="20"/>
          <w:color w:val="auto"/>
        </w:rPr>
        <w:tab/>
      </w:r>
      <w:r>
        <w:rPr>
          <w:rFonts w:ascii="Arial" w:cs="Arial" w:eastAsia="Arial" w:hAnsi="Arial"/>
          <w:sz w:val="16"/>
          <w:szCs w:val="16"/>
          <w:color w:val="auto"/>
        </w:rPr>
        <w:t>41</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Notice following Adjournment</w:t>
      </w:r>
      <w:r>
        <w:rPr>
          <w:sz w:val="20"/>
          <w:szCs w:val="20"/>
          <w:color w:val="auto"/>
        </w:rPr>
        <w:tab/>
      </w:r>
      <w:r>
        <w:rPr>
          <w:rFonts w:ascii="Arial" w:cs="Arial" w:eastAsia="Arial" w:hAnsi="Arial"/>
          <w:sz w:val="16"/>
          <w:szCs w:val="16"/>
          <w:color w:val="auto"/>
        </w:rPr>
        <w:t>42</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Participation</w:t>
      </w:r>
      <w:r>
        <w:rPr>
          <w:sz w:val="20"/>
          <w:szCs w:val="20"/>
          <w:color w:val="auto"/>
        </w:rPr>
        <w:tab/>
      </w:r>
      <w:r>
        <w:rPr>
          <w:rFonts w:ascii="Arial" w:cs="Arial" w:eastAsia="Arial" w:hAnsi="Arial"/>
          <w:sz w:val="16"/>
          <w:szCs w:val="16"/>
          <w:color w:val="auto"/>
        </w:rPr>
        <w:t>42</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Show of Hands</w:t>
      </w:r>
      <w:r>
        <w:rPr>
          <w:sz w:val="20"/>
          <w:szCs w:val="20"/>
          <w:color w:val="auto"/>
        </w:rPr>
        <w:tab/>
      </w:r>
      <w:r>
        <w:rPr>
          <w:rFonts w:ascii="Arial" w:cs="Arial" w:eastAsia="Arial" w:hAnsi="Arial"/>
          <w:sz w:val="16"/>
          <w:szCs w:val="16"/>
          <w:color w:val="auto"/>
        </w:rPr>
        <w:t>42</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Poll</w:t>
      </w:r>
      <w:r>
        <w:rPr>
          <w:sz w:val="20"/>
          <w:szCs w:val="20"/>
          <w:color w:val="auto"/>
        </w:rPr>
        <w:tab/>
      </w:r>
      <w:r>
        <w:rPr>
          <w:rFonts w:ascii="Arial" w:cs="Arial" w:eastAsia="Arial" w:hAnsi="Arial"/>
          <w:sz w:val="16"/>
          <w:szCs w:val="16"/>
          <w:color w:val="auto"/>
        </w:rPr>
        <w:t>42</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Votes</w:t>
      </w:r>
      <w:r>
        <w:rPr>
          <w:sz w:val="20"/>
          <w:szCs w:val="20"/>
          <w:color w:val="auto"/>
        </w:rPr>
        <w:tab/>
      </w:r>
      <w:r>
        <w:rPr>
          <w:rFonts w:ascii="Arial" w:cs="Arial" w:eastAsia="Arial" w:hAnsi="Arial"/>
          <w:sz w:val="16"/>
          <w:szCs w:val="16"/>
          <w:color w:val="auto"/>
        </w:rPr>
        <w:t>42</w:t>
      </w: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Validity of Votes by Proxies</w:t>
      </w:r>
      <w:r>
        <w:rPr>
          <w:sz w:val="20"/>
          <w:szCs w:val="20"/>
          <w:color w:val="auto"/>
        </w:rPr>
        <w:tab/>
      </w:r>
      <w:r>
        <w:rPr>
          <w:rFonts w:ascii="Arial" w:cs="Arial" w:eastAsia="Arial" w:hAnsi="Arial"/>
          <w:sz w:val="24"/>
          <w:szCs w:val="24"/>
          <w:color w:val="auto"/>
          <w:vertAlign w:val="superscript"/>
        </w:rPr>
        <w:t>43</w:t>
      </w:r>
    </w:p>
    <w:p>
      <w:pPr>
        <w:spacing w:after="0" w:line="210"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Powers</w:t>
      </w:r>
      <w:r>
        <w:rPr>
          <w:sz w:val="20"/>
          <w:szCs w:val="20"/>
          <w:color w:val="auto"/>
        </w:rPr>
        <w:tab/>
      </w:r>
      <w:r>
        <w:rPr>
          <w:rFonts w:ascii="Arial" w:cs="Arial" w:eastAsia="Arial" w:hAnsi="Arial"/>
          <w:sz w:val="24"/>
          <w:szCs w:val="24"/>
          <w:color w:val="auto"/>
          <w:vertAlign w:val="superscript"/>
        </w:rPr>
        <w:t>43</w:t>
      </w:r>
    </w:p>
    <w:p>
      <w:pPr>
        <w:spacing w:after="0" w:line="200" w:lineRule="exact"/>
        <w:rPr>
          <w:sz w:val="20"/>
          <w:szCs w:val="20"/>
          <w:color w:val="auto"/>
        </w:rPr>
      </w:pPr>
    </w:p>
    <w:p>
      <w:pPr>
        <w:spacing w:after="0" w:line="210"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Extraordinary Resolution Binds all Holders</w:t>
      </w:r>
      <w:r>
        <w:rPr>
          <w:sz w:val="20"/>
          <w:szCs w:val="20"/>
          <w:color w:val="auto"/>
        </w:rPr>
        <w:tab/>
      </w:r>
      <w:r>
        <w:rPr>
          <w:rFonts w:ascii="Arial" w:cs="Arial" w:eastAsia="Arial" w:hAnsi="Arial"/>
          <w:sz w:val="16"/>
          <w:szCs w:val="16"/>
          <w:color w:val="auto"/>
        </w:rPr>
        <w:t>44</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Minutes</w:t>
      </w:r>
      <w:r>
        <w:rPr>
          <w:sz w:val="20"/>
          <w:szCs w:val="20"/>
          <w:color w:val="auto"/>
        </w:rPr>
        <w:tab/>
      </w:r>
      <w:r>
        <w:rPr>
          <w:rFonts w:ascii="Arial" w:cs="Arial" w:eastAsia="Arial" w:hAnsi="Arial"/>
          <w:sz w:val="16"/>
          <w:szCs w:val="16"/>
          <w:color w:val="auto"/>
        </w:rPr>
        <w:t>44</w:t>
      </w:r>
    </w:p>
    <w:p>
      <w:pPr>
        <w:spacing w:after="0" w:line="200" w:lineRule="exact"/>
        <w:rPr>
          <w:sz w:val="20"/>
          <w:szCs w:val="20"/>
          <w:color w:val="auto"/>
        </w:rPr>
      </w:pPr>
    </w:p>
    <w:p>
      <w:pPr>
        <w:spacing w:after="0" w:line="272" w:lineRule="exact"/>
        <w:rPr>
          <w:sz w:val="20"/>
          <w:szCs w:val="20"/>
          <w:color w:val="auto"/>
        </w:rPr>
      </w:pPr>
    </w:p>
    <w:p>
      <w:pPr>
        <w:spacing w:after="0"/>
        <w:tabs>
          <w:tab w:leader="dot" w:pos="6820" w:val="left"/>
        </w:tabs>
        <w:rPr>
          <w:sz w:val="20"/>
          <w:szCs w:val="20"/>
          <w:color w:val="auto"/>
        </w:rPr>
      </w:pPr>
      <w:r>
        <w:rPr>
          <w:rFonts w:ascii="Arial" w:cs="Arial" w:eastAsia="Arial" w:hAnsi="Arial"/>
          <w:sz w:val="20"/>
          <w:szCs w:val="20"/>
          <w:color w:val="auto"/>
        </w:rPr>
        <w:t>Written Resolution</w:t>
      </w:r>
      <w:r>
        <w:rPr>
          <w:sz w:val="20"/>
          <w:szCs w:val="20"/>
          <w:color w:val="auto"/>
        </w:rPr>
        <w:tab/>
      </w:r>
      <w:r>
        <w:rPr>
          <w:rFonts w:ascii="Arial" w:cs="Arial" w:eastAsia="Arial" w:hAnsi="Arial"/>
          <w:sz w:val="16"/>
          <w:szCs w:val="16"/>
          <w:color w:val="auto"/>
        </w:rPr>
        <w:t>44</w:t>
      </w:r>
    </w:p>
    <w:p>
      <w:pPr>
        <w:sectPr>
          <w:pgSz w:w="11900" w:h="16838" w:orient="portrait"/>
          <w:cols w:equalWidth="0" w:num="2">
            <w:col w:w="840" w:space="720"/>
            <w:col w:w="7899"/>
          </w:cols>
          <w:pgMar w:left="1000" w:top="819" w:right="1440"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37</w:t>
            </w:r>
          </w:p>
        </w:tc>
      </w:tr>
    </w:tbl>
    <w:p>
      <w:pPr>
        <w:sectPr>
          <w:pgSz w:w="11900" w:h="16838" w:orient="portrait"/>
          <w:cols w:equalWidth="0" w:num="1">
            <w:col w:w="10179"/>
          </w:cols>
          <w:pgMar w:left="280" w:top="738"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PROVISIONS FOR MEETINGS OF THE NOTEHOLDERS</w:t>
      </w:r>
    </w:p>
    <w:p>
      <w:pPr>
        <w:spacing w:after="0" w:line="243"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48"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In this Agreement and terms and conditions of the Notes, the following expressions have the following meanings:</w:t>
      </w:r>
    </w:p>
    <w:p>
      <w:pPr>
        <w:spacing w:after="0" w:line="23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Block Voting Instruction </w:t>
      </w:r>
      <w:r>
        <w:rPr>
          <w:rFonts w:ascii="Arial" w:cs="Arial" w:eastAsia="Arial" w:hAnsi="Arial"/>
          <w:sz w:val="19"/>
          <w:szCs w:val="19"/>
          <w:color w:val="auto"/>
        </w:rPr>
        <w:t>means, in relation to any Meeting, a document in the English language issued by the Registrar:</w:t>
      </w:r>
    </w:p>
    <w:p>
      <w:pPr>
        <w:spacing w:after="0" w:line="254" w:lineRule="exact"/>
        <w:rPr>
          <w:rFonts w:ascii="Arial" w:cs="Arial" w:eastAsia="Arial" w:hAnsi="Arial"/>
          <w:sz w:val="20"/>
          <w:szCs w:val="20"/>
          <w:b w:val="1"/>
          <w:bCs w:val="1"/>
          <w:color w:val="auto"/>
        </w:rPr>
      </w:pPr>
    </w:p>
    <w:p>
      <w:pPr>
        <w:jc w:val="both"/>
        <w:ind w:left="1300" w:hanging="644"/>
        <w:spacing w:after="0" w:line="288" w:lineRule="auto"/>
        <w:tabs>
          <w:tab w:leader="none" w:pos="13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certifying (i) that certain specified Notes (the </w:t>
      </w:r>
      <w:r>
        <w:rPr>
          <w:rFonts w:ascii="Arial" w:cs="Arial" w:eastAsia="Arial" w:hAnsi="Arial"/>
          <w:sz w:val="19"/>
          <w:szCs w:val="19"/>
          <w:b w:val="1"/>
          <w:bCs w:val="1"/>
          <w:color w:val="auto"/>
        </w:rPr>
        <w:t>Blocked Notes</w:t>
      </w:r>
      <w:r>
        <w:rPr>
          <w:rFonts w:ascii="Arial" w:cs="Arial" w:eastAsia="Arial" w:hAnsi="Arial"/>
          <w:sz w:val="19"/>
          <w:szCs w:val="19"/>
          <w:color w:val="auto"/>
        </w:rPr>
        <w:t>) have been blocked in an account with a clearing system and will not be released until the conclusion of the Meeting and that the holder of each Blocked Note or a duly authorized person on its behalf has instructed the Registrar that the votes attributable to such Blocked Note are to be cast in a particular way on each resolution to be put to the Meeting; and/or (ii) that each registered holder of certain specified Notes (</w:t>
      </w:r>
      <w:r>
        <w:rPr>
          <w:rFonts w:ascii="Arial" w:cs="Arial" w:eastAsia="Arial" w:hAnsi="Arial"/>
          <w:sz w:val="19"/>
          <w:szCs w:val="19"/>
          <w:b w:val="1"/>
          <w:bCs w:val="1"/>
          <w:color w:val="auto"/>
        </w:rPr>
        <w:t>Relevant Notes</w:t>
      </w:r>
      <w:r>
        <w:rPr>
          <w:rFonts w:ascii="Arial" w:cs="Arial" w:eastAsia="Arial" w:hAnsi="Arial"/>
          <w:sz w:val="19"/>
          <w:szCs w:val="19"/>
          <w:color w:val="auto"/>
        </w:rPr>
        <w:t>) has instructed the Registrar that the votes attributable to each Relevant Note held by it are to be cast in a particular way on each resolution to be put to the Meeting and, in each case, that, during the period of 48 hours before the time fixed for the Meeting, such instructions may not be amended or revoked;</w:t>
      </w:r>
    </w:p>
    <w:p>
      <w:pPr>
        <w:spacing w:after="0" w:line="182" w:lineRule="exact"/>
        <w:rPr>
          <w:rFonts w:ascii="Arial" w:cs="Arial" w:eastAsia="Arial" w:hAnsi="Arial"/>
          <w:sz w:val="19"/>
          <w:szCs w:val="19"/>
          <w:color w:val="auto"/>
        </w:rPr>
      </w:pPr>
    </w:p>
    <w:p>
      <w:pPr>
        <w:ind w:left="1300" w:hanging="644"/>
        <w:spacing w:after="0" w:line="289" w:lineRule="auto"/>
        <w:tabs>
          <w:tab w:leader="none" w:pos="13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listing the total principal amount of the Blocked Notes and the Relevant Notes, distinguishing for each resolution between those in respect of which instructions have been given to vote for, or against, the resolution; and</w:t>
      </w:r>
    </w:p>
    <w:p>
      <w:pPr>
        <w:spacing w:after="0" w:line="175" w:lineRule="exact"/>
        <w:rPr>
          <w:rFonts w:ascii="Arial" w:cs="Arial" w:eastAsia="Arial" w:hAnsi="Arial"/>
          <w:sz w:val="20"/>
          <w:szCs w:val="20"/>
          <w:color w:val="auto"/>
        </w:rPr>
      </w:pPr>
    </w:p>
    <w:p>
      <w:pPr>
        <w:ind w:left="1300" w:right="20" w:hanging="644"/>
        <w:spacing w:after="0" w:line="289" w:lineRule="auto"/>
        <w:tabs>
          <w:tab w:leader="none" w:pos="13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authorizing a named individual or individuals to vote in respect of the Blocked Notes and the Relevant Notes in accordance with such instructions;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Chairman </w:t>
      </w:r>
      <w:r>
        <w:rPr>
          <w:rFonts w:ascii="Arial" w:cs="Arial" w:eastAsia="Arial" w:hAnsi="Arial"/>
          <w:sz w:val="20"/>
          <w:szCs w:val="20"/>
          <w:color w:val="auto"/>
        </w:rPr>
        <w:t>means, in relation to any Meeting, the individual who takes the chair in accordance with Clause 8 hereof;</w:t>
      </w:r>
    </w:p>
    <w:p>
      <w:pPr>
        <w:spacing w:after="0" w:line="243" w:lineRule="exact"/>
        <w:rPr>
          <w:sz w:val="20"/>
          <w:szCs w:val="20"/>
          <w:color w:val="auto"/>
        </w:rPr>
      </w:pPr>
    </w:p>
    <w:p>
      <w:pPr>
        <w:jc w:val="both"/>
        <w:ind w:left="660"/>
        <w:spacing w:after="0" w:line="295" w:lineRule="auto"/>
        <w:rPr>
          <w:sz w:val="20"/>
          <w:szCs w:val="20"/>
          <w:color w:val="auto"/>
        </w:rPr>
      </w:pPr>
      <w:r>
        <w:rPr>
          <w:rFonts w:ascii="Arial" w:cs="Arial" w:eastAsia="Arial" w:hAnsi="Arial"/>
          <w:sz w:val="20"/>
          <w:szCs w:val="20"/>
          <w:b w:val="1"/>
          <w:bCs w:val="1"/>
          <w:color w:val="auto"/>
        </w:rPr>
        <w:t xml:space="preserve">Extraordinary Resolution </w:t>
      </w:r>
      <w:r>
        <w:rPr>
          <w:rFonts w:ascii="Arial" w:cs="Arial" w:eastAsia="Arial" w:hAnsi="Arial"/>
          <w:sz w:val="20"/>
          <w:szCs w:val="20"/>
          <w:color w:val="auto"/>
        </w:rPr>
        <w:t>means a resolution passed at a Meeting duly convened and held in accordance with these provisions by a</w:t>
      </w:r>
      <w:r>
        <w:rPr>
          <w:rFonts w:ascii="Arial" w:cs="Arial" w:eastAsia="Arial" w:hAnsi="Arial"/>
          <w:sz w:val="20"/>
          <w:szCs w:val="20"/>
          <w:b w:val="1"/>
          <w:bCs w:val="1"/>
          <w:color w:val="auto"/>
        </w:rPr>
        <w:t xml:space="preserve"> </w:t>
      </w:r>
      <w:r>
        <w:rPr>
          <w:rFonts w:ascii="Arial" w:cs="Arial" w:eastAsia="Arial" w:hAnsi="Arial"/>
          <w:sz w:val="20"/>
          <w:szCs w:val="20"/>
          <w:color w:val="auto"/>
        </w:rPr>
        <w:t>majority of not less than three quarters of the votes cast;</w:t>
      </w:r>
    </w:p>
    <w:p>
      <w:pPr>
        <w:spacing w:after="0" w:line="164" w:lineRule="exact"/>
        <w:rPr>
          <w:sz w:val="20"/>
          <w:szCs w:val="20"/>
          <w:color w:val="auto"/>
        </w:rPr>
      </w:pPr>
    </w:p>
    <w:p>
      <w:pPr>
        <w:jc w:val="both"/>
        <w:ind w:left="660"/>
        <w:spacing w:after="0" w:line="276" w:lineRule="auto"/>
        <w:rPr>
          <w:sz w:val="20"/>
          <w:szCs w:val="20"/>
          <w:color w:val="auto"/>
        </w:rPr>
      </w:pPr>
      <w:r>
        <w:rPr>
          <w:rFonts w:ascii="Arial" w:cs="Arial" w:eastAsia="Arial" w:hAnsi="Arial"/>
          <w:sz w:val="20"/>
          <w:szCs w:val="20"/>
          <w:b w:val="1"/>
          <w:bCs w:val="1"/>
          <w:color w:val="auto"/>
        </w:rPr>
        <w:t xml:space="preserve">Form of Proxy </w:t>
      </w:r>
      <w:r>
        <w:rPr>
          <w:rFonts w:ascii="Arial" w:cs="Arial" w:eastAsia="Arial" w:hAnsi="Arial"/>
          <w:sz w:val="20"/>
          <w:szCs w:val="20"/>
          <w:color w:val="auto"/>
        </w:rPr>
        <w:t>means, in relation to any Meeting, a document in the English language available from the Registrar signed by a</w:t>
      </w:r>
      <w:r>
        <w:rPr>
          <w:rFonts w:ascii="Arial" w:cs="Arial" w:eastAsia="Arial" w:hAnsi="Arial"/>
          <w:sz w:val="20"/>
          <w:szCs w:val="20"/>
          <w:b w:val="1"/>
          <w:bCs w:val="1"/>
          <w:color w:val="auto"/>
        </w:rPr>
        <w:t xml:space="preserve"> </w:t>
      </w:r>
      <w:r>
        <w:rPr>
          <w:rFonts w:ascii="Arial" w:cs="Arial" w:eastAsia="Arial" w:hAnsi="Arial"/>
          <w:sz w:val="20"/>
          <w:szCs w:val="20"/>
          <w:color w:val="auto"/>
        </w:rPr>
        <w:t>Noteholder or, in the case of a corporation, executed under its seal or signed on its behalf by a duly authorized officer and delivered to the Registrar no later than 48 hours before the time fixed for such meeting, appointing a named individual or individuals to vote in respect of the Notes held by such Noteholder.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Meeting </w:t>
      </w:r>
      <w:r>
        <w:rPr>
          <w:rFonts w:ascii="Arial" w:cs="Arial" w:eastAsia="Arial" w:hAnsi="Arial"/>
          <w:sz w:val="20"/>
          <w:szCs w:val="20"/>
          <w:color w:val="auto"/>
        </w:rPr>
        <w:t>means a meeting of Noteholders (whether originally convened or resumed following an adjournment);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Proxy </w:t>
      </w:r>
      <w:r>
        <w:rPr>
          <w:rFonts w:ascii="Arial" w:cs="Arial" w:eastAsia="Arial" w:hAnsi="Arial"/>
          <w:sz w:val="18"/>
          <w:szCs w:val="18"/>
          <w:color w:val="auto"/>
        </w:rPr>
        <w:t>means, in relation to any Meeting, a person appointed to vote under a Block Voting Instruction or a Form of Proxy other than:</w:t>
      </w:r>
    </w:p>
    <w:p>
      <w:pPr>
        <w:spacing w:after="0" w:line="272" w:lineRule="exact"/>
        <w:rPr>
          <w:sz w:val="20"/>
          <w:szCs w:val="20"/>
          <w:color w:val="auto"/>
        </w:rPr>
      </w:pPr>
    </w:p>
    <w:p>
      <w:pPr>
        <w:ind w:left="1300" w:right="20" w:hanging="644"/>
        <w:spacing w:after="0" w:line="289" w:lineRule="auto"/>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such person whose appointment has been revoked and in relation to whom the Registrar has been notified in writing of such revocation by the time which is 48 hours before the time fixed for such Meeting; and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38</w:t>
            </w:r>
          </w:p>
        </w:tc>
      </w:tr>
    </w:tbl>
    <w:p>
      <w:pPr>
        <w:sectPr>
          <w:pgSz w:w="11900" w:h="16838" w:orient="portrait"/>
          <w:cols w:equalWidth="0" w:num="1">
            <w:col w:w="11420"/>
          </w:cols>
          <w:pgMar w:left="240" w:top="819" w:right="239" w:bottom="1440" w:gutter="0" w:footer="0" w:header="0"/>
        </w:sectPr>
      </w:pPr>
    </w:p>
    <w:bookmarkStart w:id="46" w:name="page47"/>
    <w:bookmarkEnd w:id="46"/>
    <w:p>
      <w:pPr>
        <w:ind w:left="1260" w:hanging="644"/>
        <w:spacing w:after="0" w:line="289" w:lineRule="auto"/>
        <w:tabs>
          <w:tab w:leader="none" w:pos="12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such person appointed to vote at a Meeting which has been adjourned for want of a quorum and who has not been re-appointed to vote at the Meeting when it is resumed;</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Relevant Fraction </w:t>
      </w:r>
      <w:r>
        <w:rPr>
          <w:rFonts w:ascii="Arial" w:cs="Arial" w:eastAsia="Arial" w:hAnsi="Arial"/>
          <w:sz w:val="20"/>
          <w:szCs w:val="20"/>
          <w:color w:val="auto"/>
        </w:rPr>
        <w:t>means:</w:t>
      </w:r>
    </w:p>
    <w:p>
      <w:pPr>
        <w:spacing w:after="0" w:line="249" w:lineRule="exact"/>
        <w:rPr>
          <w:sz w:val="20"/>
          <w:szCs w:val="20"/>
          <w:color w:val="auto"/>
        </w:rPr>
      </w:pPr>
    </w:p>
    <w:p>
      <w:pPr>
        <w:ind w:left="1260" w:hanging="644"/>
        <w:spacing w:after="0"/>
        <w:tabs>
          <w:tab w:leader="none" w:pos="12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for all business other than voting on an Extraordinary Resolution, one tenth;</w:t>
      </w:r>
    </w:p>
    <w:p>
      <w:pPr>
        <w:spacing w:after="0" w:line="242" w:lineRule="exact"/>
        <w:rPr>
          <w:rFonts w:ascii="Arial" w:cs="Arial" w:eastAsia="Arial" w:hAnsi="Arial"/>
          <w:sz w:val="20"/>
          <w:szCs w:val="20"/>
          <w:color w:val="auto"/>
        </w:rPr>
      </w:pPr>
    </w:p>
    <w:p>
      <w:pPr>
        <w:ind w:left="1260" w:hanging="644"/>
        <w:spacing w:after="0"/>
        <w:tabs>
          <w:tab w:leader="none" w:pos="12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voting on any Extraordinary Resolution other than one relating to a Reserved Matter, one vote more than half; and</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for voting on any Extraordinary Resolution relating to a Reserved Matter, three quarters;</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however</w:t>
      </w:r>
      <w:r>
        <w:rPr>
          <w:rFonts w:ascii="Arial" w:cs="Arial" w:eastAsia="Arial" w:hAnsi="Arial"/>
          <w:sz w:val="20"/>
          <w:szCs w:val="20"/>
          <w:color w:val="auto"/>
        </w:rPr>
        <w:t>, that, in the case of a Meeting which has resumed after adjournment for want of a quorum it means:</w:t>
      </w:r>
    </w:p>
    <w:p>
      <w:pPr>
        <w:spacing w:after="0" w:line="249" w:lineRule="exact"/>
        <w:rPr>
          <w:sz w:val="20"/>
          <w:szCs w:val="20"/>
          <w:color w:val="auto"/>
        </w:rPr>
      </w:pPr>
    </w:p>
    <w:p>
      <w:pPr>
        <w:ind w:left="1260" w:right="20" w:hanging="644"/>
        <w:spacing w:after="0" w:line="347"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all business other than voting on an Extraordinary Resolution relating to a Reserved Matter, the fraction of the aggregate principal amount of the outstanding Notes represented or held by the Voters actually present at the Meeting; and</w:t>
      </w:r>
    </w:p>
    <w:p>
      <w:pPr>
        <w:spacing w:after="0" w:line="130" w:lineRule="exact"/>
        <w:rPr>
          <w:rFonts w:ascii="Arial" w:cs="Arial" w:eastAsia="Arial" w:hAnsi="Arial"/>
          <w:sz w:val="18"/>
          <w:szCs w:val="18"/>
          <w:color w:val="auto"/>
        </w:rPr>
      </w:pPr>
    </w:p>
    <w:p>
      <w:pPr>
        <w:ind w:left="1260" w:hanging="644"/>
        <w:spacing w:after="0"/>
        <w:tabs>
          <w:tab w:leader="none" w:pos="12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for voting on any Extraordinary Resolution relating to a Reserved Matter, one quarter;</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Reserved Matter </w:t>
      </w:r>
      <w:r>
        <w:rPr>
          <w:rFonts w:ascii="Arial" w:cs="Arial" w:eastAsia="Arial" w:hAnsi="Arial"/>
          <w:sz w:val="20"/>
          <w:szCs w:val="20"/>
          <w:color w:val="auto"/>
        </w:rPr>
        <w:t>means any proposal:</w:t>
      </w:r>
    </w:p>
    <w:p>
      <w:pPr>
        <w:spacing w:after="0" w:line="249" w:lineRule="exact"/>
        <w:rPr>
          <w:sz w:val="20"/>
          <w:szCs w:val="20"/>
          <w:color w:val="auto"/>
        </w:rPr>
      </w:pPr>
    </w:p>
    <w:p>
      <w:pPr>
        <w:jc w:val="both"/>
        <w:ind w:left="1260" w:right="20" w:hanging="644"/>
        <w:spacing w:after="0" w:line="278" w:lineRule="auto"/>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change any date fixed for payment of principal or interest in respect of the Notes, to reduce the amount of principal or interest payable on any date in respect of the Notes or to alter the method of calculating the amount of any payment in respect of the Notes on redemption or maturity or the date for any such payment;</w:t>
      </w:r>
    </w:p>
    <w:p>
      <w:pPr>
        <w:spacing w:after="0" w:line="186" w:lineRule="exact"/>
        <w:rPr>
          <w:rFonts w:ascii="Arial" w:cs="Arial" w:eastAsia="Arial" w:hAnsi="Arial"/>
          <w:sz w:val="20"/>
          <w:szCs w:val="20"/>
          <w:color w:val="auto"/>
        </w:rPr>
      </w:pPr>
    </w:p>
    <w:p>
      <w:pPr>
        <w:jc w:val="both"/>
        <w:ind w:left="1260" w:hanging="644"/>
        <w:spacing w:after="0" w:line="278" w:lineRule="auto"/>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effect the exchange or substitution of the Notes for, or the conversion of the Notes into, shares, bonds or other obligations or securities of the Company or any other person or body corporate formed or to be formed, including, without limitation, pursuant to a Change of Control;</w:t>
      </w:r>
    </w:p>
    <w:p>
      <w:pPr>
        <w:spacing w:after="0" w:line="186" w:lineRule="exact"/>
        <w:rPr>
          <w:rFonts w:ascii="Arial" w:cs="Arial" w:eastAsia="Arial" w:hAnsi="Arial"/>
          <w:sz w:val="20"/>
          <w:szCs w:val="20"/>
          <w:color w:val="auto"/>
        </w:rPr>
      </w:pPr>
    </w:p>
    <w:p>
      <w:pPr>
        <w:ind w:left="1260" w:hanging="644"/>
        <w:spacing w:after="0"/>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change the currency in which amounts due in respect of the Notes are payable;</w:t>
      </w:r>
    </w:p>
    <w:p>
      <w:pPr>
        <w:spacing w:after="0" w:line="242" w:lineRule="exact"/>
        <w:rPr>
          <w:rFonts w:ascii="Arial" w:cs="Arial" w:eastAsia="Arial" w:hAnsi="Arial"/>
          <w:sz w:val="20"/>
          <w:szCs w:val="20"/>
          <w:color w:val="auto"/>
        </w:rPr>
      </w:pPr>
    </w:p>
    <w:p>
      <w:pPr>
        <w:ind w:left="1260" w:hanging="644"/>
        <w:spacing w:after="0"/>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change the quorum required at any Meeting or the majority required to pass an Extraordinary Resolution; or</w:t>
      </w:r>
    </w:p>
    <w:p>
      <w:pPr>
        <w:spacing w:after="0" w:line="242" w:lineRule="exact"/>
        <w:rPr>
          <w:rFonts w:ascii="Arial" w:cs="Arial" w:eastAsia="Arial" w:hAnsi="Arial"/>
          <w:sz w:val="20"/>
          <w:szCs w:val="20"/>
          <w:color w:val="auto"/>
        </w:rPr>
      </w:pPr>
    </w:p>
    <w:p>
      <w:pPr>
        <w:ind w:left="1260" w:hanging="644"/>
        <w:spacing w:after="0"/>
        <w:tabs>
          <w:tab w:leader="none" w:pos="12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amend this definition;</w:t>
      </w:r>
    </w:p>
    <w:p>
      <w:pPr>
        <w:spacing w:after="0" w:line="237" w:lineRule="exact"/>
        <w:rPr>
          <w:sz w:val="20"/>
          <w:szCs w:val="20"/>
          <w:color w:val="auto"/>
        </w:rPr>
      </w:pPr>
    </w:p>
    <w:p>
      <w:pPr>
        <w:jc w:val="both"/>
        <w:ind w:left="620"/>
        <w:spacing w:after="0" w:line="276" w:lineRule="auto"/>
        <w:rPr>
          <w:sz w:val="20"/>
          <w:szCs w:val="20"/>
          <w:color w:val="auto"/>
        </w:rPr>
      </w:pPr>
      <w:r>
        <w:rPr>
          <w:rFonts w:ascii="Arial" w:cs="Arial" w:eastAsia="Arial" w:hAnsi="Arial"/>
          <w:sz w:val="20"/>
          <w:szCs w:val="20"/>
          <w:b w:val="1"/>
          <w:bCs w:val="1"/>
          <w:color w:val="auto"/>
        </w:rPr>
        <w:t xml:space="preserve">Voter </w:t>
      </w:r>
      <w:r>
        <w:rPr>
          <w:rFonts w:ascii="Arial" w:cs="Arial" w:eastAsia="Arial" w:hAnsi="Arial"/>
          <w:sz w:val="20"/>
          <w:szCs w:val="20"/>
          <w:color w:val="auto"/>
        </w:rPr>
        <w:t>means, in relation to any Meeting (a) a Proxy or (b) (subject to Clause 5 (Record Date) below) a Noteholder;</w:t>
      </w:r>
      <w:r>
        <w:rPr>
          <w:rFonts w:ascii="Arial" w:cs="Arial" w:eastAsia="Arial" w:hAnsi="Arial"/>
          <w:sz w:val="20"/>
          <w:szCs w:val="20"/>
          <w:b w:val="1"/>
          <w:bCs w:val="1"/>
          <w:color w:val="auto"/>
        </w:rPr>
        <w:t xml:space="preserve"> 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however</w:t>
      </w:r>
      <w:r>
        <w:rPr>
          <w:rFonts w:ascii="Arial" w:cs="Arial" w:eastAsia="Arial" w:hAnsi="Arial"/>
          <w:sz w:val="20"/>
          <w:szCs w:val="20"/>
          <w:color w:val="auto"/>
        </w:rPr>
        <w:t>, that, (subject to Clause 5 (Record Date) below) any Noteholder which has appointed a Proxy under a Block Voting</w:t>
      </w:r>
      <w:r>
        <w:rPr>
          <w:rFonts w:ascii="Arial" w:cs="Arial" w:eastAsia="Arial" w:hAnsi="Arial"/>
          <w:sz w:val="20"/>
          <w:szCs w:val="20"/>
          <w:b w:val="1"/>
          <w:bCs w:val="1"/>
          <w:color w:val="auto"/>
        </w:rPr>
        <w:t xml:space="preserve"> </w:t>
      </w:r>
      <w:r>
        <w:rPr>
          <w:rFonts w:ascii="Arial" w:cs="Arial" w:eastAsia="Arial" w:hAnsi="Arial"/>
          <w:sz w:val="20"/>
          <w:szCs w:val="20"/>
          <w:color w:val="auto"/>
        </w:rPr>
        <w:t>Instruction or Form of Proxy shall not be a "Voter" except to the extent that such appointment has been revoked and the Registrar notified in writing of such revocation at least 48 hours before the time fixed for such Meeting;</w:t>
      </w:r>
    </w:p>
    <w:p>
      <w:pPr>
        <w:spacing w:after="0" w:line="185" w:lineRule="exact"/>
        <w:rPr>
          <w:sz w:val="20"/>
          <w:szCs w:val="20"/>
          <w:color w:val="auto"/>
        </w:rPr>
      </w:pPr>
    </w:p>
    <w:p>
      <w:pPr>
        <w:jc w:val="both"/>
        <w:ind w:left="620"/>
        <w:spacing w:after="0" w:line="281" w:lineRule="auto"/>
        <w:rPr>
          <w:sz w:val="20"/>
          <w:szCs w:val="20"/>
          <w:color w:val="auto"/>
        </w:rPr>
      </w:pPr>
      <w:r>
        <w:rPr>
          <w:rFonts w:ascii="Arial" w:cs="Arial" w:eastAsia="Arial" w:hAnsi="Arial"/>
          <w:sz w:val="20"/>
          <w:szCs w:val="20"/>
          <w:b w:val="1"/>
          <w:bCs w:val="1"/>
          <w:color w:val="auto"/>
        </w:rPr>
        <w:t xml:space="preserve">Written Resolution </w:t>
      </w:r>
      <w:r>
        <w:rPr>
          <w:rFonts w:ascii="Arial" w:cs="Arial" w:eastAsia="Arial" w:hAnsi="Arial"/>
          <w:sz w:val="20"/>
          <w:szCs w:val="20"/>
          <w:color w:val="auto"/>
        </w:rPr>
        <w:t>means a resolution in writing signed by or on behalf of all holders of Notes who for the time being are entitled to</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notice of a Meeting in accordance with the provisions of this Schedule, whether contained in one document or several documents in the same form, each signed by or on behalf of one or more such holders of the Notes;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39</w:t>
            </w:r>
          </w:p>
        </w:tc>
      </w:tr>
    </w:tbl>
    <w:p>
      <w:pPr>
        <w:sectPr>
          <w:pgSz w:w="11900" w:h="16838" w:orient="portrait"/>
          <w:cols w:equalWidth="0" w:num="1">
            <w:col w:w="11380"/>
          </w:cols>
          <w:pgMar w:left="280" w:top="825" w:right="239" w:bottom="1440" w:gutter="0" w:footer="0" w:header="0"/>
        </w:sectPr>
      </w:pPr>
    </w:p>
    <w:bookmarkStart w:id="47" w:name="page48"/>
    <w:bookmarkEnd w:id="47"/>
    <w:p>
      <w:pPr>
        <w:jc w:val="both"/>
        <w:ind w:left="652"/>
        <w:spacing w:after="0" w:line="274" w:lineRule="auto"/>
        <w:rPr>
          <w:sz w:val="20"/>
          <w:szCs w:val="20"/>
          <w:color w:val="auto"/>
        </w:rPr>
      </w:pPr>
      <w:r>
        <w:rPr>
          <w:rFonts w:ascii="Arial" w:cs="Arial" w:eastAsia="Arial" w:hAnsi="Arial"/>
          <w:sz w:val="20"/>
          <w:szCs w:val="20"/>
          <w:b w:val="1"/>
          <w:bCs w:val="1"/>
          <w:color w:val="auto"/>
        </w:rPr>
        <w:t xml:space="preserve">24 hours </w:t>
      </w:r>
      <w:r>
        <w:rPr>
          <w:rFonts w:ascii="Arial" w:cs="Arial" w:eastAsia="Arial" w:hAnsi="Arial"/>
          <w:sz w:val="20"/>
          <w:szCs w:val="20"/>
          <w:color w:val="auto"/>
        </w:rPr>
        <w:t>means a period of 24 hours including all or part of a day upon which banks are open for business in both the places where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Meeting is to be held and in each of the places where each Paying Agent has its office as specified in Clause 18 of the Fiscal and Paying Agency Agreement (disregarding for this purpose the day upon which such Meeting is to be held) and such period shall be extended by one period or, to the extent necessary, more periods of 24 hours until there is included as aforesaid all or part of a day upon which banks are open for business as aforesaid; and</w:t>
      </w:r>
    </w:p>
    <w:p>
      <w:pPr>
        <w:spacing w:after="0" w:line="186" w:lineRule="exact"/>
        <w:rPr>
          <w:sz w:val="20"/>
          <w:szCs w:val="20"/>
          <w:color w:val="auto"/>
        </w:rPr>
      </w:pPr>
    </w:p>
    <w:p>
      <w:pPr>
        <w:ind w:left="652"/>
        <w:spacing w:after="0"/>
        <w:rPr>
          <w:sz w:val="20"/>
          <w:szCs w:val="20"/>
          <w:color w:val="auto"/>
        </w:rPr>
      </w:pPr>
      <w:r>
        <w:rPr>
          <w:rFonts w:ascii="Arial" w:cs="Arial" w:eastAsia="Arial" w:hAnsi="Arial"/>
          <w:sz w:val="20"/>
          <w:szCs w:val="20"/>
          <w:b w:val="1"/>
          <w:bCs w:val="1"/>
          <w:color w:val="auto"/>
        </w:rPr>
        <w:t xml:space="preserve">48 hours </w:t>
      </w:r>
      <w:r>
        <w:rPr>
          <w:rFonts w:ascii="Arial" w:cs="Arial" w:eastAsia="Arial" w:hAnsi="Arial"/>
          <w:sz w:val="20"/>
          <w:szCs w:val="20"/>
          <w:color w:val="auto"/>
        </w:rPr>
        <w:t>means two consecutive periods of 24 hours.</w:t>
      </w:r>
    </w:p>
    <w:p>
      <w:pPr>
        <w:spacing w:after="0" w:line="243" w:lineRule="exact"/>
        <w:rPr>
          <w:sz w:val="20"/>
          <w:szCs w:val="20"/>
          <w:color w:val="auto"/>
        </w:rPr>
      </w:pPr>
    </w:p>
    <w:p>
      <w:pPr>
        <w:ind w:left="652" w:hanging="652"/>
        <w:spacing w:after="0"/>
        <w:tabs>
          <w:tab w:leader="none" w:pos="65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ISSUE OF VOTING CERTIFICATES AND BLOCK VOTING INSTRUCTIONS</w:t>
      </w:r>
    </w:p>
    <w:p>
      <w:pPr>
        <w:spacing w:after="0" w:line="248" w:lineRule="exact"/>
        <w:rPr>
          <w:rFonts w:ascii="Arial" w:cs="Arial" w:eastAsia="Arial" w:hAnsi="Arial"/>
          <w:sz w:val="20"/>
          <w:szCs w:val="20"/>
          <w:b w:val="1"/>
          <w:bCs w:val="1"/>
          <w:color w:val="auto"/>
        </w:rPr>
      </w:pPr>
    </w:p>
    <w:p>
      <w:pPr>
        <w:jc w:val="both"/>
        <w:ind w:left="652"/>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The holder of an interest in a Note may require the Registrar to issue a Block Voting Instruction by arranging (to the satisfaction of the Registrar) for such Note to be blocked in an account with a clearing system not later than 48 hours before the time fixed for the relevant Meeting. The registered holder of a Note may require the Registrar to issue a Block Voting Instruction by delivering to the Registrar written instructions not later than 48 hours before the time fixed for the relevant meeting. Any registered holder of a Note may obtain an uncompleted and unexecuted Form of Proxy from the Registrar. A Block Voting Instruction shall be valid until the release of Blocked Notes to which it relates. A Form of Proxy and a Block Voting Instruction cannot be outstanding simultaneously in respect of the same Note.</w:t>
      </w:r>
    </w:p>
    <w:p>
      <w:pPr>
        <w:spacing w:after="0" w:line="188" w:lineRule="exact"/>
        <w:rPr>
          <w:rFonts w:ascii="Arial" w:cs="Arial" w:eastAsia="Arial" w:hAnsi="Arial"/>
          <w:sz w:val="20"/>
          <w:szCs w:val="20"/>
          <w:b w:val="1"/>
          <w:bCs w:val="1"/>
          <w:color w:val="auto"/>
        </w:rPr>
      </w:pPr>
    </w:p>
    <w:p>
      <w:pPr>
        <w:ind w:left="652" w:hanging="652"/>
        <w:spacing w:after="0"/>
        <w:tabs>
          <w:tab w:leader="none" w:pos="65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REFERENCES TO BLOCKING/RELEASE OF NOTES</w:t>
      </w:r>
    </w:p>
    <w:p>
      <w:pPr>
        <w:spacing w:after="0" w:line="248" w:lineRule="exact"/>
        <w:rPr>
          <w:rFonts w:ascii="Arial" w:cs="Arial" w:eastAsia="Arial" w:hAnsi="Arial"/>
          <w:sz w:val="20"/>
          <w:szCs w:val="20"/>
          <w:b w:val="1"/>
          <w:bCs w:val="1"/>
          <w:color w:val="auto"/>
        </w:rPr>
      </w:pPr>
    </w:p>
    <w:p>
      <w:pPr>
        <w:jc w:val="both"/>
        <w:ind w:left="652"/>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Where Notes are represented by Global Note Certificates and/or are held within a clearing system, references to the blocking, or release, of Notes shall be construed in accordance with the usual practices (including blocking the relevant account) of such clearing system.</w:t>
      </w:r>
    </w:p>
    <w:p>
      <w:pPr>
        <w:spacing w:after="0" w:line="180" w:lineRule="exact"/>
        <w:rPr>
          <w:rFonts w:ascii="Arial" w:cs="Arial" w:eastAsia="Arial" w:hAnsi="Arial"/>
          <w:sz w:val="20"/>
          <w:szCs w:val="20"/>
          <w:b w:val="1"/>
          <w:bCs w:val="1"/>
          <w:color w:val="auto"/>
        </w:rPr>
      </w:pPr>
    </w:p>
    <w:p>
      <w:pPr>
        <w:ind w:left="652" w:hanging="652"/>
        <w:spacing w:after="0"/>
        <w:tabs>
          <w:tab w:leader="none" w:pos="65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VALIDITY OF BLOCK VOTING INSTRUCTIONS AND FORMS OF PROXY</w:t>
      </w:r>
    </w:p>
    <w:p>
      <w:pPr>
        <w:spacing w:after="0" w:line="248" w:lineRule="exact"/>
        <w:rPr>
          <w:rFonts w:ascii="Arial" w:cs="Arial" w:eastAsia="Arial" w:hAnsi="Arial"/>
          <w:sz w:val="20"/>
          <w:szCs w:val="20"/>
          <w:b w:val="1"/>
          <w:bCs w:val="1"/>
          <w:color w:val="auto"/>
        </w:rPr>
      </w:pPr>
    </w:p>
    <w:p>
      <w:pPr>
        <w:jc w:val="both"/>
        <w:ind w:left="652"/>
        <w:spacing w:after="0" w:line="272" w:lineRule="auto"/>
        <w:rPr>
          <w:rFonts w:ascii="Arial" w:cs="Arial" w:eastAsia="Arial" w:hAnsi="Arial"/>
          <w:sz w:val="20"/>
          <w:szCs w:val="20"/>
          <w:b w:val="1"/>
          <w:bCs w:val="1"/>
          <w:color w:val="auto"/>
        </w:rPr>
      </w:pPr>
      <w:r>
        <w:rPr>
          <w:rFonts w:ascii="Arial" w:cs="Arial" w:eastAsia="Arial" w:hAnsi="Arial"/>
          <w:sz w:val="20"/>
          <w:szCs w:val="20"/>
          <w:color w:val="auto"/>
        </w:rPr>
        <w:t>Block Voting Instructions and Forms of Proxy shall be valid only if they are deposited at the office of the Registrar as specified in Clause 18 of the Fiscal and Paying Agency Agreement, or at some other place approved by the Registrar, at least 24 hours before the time fixed for the relevant Meeting or the Chairman decides otherwise before the Meeting proceeds to business. If the Registrar requires, a notarized copy of each Block Voting Instruction and Form of Proxy and satisfactory proof of the identity of each Proxy named therein shall be produced at the Meeting. The Registrar shall not be obliged to investigate the validity of any Block Voting Instruction or Form of Proxy or the authority of any Proxy.</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RECORD DATE</w:t>
      </w:r>
    </w:p>
    <w:p>
      <w:pPr>
        <w:spacing w:after="0" w:line="248" w:lineRule="exact"/>
        <w:rPr>
          <w:rFonts w:ascii="Arial" w:cs="Arial" w:eastAsia="Arial" w:hAnsi="Arial"/>
          <w:sz w:val="20"/>
          <w:szCs w:val="20"/>
          <w:b w:val="1"/>
          <w:bCs w:val="1"/>
          <w:color w:val="auto"/>
        </w:rPr>
      </w:pPr>
    </w:p>
    <w:p>
      <w:pPr>
        <w:jc w:val="both"/>
        <w:ind w:left="652"/>
        <w:spacing w:after="0" w:line="310" w:lineRule="auto"/>
        <w:rPr>
          <w:rFonts w:ascii="Arial" w:cs="Arial" w:eastAsia="Arial" w:hAnsi="Arial"/>
          <w:sz w:val="20"/>
          <w:szCs w:val="20"/>
          <w:b w:val="1"/>
          <w:bCs w:val="1"/>
          <w:color w:val="auto"/>
        </w:rPr>
      </w:pPr>
      <w:r>
        <w:rPr>
          <w:rFonts w:ascii="Arial" w:cs="Arial" w:eastAsia="Arial" w:hAnsi="Arial"/>
          <w:sz w:val="18"/>
          <w:szCs w:val="18"/>
          <w:color w:val="auto"/>
        </w:rPr>
        <w:t>The Company may fix a record date for the purposes of any Meeting or any resumption thereof following its adjournment for want of a quorum; provided that such record date is not more than 30 days prior to the time fixed for such Meeting or (as the case may be) its resumption. The person in whose name a Note is registered in the Register on the record date at close of business in the city in which the Registrar has its office, as specified in Clause 18 of the Fiscal and Paying Agency Agreement, shall be deemed to be the holder of such Note for the purpose of such Meeting and notwithstanding any subsequent transfer of such Note or entries in the Register.</w:t>
      </w:r>
    </w:p>
    <w:p>
      <w:pPr>
        <w:spacing w:after="0" w:line="156" w:lineRule="exact"/>
        <w:rPr>
          <w:rFonts w:ascii="Arial" w:cs="Arial" w:eastAsia="Arial" w:hAnsi="Arial"/>
          <w:sz w:val="20"/>
          <w:szCs w:val="20"/>
          <w:b w:val="1"/>
          <w:bCs w:val="1"/>
          <w:color w:val="auto"/>
        </w:rPr>
      </w:pPr>
    </w:p>
    <w:p>
      <w:pPr>
        <w:ind w:left="652" w:hanging="652"/>
        <w:spacing w:after="0"/>
        <w:tabs>
          <w:tab w:leader="none" w:pos="652"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CONVENING OF MEETING</w:t>
      </w:r>
    </w:p>
    <w:p>
      <w:pPr>
        <w:spacing w:after="0" w:line="200" w:lineRule="exact"/>
        <w:rPr>
          <w:sz w:val="20"/>
          <w:szCs w:val="20"/>
          <w:color w:val="auto"/>
        </w:rPr>
      </w:pP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40</w:t>
            </w:r>
          </w:p>
        </w:tc>
      </w:tr>
    </w:tbl>
    <w:p>
      <w:pPr>
        <w:sectPr>
          <w:pgSz w:w="11900" w:h="16838" w:orient="portrait"/>
          <w:cols w:equalWidth="0" w:num="1">
            <w:col w:w="11412"/>
          </w:cols>
          <w:pgMar w:left="248" w:top="819" w:right="239" w:bottom="1440" w:gutter="0" w:footer="0" w:header="0"/>
        </w:sectPr>
      </w:pPr>
    </w:p>
    <w:bookmarkStart w:id="48" w:name="page49"/>
    <w:bookmarkEnd w:id="48"/>
    <w:p>
      <w:pPr>
        <w:ind w:left="652"/>
        <w:spacing w:after="0" w:line="289" w:lineRule="auto"/>
        <w:rPr>
          <w:sz w:val="20"/>
          <w:szCs w:val="20"/>
          <w:color w:val="auto"/>
        </w:rPr>
      </w:pPr>
      <w:r>
        <w:rPr>
          <w:rFonts w:ascii="Arial" w:cs="Arial" w:eastAsia="Arial" w:hAnsi="Arial"/>
          <w:sz w:val="20"/>
          <w:szCs w:val="20"/>
          <w:color w:val="auto"/>
        </w:rPr>
        <w:t>The Company may convene a Meeting at any time, and shall be obliged to do so upon the request in writing of Noteholders holding not less than one tenth of the aggregate principal amount of the outstanding Notes.</w:t>
      </w:r>
    </w:p>
    <w:p>
      <w:pPr>
        <w:spacing w:after="0" w:line="169" w:lineRule="exact"/>
        <w:rPr>
          <w:sz w:val="20"/>
          <w:szCs w:val="20"/>
          <w:color w:val="auto"/>
        </w:rPr>
      </w:pPr>
    </w:p>
    <w:p>
      <w:pPr>
        <w:ind w:left="652" w:hanging="652"/>
        <w:spacing w:after="0"/>
        <w:tabs>
          <w:tab w:leader="none" w:pos="65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248" w:lineRule="exact"/>
        <w:rPr>
          <w:rFonts w:ascii="Arial" w:cs="Arial" w:eastAsia="Arial" w:hAnsi="Arial"/>
          <w:sz w:val="20"/>
          <w:szCs w:val="20"/>
          <w:b w:val="1"/>
          <w:bCs w:val="1"/>
          <w:color w:val="auto"/>
        </w:rPr>
      </w:pPr>
    </w:p>
    <w:p>
      <w:pPr>
        <w:jc w:val="both"/>
        <w:ind w:left="652"/>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At least 21 days' notice (exclusive of the day on which the notice is given and of the day on which the relevant Meeting is to be held) specifying the date, time and place of the Meeting shall be given to the Noteholders and the Registrar (with a copy to the Company). The notice shall set out the full text of any resolutions to be proposed and shall state that the Notes may be blocked in clearing systems for the purposes of appointing Proxies under Block Voting Instructions until 48 hours before the time fixed for the Meeting and that Noteholders may also appoint Proxies either under a Block Voting Instruction by delivering written instructions to the Registrar or by executing and delivering a Form of Proxy to the office of the Registrar, as specified in Clause 18 of the Fiscal and Paying Agency Agreement, in either case until 48 hours before the time fixed for the Meeting.</w:t>
      </w:r>
    </w:p>
    <w:p>
      <w:pPr>
        <w:spacing w:after="0" w:line="177" w:lineRule="exact"/>
        <w:rPr>
          <w:rFonts w:ascii="Arial" w:cs="Arial" w:eastAsia="Arial" w:hAnsi="Arial"/>
          <w:sz w:val="20"/>
          <w:szCs w:val="20"/>
          <w:b w:val="1"/>
          <w:bCs w:val="1"/>
          <w:color w:val="auto"/>
        </w:rPr>
      </w:pPr>
    </w:p>
    <w:p>
      <w:pPr>
        <w:ind w:left="652" w:hanging="652"/>
        <w:spacing w:after="0"/>
        <w:tabs>
          <w:tab w:leader="none" w:pos="65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CHAIRMAN</w:t>
      </w:r>
    </w:p>
    <w:p>
      <w:pPr>
        <w:spacing w:after="0" w:line="248" w:lineRule="exact"/>
        <w:rPr>
          <w:rFonts w:ascii="Arial" w:cs="Arial" w:eastAsia="Arial" w:hAnsi="Arial"/>
          <w:sz w:val="20"/>
          <w:szCs w:val="20"/>
          <w:b w:val="1"/>
          <w:bCs w:val="1"/>
          <w:color w:val="auto"/>
        </w:rPr>
      </w:pPr>
    </w:p>
    <w:p>
      <w:pPr>
        <w:jc w:val="both"/>
        <w:ind w:left="652"/>
        <w:spacing w:after="0" w:line="293" w:lineRule="auto"/>
        <w:rPr>
          <w:rFonts w:ascii="Arial" w:cs="Arial" w:eastAsia="Arial" w:hAnsi="Arial"/>
          <w:sz w:val="20"/>
          <w:szCs w:val="20"/>
          <w:b w:val="1"/>
          <w:bCs w:val="1"/>
          <w:color w:val="auto"/>
        </w:rPr>
      </w:pPr>
      <w:r>
        <w:rPr>
          <w:rFonts w:ascii="Arial" w:cs="Arial" w:eastAsia="Arial" w:hAnsi="Arial"/>
          <w:sz w:val="19"/>
          <w:szCs w:val="19"/>
          <w:color w:val="auto"/>
        </w:rPr>
        <w:t>An individual (who may, but need not, be a Noteholder) nominated in writing by the Company may take the chair at any Meeting but, if no such nomination is made or if the individual nominated is not present within 15 minutes after the time fixed for the Meeting, those present shall elect one of themselves to take the chair failing which, the Company may appoint a Chairman. The Chairman of an adjourned Meeting need not be the same person as was the Chairman of the original Meeting.</w:t>
      </w:r>
    </w:p>
    <w:p>
      <w:pPr>
        <w:spacing w:after="0" w:line="169" w:lineRule="exact"/>
        <w:rPr>
          <w:rFonts w:ascii="Arial" w:cs="Arial" w:eastAsia="Arial" w:hAnsi="Arial"/>
          <w:sz w:val="20"/>
          <w:szCs w:val="20"/>
          <w:b w:val="1"/>
          <w:bCs w:val="1"/>
          <w:color w:val="auto"/>
        </w:rPr>
      </w:pPr>
    </w:p>
    <w:p>
      <w:pPr>
        <w:ind w:left="652" w:hanging="652"/>
        <w:spacing w:after="0"/>
        <w:tabs>
          <w:tab w:leader="none" w:pos="65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QUORUM</w:t>
      </w:r>
    </w:p>
    <w:p>
      <w:pPr>
        <w:spacing w:after="0" w:line="248"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 xml:space="preserve">The quorum at any Meeting shall be at least two Voters representing or holding not less than the Relevant Fraction of the aggregate principal amount of the outstanding Notes; </w:t>
      </w:r>
      <w:r>
        <w:rPr>
          <w:rFonts w:ascii="Arial" w:cs="Arial" w:eastAsia="Arial" w:hAnsi="Arial"/>
          <w:sz w:val="20"/>
          <w:szCs w:val="20"/>
          <w:b w:val="1"/>
          <w:b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color w:val="auto"/>
        </w:rPr>
        <w:t>however</w:t>
      </w:r>
      <w:r>
        <w:rPr>
          <w:rFonts w:ascii="Arial" w:cs="Arial" w:eastAsia="Arial" w:hAnsi="Arial"/>
          <w:sz w:val="20"/>
          <w:szCs w:val="20"/>
          <w:color w:val="auto"/>
        </w:rPr>
        <w:t>, that, so long as at least the Relevant Fraction of the aggregate principal amount of the outstanding Notes is represented by the Global Note Certificates or a single Individual Note Certificate, a single Vote appointed in relation thereto or being the holder of the Notes represented thereby shall be deemed to be two Voters for the purpose of forming a quorum.</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ADJOURNMENT FOR WANT OF QUORUM</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If within 15 minutes after the time fixed for any Meeting a quorum is not present, then:</w:t>
      </w:r>
    </w:p>
    <w:p>
      <w:pPr>
        <w:spacing w:after="0" w:line="242" w:lineRule="exact"/>
        <w:rPr>
          <w:rFonts w:ascii="Arial" w:cs="Arial" w:eastAsia="Arial" w:hAnsi="Arial"/>
          <w:sz w:val="20"/>
          <w:szCs w:val="20"/>
          <w:b w:val="1"/>
          <w:bCs w:val="1"/>
          <w:color w:val="auto"/>
        </w:rPr>
      </w:pPr>
    </w:p>
    <w:p>
      <w:pPr>
        <w:ind w:left="1292" w:hanging="644"/>
        <w:spacing w:after="0"/>
        <w:tabs>
          <w:tab w:leader="none" w:pos="1292" w:val="left"/>
        </w:tabs>
        <w:numPr>
          <w:ilvl w:val="1"/>
          <w:numId w:val="50"/>
        </w:numPr>
        <w:rPr>
          <w:rFonts w:ascii="Arial" w:cs="Arial" w:eastAsia="Arial" w:hAnsi="Arial"/>
          <w:sz w:val="20"/>
          <w:szCs w:val="20"/>
          <w:color w:val="auto"/>
        </w:rPr>
      </w:pPr>
      <w:r>
        <w:rPr>
          <w:rFonts w:ascii="Arial" w:cs="Arial" w:eastAsia="Arial" w:hAnsi="Arial"/>
          <w:sz w:val="20"/>
          <w:szCs w:val="20"/>
          <w:color w:val="auto"/>
        </w:rPr>
        <w:t>in the case of a Meeting requested by Noteholders, it shall be dissolved; and</w:t>
      </w:r>
    </w:p>
    <w:p>
      <w:pPr>
        <w:spacing w:after="0" w:line="242" w:lineRule="exact"/>
        <w:rPr>
          <w:rFonts w:ascii="Arial" w:cs="Arial" w:eastAsia="Arial" w:hAnsi="Arial"/>
          <w:sz w:val="20"/>
          <w:szCs w:val="20"/>
          <w:color w:val="auto"/>
        </w:rPr>
      </w:pPr>
    </w:p>
    <w:p>
      <w:pPr>
        <w:ind w:left="1292" w:hanging="644"/>
        <w:spacing w:after="0"/>
        <w:tabs>
          <w:tab w:leader="none" w:pos="12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any other Meeting, it shall be adjourned for such period (which shall be not less than 14 days and not more than</w:t>
      </w:r>
    </w:p>
    <w:p>
      <w:pPr>
        <w:spacing w:after="0" w:line="43"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 xml:space="preserve">42 days) and to such place as the Chairman determines; </w:t>
      </w:r>
      <w:r>
        <w:rPr>
          <w:rFonts w:ascii="Arial" w:cs="Arial" w:eastAsia="Arial" w:hAnsi="Arial"/>
          <w:sz w:val="20"/>
          <w:szCs w:val="20"/>
          <w:b w:val="1"/>
          <w:b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color w:val="auto"/>
        </w:rPr>
        <w:t>however</w:t>
      </w:r>
      <w:r>
        <w:rPr>
          <w:rFonts w:ascii="Arial" w:cs="Arial" w:eastAsia="Arial" w:hAnsi="Arial"/>
          <w:sz w:val="20"/>
          <w:szCs w:val="20"/>
          <w:color w:val="auto"/>
        </w:rPr>
        <w:t>, that:</w:t>
      </w:r>
    </w:p>
    <w:p>
      <w:pPr>
        <w:spacing w:after="0" w:line="248" w:lineRule="exact"/>
        <w:rPr>
          <w:rFonts w:ascii="Arial" w:cs="Arial" w:eastAsia="Arial" w:hAnsi="Arial"/>
          <w:sz w:val="18"/>
          <w:szCs w:val="18"/>
          <w:color w:val="auto"/>
        </w:rPr>
      </w:pPr>
    </w:p>
    <w:p>
      <w:pPr>
        <w:ind w:left="1952" w:hanging="655"/>
        <w:spacing w:after="0"/>
        <w:tabs>
          <w:tab w:leader="none" w:pos="1952" w:val="left"/>
        </w:tabs>
        <w:numPr>
          <w:ilvl w:val="2"/>
          <w:numId w:val="50"/>
        </w:numPr>
        <w:rPr>
          <w:rFonts w:ascii="Arial" w:cs="Arial" w:eastAsia="Arial" w:hAnsi="Arial"/>
          <w:sz w:val="20"/>
          <w:szCs w:val="20"/>
          <w:color w:val="auto"/>
        </w:rPr>
      </w:pPr>
      <w:r>
        <w:rPr>
          <w:rFonts w:ascii="Arial" w:cs="Arial" w:eastAsia="Arial" w:hAnsi="Arial"/>
          <w:sz w:val="20"/>
          <w:szCs w:val="20"/>
          <w:color w:val="auto"/>
        </w:rPr>
        <w:t>the Meeting shall be dissolved if the Company so decides; and</w:t>
      </w:r>
    </w:p>
    <w:p>
      <w:pPr>
        <w:spacing w:after="0" w:line="242" w:lineRule="exact"/>
        <w:rPr>
          <w:rFonts w:ascii="Arial" w:cs="Arial" w:eastAsia="Arial" w:hAnsi="Arial"/>
          <w:sz w:val="20"/>
          <w:szCs w:val="20"/>
          <w:color w:val="auto"/>
        </w:rPr>
      </w:pPr>
    </w:p>
    <w:p>
      <w:pPr>
        <w:ind w:left="1952" w:hanging="655"/>
        <w:spacing w:after="0"/>
        <w:tabs>
          <w:tab w:leader="none" w:pos="1952" w:val="left"/>
        </w:tabs>
        <w:numPr>
          <w:ilvl w:val="2"/>
          <w:numId w:val="50"/>
        </w:numPr>
        <w:rPr>
          <w:rFonts w:ascii="Arial" w:cs="Arial" w:eastAsia="Arial" w:hAnsi="Arial"/>
          <w:sz w:val="20"/>
          <w:szCs w:val="20"/>
          <w:color w:val="auto"/>
        </w:rPr>
      </w:pPr>
      <w:r>
        <w:rPr>
          <w:rFonts w:ascii="Arial" w:cs="Arial" w:eastAsia="Arial" w:hAnsi="Arial"/>
          <w:sz w:val="20"/>
          <w:szCs w:val="20"/>
          <w:color w:val="auto"/>
        </w:rPr>
        <w:t>no Meeting may be adjourned more than once for want of a quorum.</w:t>
      </w:r>
    </w:p>
    <w:p>
      <w:pPr>
        <w:spacing w:after="0" w:line="236" w:lineRule="exact"/>
        <w:rPr>
          <w:rFonts w:ascii="Arial" w:cs="Arial" w:eastAsia="Arial" w:hAnsi="Arial"/>
          <w:sz w:val="20"/>
          <w:szCs w:val="20"/>
          <w:color w:val="auto"/>
        </w:rPr>
      </w:pPr>
    </w:p>
    <w:p>
      <w:pPr>
        <w:ind w:left="652" w:hanging="652"/>
        <w:spacing w:after="0"/>
        <w:tabs>
          <w:tab w:leader="none" w:pos="652"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ADJOURNED MEETING</w:t>
      </w:r>
    </w:p>
    <w:p>
      <w:pPr>
        <w:spacing w:after="0" w:line="200" w:lineRule="exact"/>
        <w:rPr>
          <w:sz w:val="20"/>
          <w:szCs w:val="20"/>
          <w:color w:val="auto"/>
        </w:rPr>
      </w:pPr>
    </w:p>
    <w:p>
      <w:pPr>
        <w:spacing w:after="0" w:line="246"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41</w:t>
            </w:r>
          </w:p>
        </w:tc>
      </w:tr>
    </w:tbl>
    <w:p>
      <w:pPr>
        <w:sectPr>
          <w:pgSz w:w="11900" w:h="16838" w:orient="portrait"/>
          <w:cols w:equalWidth="0" w:num="1">
            <w:col w:w="11412"/>
          </w:cols>
          <w:pgMar w:left="248" w:top="825" w:right="239" w:bottom="1440" w:gutter="0" w:footer="0" w:header="0"/>
        </w:sectPr>
      </w:pPr>
    </w:p>
    <w:bookmarkStart w:id="49" w:name="page50"/>
    <w:bookmarkEnd w:id="49"/>
    <w:p>
      <w:pPr>
        <w:jc w:val="both"/>
        <w:ind w:left="652"/>
        <w:spacing w:after="0" w:line="278" w:lineRule="auto"/>
        <w:rPr>
          <w:sz w:val="20"/>
          <w:szCs w:val="20"/>
          <w:color w:val="auto"/>
        </w:rPr>
      </w:pPr>
      <w:r>
        <w:rPr>
          <w:rFonts w:ascii="Arial" w:cs="Arial" w:eastAsia="Arial" w:hAnsi="Arial"/>
          <w:sz w:val="20"/>
          <w:szCs w:val="20"/>
          <w:color w:val="auto"/>
        </w:rPr>
        <w:t>The Chairman may, with the consent of (and shall if directed by) any Meeting, adjourn such Meeting from time to time and from place to place, but no business shall be transacted at any adjourned Meeting except business which might lawfully have been transacted at the Meeting from which the adjournment took place.</w:t>
      </w:r>
    </w:p>
    <w:p>
      <w:pPr>
        <w:spacing w:after="0" w:line="181" w:lineRule="exact"/>
        <w:rPr>
          <w:sz w:val="20"/>
          <w:szCs w:val="20"/>
          <w:color w:val="auto"/>
        </w:rPr>
      </w:pPr>
    </w:p>
    <w:p>
      <w:pPr>
        <w:ind w:left="652" w:hanging="652"/>
        <w:spacing w:after="0"/>
        <w:tabs>
          <w:tab w:leader="none" w:pos="652"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NOTICE FOLLOWING ADJOURNMENT</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9"/>
          <w:szCs w:val="19"/>
          <w:color w:val="auto"/>
        </w:rPr>
        <w:t>Clause 7 shall apply to any Meeting which is to be resumed after adjournment for want of a quorum; provided, however, that:</w:t>
      </w:r>
    </w:p>
    <w:p>
      <w:pPr>
        <w:spacing w:after="0" w:line="254" w:lineRule="exact"/>
        <w:rPr>
          <w:rFonts w:ascii="Arial" w:cs="Arial" w:eastAsia="Arial" w:hAnsi="Arial"/>
          <w:sz w:val="20"/>
          <w:szCs w:val="20"/>
          <w:b w:val="1"/>
          <w:bCs w:val="1"/>
          <w:color w:val="auto"/>
        </w:rPr>
      </w:pPr>
    </w:p>
    <w:p>
      <w:pPr>
        <w:ind w:left="1292" w:hanging="644"/>
        <w:spacing w:after="0" w:line="289" w:lineRule="auto"/>
        <w:tabs>
          <w:tab w:leader="none" w:pos="12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10 days' notice (exclusive of the day on which the notice is given and of the day on which the Meeting is to be resumed) shall be sufficient; and</w:t>
      </w:r>
    </w:p>
    <w:p>
      <w:pPr>
        <w:spacing w:after="0" w:line="175" w:lineRule="exact"/>
        <w:rPr>
          <w:rFonts w:ascii="Arial" w:cs="Arial" w:eastAsia="Arial" w:hAnsi="Arial"/>
          <w:sz w:val="20"/>
          <w:szCs w:val="20"/>
          <w:color w:val="auto"/>
        </w:rPr>
      </w:pPr>
    </w:p>
    <w:p>
      <w:pPr>
        <w:ind w:left="1292" w:hanging="644"/>
        <w:spacing w:after="0"/>
        <w:tabs>
          <w:tab w:leader="none" w:pos="12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notice shall specifically set out the quorum requirements which will apply when the Meeting resumes.</w:t>
      </w:r>
    </w:p>
    <w:p>
      <w:pPr>
        <w:spacing w:after="0" w:line="243" w:lineRule="exact"/>
        <w:rPr>
          <w:sz w:val="20"/>
          <w:szCs w:val="20"/>
          <w:color w:val="auto"/>
        </w:rPr>
      </w:pPr>
    </w:p>
    <w:p>
      <w:pPr>
        <w:ind w:left="652"/>
        <w:spacing w:after="0"/>
        <w:rPr>
          <w:sz w:val="20"/>
          <w:szCs w:val="20"/>
          <w:color w:val="auto"/>
        </w:rPr>
      </w:pPr>
      <w:r>
        <w:rPr>
          <w:rFonts w:ascii="Arial" w:cs="Arial" w:eastAsia="Arial" w:hAnsi="Arial"/>
          <w:sz w:val="20"/>
          <w:szCs w:val="20"/>
          <w:color w:val="auto"/>
        </w:rPr>
        <w:t>It shall not be necessary to give notice of the resumption of a Meeting which has been adjourned for any other reason.</w:t>
      </w:r>
    </w:p>
    <w:p>
      <w:pPr>
        <w:spacing w:after="0" w:line="237" w:lineRule="exact"/>
        <w:rPr>
          <w:sz w:val="20"/>
          <w:szCs w:val="20"/>
          <w:color w:val="auto"/>
        </w:rPr>
      </w:pPr>
    </w:p>
    <w:p>
      <w:pPr>
        <w:ind w:left="652" w:hanging="652"/>
        <w:spacing w:after="0"/>
        <w:tabs>
          <w:tab w:leader="none" w:pos="65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The following may attend and speak at a Meeting:</w:t>
      </w:r>
    </w:p>
    <w:p>
      <w:pPr>
        <w:spacing w:after="0" w:line="242" w:lineRule="exact"/>
        <w:rPr>
          <w:rFonts w:ascii="Arial" w:cs="Arial" w:eastAsia="Arial" w:hAnsi="Arial"/>
          <w:sz w:val="20"/>
          <w:szCs w:val="20"/>
          <w:b w:val="1"/>
          <w:bCs w:val="1"/>
          <w:color w:val="auto"/>
        </w:rPr>
      </w:pPr>
    </w:p>
    <w:p>
      <w:pPr>
        <w:ind w:left="1292"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Voters;</w:t>
      </w:r>
    </w:p>
    <w:p>
      <w:pPr>
        <w:spacing w:after="0" w:line="242" w:lineRule="exact"/>
        <w:rPr>
          <w:rFonts w:ascii="Arial" w:cs="Arial" w:eastAsia="Arial" w:hAnsi="Arial"/>
          <w:sz w:val="20"/>
          <w:szCs w:val="20"/>
          <w:color w:val="auto"/>
        </w:rPr>
      </w:pPr>
    </w:p>
    <w:p>
      <w:pPr>
        <w:ind w:left="1292"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representatives of the Company and the Registrar;</w:t>
      </w:r>
    </w:p>
    <w:p>
      <w:pPr>
        <w:spacing w:after="0" w:line="242" w:lineRule="exact"/>
        <w:rPr>
          <w:rFonts w:ascii="Arial" w:cs="Arial" w:eastAsia="Arial" w:hAnsi="Arial"/>
          <w:sz w:val="20"/>
          <w:szCs w:val="20"/>
          <w:color w:val="auto"/>
        </w:rPr>
      </w:pPr>
    </w:p>
    <w:p>
      <w:pPr>
        <w:ind w:left="1292"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financial advisers of the Company;</w:t>
      </w:r>
    </w:p>
    <w:p>
      <w:pPr>
        <w:spacing w:after="0" w:line="242" w:lineRule="exact"/>
        <w:rPr>
          <w:rFonts w:ascii="Arial" w:cs="Arial" w:eastAsia="Arial" w:hAnsi="Arial"/>
          <w:sz w:val="20"/>
          <w:szCs w:val="20"/>
          <w:color w:val="auto"/>
        </w:rPr>
      </w:pPr>
    </w:p>
    <w:p>
      <w:pPr>
        <w:ind w:left="1292"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legal counsel to the Company and the Registrar; and</w:t>
      </w:r>
    </w:p>
    <w:p>
      <w:pPr>
        <w:spacing w:after="0" w:line="242" w:lineRule="exact"/>
        <w:rPr>
          <w:rFonts w:ascii="Arial" w:cs="Arial" w:eastAsia="Arial" w:hAnsi="Arial"/>
          <w:sz w:val="20"/>
          <w:szCs w:val="20"/>
          <w:color w:val="auto"/>
        </w:rPr>
      </w:pPr>
    </w:p>
    <w:p>
      <w:pPr>
        <w:ind w:left="1292" w:hanging="644"/>
        <w:spacing w:after="0"/>
        <w:tabs>
          <w:tab w:leader="none" w:pos="12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other person approved by the Meeting.</w:t>
      </w:r>
    </w:p>
    <w:p>
      <w:pPr>
        <w:spacing w:after="0" w:line="236" w:lineRule="exact"/>
        <w:rPr>
          <w:rFonts w:ascii="Arial" w:cs="Arial" w:eastAsia="Arial" w:hAnsi="Arial"/>
          <w:sz w:val="20"/>
          <w:szCs w:val="20"/>
          <w:color w:val="auto"/>
        </w:rPr>
      </w:pPr>
    </w:p>
    <w:p>
      <w:pPr>
        <w:ind w:left="652" w:hanging="652"/>
        <w:spacing w:after="0"/>
        <w:tabs>
          <w:tab w:leader="none" w:pos="65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SHOW OF HANDS</w:t>
      </w:r>
    </w:p>
    <w:p>
      <w:pPr>
        <w:spacing w:after="0" w:line="248"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Every question submitted to a Meeting shall be decided in the first instance by a show of hands. Unless a poll is validly demanded before or at the time that the result is declared, the Chairman's declaration that on a show of hands a resolution has been passed, passed by a particular majority, rejected or rejected by a particular majority shall be conclusive, without proof of the number of votes cast for, or against, the resolution. Where there is only one Voter, this clause shall not apply and the resolution will immediately be decided by means of a poll.</w:t>
      </w:r>
    </w:p>
    <w:p>
      <w:pPr>
        <w:spacing w:after="0" w:line="185" w:lineRule="exact"/>
        <w:rPr>
          <w:rFonts w:ascii="Arial" w:cs="Arial" w:eastAsia="Arial" w:hAnsi="Arial"/>
          <w:sz w:val="20"/>
          <w:szCs w:val="20"/>
          <w:b w:val="1"/>
          <w:bCs w:val="1"/>
          <w:color w:val="auto"/>
        </w:rPr>
      </w:pPr>
    </w:p>
    <w:p>
      <w:pPr>
        <w:ind w:left="652" w:hanging="652"/>
        <w:spacing w:after="0"/>
        <w:tabs>
          <w:tab w:leader="none" w:pos="652"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POLL</w:t>
      </w:r>
    </w:p>
    <w:p>
      <w:pPr>
        <w:spacing w:after="0" w:line="248" w:lineRule="exact"/>
        <w:rPr>
          <w:rFonts w:ascii="Arial" w:cs="Arial" w:eastAsia="Arial" w:hAnsi="Arial"/>
          <w:sz w:val="20"/>
          <w:szCs w:val="20"/>
          <w:b w:val="1"/>
          <w:bCs w:val="1"/>
          <w:color w:val="auto"/>
        </w:rPr>
      </w:pPr>
    </w:p>
    <w:p>
      <w:pPr>
        <w:jc w:val="both"/>
        <w:ind w:left="652"/>
        <w:spacing w:after="0" w:line="273" w:lineRule="auto"/>
        <w:rPr>
          <w:rFonts w:ascii="Arial" w:cs="Arial" w:eastAsia="Arial" w:hAnsi="Arial"/>
          <w:sz w:val="20"/>
          <w:szCs w:val="20"/>
          <w:b w:val="1"/>
          <w:bCs w:val="1"/>
          <w:color w:val="auto"/>
        </w:rPr>
      </w:pPr>
      <w:r>
        <w:rPr>
          <w:rFonts w:ascii="Arial" w:cs="Arial" w:eastAsia="Arial" w:hAnsi="Arial"/>
          <w:sz w:val="20"/>
          <w:szCs w:val="20"/>
          <w:color w:val="auto"/>
        </w:rPr>
        <w:t>A demand for a poll shall be valid if it is made by the Chairman, the Company or one or more Voters representing or holding not less than one fiftieth of the aggregate principal amount of the outstanding Notes. The poll may be taken immediately or after such adjournment as the Chairman directs, but any poll demanded on the election of the Chairman or on any question of adjournment shall be taken at the Meeting without adjournment. A valid demand for a poll shall not prevent the continuation of the relevant Meeting for any other business as the Chairman directs.</w:t>
      </w:r>
    </w:p>
    <w:p>
      <w:pPr>
        <w:spacing w:after="0" w:line="388"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42</w:t>
            </w:r>
          </w:p>
        </w:tc>
      </w:tr>
    </w:tbl>
    <w:p>
      <w:pPr>
        <w:sectPr>
          <w:pgSz w:w="11900" w:h="16838" w:orient="portrait"/>
          <w:cols w:equalWidth="0" w:num="1">
            <w:col w:w="11412"/>
          </w:cols>
          <w:pgMar w:left="248" w:top="825" w:right="239" w:bottom="1440" w:gutter="0" w:footer="0" w:header="0"/>
        </w:sectPr>
      </w:pPr>
    </w:p>
    <w:bookmarkStart w:id="50" w:name="page51"/>
    <w:bookmarkEnd w:id="50"/>
    <w:p>
      <w:pPr>
        <w:ind w:left="652" w:hanging="652"/>
        <w:spacing w:after="0"/>
        <w:tabs>
          <w:tab w:leader="none" w:pos="652"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VOTES</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Every Voter shall have:</w:t>
      </w:r>
    </w:p>
    <w:p>
      <w:pPr>
        <w:spacing w:after="0" w:line="242" w:lineRule="exact"/>
        <w:rPr>
          <w:rFonts w:ascii="Arial" w:cs="Arial" w:eastAsia="Arial" w:hAnsi="Arial"/>
          <w:sz w:val="20"/>
          <w:szCs w:val="20"/>
          <w:b w:val="1"/>
          <w:bCs w:val="1"/>
          <w:color w:val="auto"/>
        </w:rPr>
      </w:pPr>
    </w:p>
    <w:p>
      <w:pPr>
        <w:ind w:left="1292" w:hanging="644"/>
        <w:spacing w:after="0"/>
        <w:tabs>
          <w:tab w:leader="none" w:pos="1292" w:val="left"/>
        </w:tabs>
        <w:numPr>
          <w:ilvl w:val="1"/>
          <w:numId w:val="53"/>
        </w:numPr>
        <w:rPr>
          <w:rFonts w:ascii="Arial" w:cs="Arial" w:eastAsia="Arial" w:hAnsi="Arial"/>
          <w:sz w:val="20"/>
          <w:szCs w:val="20"/>
          <w:color w:val="auto"/>
        </w:rPr>
      </w:pPr>
      <w:r>
        <w:rPr>
          <w:rFonts w:ascii="Arial" w:cs="Arial" w:eastAsia="Arial" w:hAnsi="Arial"/>
          <w:sz w:val="20"/>
          <w:szCs w:val="20"/>
          <w:color w:val="auto"/>
        </w:rPr>
        <w:t>on a show of hands, one vote; and</w:t>
      </w:r>
    </w:p>
    <w:p>
      <w:pPr>
        <w:spacing w:after="0" w:line="242" w:lineRule="exact"/>
        <w:rPr>
          <w:rFonts w:ascii="Arial" w:cs="Arial" w:eastAsia="Arial" w:hAnsi="Arial"/>
          <w:sz w:val="20"/>
          <w:szCs w:val="20"/>
          <w:color w:val="auto"/>
        </w:rPr>
      </w:pPr>
    </w:p>
    <w:p>
      <w:pPr>
        <w:ind w:left="652" w:right="220" w:hanging="4"/>
        <w:spacing w:after="0" w:line="493"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on a poll, one vote in respect of each €1,000 in aggregate face amount of the outstanding Note(s) represented or held by him. In the case of a voting tie the Chairman shall have a casting vote.</w:t>
      </w:r>
    </w:p>
    <w:p>
      <w:pPr>
        <w:spacing w:after="0" w:line="1" w:lineRule="exact"/>
        <w:rPr>
          <w:sz w:val="20"/>
          <w:szCs w:val="20"/>
          <w:color w:val="auto"/>
        </w:rPr>
      </w:pPr>
    </w:p>
    <w:p>
      <w:pPr>
        <w:ind w:left="652"/>
        <w:spacing w:after="0" w:line="289" w:lineRule="auto"/>
        <w:rPr>
          <w:sz w:val="20"/>
          <w:szCs w:val="20"/>
          <w:color w:val="auto"/>
        </w:rPr>
      </w:pPr>
      <w:r>
        <w:rPr>
          <w:rFonts w:ascii="Arial" w:cs="Arial" w:eastAsia="Arial" w:hAnsi="Arial"/>
          <w:sz w:val="20"/>
          <w:szCs w:val="20"/>
          <w:color w:val="auto"/>
        </w:rPr>
        <w:t>Unless the terms of any Block Voting Instruction state otherwise, a Voter shall not be obliged to exercise all the votes to which he is entitled or to cast all the votes which he exercises in the same way.</w:t>
      </w:r>
    </w:p>
    <w:p>
      <w:pPr>
        <w:spacing w:after="0" w:line="169" w:lineRule="exact"/>
        <w:rPr>
          <w:sz w:val="20"/>
          <w:szCs w:val="20"/>
          <w:color w:val="auto"/>
        </w:rPr>
      </w:pPr>
    </w:p>
    <w:p>
      <w:pPr>
        <w:ind w:left="652" w:hanging="652"/>
        <w:spacing w:after="0"/>
        <w:tabs>
          <w:tab w:leader="none" w:pos="652"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VALIDITY OF VOTES BY PROXIES</w:t>
      </w:r>
    </w:p>
    <w:p>
      <w:pPr>
        <w:spacing w:after="0" w:line="248" w:lineRule="exact"/>
        <w:rPr>
          <w:rFonts w:ascii="Arial" w:cs="Arial" w:eastAsia="Arial" w:hAnsi="Arial"/>
          <w:sz w:val="20"/>
          <w:szCs w:val="20"/>
          <w:b w:val="1"/>
          <w:bCs w:val="1"/>
          <w:color w:val="auto"/>
        </w:rPr>
      </w:pPr>
    </w:p>
    <w:p>
      <w:pPr>
        <w:jc w:val="both"/>
        <w:ind w:left="652"/>
        <w:spacing w:after="0" w:line="304" w:lineRule="auto"/>
        <w:rPr>
          <w:rFonts w:ascii="Arial" w:cs="Arial" w:eastAsia="Arial" w:hAnsi="Arial"/>
          <w:sz w:val="20"/>
          <w:szCs w:val="20"/>
          <w:b w:val="1"/>
          <w:bCs w:val="1"/>
          <w:color w:val="auto"/>
        </w:rPr>
      </w:pPr>
      <w:r>
        <w:rPr>
          <w:rFonts w:ascii="Arial" w:cs="Arial" w:eastAsia="Arial" w:hAnsi="Arial"/>
          <w:sz w:val="18"/>
          <w:szCs w:val="18"/>
          <w:color w:val="auto"/>
        </w:rPr>
        <w:t xml:space="preserve">Any vote by a Proxy in accordance with the relevant Form of Proxy or Block Voting Instruction shall be valid even if such Form of Proxy or (as the case may be) Block Voting Instruction or any instruction pursuant to which it was given has been amended or revoked, </w:t>
      </w:r>
      <w:r>
        <w:rPr>
          <w:rFonts w:ascii="Arial" w:cs="Arial" w:eastAsia="Arial" w:hAnsi="Arial"/>
          <w:sz w:val="18"/>
          <w:szCs w:val="18"/>
          <w:b w:val="1"/>
          <w:bCs w:val="1"/>
          <w:color w:val="auto"/>
        </w:rPr>
        <w:t xml:space="preserve">provided </w:t>
      </w:r>
      <w:r>
        <w:rPr>
          <w:rFonts w:ascii="Arial" w:cs="Arial" w:eastAsia="Arial" w:hAnsi="Arial"/>
          <w:sz w:val="18"/>
          <w:szCs w:val="18"/>
          <w:color w:val="auto"/>
        </w:rPr>
        <w:t>that the Registrar has not been notified in writing of such amendment or revocation by the time which is 48 hours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fixed for the relevant Meeting. Unless revoked, any appointment of a Proxy under a Block Voting Instruction or Form of Proxy in relation to a Meeting shall remain in force in relation to any resumption of such Meeting following an adjournment;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color w:val="auto"/>
        </w:rPr>
        <w:t>however</w:t>
      </w:r>
      <w:r>
        <w:rPr>
          <w:rFonts w:ascii="Arial" w:cs="Arial" w:eastAsia="Arial" w:hAnsi="Arial"/>
          <w:sz w:val="18"/>
          <w:szCs w:val="18"/>
          <w:color w:val="auto"/>
        </w:rPr>
        <w:t>, that no such appointment of a Proxy in relation to a Meeting originally convened which has been adjourned for want of a</w:t>
      </w:r>
      <w:r>
        <w:rPr>
          <w:rFonts w:ascii="Arial" w:cs="Arial" w:eastAsia="Arial" w:hAnsi="Arial"/>
          <w:sz w:val="18"/>
          <w:szCs w:val="18"/>
          <w:b w:val="1"/>
          <w:bCs w:val="1"/>
          <w:color w:val="auto"/>
        </w:rPr>
        <w:t xml:space="preserve"> </w:t>
      </w:r>
      <w:r>
        <w:rPr>
          <w:rFonts w:ascii="Arial" w:cs="Arial" w:eastAsia="Arial" w:hAnsi="Arial"/>
          <w:sz w:val="18"/>
          <w:szCs w:val="18"/>
          <w:color w:val="auto"/>
        </w:rPr>
        <w:t>quorum shall remain in force in relation to such Meeting when it is resumed. Any person appointed to vote at such a Meeting must be re-appointed under a Block Voting Instruction Proxy or Form of Proxy to vote at the Meeting when it is resumed.</w:t>
      </w:r>
    </w:p>
    <w:p>
      <w:pPr>
        <w:spacing w:after="0" w:line="165" w:lineRule="exact"/>
        <w:rPr>
          <w:rFonts w:ascii="Arial" w:cs="Arial" w:eastAsia="Arial" w:hAnsi="Arial"/>
          <w:sz w:val="20"/>
          <w:szCs w:val="20"/>
          <w:b w:val="1"/>
          <w:bCs w:val="1"/>
          <w:color w:val="auto"/>
        </w:rPr>
      </w:pPr>
    </w:p>
    <w:p>
      <w:pPr>
        <w:ind w:left="652" w:hanging="652"/>
        <w:spacing w:after="0"/>
        <w:tabs>
          <w:tab w:leader="none" w:pos="652"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POWERS</w:t>
      </w:r>
    </w:p>
    <w:p>
      <w:pPr>
        <w:spacing w:after="0" w:line="248" w:lineRule="exact"/>
        <w:rPr>
          <w:rFonts w:ascii="Arial" w:cs="Arial" w:eastAsia="Arial" w:hAnsi="Arial"/>
          <w:sz w:val="20"/>
          <w:szCs w:val="20"/>
          <w:b w:val="1"/>
          <w:bCs w:val="1"/>
          <w:color w:val="auto"/>
        </w:rPr>
      </w:pPr>
    </w:p>
    <w:p>
      <w:pPr>
        <w:ind w:left="652"/>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A Meeting shall have power (exercisable by Extraordinary Resolution), without prejudice to any other powers conferred on it or any other person:</w:t>
      </w:r>
    </w:p>
    <w:p>
      <w:pPr>
        <w:spacing w:after="0" w:line="175" w:lineRule="exact"/>
        <w:rPr>
          <w:rFonts w:ascii="Arial" w:cs="Arial" w:eastAsia="Arial" w:hAnsi="Arial"/>
          <w:sz w:val="20"/>
          <w:szCs w:val="20"/>
          <w:b w:val="1"/>
          <w:bCs w:val="1"/>
          <w:color w:val="auto"/>
        </w:rPr>
      </w:pPr>
    </w:p>
    <w:p>
      <w:pPr>
        <w:ind w:left="1292" w:hanging="644"/>
        <w:spacing w:after="0"/>
        <w:tabs>
          <w:tab w:leader="none" w:pos="1292" w:val="left"/>
        </w:tabs>
        <w:numPr>
          <w:ilvl w:val="1"/>
          <w:numId w:val="54"/>
        </w:numPr>
        <w:rPr>
          <w:rFonts w:ascii="Arial" w:cs="Arial" w:eastAsia="Arial" w:hAnsi="Arial"/>
          <w:sz w:val="20"/>
          <w:szCs w:val="20"/>
          <w:color w:val="auto"/>
        </w:rPr>
      </w:pPr>
      <w:r>
        <w:rPr>
          <w:rFonts w:ascii="Arial" w:cs="Arial" w:eastAsia="Arial" w:hAnsi="Arial"/>
          <w:sz w:val="20"/>
          <w:szCs w:val="20"/>
          <w:color w:val="auto"/>
        </w:rPr>
        <w:t>to approve any Reserved Matter;</w:t>
      </w:r>
    </w:p>
    <w:p>
      <w:pPr>
        <w:spacing w:after="0" w:line="242" w:lineRule="exact"/>
        <w:rPr>
          <w:rFonts w:ascii="Arial" w:cs="Arial" w:eastAsia="Arial" w:hAnsi="Arial"/>
          <w:sz w:val="20"/>
          <w:szCs w:val="20"/>
          <w:color w:val="auto"/>
        </w:rPr>
      </w:pPr>
    </w:p>
    <w:p>
      <w:pPr>
        <w:ind w:left="1292" w:hanging="644"/>
        <w:spacing w:after="0" w:line="347" w:lineRule="auto"/>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approve any proposal by the Company for any modification, abrogation, variation or compromise of any of the terms and conditions of the Notes or any arrangement in respect of the obligations of the Company under or in respect of the Notes;</w:t>
      </w:r>
    </w:p>
    <w:p>
      <w:pPr>
        <w:spacing w:after="0" w:line="130" w:lineRule="exact"/>
        <w:rPr>
          <w:rFonts w:ascii="Arial" w:cs="Arial" w:eastAsia="Arial" w:hAnsi="Arial"/>
          <w:sz w:val="18"/>
          <w:szCs w:val="18"/>
          <w:color w:val="auto"/>
        </w:rPr>
      </w:pPr>
    </w:p>
    <w:p>
      <w:pPr>
        <w:ind w:left="1292" w:hanging="644"/>
        <w:spacing w:after="0"/>
        <w:tabs>
          <w:tab w:leader="none" w:pos="12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approve the substitution of any person for the Company (or any previous substitute) as principal obligor under the Notes;</w:t>
      </w:r>
    </w:p>
    <w:p>
      <w:pPr>
        <w:spacing w:after="0" w:line="265" w:lineRule="exact"/>
        <w:rPr>
          <w:rFonts w:ascii="Arial" w:cs="Arial" w:eastAsia="Arial" w:hAnsi="Arial"/>
          <w:sz w:val="18"/>
          <w:szCs w:val="18"/>
          <w:color w:val="auto"/>
        </w:rPr>
      </w:pPr>
    </w:p>
    <w:p>
      <w:pPr>
        <w:ind w:left="1292" w:hanging="644"/>
        <w:spacing w:after="0" w:line="289" w:lineRule="auto"/>
        <w:tabs>
          <w:tab w:leader="none" w:pos="1292" w:val="left"/>
        </w:tabs>
        <w:numPr>
          <w:ilvl w:val="1"/>
          <w:numId w:val="54"/>
        </w:numPr>
        <w:rPr>
          <w:rFonts w:ascii="Arial" w:cs="Arial" w:eastAsia="Arial" w:hAnsi="Arial"/>
          <w:sz w:val="20"/>
          <w:szCs w:val="20"/>
          <w:color w:val="auto"/>
        </w:rPr>
      </w:pPr>
      <w:r>
        <w:rPr>
          <w:rFonts w:ascii="Arial" w:cs="Arial" w:eastAsia="Arial" w:hAnsi="Arial"/>
          <w:sz w:val="20"/>
          <w:szCs w:val="20"/>
          <w:color w:val="auto"/>
        </w:rPr>
        <w:t>to waive any breach or authorize any proposed breach by the Company of its obligations under or in respect of the Notes or any act or omission which might otherwise constitute an event of default under the Notes;</w:t>
      </w:r>
    </w:p>
    <w:p>
      <w:pPr>
        <w:spacing w:after="0" w:line="175" w:lineRule="exact"/>
        <w:rPr>
          <w:rFonts w:ascii="Arial" w:cs="Arial" w:eastAsia="Arial" w:hAnsi="Arial"/>
          <w:sz w:val="20"/>
          <w:szCs w:val="20"/>
          <w:color w:val="auto"/>
        </w:rPr>
      </w:pPr>
    </w:p>
    <w:p>
      <w:pPr>
        <w:ind w:left="1292" w:hanging="644"/>
        <w:spacing w:after="0" w:line="289" w:lineRule="auto"/>
        <w:tabs>
          <w:tab w:leader="none" w:pos="1292" w:val="left"/>
        </w:tabs>
        <w:numPr>
          <w:ilvl w:val="1"/>
          <w:numId w:val="54"/>
        </w:numPr>
        <w:rPr>
          <w:rFonts w:ascii="Arial" w:cs="Arial" w:eastAsia="Arial" w:hAnsi="Arial"/>
          <w:sz w:val="20"/>
          <w:szCs w:val="20"/>
          <w:color w:val="auto"/>
        </w:rPr>
      </w:pPr>
      <w:r>
        <w:rPr>
          <w:rFonts w:ascii="Arial" w:cs="Arial" w:eastAsia="Arial" w:hAnsi="Arial"/>
          <w:sz w:val="20"/>
          <w:szCs w:val="20"/>
          <w:color w:val="auto"/>
        </w:rPr>
        <w:t>to authorize the Registrar or any other person to execute all documents and do all things necessary to give effect to any Extraordinary Resolution;</w:t>
      </w:r>
    </w:p>
    <w:p>
      <w:pPr>
        <w:spacing w:after="0" w:line="373"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43</w:t>
            </w:r>
          </w:p>
        </w:tc>
      </w:tr>
    </w:tbl>
    <w:p>
      <w:pPr>
        <w:sectPr>
          <w:pgSz w:w="11900" w:h="16838" w:orient="portrait"/>
          <w:cols w:equalWidth="0" w:num="1">
            <w:col w:w="11412"/>
          </w:cols>
          <w:pgMar w:left="248" w:top="819" w:right="239" w:bottom="1440" w:gutter="0" w:footer="0" w:header="0"/>
        </w:sectPr>
      </w:pPr>
    </w:p>
    <w:bookmarkStart w:id="51" w:name="page52"/>
    <w:bookmarkEnd w:id="51"/>
    <w:p>
      <w:pPr>
        <w:ind w:left="1292" w:hanging="644"/>
        <w:spacing w:after="0"/>
        <w:tabs>
          <w:tab w:leader="none" w:pos="1292" w:val="left"/>
        </w:tabs>
        <w:numPr>
          <w:ilvl w:val="1"/>
          <w:numId w:val="55"/>
        </w:numPr>
        <w:rPr>
          <w:rFonts w:ascii="Arial" w:cs="Arial" w:eastAsia="Arial" w:hAnsi="Arial"/>
          <w:sz w:val="20"/>
          <w:szCs w:val="20"/>
          <w:color w:val="auto"/>
        </w:rPr>
      </w:pPr>
      <w:r>
        <w:rPr>
          <w:rFonts w:ascii="Arial" w:cs="Arial" w:eastAsia="Arial" w:hAnsi="Arial"/>
          <w:sz w:val="20"/>
          <w:szCs w:val="20"/>
          <w:color w:val="auto"/>
        </w:rPr>
        <w:t>to give any other authorization or approval which is required to be given by Extraordinary Resolution; and</w:t>
      </w:r>
    </w:p>
    <w:p>
      <w:pPr>
        <w:spacing w:after="0" w:line="242" w:lineRule="exact"/>
        <w:rPr>
          <w:rFonts w:ascii="Arial" w:cs="Arial" w:eastAsia="Arial" w:hAnsi="Arial"/>
          <w:sz w:val="20"/>
          <w:szCs w:val="20"/>
          <w:color w:val="auto"/>
        </w:rPr>
      </w:pPr>
    </w:p>
    <w:p>
      <w:pPr>
        <w:ind w:left="1292" w:hanging="644"/>
        <w:spacing w:after="0" w:line="289" w:lineRule="auto"/>
        <w:tabs>
          <w:tab w:leader="none" w:pos="1292" w:val="left"/>
        </w:tabs>
        <w:numPr>
          <w:ilvl w:val="1"/>
          <w:numId w:val="55"/>
        </w:numPr>
        <w:rPr>
          <w:rFonts w:ascii="Arial" w:cs="Arial" w:eastAsia="Arial" w:hAnsi="Arial"/>
          <w:sz w:val="20"/>
          <w:szCs w:val="20"/>
          <w:color w:val="auto"/>
        </w:rPr>
      </w:pPr>
      <w:r>
        <w:rPr>
          <w:rFonts w:ascii="Arial" w:cs="Arial" w:eastAsia="Arial" w:hAnsi="Arial"/>
          <w:sz w:val="20"/>
          <w:szCs w:val="20"/>
          <w:color w:val="auto"/>
        </w:rPr>
        <w:t>to appoint any persons as a committee to represent the interests of the Noteholders and to confer upon such committee any powers which the Noteholders could themselves exercise by Extraordinary Resolution.</w:t>
      </w:r>
    </w:p>
    <w:p>
      <w:pPr>
        <w:spacing w:after="0" w:line="169" w:lineRule="exact"/>
        <w:rPr>
          <w:rFonts w:ascii="Arial" w:cs="Arial" w:eastAsia="Arial" w:hAnsi="Arial"/>
          <w:sz w:val="20"/>
          <w:szCs w:val="20"/>
          <w:color w:val="auto"/>
        </w:rPr>
      </w:pPr>
    </w:p>
    <w:p>
      <w:pPr>
        <w:ind w:left="652" w:hanging="652"/>
        <w:spacing w:after="0"/>
        <w:tabs>
          <w:tab w:leader="none" w:pos="65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EXTRAORDINARY RESOLUTION BINDS ALL HOLDERS</w:t>
      </w:r>
    </w:p>
    <w:p>
      <w:pPr>
        <w:spacing w:after="0" w:line="248" w:lineRule="exact"/>
        <w:rPr>
          <w:rFonts w:ascii="Arial" w:cs="Arial" w:eastAsia="Arial" w:hAnsi="Arial"/>
          <w:sz w:val="20"/>
          <w:szCs w:val="20"/>
          <w:b w:val="1"/>
          <w:bCs w:val="1"/>
          <w:color w:val="auto"/>
        </w:rPr>
      </w:pPr>
    </w:p>
    <w:p>
      <w:pPr>
        <w:jc w:val="both"/>
        <w:ind w:left="652"/>
        <w:spacing w:after="0" w:line="322" w:lineRule="auto"/>
        <w:rPr>
          <w:rFonts w:ascii="Arial" w:cs="Arial" w:eastAsia="Arial" w:hAnsi="Arial"/>
          <w:sz w:val="20"/>
          <w:szCs w:val="20"/>
          <w:b w:val="1"/>
          <w:bCs w:val="1"/>
          <w:color w:val="auto"/>
        </w:rPr>
      </w:pPr>
      <w:r>
        <w:rPr>
          <w:rFonts w:ascii="Arial" w:cs="Arial" w:eastAsia="Arial" w:hAnsi="Arial"/>
          <w:sz w:val="18"/>
          <w:szCs w:val="18"/>
          <w:color w:val="auto"/>
        </w:rPr>
        <w:t>An Extraordinary Resolution shall be binding upon all Noteholders whether or not present at such Meeting and each of the Noteholders shall be bound to give effect to it accordingly. Notice of the result of every vote on an Extraordinary Resolution shall be given to the Noteholders and the Paying Agents (with a copy to the Company) within 14 days of the conclusion of the Meeting.</w:t>
      </w:r>
    </w:p>
    <w:p>
      <w:pPr>
        <w:spacing w:after="0" w:line="146" w:lineRule="exact"/>
        <w:rPr>
          <w:rFonts w:ascii="Arial" w:cs="Arial" w:eastAsia="Arial" w:hAnsi="Arial"/>
          <w:sz w:val="20"/>
          <w:szCs w:val="20"/>
          <w:b w:val="1"/>
          <w:bCs w:val="1"/>
          <w:color w:val="auto"/>
        </w:rPr>
      </w:pPr>
    </w:p>
    <w:p>
      <w:pPr>
        <w:ind w:left="652" w:hanging="652"/>
        <w:spacing w:after="0"/>
        <w:tabs>
          <w:tab w:leader="none" w:pos="65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248" w:lineRule="exact"/>
        <w:rPr>
          <w:rFonts w:ascii="Arial" w:cs="Arial" w:eastAsia="Arial" w:hAnsi="Arial"/>
          <w:sz w:val="20"/>
          <w:szCs w:val="20"/>
          <w:b w:val="1"/>
          <w:bCs w:val="1"/>
          <w:color w:val="auto"/>
        </w:rPr>
      </w:pPr>
    </w:p>
    <w:p>
      <w:pPr>
        <w:jc w:val="both"/>
        <w:ind w:left="652"/>
        <w:spacing w:after="0" w:line="293" w:lineRule="auto"/>
        <w:rPr>
          <w:rFonts w:ascii="Arial" w:cs="Arial" w:eastAsia="Arial" w:hAnsi="Arial"/>
          <w:sz w:val="20"/>
          <w:szCs w:val="20"/>
          <w:b w:val="1"/>
          <w:bCs w:val="1"/>
          <w:color w:val="auto"/>
        </w:rPr>
      </w:pPr>
      <w:r>
        <w:rPr>
          <w:rFonts w:ascii="Arial" w:cs="Arial" w:eastAsia="Arial" w:hAnsi="Arial"/>
          <w:sz w:val="19"/>
          <w:szCs w:val="19"/>
          <w:color w:val="auto"/>
        </w:rPr>
        <w:t xml:space="preserve">Minutes shall be made of all resolutions and proceedings at each Meeting. The Chairman shall sign the minutes, which shall be </w:t>
      </w:r>
      <w:r>
        <w:rPr>
          <w:rFonts w:ascii="Arial" w:cs="Arial" w:eastAsia="Arial" w:hAnsi="Arial"/>
          <w:sz w:val="19"/>
          <w:szCs w:val="19"/>
          <w:i w:val="1"/>
          <w:iCs w:val="1"/>
          <w:color w:val="auto"/>
        </w:rPr>
        <w:t>prima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facie </w:t>
      </w:r>
      <w:r>
        <w:rPr>
          <w:rFonts w:ascii="Arial" w:cs="Arial" w:eastAsia="Arial" w:hAnsi="Arial"/>
          <w:sz w:val="19"/>
          <w:szCs w:val="19"/>
          <w:color w:val="auto"/>
        </w:rPr>
        <w:t>evidence of the proceedings recorded therein. Unless and until the contrary is proved, every such Meeting in respect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proceedings of which minutes have been summarized and signed shall be deemed to have been duly convened and held and all resolutions passed or proceedings transacted at it to have been duly passed and transacted.</w:t>
      </w:r>
    </w:p>
    <w:p>
      <w:pPr>
        <w:spacing w:after="0" w:line="169" w:lineRule="exact"/>
        <w:rPr>
          <w:rFonts w:ascii="Arial" w:cs="Arial" w:eastAsia="Arial" w:hAnsi="Arial"/>
          <w:sz w:val="20"/>
          <w:szCs w:val="20"/>
          <w:b w:val="1"/>
          <w:bCs w:val="1"/>
          <w:color w:val="auto"/>
        </w:rPr>
      </w:pPr>
    </w:p>
    <w:p>
      <w:pPr>
        <w:ind w:left="652" w:hanging="652"/>
        <w:spacing w:after="0"/>
        <w:tabs>
          <w:tab w:leader="none" w:pos="65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WRITTEN RESOLUTION</w:t>
      </w:r>
    </w:p>
    <w:p>
      <w:pPr>
        <w:spacing w:after="0" w:line="24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A Written Resolution shall take effect as if it were an Extraordinary Resolution.</w:t>
      </w:r>
    </w:p>
    <w:p>
      <w:pPr>
        <w:spacing w:after="0" w:line="200" w:lineRule="exact"/>
        <w:rPr>
          <w:sz w:val="20"/>
          <w:szCs w:val="20"/>
          <w:color w:val="auto"/>
        </w:rPr>
      </w:pPr>
    </w:p>
    <w:p>
      <w:pPr>
        <w:spacing w:after="0" w:line="240" w:lineRule="exact"/>
        <w:rPr>
          <w:sz w:val="20"/>
          <w:szCs w:val="20"/>
          <w:color w:val="auto"/>
        </w:rPr>
      </w:pPr>
    </w:p>
    <w:tbl>
      <w:tblPr>
        <w:tblLayout w:type="fixed"/>
        <w:tblInd w:w="32"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44</w:t>
            </w:r>
          </w:p>
        </w:tc>
      </w:tr>
    </w:tbl>
    <w:p>
      <w:pPr>
        <w:sectPr>
          <w:pgSz w:w="11900" w:h="16838" w:orient="portrait"/>
          <w:cols w:equalWidth="0" w:num="1">
            <w:col w:w="11412"/>
          </w:cols>
          <w:pgMar w:left="248" w:top="825" w:right="239" w:bottom="1440" w:gutter="0" w:footer="0" w:header="0"/>
        </w:sectPr>
      </w:pPr>
    </w:p>
    <w:bookmarkStart w:id="52" w:name="page53"/>
    <w:bookmarkEnd w:id="52"/>
    <w:p>
      <w:pPr>
        <w:ind w:left="5040"/>
        <w:spacing w:after="0"/>
        <w:rPr>
          <w:sz w:val="20"/>
          <w:szCs w:val="20"/>
          <w:color w:val="auto"/>
        </w:rPr>
      </w:pPr>
      <w:r>
        <w:rPr>
          <w:rFonts w:ascii="Arial" w:cs="Arial" w:eastAsia="Arial" w:hAnsi="Arial"/>
          <w:sz w:val="20"/>
          <w:szCs w:val="20"/>
          <w:b w:val="1"/>
          <w:bCs w:val="1"/>
          <w:color w:val="auto"/>
        </w:rPr>
        <w:t>SIGNATORIES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MANPOWERGROUP INC.</w:t>
      </w:r>
    </w:p>
    <w:p>
      <w:pPr>
        <w:spacing w:after="0" w:line="24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b w:val="1"/>
          <w:bCs w:val="1"/>
          <w:color w:val="auto"/>
        </w:rPr>
        <w:t>/s/ Richard Buchband</w:t>
      </w:r>
    </w:p>
    <w:p>
      <w:pPr>
        <w:spacing w:after="0" w:line="200" w:lineRule="exact"/>
        <w:rPr>
          <w:sz w:val="20"/>
          <w:szCs w:val="20"/>
          <w:color w:val="auto"/>
        </w:rPr>
      </w:pPr>
    </w:p>
    <w:p>
      <w:pPr>
        <w:spacing w:after="0" w:line="29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b w:val="1"/>
          <w:bCs w:val="1"/>
          <w:color w:val="auto"/>
        </w:rPr>
        <w:t>RICHARD BUCHBAND</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CITIBANK, N.A., LONDON BRANCH</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Fiscal Agent, Principal Paying Agent, Registrar and Transfer Agent</w:t>
      </w:r>
    </w:p>
    <w:p>
      <w:pPr>
        <w:spacing w:after="0" w:line="243"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b w:val="1"/>
          <w:bCs w:val="1"/>
          <w:color w:val="auto"/>
        </w:rPr>
        <w:t>/s/ Sarah D'Souza</w:t>
      </w:r>
    </w:p>
    <w:p>
      <w:pPr>
        <w:spacing w:after="0" w:line="200" w:lineRule="exact"/>
        <w:rPr>
          <w:sz w:val="20"/>
          <w:szCs w:val="20"/>
          <w:color w:val="auto"/>
        </w:rPr>
      </w:pPr>
    </w:p>
    <w:p>
      <w:pPr>
        <w:spacing w:after="0" w:line="299"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b w:val="1"/>
          <w:bCs w:val="1"/>
          <w:color w:val="auto"/>
        </w:rPr>
        <w:t>Sarah D'Souza</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b w:val="1"/>
          <w:bCs w:val="1"/>
          <w:color w:val="auto"/>
        </w:rPr>
        <w:t>Vice President</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14258798.1</w:t>
      </w: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Arial" w:cs="Arial" w:eastAsia="Arial" w:hAnsi="Arial"/>
                <w:sz w:val="14"/>
                <w:szCs w:val="14"/>
                <w:color w:val="auto"/>
              </w:rPr>
              <w:t>0010155-0002339 ICM:22527054.5C</w:t>
            </w:r>
          </w:p>
        </w:tc>
        <w:tc>
          <w:tcPr>
            <w:tcW w:w="1840" w:type="dxa"/>
            <w:vAlign w:val="bottom"/>
          </w:tcPr>
          <w:p>
            <w:pPr>
              <w:jc w:val="right"/>
              <w:spacing w:after="0"/>
              <w:rPr>
                <w:sz w:val="20"/>
                <w:szCs w:val="20"/>
                <w:color w:val="auto"/>
              </w:rPr>
            </w:pPr>
            <w:r>
              <w:rPr>
                <w:rFonts w:ascii="Arial" w:cs="Arial" w:eastAsia="Arial" w:hAnsi="Arial"/>
                <w:sz w:val="14"/>
                <w:szCs w:val="14"/>
                <w:color w:val="auto"/>
              </w:rPr>
              <w:t>45</w:t>
            </w:r>
          </w:p>
        </w:tc>
      </w:tr>
    </w:tbl>
    <w:p>
      <w:pPr>
        <w:sectPr>
          <w:pgSz w:w="11900" w:h="16838" w:orient="portrait"/>
          <w:cols w:equalWidth="0" w:num="1">
            <w:col w:w="10219"/>
          </w:cols>
          <w:pgMar w:left="240" w:top="819"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Exhibit 10.1</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COPY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$600,000,000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FIVE YEAR CREDIT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16, 2015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 Borrower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INITIAL LENDERS NAMED HEREIN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 Initial Lenders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CITIBANK, N.A.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 Administrative Agent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BNP PARIBAS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 Syndication Agent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BARCLAYS BANK PLC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JPMORGAN CHASE BANK, N.A.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 Documentation Agents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CITIGROUP GLOBAL MARKETS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BARCLAYS BANK PLC</w:t>
      </w:r>
    </w:p>
    <w:p>
      <w:pPr>
        <w:jc w:val="center"/>
        <w:spacing w:after="0" w:line="236" w:lineRule="auto"/>
        <w:rPr>
          <w:sz w:val="20"/>
          <w:szCs w:val="20"/>
          <w:color w:val="auto"/>
        </w:rPr>
      </w:pPr>
      <w:r>
        <w:rPr>
          <w:rFonts w:ascii="Arial" w:cs="Arial" w:eastAsia="Arial" w:hAnsi="Arial"/>
          <w:sz w:val="22"/>
          <w:szCs w:val="22"/>
          <w:b w:val="1"/>
          <w:bCs w:val="1"/>
          <w:color w:val="auto"/>
        </w:rPr>
        <w:t>BNP PARIBAS SECURITIES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 MORGAN SECURITIES LLC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 Joint Lead Arrangers and Book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 ManpowerGroup Five Year Credit Agreement</w:t>
      </w:r>
    </w:p>
    <w:p>
      <w:pPr>
        <w:sectPr>
          <w:pgSz w:w="11900" w:h="16838" w:orient="portrait"/>
          <w:cols w:equalWidth="0" w:num="1">
            <w:col w:w="11420"/>
          </w:cols>
          <w:pgMar w:left="240" w:top="132" w:right="2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379"/>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83"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4"/>
          <w:szCs w:val="14"/>
          <w:color w:val="auto"/>
        </w:rPr>
        <w:t>1</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sz w:val="20"/>
          <w:szCs w:val="20"/>
          <w:color w:val="auto"/>
        </w:rPr>
        <w:tab/>
      </w:r>
      <w:r>
        <w:rPr>
          <w:rFonts w:ascii="Arial" w:cs="Arial" w:eastAsia="Arial" w:hAnsi="Arial"/>
          <w:sz w:val="14"/>
          <w:szCs w:val="14"/>
          <w:color w:val="auto"/>
        </w:rPr>
        <w:t>1</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sz w:val="20"/>
          <w:szCs w:val="20"/>
          <w:color w:val="auto"/>
        </w:rPr>
        <w:tab/>
      </w:r>
      <w:r>
        <w:rPr>
          <w:rFonts w:ascii="Arial" w:cs="Arial" w:eastAsia="Arial" w:hAnsi="Arial"/>
          <w:sz w:val="16"/>
          <w:szCs w:val="16"/>
          <w:color w:val="auto"/>
        </w:rPr>
        <w:t>16</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sz w:val="20"/>
          <w:szCs w:val="20"/>
          <w:color w:val="auto"/>
        </w:rPr>
        <w:tab/>
      </w:r>
      <w:r>
        <w:rPr>
          <w:rFonts w:ascii="Arial" w:cs="Arial" w:eastAsia="Arial" w:hAnsi="Arial"/>
          <w:sz w:val="16"/>
          <w:szCs w:val="16"/>
          <w:color w:val="auto"/>
        </w:rPr>
        <w:t>16</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16"/>
          <w:szCs w:val="16"/>
          <w:color w:val="auto"/>
        </w:rPr>
        <w:t>16</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Revolving Credit Advances and the Letters of Credit</w:t>
      </w:r>
      <w:r>
        <w:rPr>
          <w:sz w:val="20"/>
          <w:szCs w:val="20"/>
          <w:color w:val="auto"/>
        </w:rPr>
        <w:tab/>
      </w:r>
      <w:r>
        <w:rPr>
          <w:rFonts w:ascii="Arial" w:cs="Arial" w:eastAsia="Arial" w:hAnsi="Arial"/>
          <w:sz w:val="16"/>
          <w:szCs w:val="16"/>
          <w:color w:val="auto"/>
        </w:rPr>
        <w:t>16</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the Revolving Credit Advances</w:t>
      </w:r>
      <w:r>
        <w:rPr>
          <w:sz w:val="20"/>
          <w:szCs w:val="20"/>
          <w:color w:val="auto"/>
        </w:rPr>
        <w:tab/>
      </w:r>
      <w:r>
        <w:rPr>
          <w:rFonts w:ascii="Arial" w:cs="Arial" w:eastAsia="Arial" w:hAnsi="Arial"/>
          <w:sz w:val="16"/>
          <w:szCs w:val="16"/>
          <w:color w:val="auto"/>
        </w:rPr>
        <w:t>17</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[Reserved]</w:t>
      </w:r>
      <w:r>
        <w:rPr>
          <w:sz w:val="20"/>
          <w:szCs w:val="20"/>
          <w:color w:val="auto"/>
        </w:rPr>
        <w:tab/>
      </w:r>
      <w:r>
        <w:rPr>
          <w:rFonts w:ascii="Arial" w:cs="Arial" w:eastAsia="Arial" w:hAnsi="Arial"/>
          <w:sz w:val="16"/>
          <w:szCs w:val="16"/>
          <w:color w:val="auto"/>
        </w:rPr>
        <w:t>18</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Issuance of and Drawings and Reimbursement Under Letters of Credit.</w:t>
      </w:r>
      <w:r>
        <w:rPr>
          <w:sz w:val="20"/>
          <w:szCs w:val="20"/>
          <w:color w:val="auto"/>
        </w:rPr>
        <w:tab/>
      </w:r>
      <w:r>
        <w:rPr>
          <w:rFonts w:ascii="Arial" w:cs="Arial" w:eastAsia="Arial" w:hAnsi="Arial"/>
          <w:sz w:val="16"/>
          <w:szCs w:val="16"/>
          <w:color w:val="auto"/>
        </w:rPr>
        <w:t>18</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Fees</w:t>
      </w:r>
      <w:r>
        <w:rPr>
          <w:sz w:val="20"/>
          <w:szCs w:val="20"/>
          <w:color w:val="auto"/>
        </w:rPr>
        <w:tab/>
      </w:r>
      <w:r>
        <w:rPr>
          <w:rFonts w:ascii="Arial" w:cs="Arial" w:eastAsia="Arial" w:hAnsi="Arial"/>
          <w:sz w:val="16"/>
          <w:szCs w:val="16"/>
          <w:color w:val="auto"/>
        </w:rPr>
        <w:t>20</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2.06. Optional </w:t>
      </w:r>
      <w:r>
        <w:rPr>
          <w:rFonts w:ascii="Arial" w:cs="Arial" w:eastAsia="Arial" w:hAnsi="Arial"/>
          <w:sz w:val="18"/>
          <w:szCs w:val="18"/>
          <w:u w:val="single" w:color="auto"/>
          <w:color w:val="auto"/>
        </w:rPr>
        <w:t>Termination or Reduction of the Commitments</w:t>
      </w:r>
      <w:r>
        <w:rPr>
          <w:sz w:val="20"/>
          <w:szCs w:val="20"/>
          <w:color w:val="auto"/>
        </w:rPr>
        <w:tab/>
      </w:r>
      <w:r>
        <w:rPr>
          <w:rFonts w:ascii="Arial" w:cs="Arial" w:eastAsia="Arial" w:hAnsi="Arial"/>
          <w:sz w:val="16"/>
          <w:szCs w:val="16"/>
          <w:color w:val="auto"/>
        </w:rPr>
        <w:t>21</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Revolving Credit Advances and Letters of Credit</w:t>
      </w:r>
      <w:r>
        <w:rPr>
          <w:sz w:val="20"/>
          <w:szCs w:val="20"/>
          <w:color w:val="auto"/>
        </w:rPr>
        <w:tab/>
      </w:r>
      <w:r>
        <w:rPr>
          <w:rFonts w:ascii="Arial" w:cs="Arial" w:eastAsia="Arial" w:hAnsi="Arial"/>
          <w:sz w:val="16"/>
          <w:szCs w:val="16"/>
          <w:color w:val="auto"/>
        </w:rPr>
        <w:t>21</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on Revolving Credit Agencies</w:t>
      </w:r>
      <w:r>
        <w:rPr>
          <w:sz w:val="20"/>
          <w:szCs w:val="20"/>
          <w:color w:val="auto"/>
        </w:rPr>
        <w:tab/>
      </w:r>
      <w:r>
        <w:rPr>
          <w:rFonts w:ascii="Arial" w:cs="Arial" w:eastAsia="Arial" w:hAnsi="Arial"/>
          <w:sz w:val="16"/>
          <w:szCs w:val="16"/>
          <w:color w:val="auto"/>
        </w:rPr>
        <w:t>22</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Interest Rate Determination</w:t>
      </w:r>
      <w:r>
        <w:rPr>
          <w:sz w:val="20"/>
          <w:szCs w:val="20"/>
          <w:color w:val="auto"/>
        </w:rPr>
        <w:tab/>
      </w:r>
      <w:r>
        <w:rPr>
          <w:rFonts w:ascii="Arial" w:cs="Arial" w:eastAsia="Arial" w:hAnsi="Arial"/>
          <w:sz w:val="16"/>
          <w:szCs w:val="16"/>
          <w:color w:val="auto"/>
        </w:rPr>
        <w:t>23</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Conversion of Revolving Credit Advances</w:t>
      </w:r>
      <w:r>
        <w:rPr>
          <w:sz w:val="20"/>
          <w:szCs w:val="20"/>
          <w:color w:val="auto"/>
        </w:rPr>
        <w:tab/>
      </w:r>
      <w:r>
        <w:rPr>
          <w:rFonts w:ascii="Arial" w:cs="Arial" w:eastAsia="Arial" w:hAnsi="Arial"/>
          <w:sz w:val="16"/>
          <w:szCs w:val="16"/>
          <w:color w:val="auto"/>
        </w:rPr>
        <w:t>24</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Prepayments of Revolving Credit Advances and Letter of Credit Advances</w:t>
      </w:r>
      <w:r>
        <w:rPr>
          <w:sz w:val="20"/>
          <w:szCs w:val="20"/>
          <w:color w:val="auto"/>
        </w:rPr>
        <w:tab/>
      </w:r>
      <w:r>
        <w:rPr>
          <w:rFonts w:ascii="Arial" w:cs="Arial" w:eastAsia="Arial" w:hAnsi="Arial"/>
          <w:sz w:val="16"/>
          <w:szCs w:val="16"/>
          <w:color w:val="auto"/>
        </w:rPr>
        <w:t>24</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Increased Costs</w:t>
      </w:r>
      <w:r>
        <w:rPr>
          <w:sz w:val="20"/>
          <w:szCs w:val="20"/>
          <w:color w:val="auto"/>
        </w:rPr>
        <w:tab/>
      </w:r>
      <w:r>
        <w:rPr>
          <w:rFonts w:ascii="Arial" w:cs="Arial" w:eastAsia="Arial" w:hAnsi="Arial"/>
          <w:sz w:val="16"/>
          <w:szCs w:val="16"/>
          <w:color w:val="auto"/>
        </w:rPr>
        <w:t>25</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Illegality</w:t>
      </w:r>
      <w:r>
        <w:rPr>
          <w:sz w:val="20"/>
          <w:szCs w:val="20"/>
          <w:color w:val="auto"/>
        </w:rPr>
        <w:tab/>
      </w:r>
      <w:r>
        <w:rPr>
          <w:rFonts w:ascii="Arial" w:cs="Arial" w:eastAsia="Arial" w:hAnsi="Arial"/>
          <w:sz w:val="16"/>
          <w:szCs w:val="16"/>
          <w:color w:val="auto"/>
        </w:rPr>
        <w:t>26</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Payments and Computations</w:t>
      </w:r>
      <w:r>
        <w:rPr>
          <w:sz w:val="20"/>
          <w:szCs w:val="20"/>
          <w:color w:val="auto"/>
        </w:rPr>
        <w:tab/>
      </w:r>
      <w:r>
        <w:rPr>
          <w:rFonts w:ascii="Arial" w:cs="Arial" w:eastAsia="Arial" w:hAnsi="Arial"/>
          <w:sz w:val="16"/>
          <w:szCs w:val="16"/>
          <w:color w:val="auto"/>
        </w:rPr>
        <w:t>26</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dot" w:pos="8200" w:val="left"/>
        </w:tabs>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Taxes</w:t>
      </w:r>
      <w:r>
        <w:rPr>
          <w:sz w:val="20"/>
          <w:szCs w:val="20"/>
          <w:color w:val="auto"/>
        </w:rPr>
        <w:tab/>
      </w:r>
      <w:r>
        <w:rPr>
          <w:rFonts w:ascii="Arial" w:cs="Arial" w:eastAsia="Arial" w:hAnsi="Arial"/>
          <w:sz w:val="16"/>
          <w:szCs w:val="16"/>
          <w:color w:val="auto"/>
        </w:rPr>
        <w:t>28</w:t>
      </w:r>
    </w:p>
    <w:p>
      <w:pPr>
        <w:sectPr>
          <w:pgSz w:w="11900" w:h="16838" w:orient="portrait"/>
          <w:cols w:equalWidth="0" w:num="1">
            <w:col w:w="9019"/>
          </w:cols>
          <w:pgMar w:left="1440" w:top="585" w:right="1440" w:bottom="262" w:gutter="0" w:footer="0" w:header="0"/>
        </w:sectPr>
      </w:pPr>
    </w:p>
    <w:bookmarkStart w:id="55" w:name="page56"/>
    <w:bookmarkEnd w:id="55"/>
    <w:p>
      <w:pPr>
        <w:jc w:val="right"/>
        <w:ind w:right="619"/>
        <w:spacing w:after="0"/>
        <w:tabs>
          <w:tab w:leader="dot" w:pos="160" w:val="left"/>
        </w:tabs>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w:t>
      </w:r>
    </w:p>
    <w:p>
      <w:pPr>
        <w:spacing w:after="0" w:line="200" w:lineRule="exact"/>
        <w:rPr>
          <w:sz w:val="20"/>
          <w:szCs w:val="20"/>
          <w:color w:val="auto"/>
        </w:rPr>
      </w:pPr>
    </w:p>
    <w:p>
      <w:pPr>
        <w:spacing w:after="0" w:line="295" w:lineRule="exact"/>
        <w:rPr>
          <w:sz w:val="20"/>
          <w:szCs w:val="20"/>
          <w:color w:val="auto"/>
        </w:rPr>
      </w:pPr>
    </w:p>
    <w:p>
      <w:pPr>
        <w:jc w:val="right"/>
        <w:ind w:right="619"/>
        <w:spacing w:after="0"/>
        <w:tabs>
          <w:tab w:leader="dot" w:pos="160" w:val="left"/>
        </w:tabs>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Evidence of Debt</w:t>
      </w:r>
      <w:r>
        <w:rPr>
          <w:sz w:val="20"/>
          <w:szCs w:val="20"/>
          <w:color w:val="auto"/>
        </w:rPr>
        <w:tab/>
      </w:r>
      <w:r>
        <w:rPr>
          <w:rFonts w:ascii="Arial" w:cs="Arial" w:eastAsia="Arial" w:hAnsi="Arial"/>
          <w:sz w:val="16"/>
          <w:szCs w:val="16"/>
          <w:color w:val="auto"/>
        </w:rPr>
        <w:t>31</w:t>
      </w:r>
    </w:p>
    <w:p>
      <w:pPr>
        <w:spacing w:after="0" w:line="200" w:lineRule="exact"/>
        <w:rPr>
          <w:sz w:val="20"/>
          <w:szCs w:val="20"/>
          <w:color w:val="auto"/>
        </w:rPr>
      </w:pPr>
    </w:p>
    <w:p>
      <w:pPr>
        <w:spacing w:after="0" w:line="295" w:lineRule="exact"/>
        <w:rPr>
          <w:sz w:val="20"/>
          <w:szCs w:val="20"/>
          <w:color w:val="auto"/>
        </w:rPr>
      </w:pPr>
    </w:p>
    <w:p>
      <w:pPr>
        <w:jc w:val="right"/>
        <w:ind w:right="619"/>
        <w:spacing w:after="0"/>
        <w:tabs>
          <w:tab w:leader="dot" w:pos="160" w:val="left"/>
        </w:tabs>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Use of Proceeds</w:t>
      </w:r>
      <w:r>
        <w:rPr>
          <w:sz w:val="20"/>
          <w:szCs w:val="20"/>
          <w:color w:val="auto"/>
        </w:rPr>
        <w:tab/>
      </w:r>
      <w:r>
        <w:rPr>
          <w:rFonts w:ascii="Arial" w:cs="Arial" w:eastAsia="Arial" w:hAnsi="Arial"/>
          <w:sz w:val="16"/>
          <w:szCs w:val="16"/>
          <w:color w:val="auto"/>
        </w:rPr>
        <w:t>31</w:t>
      </w:r>
    </w:p>
    <w:p>
      <w:pPr>
        <w:spacing w:after="0" w:line="200" w:lineRule="exact"/>
        <w:rPr>
          <w:sz w:val="20"/>
          <w:szCs w:val="20"/>
          <w:color w:val="auto"/>
        </w:rPr>
      </w:pPr>
    </w:p>
    <w:p>
      <w:pPr>
        <w:spacing w:after="0" w:line="295" w:lineRule="exact"/>
        <w:rPr>
          <w:sz w:val="20"/>
          <w:szCs w:val="20"/>
          <w:color w:val="auto"/>
        </w:rPr>
      </w:pPr>
    </w:p>
    <w:p>
      <w:pPr>
        <w:jc w:val="right"/>
        <w:ind w:right="619"/>
        <w:spacing w:after="0"/>
        <w:tabs>
          <w:tab w:leader="dot" w:pos="160" w:val="left"/>
        </w:tabs>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Increase in the Aggregate Commitments</w:t>
      </w:r>
      <w:r>
        <w:rPr>
          <w:sz w:val="20"/>
          <w:szCs w:val="20"/>
          <w:color w:val="auto"/>
        </w:rPr>
        <w:tab/>
      </w:r>
      <w:r>
        <w:rPr>
          <w:rFonts w:ascii="Arial" w:cs="Arial" w:eastAsia="Arial" w:hAnsi="Arial"/>
          <w:sz w:val="16"/>
          <w:szCs w:val="16"/>
          <w:color w:val="auto"/>
        </w:rPr>
        <w:t>32</w:t>
      </w:r>
    </w:p>
    <w:p>
      <w:pPr>
        <w:spacing w:after="0" w:line="200" w:lineRule="exact"/>
        <w:rPr>
          <w:sz w:val="20"/>
          <w:szCs w:val="20"/>
          <w:color w:val="auto"/>
        </w:rPr>
      </w:pPr>
    </w:p>
    <w:p>
      <w:pPr>
        <w:spacing w:after="0" w:line="295" w:lineRule="exact"/>
        <w:rPr>
          <w:sz w:val="20"/>
          <w:szCs w:val="20"/>
          <w:color w:val="auto"/>
        </w:rPr>
      </w:pPr>
    </w:p>
    <w:p>
      <w:pPr>
        <w:jc w:val="right"/>
        <w:ind w:right="619"/>
        <w:spacing w:after="0"/>
        <w:tabs>
          <w:tab w:leader="dot" w:pos="160" w:val="left"/>
        </w:tabs>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sz w:val="20"/>
          <w:szCs w:val="20"/>
          <w:color w:val="auto"/>
        </w:rPr>
        <w:tab/>
      </w: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 w:right="7479" w:firstLine="8"/>
        <w:spacing w:after="0" w:line="273" w:lineRule="auto"/>
        <w:tabs>
          <w:tab w:leader="none" w:pos="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ManpowerGroup Five Year Credit Agreement NYDOCS03/975898.3</w:t>
      </w:r>
    </w:p>
    <w:p>
      <w:pPr>
        <w:sectPr>
          <w:pgSz w:w="11900" w:h="16838" w:orient="portrait"/>
          <w:cols w:equalWidth="0" w:num="1">
            <w:col w:w="10211"/>
          </w:cols>
          <w:pgMar w:left="248" w:top="125"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Replacement of Lenders</w:t>
      </w:r>
      <w:r>
        <w:rPr>
          <w:sz w:val="20"/>
          <w:szCs w:val="20"/>
          <w:color w:val="auto"/>
        </w:rPr>
        <w:tab/>
      </w:r>
      <w:r>
        <w:rPr>
          <w:rFonts w:ascii="Arial" w:cs="Arial" w:eastAsia="Arial" w:hAnsi="Arial"/>
          <w:sz w:val="16"/>
          <w:szCs w:val="16"/>
          <w:color w:val="auto"/>
        </w:rPr>
        <w:t>34</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Extension of Termination Date</w:t>
      </w:r>
      <w:r>
        <w:rPr>
          <w:sz w:val="20"/>
          <w:szCs w:val="20"/>
          <w:color w:val="auto"/>
        </w:rPr>
        <w:tab/>
      </w:r>
      <w:r>
        <w:rPr>
          <w:rFonts w:ascii="Arial" w:cs="Arial" w:eastAsia="Arial" w:hAnsi="Arial"/>
          <w:sz w:val="16"/>
          <w:szCs w:val="16"/>
          <w:color w:val="auto"/>
        </w:rPr>
        <w:t>35</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ARTICLE III</w:t>
      </w:r>
      <w:r>
        <w:rPr>
          <w:sz w:val="20"/>
          <w:szCs w:val="20"/>
          <w:color w:val="auto"/>
        </w:rPr>
        <w:tab/>
      </w:r>
      <w:r>
        <w:rPr>
          <w:rFonts w:ascii="Arial" w:cs="Arial" w:eastAsia="Arial" w:hAnsi="Arial"/>
          <w:sz w:val="16"/>
          <w:szCs w:val="16"/>
          <w:color w:val="auto"/>
        </w:rPr>
        <w:t>36</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Amendment and Restatement</w:t>
      </w:r>
      <w:r>
        <w:rPr>
          <w:sz w:val="20"/>
          <w:szCs w:val="20"/>
          <w:color w:val="auto"/>
        </w:rPr>
        <w:tab/>
      </w:r>
      <w:r>
        <w:rPr>
          <w:rFonts w:ascii="Arial" w:cs="Arial" w:eastAsia="Arial" w:hAnsi="Arial"/>
          <w:sz w:val="16"/>
          <w:szCs w:val="16"/>
          <w:color w:val="auto"/>
        </w:rPr>
        <w:t>36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Conditions Precedent to Each Borrowing, Each Issuance of Letters of Credit and Commitment</w:t>
      </w:r>
    </w:p>
    <w:p>
      <w:pPr>
        <w:spacing w:after="0" w:line="35" w:lineRule="exact"/>
        <w:rPr>
          <w:sz w:val="20"/>
          <w:szCs w:val="20"/>
          <w:color w:val="auto"/>
        </w:rPr>
      </w:pPr>
    </w:p>
    <w:p>
      <w:pPr>
        <w:jc w:val="right"/>
        <w:ind w:right="199"/>
        <w:spacing w:after="0"/>
        <w:tabs>
          <w:tab w:leader="dot" w:pos="160" w:val="left"/>
        </w:tabs>
        <w:rPr>
          <w:sz w:val="20"/>
          <w:szCs w:val="20"/>
          <w:color w:val="auto"/>
        </w:rPr>
      </w:pPr>
      <w:r>
        <w:rPr>
          <w:rFonts w:ascii="Arial" w:cs="Arial" w:eastAsia="Arial" w:hAnsi="Arial"/>
          <w:sz w:val="18"/>
          <w:szCs w:val="18"/>
          <w:u w:val="single" w:color="auto"/>
          <w:color w:val="auto"/>
        </w:rPr>
        <w:t>Increase</w:t>
      </w:r>
      <w:r>
        <w:rPr>
          <w:sz w:val="20"/>
          <w:szCs w:val="20"/>
          <w:color w:val="auto"/>
        </w:rPr>
        <w:tab/>
      </w:r>
      <w:r>
        <w:rPr>
          <w:rFonts w:ascii="Arial" w:cs="Arial" w:eastAsia="Arial" w:hAnsi="Arial"/>
          <w:sz w:val="16"/>
          <w:szCs w:val="16"/>
          <w:color w:val="auto"/>
        </w:rPr>
        <w:t>38</w:t>
      </w:r>
    </w:p>
    <w:p>
      <w:pPr>
        <w:spacing w:after="0" w:line="200" w:lineRule="exact"/>
        <w:rPr>
          <w:sz w:val="20"/>
          <w:szCs w:val="20"/>
          <w:color w:val="auto"/>
        </w:rPr>
      </w:pPr>
    </w:p>
    <w:p>
      <w:pPr>
        <w:spacing w:after="0" w:line="281"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Determinations Under Section 3.01</w:t>
      </w:r>
      <w:r>
        <w:rPr>
          <w:sz w:val="20"/>
          <w:szCs w:val="20"/>
          <w:color w:val="auto"/>
        </w:rPr>
        <w:tab/>
      </w:r>
      <w:r>
        <w:rPr>
          <w:rFonts w:ascii="Arial" w:cs="Arial" w:eastAsia="Arial" w:hAnsi="Arial"/>
          <w:sz w:val="16"/>
          <w:szCs w:val="16"/>
          <w:color w:val="auto"/>
        </w:rPr>
        <w:t>38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ARTICLE IV</w:t>
      </w:r>
      <w:r>
        <w:rPr>
          <w:sz w:val="20"/>
          <w:szCs w:val="20"/>
          <w:color w:val="auto"/>
        </w:rPr>
        <w:tab/>
      </w:r>
      <w:r>
        <w:rPr>
          <w:rFonts w:ascii="Arial" w:cs="Arial" w:eastAsia="Arial" w:hAnsi="Arial"/>
          <w:sz w:val="16"/>
          <w:szCs w:val="16"/>
          <w:color w:val="auto"/>
        </w:rPr>
        <w:t>38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sz w:val="20"/>
          <w:szCs w:val="20"/>
          <w:color w:val="auto"/>
        </w:rPr>
        <w:tab/>
      </w:r>
      <w:r>
        <w:rPr>
          <w:rFonts w:ascii="Arial" w:cs="Arial" w:eastAsia="Arial" w:hAnsi="Arial"/>
          <w:sz w:val="16"/>
          <w:szCs w:val="16"/>
          <w:color w:val="auto"/>
        </w:rPr>
        <w:t>38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ARTICLE V</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sz w:val="20"/>
          <w:szCs w:val="20"/>
          <w:color w:val="auto"/>
        </w:rPr>
        <w:tab/>
      </w:r>
      <w:r>
        <w:rPr>
          <w:rFonts w:ascii="Arial" w:cs="Arial" w:eastAsia="Arial" w:hAnsi="Arial"/>
          <w:sz w:val="16"/>
          <w:szCs w:val="16"/>
          <w:color w:val="auto"/>
        </w:rPr>
        <w:t>40</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w:t>
      </w:r>
      <w:r>
        <w:rPr>
          <w:sz w:val="20"/>
          <w:szCs w:val="20"/>
          <w:color w:val="auto"/>
        </w:rPr>
        <w:tab/>
      </w:r>
      <w:r>
        <w:rPr>
          <w:rFonts w:ascii="Arial" w:cs="Arial" w:eastAsia="Arial" w:hAnsi="Arial"/>
          <w:sz w:val="16"/>
          <w:szCs w:val="16"/>
          <w:color w:val="auto"/>
        </w:rPr>
        <w:t>43</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Covenants</w:t>
      </w:r>
      <w:r>
        <w:rPr>
          <w:sz w:val="20"/>
          <w:szCs w:val="20"/>
          <w:color w:val="auto"/>
        </w:rPr>
        <w:tab/>
      </w:r>
      <w:r>
        <w:rPr>
          <w:rFonts w:ascii="Arial" w:cs="Arial" w:eastAsia="Arial" w:hAnsi="Arial"/>
          <w:sz w:val="16"/>
          <w:szCs w:val="16"/>
          <w:color w:val="auto"/>
        </w:rPr>
        <w:t>45</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ARTICLE VI</w:t>
      </w:r>
      <w:r>
        <w:rPr>
          <w:sz w:val="20"/>
          <w:szCs w:val="20"/>
          <w:color w:val="auto"/>
        </w:rPr>
        <w:tab/>
      </w:r>
      <w:r>
        <w:rPr>
          <w:rFonts w:ascii="Arial" w:cs="Arial" w:eastAsia="Arial" w:hAnsi="Arial"/>
          <w:sz w:val="16"/>
          <w:szCs w:val="16"/>
          <w:color w:val="auto"/>
        </w:rPr>
        <w:t>45</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sz w:val="20"/>
          <w:szCs w:val="20"/>
          <w:color w:val="auto"/>
        </w:rPr>
        <w:tab/>
      </w:r>
      <w:r>
        <w:rPr>
          <w:rFonts w:ascii="Arial" w:cs="Arial" w:eastAsia="Arial" w:hAnsi="Arial"/>
          <w:sz w:val="16"/>
          <w:szCs w:val="16"/>
          <w:color w:val="auto"/>
        </w:rPr>
        <w:t>46</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Actions in Respect of the Letters of Credit upon Default</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ARTICLE VII</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Appointment and Authority</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as a Lender</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Exculpatory Provisions</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Reliance by Agent</w:t>
      </w:r>
      <w:r>
        <w:rPr>
          <w:sz w:val="20"/>
          <w:szCs w:val="20"/>
          <w:color w:val="auto"/>
        </w:rPr>
        <w:tab/>
      </w:r>
      <w:r>
        <w:rPr>
          <w:rFonts w:ascii="Arial" w:cs="Arial" w:eastAsia="Arial" w:hAnsi="Arial"/>
          <w:sz w:val="16"/>
          <w:szCs w:val="16"/>
          <w:color w:val="auto"/>
        </w:rPr>
        <w:t>49</w:t>
      </w:r>
    </w:p>
    <w:p>
      <w:pPr>
        <w:spacing w:after="0" w:line="200" w:lineRule="exact"/>
        <w:rPr>
          <w:sz w:val="20"/>
          <w:szCs w:val="20"/>
          <w:color w:val="auto"/>
        </w:rPr>
      </w:pPr>
    </w:p>
    <w:p>
      <w:pPr>
        <w:spacing w:after="0" w:line="295" w:lineRule="exact"/>
        <w:rPr>
          <w:sz w:val="20"/>
          <w:szCs w:val="20"/>
          <w:color w:val="auto"/>
        </w:rPr>
      </w:pPr>
    </w:p>
    <w:p>
      <w:pPr>
        <w:ind w:left="200"/>
        <w:spacing w:after="0"/>
        <w:tabs>
          <w:tab w:leader="dot" w:pos="8620" w:val="left"/>
        </w:tabs>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Indemnification</w:t>
      </w:r>
      <w:r>
        <w:rPr>
          <w:sz w:val="20"/>
          <w:szCs w:val="20"/>
          <w:color w:val="auto"/>
        </w:rPr>
        <w:tab/>
      </w:r>
      <w:r>
        <w:rPr>
          <w:rFonts w:ascii="Arial" w:cs="Arial" w:eastAsia="Arial" w:hAnsi="Arial"/>
          <w:sz w:val="16"/>
          <w:szCs w:val="16"/>
          <w:color w:val="auto"/>
        </w:rPr>
        <w:t>50</w:t>
      </w:r>
    </w:p>
    <w:p>
      <w:pPr>
        <w:sectPr>
          <w:pgSz w:w="11900" w:h="16838" w:orient="portrait"/>
          <w:cols w:equalWidth="0" w:num="1">
            <w:col w:w="9019"/>
          </w:cols>
          <w:pgMar w:left="1440" w:top="132" w:right="1440" w:bottom="0" w:gutter="0" w:footer="0" w:header="0"/>
        </w:sectPr>
      </w:pPr>
    </w:p>
    <w:bookmarkStart w:id="57" w:name="page58"/>
    <w:bookmarkEnd w:id="57"/>
    <w:p>
      <w:pPr>
        <w:ind w:left="1400"/>
        <w:spacing w:after="0"/>
        <w:tabs>
          <w:tab w:leader="none" w:pos="4120" w:val="left"/>
        </w:tabs>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Delegation of Duties</w:t>
      </w:r>
      <w:r>
        <w:rPr>
          <w:sz w:val="20"/>
          <w:szCs w:val="20"/>
          <w:color w:val="auto"/>
        </w:rPr>
        <w:tab/>
      </w:r>
      <w:r>
        <w:rPr>
          <w:rFonts w:ascii="Arial" w:cs="Arial" w:eastAsia="Arial" w:hAnsi="Arial"/>
          <w:sz w:val="16"/>
          <w:szCs w:val="16"/>
          <w:color w:val="auto"/>
        </w:rPr>
        <w:t>................................................................................................................</w:t>
      </w:r>
    </w:p>
    <w:p>
      <w:pPr>
        <w:jc w:val="right"/>
        <w:ind w:right="199"/>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79" w:lineRule="exact"/>
        <w:rPr>
          <w:sz w:val="20"/>
          <w:szCs w:val="20"/>
          <w:color w:val="auto"/>
        </w:rPr>
      </w:pPr>
    </w:p>
    <w:p>
      <w:pPr>
        <w:jc w:val="right"/>
        <w:ind w:right="199"/>
        <w:spacing w:after="0"/>
        <w:tabs>
          <w:tab w:leader="dot" w:pos="160" w:val="left"/>
        </w:tabs>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Resignation of Agent</w:t>
      </w:r>
      <w:r>
        <w:rPr>
          <w:sz w:val="20"/>
          <w:szCs w:val="20"/>
          <w:color w:val="auto"/>
        </w:rPr>
        <w:tab/>
      </w:r>
      <w:r>
        <w:rPr>
          <w:rFonts w:ascii="Arial" w:cs="Arial" w:eastAsia="Arial" w:hAnsi="Arial"/>
          <w:sz w:val="16"/>
          <w:szCs w:val="16"/>
          <w:color w:val="auto"/>
        </w:rPr>
        <w:t>51</w:t>
      </w:r>
    </w:p>
    <w:p>
      <w:pPr>
        <w:spacing w:after="0" w:line="200" w:lineRule="exact"/>
        <w:rPr>
          <w:sz w:val="20"/>
          <w:szCs w:val="20"/>
          <w:color w:val="auto"/>
        </w:rPr>
      </w:pPr>
    </w:p>
    <w:p>
      <w:pPr>
        <w:spacing w:after="0" w:line="295" w:lineRule="exact"/>
        <w:rPr>
          <w:sz w:val="20"/>
          <w:szCs w:val="20"/>
          <w:color w:val="auto"/>
        </w:rPr>
      </w:pPr>
    </w:p>
    <w:p>
      <w:pPr>
        <w:jc w:val="right"/>
        <w:ind w:right="199"/>
        <w:spacing w:after="0"/>
        <w:tabs>
          <w:tab w:leader="dot" w:pos="160" w:val="left"/>
        </w:tabs>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Non-Reliance on Agent and Other Lenders</w:t>
      </w:r>
      <w:r>
        <w:rPr>
          <w:sz w:val="20"/>
          <w:szCs w:val="20"/>
          <w:color w:val="auto"/>
        </w:rPr>
        <w:tab/>
      </w:r>
      <w:r>
        <w:rPr>
          <w:rFonts w:ascii="Arial" w:cs="Arial" w:eastAsia="Arial" w:hAnsi="Arial"/>
          <w:sz w:val="16"/>
          <w:szCs w:val="16"/>
          <w:color w:val="auto"/>
        </w:rPr>
        <w:t>52</w:t>
      </w:r>
    </w:p>
    <w:p>
      <w:pPr>
        <w:spacing w:after="0" w:line="200" w:lineRule="exact"/>
        <w:rPr>
          <w:sz w:val="20"/>
          <w:szCs w:val="20"/>
          <w:color w:val="auto"/>
        </w:rPr>
      </w:pPr>
    </w:p>
    <w:p>
      <w:pPr>
        <w:spacing w:after="0" w:line="295" w:lineRule="exact"/>
        <w:rPr>
          <w:sz w:val="20"/>
          <w:szCs w:val="20"/>
          <w:color w:val="auto"/>
        </w:rPr>
      </w:pPr>
    </w:p>
    <w:p>
      <w:pPr>
        <w:jc w:val="right"/>
        <w:ind w:right="199"/>
        <w:spacing w:after="0"/>
        <w:tabs>
          <w:tab w:leader="dot" w:pos="160" w:val="left"/>
        </w:tabs>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No Other Duties, etc</w:t>
      </w:r>
      <w:r>
        <w:rPr>
          <w:sz w:val="20"/>
          <w:szCs w:val="20"/>
          <w:color w:val="auto"/>
        </w:rPr>
        <w:tab/>
      </w:r>
      <w:r>
        <w:rPr>
          <w:rFonts w:ascii="Arial" w:cs="Arial" w:eastAsia="Arial" w:hAnsi="Arial"/>
          <w:sz w:val="16"/>
          <w:szCs w:val="16"/>
          <w:color w:val="auto"/>
        </w:rPr>
        <w:t>52</w:t>
      </w:r>
    </w:p>
    <w:p>
      <w:pPr>
        <w:spacing w:after="0" w:line="200" w:lineRule="exact"/>
        <w:rPr>
          <w:sz w:val="20"/>
          <w:szCs w:val="20"/>
          <w:color w:val="auto"/>
        </w:rPr>
      </w:pPr>
    </w:p>
    <w:p>
      <w:pPr>
        <w:spacing w:after="0" w:line="295" w:lineRule="exact"/>
        <w:rPr>
          <w:sz w:val="20"/>
          <w:szCs w:val="20"/>
          <w:color w:val="auto"/>
        </w:rPr>
      </w:pPr>
    </w:p>
    <w:p>
      <w:pPr>
        <w:jc w:val="right"/>
        <w:ind w:right="199"/>
        <w:spacing w:after="0"/>
        <w:tabs>
          <w:tab w:leader="dot" w:pos="160" w:val="left"/>
        </w:tabs>
        <w:rPr>
          <w:sz w:val="20"/>
          <w:szCs w:val="20"/>
          <w:color w:val="auto"/>
        </w:rPr>
      </w:pPr>
      <w:r>
        <w:rPr>
          <w:rFonts w:ascii="Arial" w:cs="Arial" w:eastAsia="Arial" w:hAnsi="Arial"/>
          <w:sz w:val="18"/>
          <w:szCs w:val="18"/>
          <w:color w:val="auto"/>
        </w:rPr>
        <w:t>ARTICLE VIII</w:t>
      </w:r>
      <w:r>
        <w:rPr>
          <w:sz w:val="20"/>
          <w:szCs w:val="20"/>
          <w:color w:val="auto"/>
        </w:rPr>
        <w:tab/>
      </w:r>
      <w:r>
        <w:rPr>
          <w:rFonts w:ascii="Arial" w:cs="Arial" w:eastAsia="Arial" w:hAnsi="Arial"/>
          <w:sz w:val="16"/>
          <w:szCs w:val="16"/>
          <w:color w:val="auto"/>
        </w:rPr>
        <w:t>52</w:t>
      </w:r>
    </w:p>
    <w:p>
      <w:pPr>
        <w:spacing w:after="0" w:line="200" w:lineRule="exact"/>
        <w:rPr>
          <w:sz w:val="20"/>
          <w:szCs w:val="20"/>
          <w:color w:val="auto"/>
        </w:rPr>
      </w:pPr>
    </w:p>
    <w:p>
      <w:pPr>
        <w:spacing w:after="0" w:line="295" w:lineRule="exact"/>
        <w:rPr>
          <w:sz w:val="20"/>
          <w:szCs w:val="20"/>
          <w:color w:val="auto"/>
        </w:rPr>
      </w:pPr>
    </w:p>
    <w:p>
      <w:pPr>
        <w:jc w:val="right"/>
        <w:ind w:right="199"/>
        <w:spacing w:after="0"/>
        <w:tabs>
          <w:tab w:leader="dot" w:pos="160" w:val="left"/>
        </w:tabs>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Etc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7479" w:firstLine="8"/>
        <w:spacing w:after="0" w:line="273" w:lineRule="auto"/>
        <w:tabs>
          <w:tab w:leader="none" w:pos="84"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0219"/>
          </w:cols>
          <w:pgMar w:left="240" w:top="69"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8.02. Notices; Effectiveness; Electronic</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w w:val="98"/>
              </w:rPr>
              <w:t>Communication.................................................................</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940" w:type="dxa"/>
            <w:vAlign w:val="bottom"/>
            <w:tcBorders>
              <w:left w:val="single" w:sz="8" w:color="auto"/>
            </w:tcBorders>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8.03. No Waiver;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rPr>
                <w:sz w:val="20"/>
                <w:szCs w:val="20"/>
                <w:color w:val="auto"/>
              </w:rPr>
            </w:pPr>
            <w:r>
              <w:rPr>
                <w:rFonts w:ascii="Arial" w:cs="Arial" w:eastAsia="Arial" w:hAnsi="Arial"/>
                <w:sz w:val="17"/>
                <w:szCs w:val="17"/>
                <w:color w:val="auto"/>
                <w:w w:val="73"/>
              </w:rPr>
              <w:t>Remedies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8.04. Costs and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rPr>
                <w:sz w:val="20"/>
                <w:szCs w:val="20"/>
                <w:color w:val="auto"/>
              </w:rPr>
            </w:pPr>
            <w:r>
              <w:rPr>
                <w:rFonts w:ascii="Arial" w:cs="Arial" w:eastAsia="Arial" w:hAnsi="Arial"/>
                <w:sz w:val="17"/>
                <w:szCs w:val="17"/>
                <w:color w:val="auto"/>
                <w:w w:val="72"/>
              </w:rPr>
              <w:t>Expenses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8.05. Right of</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7"/>
                <w:szCs w:val="17"/>
                <w:color w:val="auto"/>
                <w:w w:val="71"/>
              </w:rPr>
              <w:t>Set</w:t>
            </w:r>
            <w:r>
              <w:rPr>
                <w:rFonts w:ascii="MS PGothic" w:cs="MS PGothic" w:eastAsia="MS PGothic" w:hAnsi="MS PGothic"/>
                <w:sz w:val="17"/>
                <w:szCs w:val="17"/>
                <w:color w:val="auto"/>
                <w:w w:val="71"/>
              </w:rPr>
              <w:t>‑</w:t>
            </w:r>
            <w:r>
              <w:rPr>
                <w:rFonts w:ascii="Arial" w:cs="Arial" w:eastAsia="Arial" w:hAnsi="Arial"/>
                <w:sz w:val="17"/>
                <w:szCs w:val="17"/>
                <w:color w:val="auto"/>
                <w:w w:val="71"/>
              </w:rPr>
              <w:t>off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8.06. Binding</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rPr>
                <w:sz w:val="20"/>
                <w:szCs w:val="20"/>
                <w:color w:val="auto"/>
              </w:rPr>
            </w:pPr>
            <w:r>
              <w:rPr>
                <w:rFonts w:ascii="Arial" w:cs="Arial" w:eastAsia="Arial" w:hAnsi="Arial"/>
                <w:sz w:val="17"/>
                <w:szCs w:val="17"/>
                <w:color w:val="auto"/>
                <w:w w:val="71"/>
              </w:rPr>
              <w:t>Effect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8.07. Assignments and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w w:val="75"/>
              </w:rPr>
              <w:t>Participations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r>
        <w:trPr>
          <w:trHeight w:val="20"/>
        </w:trPr>
        <w:tc>
          <w:tcPr>
            <w:tcW w:w="1200" w:type="dxa"/>
            <w:vAlign w:val="bottom"/>
            <w:gridSpan w:val="4"/>
            <w:vMerge w:val="restart"/>
          </w:tcPr>
          <w:p>
            <w:pPr>
              <w:spacing w:after="0"/>
              <w:rPr>
                <w:sz w:val="20"/>
                <w:szCs w:val="20"/>
                <w:color w:val="auto"/>
              </w:rPr>
            </w:pPr>
            <w:r>
              <w:rPr>
                <w:rFonts w:ascii="Arial" w:cs="Arial" w:eastAsia="Arial" w:hAnsi="Arial"/>
                <w:sz w:val="18"/>
                <w:szCs w:val="18"/>
                <w:color w:val="auto"/>
                <w:w w:val="94"/>
              </w:rPr>
              <w:t>SECTION 8.08.</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gridSpan w:val="15"/>
            <w:vMerge w:val="restart"/>
          </w:tcPr>
          <w:p>
            <w:pPr>
              <w:spacing w:after="0"/>
              <w:rPr>
                <w:sz w:val="20"/>
                <w:szCs w:val="20"/>
                <w:color w:val="auto"/>
              </w:rPr>
            </w:pPr>
            <w:r>
              <w:rPr>
                <w:rFonts w:ascii="Arial" w:cs="Arial" w:eastAsia="Arial" w:hAnsi="Arial"/>
                <w:sz w:val="15"/>
                <w:szCs w:val="15"/>
                <w:color w:val="auto"/>
                <w:w w:val="73"/>
              </w:rPr>
              <w:t>Confidentiality .........................................................................................................................</w:t>
            </w:r>
          </w:p>
        </w:tc>
        <w:tc>
          <w:tcPr>
            <w:tcW w:w="1600" w:type="dxa"/>
            <w:vAlign w:val="bottom"/>
            <w:vMerge w:val="restart"/>
          </w:tcPr>
          <w:p>
            <w:pPr>
              <w:ind w:left="1420"/>
              <w:spacing w:after="0"/>
              <w:rPr>
                <w:sz w:val="20"/>
                <w:szCs w:val="20"/>
                <w:color w:val="auto"/>
              </w:rPr>
            </w:pPr>
            <w:r>
              <w:rPr>
                <w:rFonts w:ascii="Arial" w:cs="Arial" w:eastAsia="Arial" w:hAnsi="Arial"/>
                <w:sz w:val="18"/>
                <w:szCs w:val="18"/>
                <w:color w:val="auto"/>
                <w:w w:val="79"/>
              </w:rPr>
              <w:t>59</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40" w:type="dxa"/>
            <w:vAlign w:val="bottom"/>
            <w:gridSpan w:val="15"/>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8.09. Governing</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rPr>
                <w:sz w:val="20"/>
                <w:szCs w:val="20"/>
                <w:color w:val="auto"/>
              </w:rPr>
            </w:pPr>
            <w:r>
              <w:rPr>
                <w:rFonts w:ascii="Arial" w:cs="Arial" w:eastAsia="Arial" w:hAnsi="Arial"/>
                <w:sz w:val="17"/>
                <w:szCs w:val="17"/>
                <w:color w:val="auto"/>
                <w:w w:val="73"/>
              </w:rPr>
              <w:t>Law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59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8.10. Execution in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w w:val="70"/>
              </w:rPr>
              <w:t>Counterparts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20"/>
        </w:trPr>
        <w:tc>
          <w:tcPr>
            <w:tcW w:w="1200" w:type="dxa"/>
            <w:vAlign w:val="bottom"/>
            <w:gridSpan w:val="4"/>
            <w:vMerge w:val="restart"/>
          </w:tcPr>
          <w:p>
            <w:pPr>
              <w:spacing w:after="0"/>
              <w:rPr>
                <w:sz w:val="20"/>
                <w:szCs w:val="20"/>
                <w:color w:val="auto"/>
              </w:rPr>
            </w:pPr>
            <w:r>
              <w:rPr>
                <w:rFonts w:ascii="Arial" w:cs="Arial" w:eastAsia="Arial" w:hAnsi="Arial"/>
                <w:sz w:val="18"/>
                <w:szCs w:val="18"/>
                <w:color w:val="auto"/>
                <w:w w:val="94"/>
              </w:rPr>
              <w:t>SECTION 8.11.</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gridSpan w:val="15"/>
            <w:vMerge w:val="restart"/>
          </w:tcPr>
          <w:p>
            <w:pPr>
              <w:spacing w:after="0"/>
              <w:rPr>
                <w:sz w:val="20"/>
                <w:szCs w:val="20"/>
                <w:color w:val="auto"/>
              </w:rPr>
            </w:pPr>
            <w:r>
              <w:rPr>
                <w:rFonts w:ascii="Arial" w:cs="Arial" w:eastAsia="Arial" w:hAnsi="Arial"/>
                <w:sz w:val="15"/>
                <w:szCs w:val="15"/>
                <w:color w:val="auto"/>
                <w:w w:val="72"/>
              </w:rPr>
              <w:t>Judgment ..................................................................................................................................</w:t>
            </w:r>
          </w:p>
        </w:tc>
        <w:tc>
          <w:tcPr>
            <w:tcW w:w="1600" w:type="dxa"/>
            <w:vAlign w:val="bottom"/>
            <w:vMerge w:val="restart"/>
          </w:tcPr>
          <w:p>
            <w:pPr>
              <w:ind w:left="1420"/>
              <w:spacing w:after="0"/>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40" w:type="dxa"/>
            <w:vAlign w:val="bottom"/>
            <w:gridSpan w:val="15"/>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8.12. Jurisdiction, Etc.</w:t>
            </w:r>
          </w:p>
        </w:tc>
        <w:tc>
          <w:tcPr>
            <w:tcW w:w="1600" w:type="dxa"/>
            <w:vAlign w:val="bottom"/>
            <w:vMerge w:val="restart"/>
          </w:tcPr>
          <w:p>
            <w:pPr>
              <w:ind w:left="1420"/>
              <w:spacing w:after="0"/>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
                <w:szCs w:val="1"/>
                <w:color w:val="auto"/>
                <w:w w:val="48"/>
              </w:rPr>
              <w:t>......................................................................................................................</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8.13. Substitution of</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w w:val="73"/>
              </w:rPr>
              <w:t>Currency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8.14. No Liability of the Lenders as Letter of Credit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380" w:type="dxa"/>
            <w:vAlign w:val="bottom"/>
            <w:tcBorders>
              <w:left w:val="single" w:sz="8" w:color="auto"/>
            </w:tcBorders>
            <w:gridSpan w:val="5"/>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rPr>
              <w:t>Issuers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60" w:type="dxa"/>
            <w:vAlign w:val="bottom"/>
            <w:gridSpan w:val="7"/>
          </w:tcPr>
          <w:p>
            <w:pPr>
              <w:spacing w:after="0"/>
              <w:rPr>
                <w:sz w:val="20"/>
                <w:szCs w:val="20"/>
                <w:color w:val="auto"/>
              </w:rPr>
            </w:pPr>
            <w:r>
              <w:rPr>
                <w:rFonts w:ascii="Arial" w:cs="Arial" w:eastAsia="Arial" w:hAnsi="Arial"/>
                <w:sz w:val="18"/>
                <w:szCs w:val="18"/>
                <w:color w:val="auto"/>
                <w:w w:val="95"/>
              </w:rPr>
              <w:t>SECTION 8.15. Patriot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2"/>
              </w:rPr>
              <w:t>Act</w:t>
            </w:r>
          </w:p>
        </w:tc>
        <w:tc>
          <w:tcPr>
            <w:tcW w:w="20" w:type="dxa"/>
            <w:vAlign w:val="bottom"/>
          </w:tcPr>
          <w:p>
            <w:pPr>
              <w:spacing w:after="0"/>
              <w:rPr>
                <w:sz w:val="17"/>
                <w:szCs w:val="17"/>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
                <w:szCs w:val="1"/>
                <w:color w:val="auto"/>
                <w:w w:val="11"/>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8.16. No Fiduciary</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5"/>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w w:val="71"/>
              </w:rPr>
              <w:t>Duty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tcBorders>
              <w:right w:val="single" w:sz="8" w:color="auto"/>
            </w:tcBorders>
            <w:gridSpan w:val="5"/>
            <w:shd w:val="clear" w:color="auto" w:fill="000000"/>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20"/>
          </w:tcPr>
          <w:p>
            <w:pPr>
              <w:spacing w:after="0"/>
              <w:rPr>
                <w:sz w:val="20"/>
                <w:szCs w:val="20"/>
                <w:color w:val="auto"/>
              </w:rPr>
            </w:pPr>
            <w:r>
              <w:rPr>
                <w:rFonts w:ascii="Arial" w:cs="Arial" w:eastAsia="Arial" w:hAnsi="Arial"/>
                <w:sz w:val="18"/>
                <w:szCs w:val="18"/>
                <w:color w:val="auto"/>
              </w:rPr>
              <w:t>SECTION 8.17. Waiver of Jury</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auto"/>
                <w:w w:val="72"/>
              </w:rPr>
              <w:t>Trial .................................................................................................................</w:t>
            </w:r>
          </w:p>
        </w:tc>
        <w:tc>
          <w:tcPr>
            <w:tcW w:w="1600" w:type="dxa"/>
            <w:vAlign w:val="bottom"/>
          </w:tcPr>
          <w:p>
            <w:pPr>
              <w:ind w:left="14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0"/>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3"/>
              </w:rPr>
              <w:t>Schedules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20" w:type="dxa"/>
            <w:vAlign w:val="bottom"/>
            <w:gridSpan w:val="3"/>
          </w:tcPr>
          <w:p>
            <w:pPr>
              <w:spacing w:after="0"/>
              <w:rPr>
                <w:sz w:val="20"/>
                <w:szCs w:val="20"/>
                <w:color w:val="auto"/>
              </w:rPr>
            </w:pPr>
            <w:r>
              <w:rPr>
                <w:rFonts w:ascii="Arial" w:cs="Arial" w:eastAsia="Arial" w:hAnsi="Arial"/>
                <w:sz w:val="20"/>
                <w:szCs w:val="20"/>
                <w:color w:val="auto"/>
                <w:w w:val="95"/>
              </w:rPr>
              <w:t>Schedule I</w:t>
            </w:r>
          </w:p>
        </w:tc>
        <w:tc>
          <w:tcPr>
            <w:tcW w:w="28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20"/>
                <w:szCs w:val="20"/>
                <w:color w:val="auto"/>
              </w:rPr>
              <w:t>-</w:t>
            </w:r>
          </w:p>
        </w:tc>
        <w:tc>
          <w:tcPr>
            <w:tcW w:w="4440" w:type="dxa"/>
            <w:vAlign w:val="bottom"/>
            <w:gridSpan w:val="15"/>
          </w:tcPr>
          <w:p>
            <w:pPr>
              <w:ind w:left="40"/>
              <w:spacing w:after="0"/>
              <w:rPr>
                <w:sz w:val="20"/>
                <w:szCs w:val="20"/>
                <w:color w:val="auto"/>
              </w:rPr>
            </w:pPr>
            <w:r>
              <w:rPr>
                <w:rFonts w:ascii="Arial" w:cs="Arial" w:eastAsia="Arial" w:hAnsi="Arial"/>
                <w:sz w:val="20"/>
                <w:szCs w:val="20"/>
                <w:color w:val="auto"/>
              </w:rPr>
              <w:t>Commitments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500" w:type="dxa"/>
            <w:vAlign w:val="bottom"/>
            <w:gridSpan w:val="5"/>
          </w:tcPr>
          <w:p>
            <w:pPr>
              <w:spacing w:after="0"/>
              <w:rPr>
                <w:sz w:val="20"/>
                <w:szCs w:val="20"/>
                <w:color w:val="auto"/>
              </w:rPr>
            </w:pPr>
            <w:r>
              <w:rPr>
                <w:rFonts w:ascii="Arial" w:cs="Arial" w:eastAsia="Arial" w:hAnsi="Arial"/>
                <w:sz w:val="20"/>
                <w:szCs w:val="20"/>
                <w:color w:val="auto"/>
              </w:rPr>
              <w:t>Schedule 2.04(f)</w:t>
            </w: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180" w:type="dxa"/>
            <w:vAlign w:val="bottom"/>
            <w:gridSpan w:val="13"/>
          </w:tcPr>
          <w:p>
            <w:pPr>
              <w:ind w:left="20"/>
              <w:spacing w:after="0"/>
              <w:rPr>
                <w:sz w:val="20"/>
                <w:szCs w:val="20"/>
                <w:color w:val="auto"/>
              </w:rPr>
            </w:pPr>
            <w:r>
              <w:rPr>
                <w:rFonts w:ascii="Arial" w:cs="Arial" w:eastAsia="Arial" w:hAnsi="Arial"/>
                <w:sz w:val="20"/>
                <w:szCs w:val="20"/>
                <w:color w:val="auto"/>
              </w:rPr>
              <w:t>Letters of Credit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500" w:type="dxa"/>
            <w:vAlign w:val="bottom"/>
            <w:gridSpan w:val="5"/>
          </w:tcPr>
          <w:p>
            <w:pPr>
              <w:spacing w:after="0"/>
              <w:rPr>
                <w:sz w:val="20"/>
                <w:szCs w:val="20"/>
                <w:color w:val="auto"/>
              </w:rPr>
            </w:pPr>
            <w:r>
              <w:rPr>
                <w:rFonts w:ascii="Arial" w:cs="Arial" w:eastAsia="Arial" w:hAnsi="Arial"/>
                <w:sz w:val="20"/>
                <w:szCs w:val="20"/>
                <w:color w:val="auto"/>
                <w:w w:val="97"/>
              </w:rPr>
              <w:t>Schedule 5.02(a)</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2"/>
          </w:tcPr>
          <w:p>
            <w:pPr>
              <w:ind w:left="20"/>
              <w:spacing w:after="0"/>
              <w:rPr>
                <w:sz w:val="20"/>
                <w:szCs w:val="20"/>
                <w:color w:val="auto"/>
              </w:rPr>
            </w:pPr>
            <w:r>
              <w:rPr>
                <w:rFonts w:ascii="Arial" w:cs="Arial" w:eastAsia="Arial" w:hAnsi="Arial"/>
                <w:sz w:val="20"/>
                <w:szCs w:val="20"/>
                <w:color w:val="auto"/>
              </w:rPr>
              <w:t>Existing Liens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Exhibits</w:t>
            </w:r>
          </w:p>
        </w:tc>
        <w:tc>
          <w:tcPr>
            <w:tcW w:w="2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20" w:type="dxa"/>
            <w:vAlign w:val="bottom"/>
            <w:gridSpan w:val="3"/>
          </w:tcPr>
          <w:p>
            <w:pPr>
              <w:spacing w:after="0"/>
              <w:rPr>
                <w:sz w:val="20"/>
                <w:szCs w:val="20"/>
                <w:color w:val="auto"/>
              </w:rPr>
            </w:pPr>
            <w:r>
              <w:rPr>
                <w:rFonts w:ascii="Arial" w:cs="Arial" w:eastAsia="Arial" w:hAnsi="Arial"/>
                <w:sz w:val="20"/>
                <w:szCs w:val="20"/>
                <w:color w:val="auto"/>
              </w:rPr>
              <w:t>Exhibit A</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740" w:type="dxa"/>
            <w:vAlign w:val="bottom"/>
            <w:gridSpan w:val="16"/>
          </w:tcPr>
          <w:p>
            <w:pPr>
              <w:ind w:left="60"/>
              <w:spacing w:after="0"/>
              <w:rPr>
                <w:sz w:val="20"/>
                <w:szCs w:val="20"/>
                <w:color w:val="auto"/>
              </w:rPr>
            </w:pPr>
            <w:r>
              <w:rPr>
                <w:rFonts w:ascii="Arial" w:cs="Arial" w:eastAsia="Arial" w:hAnsi="Arial"/>
                <w:sz w:val="20"/>
                <w:szCs w:val="20"/>
                <w:color w:val="auto"/>
              </w:rPr>
              <w:t>Form of Note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740" w:type="dxa"/>
            <w:vAlign w:val="bottom"/>
            <w:gridSpan w:val="16"/>
          </w:tcPr>
          <w:p>
            <w:pPr>
              <w:ind w:left="60"/>
              <w:spacing w:after="0"/>
              <w:rPr>
                <w:sz w:val="20"/>
                <w:szCs w:val="20"/>
                <w:color w:val="auto"/>
              </w:rPr>
            </w:pPr>
            <w:r>
              <w:rPr>
                <w:rFonts w:ascii="Arial" w:cs="Arial" w:eastAsia="Arial" w:hAnsi="Arial"/>
                <w:sz w:val="20"/>
                <w:szCs w:val="20"/>
                <w:color w:val="auto"/>
              </w:rPr>
              <w:t>Form of Notice of Borrowing</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740" w:type="dxa"/>
            <w:vAlign w:val="bottom"/>
            <w:gridSpan w:val="16"/>
          </w:tcPr>
          <w:p>
            <w:pPr>
              <w:ind w:left="60"/>
              <w:spacing w:after="0"/>
              <w:rPr>
                <w:sz w:val="20"/>
                <w:szCs w:val="20"/>
                <w:color w:val="auto"/>
              </w:rPr>
            </w:pPr>
            <w:r>
              <w:rPr>
                <w:rFonts w:ascii="Arial" w:cs="Arial" w:eastAsia="Arial" w:hAnsi="Arial"/>
                <w:sz w:val="20"/>
                <w:szCs w:val="20"/>
                <w:color w:val="auto"/>
              </w:rPr>
              <w:t>Form of Assignment and Assumption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2" w:right="1440" w:bottom="0" w:gutter="0" w:footer="0" w:header="0"/>
        </w:sectPr>
      </w:pPr>
    </w:p>
    <w:bookmarkStart w:id="59" w:name="page60"/>
    <w:bookmarkEnd w:id="59"/>
    <w:p>
      <w:pPr>
        <w:jc w:val="right"/>
        <w:ind w:right="3259"/>
        <w:spacing w:after="0"/>
        <w:tabs>
          <w:tab w:leader="none" w:pos="3880" w:val="left"/>
          <w:tab w:leader="none" w:pos="3620" w:val="left"/>
        </w:tabs>
        <w:rPr>
          <w:sz w:val="20"/>
          <w:szCs w:val="20"/>
          <w:color w:val="auto"/>
        </w:rPr>
      </w:pPr>
      <w:r>
        <w:rPr>
          <w:rFonts w:ascii="Arial" w:cs="Arial" w:eastAsia="Arial" w:hAnsi="Arial"/>
          <w:sz w:val="20"/>
          <w:szCs w:val="20"/>
          <w:color w:val="auto"/>
        </w:rPr>
        <w:t>Exhibit D</w:t>
        <w:tab/>
        <w:t>-</w:t>
      </w:r>
      <w:r>
        <w:rPr>
          <w:sz w:val="20"/>
          <w:szCs w:val="20"/>
          <w:color w:val="auto"/>
        </w:rPr>
        <w:tab/>
      </w:r>
      <w:r>
        <w:rPr>
          <w:rFonts w:ascii="Arial" w:cs="Arial" w:eastAsia="Arial" w:hAnsi="Arial"/>
          <w:sz w:val="18"/>
          <w:szCs w:val="18"/>
          <w:color w:val="auto"/>
        </w:rPr>
        <w:t>Form of Opinion of Counsel for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right="7479" w:firstLine="8"/>
        <w:spacing w:after="0" w:line="273" w:lineRule="auto"/>
        <w:tabs>
          <w:tab w:leader="none" w:pos="76"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0211"/>
          </w:cols>
          <w:pgMar w:left="248" w:top="136"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color w:val="auto"/>
        </w:rPr>
        <w:t>AMENDED AND RESTATED FIVE YEAR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16, 2015</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MANPOWERGROUP INC., a Wisconsin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banks, financial institutions and other institutional lenders (the “</w:t>
      </w:r>
      <w:r>
        <w:rPr>
          <w:rFonts w:ascii="Arial" w:cs="Arial" w:eastAsia="Arial" w:hAnsi="Arial"/>
          <w:sz w:val="20"/>
          <w:szCs w:val="20"/>
          <w:u w:val="single" w:color="auto"/>
          <w:color w:val="auto"/>
        </w:rPr>
        <w:t>Initial Lenders</w:t>
      </w:r>
      <w:r>
        <w:rPr>
          <w:rFonts w:ascii="Arial" w:cs="Arial" w:eastAsia="Arial" w:hAnsi="Arial"/>
          <w:sz w:val="20"/>
          <w:szCs w:val="20"/>
          <w:color w:val="auto"/>
        </w:rPr>
        <w:t>”) listed on the signature pages hereof as lenders, the banks listed on the signature pages hereof as issuing banks (the “</w:t>
      </w:r>
      <w:r>
        <w:rPr>
          <w:rFonts w:ascii="Arial" w:cs="Arial" w:eastAsia="Arial" w:hAnsi="Arial"/>
          <w:sz w:val="20"/>
          <w:szCs w:val="20"/>
          <w:u w:val="single" w:color="auto"/>
          <w:color w:val="auto"/>
        </w:rPr>
        <w:t>Initial Issuing Banks</w:t>
      </w:r>
      <w:r>
        <w:rPr>
          <w:rFonts w:ascii="Arial" w:cs="Arial" w:eastAsia="Arial" w:hAnsi="Arial"/>
          <w:sz w:val="20"/>
          <w:szCs w:val="20"/>
          <w:color w:val="auto"/>
        </w:rPr>
        <w:t>”, and together with the Initial Lenders, the “</w:t>
      </w:r>
      <w:r>
        <w:rPr>
          <w:rFonts w:ascii="Arial" w:cs="Arial" w:eastAsia="Arial" w:hAnsi="Arial"/>
          <w:sz w:val="20"/>
          <w:szCs w:val="20"/>
          <w:u w:val="single" w:color="auto"/>
          <w:color w:val="auto"/>
        </w:rPr>
        <w:t>Initial Lender Parties</w:t>
      </w:r>
      <w:r>
        <w:rPr>
          <w:rFonts w:ascii="Arial" w:cs="Arial" w:eastAsia="Arial" w:hAnsi="Arial"/>
          <w:sz w:val="20"/>
          <w:szCs w:val="20"/>
          <w:color w:val="auto"/>
        </w:rPr>
        <w:t>”) and CITIBANK, N.A. (“</w:t>
      </w:r>
      <w:r>
        <w:rPr>
          <w:rFonts w:ascii="Arial" w:cs="Arial" w:eastAsia="Arial" w:hAnsi="Arial"/>
          <w:sz w:val="20"/>
          <w:szCs w:val="20"/>
          <w:u w:val="single" w:color="auto"/>
          <w:color w:val="auto"/>
        </w:rPr>
        <w:t>Citibank</w:t>
      </w:r>
      <w:r>
        <w:rPr>
          <w:rFonts w:ascii="Arial" w:cs="Arial" w:eastAsia="Arial" w:hAnsi="Arial"/>
          <w:sz w:val="20"/>
          <w:szCs w:val="20"/>
          <w:color w:val="auto"/>
        </w:rPr>
        <w:t>”), as agent (the “</w:t>
      </w:r>
      <w:r>
        <w:rPr>
          <w:rFonts w:ascii="Arial" w:cs="Arial" w:eastAsia="Arial" w:hAnsi="Arial"/>
          <w:sz w:val="20"/>
          <w:szCs w:val="20"/>
          <w:u w:val="single" w:color="auto"/>
          <w:color w:val="auto"/>
        </w:rPr>
        <w:t>Agent</w:t>
      </w:r>
      <w:r>
        <w:rPr>
          <w:rFonts w:ascii="Arial" w:cs="Arial" w:eastAsia="Arial" w:hAnsi="Arial"/>
          <w:sz w:val="20"/>
          <w:szCs w:val="20"/>
          <w:color w:val="auto"/>
        </w:rPr>
        <w:t>”) for the Lender Parties (as hereinafter defined), agree as follows:</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PRELIMINARY STATEMENT. The Borrower, the lenders party thereto and Citibank, as administrative agent, are parties to an Amended and Restated Five Year Credit Agreement dated as of October 15, 2013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Subject to the satisfaction of the conditions set forth in Section 3.01 hereof, the parties hereto agree to amend and restate the Existing Credit Agreement as herein set forth.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Certain Defined Terms</w:t>
      </w:r>
      <w:r>
        <w:rPr>
          <w:rFonts w:ascii="Arial" w:cs="Arial" w:eastAsia="Arial" w:hAnsi="Arial"/>
          <w:sz w:val="20"/>
          <w:szCs w:val="20"/>
          <w:color w:val="auto"/>
        </w:rPr>
        <w:t>. As used in this Agreement, the following terms shall have the following meanings (such meanings to be equally applicable to both the singular and plural forms of the terms defined):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Agent.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Advance</w:t>
      </w:r>
      <w:r>
        <w:rPr>
          <w:rFonts w:ascii="Arial" w:cs="Arial" w:eastAsia="Arial" w:hAnsi="Arial"/>
          <w:sz w:val="20"/>
          <w:szCs w:val="20"/>
          <w:color w:val="auto"/>
        </w:rPr>
        <w:t>” means a Revolving Credit Advance or a Letter of Credit Advance.</w:t>
      </w:r>
    </w:p>
    <w:p>
      <w:pPr>
        <w:spacing w:after="0" w:line="216"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(whether or not existing as at the date hereof)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65"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Account</w:t>
      </w:r>
      <w:r>
        <w:rPr>
          <w:rFonts w:ascii="Arial" w:cs="Arial" w:eastAsia="Arial" w:hAnsi="Arial"/>
          <w:sz w:val="20"/>
          <w:szCs w:val="20"/>
          <w:color w:val="auto"/>
        </w:rPr>
        <w:t>” means (a) in the case of Advances denominated in Dollars, the account of the Agent maintained by the Agent at Citibank at its office at 388 Greenwich Street, New York, New York 10013, aba# 021000089, Account No. 36852248, Attention: Bank Loan Syndications, or (b) any such other account of the Agent as is designated in writing from time to time by the Agent to the Borrower and the Lenders for such purpose.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Anniversary Date</w:t>
      </w:r>
      <w:r>
        <w:rPr>
          <w:rFonts w:ascii="Arial" w:cs="Arial" w:eastAsia="Arial" w:hAnsi="Arial"/>
          <w:sz w:val="20"/>
          <w:szCs w:val="20"/>
          <w:color w:val="auto"/>
        </w:rPr>
        <w:t>” has the meaning specified in Section 2.22(a).</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AML Laws</w:t>
      </w:r>
      <w:r>
        <w:rPr>
          <w:rFonts w:ascii="Arial" w:cs="Arial" w:eastAsia="Arial" w:hAnsi="Arial"/>
          <w:sz w:val="20"/>
          <w:szCs w:val="20"/>
          <w:color w:val="auto"/>
        </w:rPr>
        <w:t>” means all laws, rules, and regulations of any jurisdiction applicable to any Lender, the Borrower or the Borrower’s Subsidiaries from time to time concerning or relating to anti-money laundering.</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60"/>
        </w:numPr>
        <w:rPr>
          <w:rFonts w:ascii="Arial" w:cs="Arial" w:eastAsia="Arial" w:hAnsi="Arial"/>
          <w:sz w:val="14"/>
          <w:szCs w:val="14"/>
          <w:color w:val="auto"/>
        </w:rPr>
      </w:pPr>
      <w:r>
        <w:rPr>
          <w:rFonts w:ascii="Arial" w:cs="Arial" w:eastAsia="Arial" w:hAnsi="Arial"/>
          <w:sz w:val="14"/>
          <w:szCs w:val="14"/>
          <w:color w:val="auto"/>
        </w:rPr>
        <w:t>ManpowerGroup Five Year Credit Agreement NYDOCS03/975898.3</w:t>
      </w:r>
    </w:p>
    <w:p>
      <w:pPr>
        <w:sectPr>
          <w:pgSz w:w="11900" w:h="16838" w:orient="portrait"/>
          <w:cols w:equalWidth="0" w:num="1">
            <w:col w:w="11420"/>
          </w:cols>
          <w:pgMar w:left="240" w:top="58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94"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its Subsidiaries from time to time concerning or relating to bribery or corruption.</w:t>
      </w:r>
    </w:p>
    <w:p>
      <w:pPr>
        <w:spacing w:after="0" w:line="177" w:lineRule="exact"/>
        <w:rPr>
          <w:sz w:val="20"/>
          <w:szCs w:val="20"/>
          <w:color w:val="auto"/>
        </w:rPr>
      </w:pPr>
    </w:p>
    <w:p>
      <w:pPr>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Lending Office</w:t>
      </w:r>
      <w:r>
        <w:rPr>
          <w:rFonts w:ascii="Arial" w:cs="Arial" w:eastAsia="Arial" w:hAnsi="Arial"/>
          <w:sz w:val="19"/>
          <w:szCs w:val="19"/>
          <w:color w:val="auto"/>
        </w:rPr>
        <w:t>” means, with respect to each Lender, such Lender’s Domestic Lending Office in the case of a Base Rate Advance and such Lender’s Eurocurrency Lending Office in the case of a Eurocurrency Rate Advance.</w:t>
      </w:r>
    </w:p>
    <w:p>
      <w:pPr>
        <w:spacing w:after="0" w:line="153"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 as of any date, a percentage per annum determined by reference to the Public Debt Rating in effect on such date as set forth below:</w:t>
      </w:r>
    </w:p>
    <w:p>
      <w:pPr>
        <w:spacing w:after="0" w:line="322" w:lineRule="exact"/>
        <w:rPr>
          <w:sz w:val="20"/>
          <w:szCs w:val="20"/>
          <w:color w:val="auto"/>
        </w:rPr>
      </w:pPr>
    </w:p>
    <w:tbl>
      <w:tblPr>
        <w:tblLayout w:type="fixed"/>
        <w:tblInd w:w="1050" w:type="dxa"/>
        <w:tblCellMar>
          <w:top w:w="0" w:type="dxa"/>
          <w:left w:w="0" w:type="dxa"/>
          <w:bottom w:w="0" w:type="dxa"/>
          <w:right w:w="0" w:type="dxa"/>
        </w:tblCellMar>
      </w:tblPr>
      <w:tr>
        <w:trPr>
          <w:trHeight w:val="253"/>
        </w:trPr>
        <w:tc>
          <w:tcPr>
            <w:tcW w:w="180" w:type="dxa"/>
            <w:vAlign w:val="bottom"/>
            <w:tcBorders>
              <w:top w:val="single" w:sz="8" w:color="auto"/>
              <w:left w:val="single" w:sz="8" w:color="auto"/>
            </w:tcBorders>
          </w:tcPr>
          <w:p>
            <w:pPr>
              <w:spacing w:after="0"/>
              <w:rPr>
                <w:sz w:val="22"/>
                <w:szCs w:val="22"/>
                <w:color w:val="auto"/>
              </w:rPr>
            </w:pPr>
          </w:p>
        </w:tc>
        <w:tc>
          <w:tcPr>
            <w:tcW w:w="27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Public Debt Rating</w:t>
            </w:r>
          </w:p>
        </w:tc>
        <w:tc>
          <w:tcPr>
            <w:tcW w:w="36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20"/>
                <w:szCs w:val="20"/>
                <w:color w:val="auto"/>
              </w:rPr>
              <w:t>Applicable Margin for</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Applicable Margin for Base Rate</w:t>
            </w:r>
          </w:p>
        </w:tc>
      </w:tr>
      <w:tr>
        <w:trPr>
          <w:trHeight w:val="250"/>
        </w:trPr>
        <w:tc>
          <w:tcPr>
            <w:tcW w:w="180" w:type="dxa"/>
            <w:vAlign w:val="bottom"/>
            <w:tcBorders>
              <w:left w:val="single" w:sz="8" w:color="auto"/>
            </w:tcBorders>
          </w:tcPr>
          <w:p>
            <w:pPr>
              <w:spacing w:after="0"/>
              <w:rPr>
                <w:sz w:val="21"/>
                <w:szCs w:val="21"/>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S&amp;P/Moody’s</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Eurocurrency Rate Advances</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Advances</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1</w:t>
            </w:r>
          </w:p>
        </w:tc>
        <w:tc>
          <w:tcPr>
            <w:tcW w:w="21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 or A2 or above</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0.795%</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2</w:t>
            </w:r>
          </w:p>
        </w:tc>
        <w:tc>
          <w:tcPr>
            <w:tcW w:w="21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 or A3</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3</w:t>
            </w:r>
          </w:p>
        </w:tc>
        <w:tc>
          <w:tcPr>
            <w:tcW w:w="21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BBB+ or Baa1</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4</w:t>
            </w:r>
          </w:p>
        </w:tc>
        <w:tc>
          <w:tcPr>
            <w:tcW w:w="21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BBB or Baa2</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0.100%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5</w:t>
            </w:r>
          </w:p>
        </w:tc>
        <w:tc>
          <w:tcPr>
            <w:tcW w:w="21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BBB- or Baa3</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0.300%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6</w:t>
            </w:r>
          </w:p>
        </w:tc>
        <w:tc>
          <w:tcPr>
            <w:tcW w:w="21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Lower than Level 5</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as of any date a percentage per annum determined by reference to the Public Debt Rating in effect on such date as set forth below:</w:t>
      </w:r>
    </w:p>
    <w:p>
      <w:pPr>
        <w:spacing w:after="0" w:line="322" w:lineRule="exact"/>
        <w:rPr>
          <w:sz w:val="20"/>
          <w:szCs w:val="20"/>
          <w:color w:val="auto"/>
        </w:rPr>
      </w:pPr>
    </w:p>
    <w:tbl>
      <w:tblPr>
        <w:tblLayout w:type="fixed"/>
        <w:tblInd w:w="2070" w:type="dxa"/>
        <w:tblCellMar>
          <w:top w:w="0" w:type="dxa"/>
          <w:left w:w="0" w:type="dxa"/>
          <w:bottom w:w="0" w:type="dxa"/>
          <w:right w:w="0" w:type="dxa"/>
        </w:tblCellMar>
      </w:tblPr>
      <w:tr>
        <w:trPr>
          <w:trHeight w:val="253"/>
        </w:trPr>
        <w:tc>
          <w:tcPr>
            <w:tcW w:w="2520" w:type="dxa"/>
            <w:vAlign w:val="bottom"/>
            <w:tcBorders>
              <w:top w:val="single" w:sz="8" w:color="auto"/>
              <w:left w:val="single" w:sz="8" w:color="auto"/>
              <w:right w:val="single" w:sz="8" w:color="auto"/>
            </w:tcBorders>
            <w:gridSpan w:val="3"/>
          </w:tcPr>
          <w:p>
            <w:pPr>
              <w:ind w:left="140"/>
              <w:spacing w:after="0"/>
              <w:rPr>
                <w:sz w:val="20"/>
                <w:szCs w:val="20"/>
                <w:color w:val="auto"/>
              </w:rPr>
            </w:pPr>
            <w:r>
              <w:rPr>
                <w:rFonts w:ascii="Arial" w:cs="Arial" w:eastAsia="Arial" w:hAnsi="Arial"/>
                <w:sz w:val="20"/>
                <w:szCs w:val="20"/>
                <w:color w:val="auto"/>
              </w:rPr>
              <w:t>Public Debt Rating</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Applicable</w:t>
            </w:r>
          </w:p>
        </w:tc>
      </w:tr>
      <w:tr>
        <w:trPr>
          <w:trHeight w:val="250"/>
        </w:trPr>
        <w:tc>
          <w:tcPr>
            <w:tcW w:w="252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0"/>
                <w:szCs w:val="20"/>
                <w:color w:val="auto"/>
              </w:rPr>
              <w:t>S&amp;P/Moody’s</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4"/>
              </w:rPr>
              <w:t>Percentage</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1</w:t>
            </w:r>
          </w:p>
        </w:tc>
        <w:tc>
          <w:tcPr>
            <w:tcW w:w="17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 or A2 or above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0.080%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2</w:t>
            </w:r>
          </w:p>
        </w:tc>
        <w:tc>
          <w:tcPr>
            <w:tcW w:w="17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 or A3</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3</w:t>
            </w:r>
          </w:p>
        </w:tc>
        <w:tc>
          <w:tcPr>
            <w:tcW w:w="17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BBB+ or Baa1</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0.125%</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4</w:t>
            </w:r>
          </w:p>
        </w:tc>
        <w:tc>
          <w:tcPr>
            <w:tcW w:w="17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BBB or Baa2</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0.150%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5</w:t>
            </w:r>
          </w:p>
        </w:tc>
        <w:tc>
          <w:tcPr>
            <w:tcW w:w="17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BBB- or Baa3</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0.200%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6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Level 6</w:t>
            </w:r>
          </w:p>
        </w:tc>
        <w:tc>
          <w:tcPr>
            <w:tcW w:w="174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r>
      <w:tr>
        <w:trPr>
          <w:trHeight w:val="254"/>
        </w:trPr>
        <w:tc>
          <w:tcPr>
            <w:tcW w:w="180" w:type="dxa"/>
            <w:vAlign w:val="bottom"/>
            <w:tcBorders>
              <w:left w:val="single" w:sz="8" w:color="auto"/>
            </w:tcBorders>
          </w:tcPr>
          <w:p>
            <w:pPr>
              <w:spacing w:after="0"/>
              <w:rPr>
                <w:sz w:val="22"/>
                <w:szCs w:val="22"/>
                <w:color w:val="auto"/>
              </w:rPr>
            </w:pPr>
          </w:p>
        </w:tc>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Lower than Level 5</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0.250%</w:t>
            </w:r>
          </w:p>
        </w:tc>
      </w:tr>
      <w:tr>
        <w:trPr>
          <w:trHeight w:val="23"/>
        </w:trPr>
        <w:tc>
          <w:tcPr>
            <w:tcW w:w="1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94"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means an assignment and assumption entered into by a Lender and an Eligible Assignee (with the consent of any party whose consent is required by Section 8.07), and accepted by the Agent, in substantially the form of Exhibit C or any other form approved by the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Assuming Lender</w:t>
      </w:r>
      <w:r>
        <w:rPr>
          <w:rFonts w:ascii="Arial" w:cs="Arial" w:eastAsia="Arial" w:hAnsi="Arial"/>
          <w:sz w:val="20"/>
          <w:szCs w:val="20"/>
          <w:color w:val="auto"/>
        </w:rPr>
        <w:t>” has the meaning specified in Section 2.19(d).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Assumption Agreement</w:t>
      </w:r>
      <w:r>
        <w:rPr>
          <w:rFonts w:ascii="Arial" w:cs="Arial" w:eastAsia="Arial" w:hAnsi="Arial"/>
          <w:sz w:val="20"/>
          <w:szCs w:val="20"/>
          <w:color w:val="auto"/>
        </w:rPr>
        <w:t>” has the meaning specified in Section 2.19(d)(ii).</w:t>
      </w:r>
    </w:p>
    <w:p>
      <w:pPr>
        <w:spacing w:after="0" w:line="216" w:lineRule="exact"/>
        <w:rPr>
          <w:sz w:val="20"/>
          <w:szCs w:val="20"/>
          <w:color w:val="auto"/>
        </w:rPr>
      </w:pPr>
    </w:p>
    <w:p>
      <w:pPr>
        <w:jc w:val="both"/>
        <w:ind w:left="660"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Amount</w:t>
      </w:r>
      <w:r>
        <w:rPr>
          <w:rFonts w:ascii="Arial" w:cs="Arial" w:eastAsia="Arial" w:hAnsi="Arial"/>
          <w:sz w:val="19"/>
          <w:szCs w:val="19"/>
          <w:color w:val="auto"/>
        </w:rPr>
        <w:t>” of any Letter of Credit means, at any time, the maximum amount available to be drawn under such Letter of Credit at such time as set forth in Section 2.01(b) (assuming compliance at such time with all conditions to drawing).</w:t>
      </w:r>
    </w:p>
    <w:p>
      <w:pPr>
        <w:spacing w:after="0" w:line="153"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a fluctuating interest rate per annum in effect from time to time, which rate per annum shall at all times be equal to the highest of:</w:t>
      </w:r>
    </w:p>
    <w:p>
      <w:pPr>
        <w:spacing w:after="0" w:line="177" w:lineRule="exact"/>
        <w:rPr>
          <w:sz w:val="20"/>
          <w:szCs w:val="20"/>
          <w:color w:val="auto"/>
        </w:rPr>
      </w:pPr>
    </w:p>
    <w:p>
      <w:pPr>
        <w:ind w:left="2380" w:hanging="427"/>
        <w:spacing w:after="0"/>
        <w:tabs>
          <w:tab w:leader="none" w:pos="2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ind w:left="2380" w:hanging="427"/>
        <w:spacing w:after="0"/>
        <w:tabs>
          <w:tab w:leader="none" w:pos="23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1/2 of one percent per annum above the Federal Funds Rate; and</w:t>
      </w:r>
    </w:p>
    <w:p>
      <w:pPr>
        <w:spacing w:after="0" w:line="229" w:lineRule="exact"/>
        <w:rPr>
          <w:rFonts w:ascii="Arial" w:cs="Arial" w:eastAsia="Arial" w:hAnsi="Arial"/>
          <w:sz w:val="20"/>
          <w:szCs w:val="20"/>
          <w:color w:val="auto"/>
        </w:rPr>
      </w:pPr>
    </w:p>
    <w:p>
      <w:pPr>
        <w:jc w:val="both"/>
        <w:ind w:left="1300" w:firstLine="653"/>
        <w:spacing w:after="0" w:line="292" w:lineRule="auto"/>
        <w:tabs>
          <w:tab w:leader="none" w:pos="2403"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London interbank offered rate for deposits in Dollars for a period of one month (“</w:t>
      </w:r>
      <w:r>
        <w:rPr>
          <w:rFonts w:ascii="Arial" w:cs="Arial" w:eastAsia="Arial" w:hAnsi="Arial"/>
          <w:sz w:val="19"/>
          <w:szCs w:val="19"/>
          <w:u w:val="single" w:color="auto"/>
          <w:color w:val="auto"/>
        </w:rPr>
        <w:t>One Month LIBOR</w:t>
      </w:r>
      <w:r>
        <w:rPr>
          <w:rFonts w:ascii="Arial" w:cs="Arial" w:eastAsia="Arial" w:hAnsi="Arial"/>
          <w:sz w:val="19"/>
          <w:szCs w:val="19"/>
          <w:color w:val="auto"/>
        </w:rPr>
        <w:t xml:space="preserve">”) plus 1.00% (for the avoidance of doubt, the One Month LIBOR for any day shall be based on the rate appearing on Reuters Screen LIBOR01 Page (or other commercially available source providing such quotations as designated by the Agent from time to time) at approximately 11:00 a.m. London time on such day); </w:t>
      </w:r>
      <w:r>
        <w:rPr>
          <w:rFonts w:ascii="Arial" w:cs="Arial" w:eastAsia="Arial" w:hAnsi="Arial"/>
          <w:sz w:val="20"/>
          <w:szCs w:val="20"/>
          <w:u w:val="single" w:color="auto"/>
          <w:color w:val="auto"/>
        </w:rPr>
        <w:t>provided</w:t>
      </w:r>
      <w:r>
        <w:rPr>
          <w:rFonts w:ascii="Arial" w:cs="Arial" w:eastAsia="Arial" w:hAnsi="Arial"/>
          <w:sz w:val="19"/>
          <w:szCs w:val="19"/>
          <w:color w:val="auto"/>
        </w:rPr>
        <w:t xml:space="preserve"> </w:t>
      </w:r>
      <w:r>
        <w:rPr>
          <w:rFonts w:ascii="Arial" w:cs="Arial" w:eastAsia="Arial" w:hAnsi="Arial"/>
          <w:sz w:val="20"/>
          <w:szCs w:val="20"/>
          <w:color w:val="auto"/>
        </w:rPr>
        <w:t>that, if One Month LIBOR shall be less than zero,</w:t>
      </w:r>
      <w:r>
        <w:rPr>
          <w:rFonts w:ascii="Arial" w:cs="Arial" w:eastAsia="Arial" w:hAnsi="Arial"/>
          <w:sz w:val="19"/>
          <w:szCs w:val="19"/>
          <w:color w:val="auto"/>
        </w:rPr>
        <w:t xml:space="preserve"> </w:t>
      </w:r>
      <w:r>
        <w:rPr>
          <w:rFonts w:ascii="Arial" w:cs="Arial" w:eastAsia="Arial" w:hAnsi="Arial"/>
          <w:sz w:val="20"/>
          <w:szCs w:val="20"/>
          <w:color w:val="auto"/>
        </w:rPr>
        <w:t>such rate shall be deemed zero for purposes of this Agreement</w:t>
      </w:r>
      <w:r>
        <w:rPr>
          <w:rFonts w:ascii="Arial" w:cs="Arial" w:eastAsia="Arial" w:hAnsi="Arial"/>
          <w:sz w:val="18"/>
          <w:szCs w:val="18"/>
          <w:color w:val="auto"/>
        </w:rPr>
        <w:t>.</w:t>
      </w:r>
    </w:p>
    <w:p>
      <w:pPr>
        <w:spacing w:after="0" w:line="155"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Advance</w:t>
      </w:r>
      <w:r>
        <w:rPr>
          <w:rFonts w:ascii="Arial" w:cs="Arial" w:eastAsia="Arial" w:hAnsi="Arial"/>
          <w:sz w:val="20"/>
          <w:szCs w:val="20"/>
          <w:color w:val="auto"/>
        </w:rPr>
        <w:t>” means a Revolving Credit Advance or a Letter of Credit Advance denominated in Dollars that bears interest as provided in Section 2.08(a)(i).</w:t>
      </w:r>
    </w:p>
    <w:p>
      <w:pPr>
        <w:spacing w:after="0" w:line="17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consisting of simultaneous Revolving Credit Advances of the same Type made by each of the Lenders pursuant to Section 2.01.</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Minimum</w:t>
      </w:r>
      <w:r>
        <w:rPr>
          <w:rFonts w:ascii="Arial" w:cs="Arial" w:eastAsia="Arial" w:hAnsi="Arial"/>
          <w:sz w:val="19"/>
          <w:szCs w:val="19"/>
          <w:color w:val="auto"/>
        </w:rPr>
        <w:t>” means, in respect of Revolving Credit Advances denominated in Dollars, $5,000,000, in respect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Revolving Credit Advances denominated in Sterling, £5,000,000, in respect of Revolving Credit Advances denominated in Yen,</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¥100,000,000, in respect of Revolving Credit Advances denominated in Canadian dollars, CAD$5,000,000, in respect of Revolving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Advances denominated in Swiss francs, CHF5,000,000 and, in respect of Revolving Credit Advances denominated in Euros,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€10,000,000.</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Multiple</w:t>
      </w:r>
      <w:r>
        <w:rPr>
          <w:rFonts w:ascii="Arial" w:cs="Arial" w:eastAsia="Arial" w:hAnsi="Arial"/>
          <w:sz w:val="19"/>
          <w:szCs w:val="19"/>
          <w:color w:val="auto"/>
        </w:rPr>
        <w:t>” means, in respect of Revolving Credit Advances denominated in Dollars, $1,000,000, in respect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Revolving Credit Advances denominated in Sterling, £1,000,000, in respect of Revolving Credit Advances denominated in Yen,</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¥10,000,000, in respect of Revolving Credit Advances denominated in Canadian dollars, CAD $1,000,000, in respect of Revolving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Advances denominated in Swiss francs, CHF1,000,000 and, in respect of Revolving Credit Advances denominated in Euros,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€1,000,000.</w:t>
      </w:r>
    </w:p>
    <w:p>
      <w:pPr>
        <w:spacing w:after="0" w:line="200" w:lineRule="exact"/>
        <w:rPr>
          <w:sz w:val="20"/>
          <w:szCs w:val="20"/>
          <w:color w:val="auto"/>
        </w:rPr>
      </w:pPr>
    </w:p>
    <w:p>
      <w:pPr>
        <w:spacing w:after="0" w:line="241" w:lineRule="exact"/>
        <w:rPr>
          <w:sz w:val="20"/>
          <w:szCs w:val="20"/>
          <w:color w:val="auto"/>
        </w:rPr>
      </w:pPr>
    </w:p>
    <w:p>
      <w:pPr>
        <w:ind w:right="8680" w:firstLine="8"/>
        <w:spacing w:after="0" w:line="273" w:lineRule="auto"/>
        <w:tabs>
          <w:tab w:leader="none" w:pos="84" w:val="left"/>
        </w:tabs>
        <w:numPr>
          <w:ilvl w:val="0"/>
          <w:numId w:val="64"/>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94"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of the year on which banks are not required or authorized by law to close in New York City and, if the applicable Business Day relates to any Eurocurrency Rate Advances, on which dealings are carried on in the London interbank market and banks are open for business in London and in the country of issue of the currency of such Eurocurrency Rate Advance (or, in the case of an Advance denominated in Euro, on which the Trans-European Automated Real-Time Gross Settlement Express Transfer (TARGET) System is open).</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means any lease that is or should be capitalized on the balance sheet of the lessee in accordance with</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GAAP.</w:t>
      </w:r>
    </w:p>
    <w:p>
      <w:pPr>
        <w:spacing w:after="0" w:line="200"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in respect of an obligation, provide and pledge (as a first priority perfected security interest) cash collateral in Dollars, at a location and pursuant to documentation in form and substance reasonably satisfactory to the Agent and each Issuing Bank (and “</w:t>
      </w:r>
      <w:r>
        <w:rPr>
          <w:rFonts w:ascii="Arial" w:cs="Arial" w:eastAsia="Arial" w:hAnsi="Arial"/>
          <w:sz w:val="20"/>
          <w:szCs w:val="20"/>
          <w:u w:val="single" w:color="auto"/>
          <w:color w:val="auto"/>
        </w:rPr>
        <w:t>Cash Collateralization</w:t>
      </w:r>
      <w:r>
        <w:rPr>
          <w:rFonts w:ascii="Arial" w:cs="Arial" w:eastAsia="Arial" w:hAnsi="Arial"/>
          <w:sz w:val="20"/>
          <w:szCs w:val="20"/>
          <w:color w:val="auto"/>
        </w:rPr>
        <w:t>” has a corresponding meaning).</w:t>
      </w:r>
    </w:p>
    <w:p>
      <w:pPr>
        <w:spacing w:after="0" w:line="18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CDOR Rate</w:t>
      </w:r>
      <w:r>
        <w:rPr>
          <w:rFonts w:ascii="Arial" w:cs="Arial" w:eastAsia="Arial" w:hAnsi="Arial"/>
          <w:sz w:val="19"/>
          <w:szCs w:val="19"/>
          <w:color w:val="auto"/>
        </w:rPr>
        <w:t>” means the rate per annum equal to the average of the annual yield rates applicable to Canadian dollar banker’s acceptances at or about 10:00 a.m. (Toronto, Ontario time) two Business Days prior to the first day of such Interest Period as reported on the “CDOR page” (or any display substituted therefor) of Reuters Monitor Money Rates Service (or such other page or commercially available source displaying Canadian interbank bid rates for Canadian dollar bankers’ acceptances as may be designated by the Agent from time to time) for a term equivalent to such Interest Period (or if such Interest Period is not equal to a number of months, for a term equivalent to the number of months closest to such Interest Period).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Revolving Commitment or a Letter of Credit Commitment.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Date</w:t>
      </w:r>
      <w:r>
        <w:rPr>
          <w:rFonts w:ascii="Arial" w:cs="Arial" w:eastAsia="Arial" w:hAnsi="Arial"/>
          <w:sz w:val="20"/>
          <w:szCs w:val="20"/>
          <w:color w:val="auto"/>
        </w:rPr>
        <w:t>” has the meaning specified in Section 2.19(b)(iii).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Increase</w:t>
      </w:r>
      <w:r>
        <w:rPr>
          <w:rFonts w:ascii="Arial" w:cs="Arial" w:eastAsia="Arial" w:hAnsi="Arial"/>
          <w:sz w:val="20"/>
          <w:szCs w:val="20"/>
          <w:color w:val="auto"/>
        </w:rPr>
        <w:t>” has the meaning specified in Section 2.19(a).</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Currencies</w:t>
      </w:r>
      <w:r>
        <w:rPr>
          <w:rFonts w:ascii="Arial" w:cs="Arial" w:eastAsia="Arial" w:hAnsi="Arial"/>
          <w:sz w:val="20"/>
          <w:szCs w:val="20"/>
          <w:color w:val="auto"/>
        </w:rPr>
        <w:t>” means lawful currency of the United Kingdom of Great Britain and Northern Ireland, lawful currency of Canada, lawful currency of Japan, lawful currency of Switzerland and Euros.</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refers to the consolidation of accounts in accordance with GAAP.</w:t>
      </w:r>
    </w:p>
    <w:p>
      <w:pPr>
        <w:spacing w:after="0" w:line="21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Adjusted Debt</w:t>
      </w:r>
      <w:r>
        <w:rPr>
          <w:rFonts w:ascii="Arial" w:cs="Arial" w:eastAsia="Arial" w:hAnsi="Arial"/>
          <w:sz w:val="19"/>
          <w:szCs w:val="19"/>
          <w:color w:val="auto"/>
        </w:rPr>
        <w:t xml:space="preserve">” means the computation of (a) all Debt of the Borrower and its Consolidated Subsidiaries that, in accordance with GAAP, would be classified as indebtedness on a Consolidated balance sheet of the Borrower,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without duplication, the aggregate outstanding investment or claims held at any time by purchasers, assignees or other transferees of (or of interests in) Receivables under Receivables Purchase Agreements (other than in respect of such transactions that constitute a “true sale” in accordance with FASB ASC 860 under GAAP),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cash and cash equivalents (as presented on the face of the Borrower’s quarterly and audited fiscal year balance sheets) in excess of $400,000,000.</w:t>
      </w:r>
    </w:p>
    <w:p>
      <w:pPr>
        <w:spacing w:after="0" w:line="200" w:lineRule="exact"/>
        <w:rPr>
          <w:sz w:val="20"/>
          <w:szCs w:val="20"/>
          <w:color w:val="auto"/>
        </w:rPr>
      </w:pPr>
    </w:p>
    <w:p>
      <w:pPr>
        <w:spacing w:after="0" w:line="220" w:lineRule="exact"/>
        <w:rPr>
          <w:sz w:val="20"/>
          <w:szCs w:val="20"/>
          <w:color w:val="auto"/>
        </w:rPr>
      </w:pPr>
    </w:p>
    <w:p>
      <w:pPr>
        <w:ind w:right="8680" w:firstLine="8"/>
        <w:spacing w:after="0" w:line="273" w:lineRule="auto"/>
        <w:tabs>
          <w:tab w:leader="none" w:pos="84" w:val="left"/>
        </w:tabs>
        <w:numPr>
          <w:ilvl w:val="0"/>
          <w:numId w:val="6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94"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for any period, the sum of the amounts for such period of (i) Consolidated Operating Profit of the Borrower and its Consolidated Subsidiaries for such period, determined in accordance with GAAP, plus (ii) the sum of the following amounts for such period, in each case to the extent the same shall have been deducted in the calculation of such Consolidated Operating Profit for such period: (A) amortization, (B) depreciation, (C) non-cash restructuring or impairment charges reported by the Borrower in respect of, or otherwise allocated to, such period, and (D) cash restructuring charges in an amount not to exceed $25,000,000 in any calendar year, minus (iii) to the extent the same shall have been included in the calculation of Consolidated Operating Profit for such period, any extraordinary, or unusual and non-recurring gains (or plus any extraordinary, or unusual and non-recurring, losses) calculated pursuant to GAAP for such period.</w:t>
      </w:r>
    </w:p>
    <w:p>
      <w:pPr>
        <w:spacing w:after="0" w:line="181"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means, for any period, the excess of (a) total interest expense, whether paid or accrued (including the interest component of Capitalized Leases), of the Borrower and its Consolidated Subsidiaries on a Consolidated basis, including, without limitation, all commissions, discounts and other fees and charges owed with respect to letters of credit and net costs under any agreements providing interest rate protection, but excluding however, amortization of discount, interest paid in property other than cash or any other interest expense not payable in cash over (b) total interest income, in each case as determined in conformity with GAAP.</w:t>
      </w:r>
    </w:p>
    <w:p>
      <w:pPr>
        <w:spacing w:after="0" w:line="19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Operating Profit</w:t>
      </w:r>
      <w:r>
        <w:rPr>
          <w:rFonts w:ascii="Arial" w:cs="Arial" w:eastAsia="Arial" w:hAnsi="Arial"/>
          <w:sz w:val="20"/>
          <w:szCs w:val="20"/>
          <w:color w:val="auto"/>
        </w:rPr>
        <w:t>” means, for any period, revenue less the sum of (A) direct costs, and (b) selling and administrative expenses on a consolidated income statement of the Borrower and its Consolidated Subsidiaries for such period, all as determined in accordance with GAAP.</w:t>
      </w:r>
    </w:p>
    <w:p>
      <w:pPr>
        <w:spacing w:after="0" w:line="186"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Rental Expense</w:t>
      </w:r>
      <w:r>
        <w:rPr>
          <w:rFonts w:ascii="Arial" w:cs="Arial" w:eastAsia="Arial" w:hAnsi="Arial"/>
          <w:sz w:val="19"/>
          <w:szCs w:val="19"/>
          <w:color w:val="auto"/>
        </w:rPr>
        <w:t>” means, for any period, total rental expense, whether paid or accrued (excluding rental expense accrued in connection with restructuring charges (other than that portion actually paid during such period)), of the Borrower and its Consolidated Subsidiaries on a Consolidated basis, all as determined in conformity with GAAP.</w:t>
      </w:r>
    </w:p>
    <w:p>
      <w:pPr>
        <w:spacing w:after="0" w:line="170" w:lineRule="exact"/>
        <w:rPr>
          <w:sz w:val="20"/>
          <w:szCs w:val="20"/>
          <w:color w:val="auto"/>
        </w:rPr>
      </w:pPr>
    </w:p>
    <w:p>
      <w:pPr>
        <w:jc w:val="both"/>
        <w:ind w:left="660"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Subsidiary</w:t>
      </w:r>
      <w:r>
        <w:rPr>
          <w:rFonts w:ascii="Arial" w:cs="Arial" w:eastAsia="Arial" w:hAnsi="Arial"/>
          <w:sz w:val="18"/>
          <w:szCs w:val="18"/>
          <w:color w:val="auto"/>
        </w:rPr>
        <w:t>” means, at any date with respect to any Person, any Subsidiary thereof the accounts of which would be consolidated with those of such Person in its consolidated financial statements at such date in accordance with GAAP.</w:t>
      </w:r>
    </w:p>
    <w:p>
      <w:pPr>
        <w:spacing w:after="0" w:line="130" w:lineRule="exact"/>
        <w:rPr>
          <w:sz w:val="20"/>
          <w:szCs w:val="20"/>
          <w:color w:val="auto"/>
        </w:rPr>
      </w:pPr>
    </w:p>
    <w:p>
      <w:pPr>
        <w:jc w:val="both"/>
        <w:ind w:left="66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Tangible Assets</w:t>
      </w:r>
      <w:r>
        <w:rPr>
          <w:rFonts w:ascii="Arial" w:cs="Arial" w:eastAsia="Arial" w:hAnsi="Arial"/>
          <w:sz w:val="20"/>
          <w:szCs w:val="20"/>
          <w:color w:val="auto"/>
        </w:rPr>
        <w:t>” means, with respect to any Person at any time of determination, total assets of such Person and its Consolidated Subsidiaries as set forth on the balance sheets most recently delivered to the Lenders pursuant to Section 5.01(h), excluding all Intangible Assets of such Person and its Consolidated Subsidiaries.</w:t>
      </w: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w:t>
      </w:r>
      <w:r>
        <w:rPr>
          <w:rFonts w:ascii="Arial" w:cs="Arial" w:eastAsia="Arial" w:hAnsi="Arial"/>
          <w:sz w:val="20"/>
          <w:szCs w:val="20"/>
          <w:color w:val="auto"/>
        </w:rPr>
        <w:t>”, “</w:t>
      </w:r>
      <w:r>
        <w:rPr>
          <w:rFonts w:ascii="Arial" w:cs="Arial" w:eastAsia="Arial" w:hAnsi="Arial"/>
          <w:sz w:val="20"/>
          <w:szCs w:val="20"/>
          <w:u w:val="single" w:color="auto"/>
          <w:color w:val="auto"/>
        </w:rPr>
        <w:t>Conversion</w:t>
      </w:r>
      <w:r>
        <w:rPr>
          <w:rFonts w:ascii="Arial" w:cs="Arial" w:eastAsia="Arial" w:hAnsi="Arial"/>
          <w:sz w:val="20"/>
          <w:szCs w:val="20"/>
          <w:color w:val="auto"/>
        </w:rPr>
        <w:t>” and “</w:t>
      </w:r>
      <w:r>
        <w:rPr>
          <w:rFonts w:ascii="Arial" w:cs="Arial" w:eastAsia="Arial" w:hAnsi="Arial"/>
          <w:sz w:val="20"/>
          <w:szCs w:val="20"/>
          <w:u w:val="single" w:color="auto"/>
          <w:color w:val="auto"/>
        </w:rPr>
        <w:t>Converted</w:t>
      </w:r>
      <w:r>
        <w:rPr>
          <w:rFonts w:ascii="Arial" w:cs="Arial" w:eastAsia="Arial" w:hAnsi="Arial"/>
          <w:sz w:val="20"/>
          <w:szCs w:val="20"/>
          <w:color w:val="auto"/>
        </w:rPr>
        <w:t>” each refers to a conversion of Revolving Credit Advances of one Type into Revolving Credit Advances of the other Type pursuant to Section 2.09 or 2.10.</w:t>
      </w:r>
    </w:p>
    <w:p>
      <w:pPr>
        <w:spacing w:after="0" w:line="192"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w:t>
      </w:r>
    </w:p>
    <w:p>
      <w:pPr>
        <w:spacing w:after="0" w:line="200" w:lineRule="exact"/>
        <w:rPr>
          <w:sz w:val="20"/>
          <w:szCs w:val="20"/>
          <w:color w:val="auto"/>
        </w:rPr>
      </w:pPr>
    </w:p>
    <w:p>
      <w:pPr>
        <w:spacing w:after="0" w:line="210" w:lineRule="exact"/>
        <w:rPr>
          <w:sz w:val="20"/>
          <w:szCs w:val="20"/>
          <w:color w:val="auto"/>
        </w:rPr>
      </w:pPr>
    </w:p>
    <w:p>
      <w:pPr>
        <w:ind w:right="8680" w:firstLine="8"/>
        <w:spacing w:after="0" w:line="273" w:lineRule="auto"/>
        <w:tabs>
          <w:tab w:leader="none" w:pos="84" w:val="left"/>
        </w:tabs>
        <w:numPr>
          <w:ilvl w:val="0"/>
          <w:numId w:val="66"/>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70" w:lineRule="auto"/>
        <w:rPr>
          <w:sz w:val="20"/>
          <w:szCs w:val="20"/>
          <w:color w:val="auto"/>
        </w:rPr>
      </w:pPr>
      <w:r>
        <w:rPr>
          <w:rFonts w:ascii="Arial" w:cs="Arial" w:eastAsia="Arial" w:hAnsi="Arial"/>
          <w:sz w:val="18"/>
          <w:szCs w:val="18"/>
          <w:color w:val="auto"/>
        </w:rPr>
        <w:t>of such Person in respect of acceptances, letters of credit (except for the purposes of Section 6.01 (d), other than trade letters of credit, performance bonds (including, without limitation, bonds posted pursuant to governmental rules and regulations) or similar obligations of such parties) or similar extensions of credit, (g) all obligations of such Person in respect of Hedge Agreements, (h) all Debt of others referred to in clauses (a) through (g) above or clause (i) below and other payment obligations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of Default or any event that would constitute an Event of Default but for the requirement that notice be given or time elapse or both.</w:t>
      </w:r>
    </w:p>
    <w:p>
      <w:pPr>
        <w:spacing w:after="0" w:line="177"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at any time, subject to Section 2.20(c), (i) any Lender that has failed for three or more Business Days to comply with its obligations under this Agreement to make an Advance, make a payment to an Issuing Bank in respect of drawing under a Letter of Credit or make any other payment due hereunder (each, a “</w:t>
      </w:r>
      <w:r>
        <w:rPr>
          <w:rFonts w:ascii="Arial" w:cs="Arial" w:eastAsia="Arial" w:hAnsi="Arial"/>
          <w:sz w:val="18"/>
          <w:szCs w:val="18"/>
          <w:u w:val="single" w:color="auto"/>
          <w:color w:val="auto"/>
        </w:rPr>
        <w:t>funding obligation</w:t>
      </w:r>
      <w:r>
        <w:rPr>
          <w:rFonts w:ascii="Arial" w:cs="Arial" w:eastAsia="Arial" w:hAnsi="Arial"/>
          <w:sz w:val="18"/>
          <w:szCs w:val="18"/>
          <w:color w:val="auto"/>
        </w:rPr>
        <w:t>”), unless such Lender has notified the Agent and the Borrower in writing that such failure is the result of such Lender’s determination that one or more conditions precedent to funding has not been satisfied (which conditions precedent, together with the applicable default, if any, will be specifically identified in such writing), (ii) any Lender that has notified the Agent, the Borrower or an Issuing Bank in writing, or has stated publicly, that it does not intend to comply with its funding obligations hereunder, unless such writing or statement states that such position is based on such Lender’s determination that one or more conditions precedent to funding cannot be satisfied (which conditions precedent, together with the applicable default, if any, will be specifically identified in such writing or public statement),</w:t>
      </w:r>
    </w:p>
    <w:p>
      <w:pPr>
        <w:spacing w:after="0" w:line="2" w:lineRule="exact"/>
        <w:rPr>
          <w:sz w:val="20"/>
          <w:szCs w:val="20"/>
          <w:color w:val="auto"/>
        </w:rPr>
      </w:pPr>
    </w:p>
    <w:p>
      <w:pPr>
        <w:jc w:val="both"/>
        <w:ind w:left="660" w:hanging="4"/>
        <w:spacing w:after="0" w:line="266" w:lineRule="auto"/>
        <w:tabs>
          <w:tab w:leader="none" w:pos="10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w:t>
      </w:r>
    </w:p>
    <w:p>
      <w:pPr>
        <w:jc w:val="both"/>
        <w:ind w:left="660" w:hanging="4"/>
        <w:spacing w:after="0" w:line="269" w:lineRule="auto"/>
        <w:tabs>
          <w:tab w:leader="none" w:pos="10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Lender that has, for three or more Business Days after written request of the Agent or the Borrower, failed to confirm in writing to the Agent and the Borrower that it will comply with its prospective funding obligations hereunder (provided that such Lender will cease to be a Defaulting Lender pursuant to this clause (iv) upon the Agent’s and the Borrower’s receipt of such written confirmation), or (v) any Lender with respect to which a Lender Insolvency Event has occurred and is continuing with respect to such Lender or its Parent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Insolvency Event shall not be deemed to occur with respect to a Lender or its Parent Company solely as a result of (1) the acquisition or maintenance of an ownership interest in such Lender or Parent Company by a governmental authority or instrumentality thereof or (2) in the case of a solvent Lender, the precautionary appointment of an administrator, guardian, custodian or other similar official by a Governmental Authority or instrumentality under or based on the law of the country where such Lender is subject to home jurisdiction supervision if applicable law requires that such appointment not be publicly disclosed, so long as, in the case of clause (1) and clause (2), such action does not</w:t>
      </w:r>
    </w:p>
    <w:p>
      <w:pPr>
        <w:spacing w:after="0" w:line="200" w:lineRule="exact"/>
        <w:rPr>
          <w:sz w:val="20"/>
          <w:szCs w:val="20"/>
          <w:color w:val="auto"/>
        </w:rPr>
      </w:pPr>
    </w:p>
    <w:p>
      <w:pPr>
        <w:spacing w:after="0" w:line="217" w:lineRule="exact"/>
        <w:rPr>
          <w:sz w:val="20"/>
          <w:szCs w:val="20"/>
          <w:color w:val="auto"/>
        </w:rPr>
      </w:pPr>
    </w:p>
    <w:p>
      <w:pPr>
        <w:ind w:right="8680" w:firstLine="8"/>
        <w:spacing w:after="0" w:line="273" w:lineRule="auto"/>
        <w:tabs>
          <w:tab w:leader="none" w:pos="84" w:val="left"/>
        </w:tabs>
        <w:numPr>
          <w:ilvl w:val="0"/>
          <w:numId w:val="6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2.20(c)) upon notification of such determination by the Agent to the Borrower, the Issuing Banks and the Lenders.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w:t>
      </w:r>
      <w:r>
        <w:rPr>
          <w:rFonts w:ascii="Arial" w:cs="Arial" w:eastAsia="Arial" w:hAnsi="Arial"/>
          <w:sz w:val="20"/>
          <w:szCs w:val="20"/>
          <w:u w:val="single" w:color="auto"/>
          <w:color w:val="auto"/>
        </w:rPr>
        <w:t>$</w:t>
      </w:r>
      <w:r>
        <w:rPr>
          <w:rFonts w:ascii="Arial" w:cs="Arial" w:eastAsia="Arial" w:hAnsi="Arial"/>
          <w:sz w:val="20"/>
          <w:szCs w:val="20"/>
          <w:color w:val="auto"/>
        </w:rPr>
        <w:t>” sign each means lawful currency of the United States of America.</w:t>
      </w:r>
    </w:p>
    <w:p>
      <w:pPr>
        <w:spacing w:after="0" w:line="21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Lending Office</w:t>
      </w:r>
      <w:r>
        <w:rPr>
          <w:rFonts w:ascii="Arial" w:cs="Arial" w:eastAsia="Arial" w:hAnsi="Arial"/>
          <w:sz w:val="20"/>
          <w:szCs w:val="20"/>
          <w:color w:val="auto"/>
        </w:rPr>
        <w:t>” means, with respect to any Lender, the office of such Lender specified as its “Domestic Lending Office” in its Administrative Questionnaire delivered to the Agent, or such other office of such Lender as such Lender may from time to time specify to the Borrower and the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has the meaning specified in Section 3.01.</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means any Person that meets the requirements to be an assignee under Section 8.07(b)(iii), (v) and (vi) (subject to such consents, if any, as may be required under Section 8.07(b)(iii)).</w:t>
      </w:r>
    </w:p>
    <w:p>
      <w:pPr>
        <w:spacing w:after="0" w:line="177" w:lineRule="exact"/>
        <w:rPr>
          <w:sz w:val="20"/>
          <w:szCs w:val="20"/>
          <w:color w:val="auto"/>
        </w:rPr>
      </w:pPr>
    </w:p>
    <w:p>
      <w:pPr>
        <w:jc w:val="both"/>
        <w:ind w:left="660" w:firstLine="648"/>
        <w:spacing w:after="0" w:line="23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Action</w:t>
      </w:r>
      <w:r>
        <w:rPr>
          <w:rFonts w:ascii="Arial" w:cs="Arial" w:eastAsia="Arial" w:hAnsi="Arial"/>
          <w:sz w:val="19"/>
          <w:szCs w:val="19"/>
          <w:color w:val="auto"/>
        </w:rPr>
        <w:t>” means any action, suit, demand, demand letter, claim, notice of non</w:t>
      </w:r>
      <w:r>
        <w:rPr>
          <w:rFonts w:ascii="MS PGothic" w:cs="MS PGothic" w:eastAsia="MS PGothic" w:hAnsi="MS PGothic"/>
          <w:sz w:val="19"/>
          <w:szCs w:val="19"/>
          <w:color w:val="auto"/>
        </w:rPr>
        <w:t>‑</w:t>
      </w:r>
      <w:r>
        <w:rPr>
          <w:rFonts w:ascii="Arial" w:cs="Arial" w:eastAsia="Arial" w:hAnsi="Arial"/>
          <w:sz w:val="19"/>
          <w:szCs w:val="19"/>
          <w:color w:val="auto"/>
        </w:rPr>
        <w:t>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95"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92"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86"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Equivalent</w:t>
      </w:r>
      <w:r>
        <w:rPr>
          <w:rFonts w:ascii="Arial" w:cs="Arial" w:eastAsia="Arial" w:hAnsi="Arial"/>
          <w:sz w:val="20"/>
          <w:szCs w:val="20"/>
          <w:color w:val="auto"/>
        </w:rPr>
        <w:t xml:space="preserve">” </w:t>
      </w:r>
      <w:r>
        <w:rPr>
          <w:rFonts w:ascii="Arial" w:cs="Arial" w:eastAsia="Arial" w:hAnsi="Arial"/>
          <w:sz w:val="21"/>
          <w:szCs w:val="21"/>
          <w:color w:val="auto"/>
        </w:rPr>
        <w:t>means, at any date of determination thereof, in Dollars of any Committed Currency or in any</w:t>
      </w:r>
      <w:r>
        <w:rPr>
          <w:rFonts w:ascii="Arial" w:cs="Arial" w:eastAsia="Arial" w:hAnsi="Arial"/>
          <w:sz w:val="20"/>
          <w:szCs w:val="20"/>
          <w:color w:val="auto"/>
        </w:rPr>
        <w:t xml:space="preserve"> </w:t>
      </w:r>
      <w:r>
        <w:rPr>
          <w:rFonts w:ascii="Arial" w:cs="Arial" w:eastAsia="Arial" w:hAnsi="Arial"/>
          <w:sz w:val="21"/>
          <w:szCs w:val="21"/>
          <w:color w:val="auto"/>
        </w:rPr>
        <w:t xml:space="preserve">Committed Currency of Dollars on any date, the spot rate of exchange that appears at 11:00 A.M. (London time), on the display page applicable to the relevant currency on the Oanda website on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there shall at any time no longer exist such a page on such website, the spot rate of exchange shall be determined by reference to another similar rate publishing service selected by the Agent</w:t>
      </w:r>
      <w:r>
        <w:rPr>
          <w:rFonts w:ascii="Arial" w:cs="Arial" w:eastAsia="Arial" w:hAnsi="Arial"/>
          <w:sz w:val="19"/>
          <w:szCs w:val="19"/>
          <w:color w:val="auto"/>
        </w:rPr>
        <w:t>.</w:t>
      </w:r>
    </w:p>
    <w:p>
      <w:pPr>
        <w:spacing w:after="0" w:line="179"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the regulations promulgated and rulings issued thereunder.</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94" w:lineRule="exact"/>
        <w:rPr>
          <w:sz w:val="20"/>
          <w:szCs w:val="20"/>
          <w:color w:val="auto"/>
        </w:rPr>
      </w:pPr>
    </w:p>
    <w:p>
      <w:pPr>
        <w:jc w:val="both"/>
        <w:ind w:left="660"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Person that for purposes of Title IV of ERISA is a member of the Borrower’s controlled group, or under common control with the Borrower, within the meaning of Section 414 of the Internal Revenue Code.</w:t>
      </w:r>
    </w:p>
    <w:p>
      <w:pPr>
        <w:spacing w:after="0" w:line="153" w:lineRule="exact"/>
        <w:rPr>
          <w:sz w:val="20"/>
          <w:szCs w:val="20"/>
          <w:color w:val="auto"/>
        </w:rPr>
      </w:pPr>
    </w:p>
    <w:p>
      <w:pPr>
        <w:jc w:val="both"/>
        <w:ind w:left="660" w:firstLine="648"/>
        <w:spacing w:after="0" w:line="231"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(i) the occurrence of a reportable event, within the meaning of Section 4043 of ERISA, with respect to any Plan unless the 30</w:t>
      </w:r>
      <w:r>
        <w:rPr>
          <w:rFonts w:ascii="MS PGothic" w:cs="MS PGothic" w:eastAsia="MS PGothic" w:hAnsi="MS PGothic"/>
          <w:sz w:val="18"/>
          <w:szCs w:val="18"/>
          <w:color w:val="auto"/>
        </w:rPr>
        <w:t>‑</w:t>
      </w:r>
      <w:r>
        <w:rPr>
          <w:rFonts w:ascii="Arial" w:cs="Arial" w:eastAsia="Arial" w:hAnsi="Arial"/>
          <w:sz w:val="18"/>
          <w:szCs w:val="18"/>
          <w:color w:val="auto"/>
        </w:rPr>
        <w:t>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9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 Rate</w:t>
      </w:r>
      <w:r>
        <w:rPr>
          <w:rFonts w:ascii="Arial" w:cs="Arial" w:eastAsia="Arial" w:hAnsi="Arial"/>
          <w:sz w:val="19"/>
          <w:szCs w:val="19"/>
          <w:color w:val="auto"/>
        </w:rPr>
        <w:t>” means the rate appearing on the Reuters EURIBOR01 Page (or on any successor or substitute page of such Service, or any successor to or substitute for such Service, providing rate quotations comparable to those currently provided on such page of such Service, as determined by the Agent from time to time for purposes of providing quotations of interest rates applicable to deposits in Euro by reference to the Banking Federation of the European Union Settlement Rates for deposits in Euro) at approximately 10:00 a.m., London time, two Business Days prior to the commencement of such Interest Period, as the rate for deposits in Euro with a maturity comparable to such Interest Period.</w:t>
      </w:r>
    </w:p>
    <w:p>
      <w:pPr>
        <w:spacing w:after="0" w:line="71"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means the lawful currency of the European Union as constituted by the Treaty of Rome which established the European Community, as such treaty may be amended from time to time and as referred to in the EMU legislation.</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Lending Office</w:t>
      </w:r>
      <w:r>
        <w:rPr>
          <w:rFonts w:ascii="Arial" w:cs="Arial" w:eastAsia="Arial" w:hAnsi="Arial"/>
          <w:sz w:val="20"/>
          <w:szCs w:val="20"/>
          <w:color w:val="auto"/>
        </w:rPr>
        <w:t>” means, with respect to any Lender, the office of such Lender specified as its “Eurocurrency Lending Office” in its Administrative Questionnaire delivered to the Agent, or such other office of such Lender as such Lender may from time to time specify to the Borrower and the Agent.</w:t>
      </w:r>
    </w:p>
    <w:p>
      <w:pPr>
        <w:spacing w:after="0" w:line="18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Liabilities</w:t>
      </w:r>
      <w:r>
        <w:rPr>
          <w:rFonts w:ascii="Arial" w:cs="Arial" w:eastAsia="Arial" w:hAnsi="Arial"/>
          <w:sz w:val="20"/>
          <w:szCs w:val="20"/>
          <w:color w:val="auto"/>
        </w:rPr>
        <w:t>” has the meaning assigned to that term in Regulation D of the Board of Governors of the Federal Reserve System, as in effect from time to time.</w:t>
      </w:r>
    </w:p>
    <w:p>
      <w:pPr>
        <w:spacing w:after="0" w:line="177"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w:t>
      </w:r>
      <w:r>
        <w:rPr>
          <w:rFonts w:ascii="Arial" w:cs="Arial" w:eastAsia="Arial" w:hAnsi="Arial"/>
          <w:sz w:val="19"/>
          <w:szCs w:val="19"/>
          <w:color w:val="auto"/>
        </w:rPr>
        <w:t>” means, for any Interest Period for each Eurocurrency Rate Advance comprising part of the same Borrowing, an interest rate per annum equal to the rate per annum obtained by dividing (a)(i) in the case of any Revolving Credit Advance denominated in Dollars or any Committed Currency other than Euro or Canadian dollars, the rate per annum (rounded upward to the nearest whole multiple of 1/100 of 1% per annum) appearing on Reuters Screen LIBOR01 Page</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7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 xml:space="preserve">(or any successor page) as the London interbank offered rate for deposits in Dollars or the applicable Committed Currency at approximately 11:00 A.M. (London time) two Business Days prior to the first day of such Interest Period for a term comparable to such Interest Period, (ii) in the case of any Revolving Credit Advance denominated in Euros, the EURIBO Rate or (iii) in the case of Revolving Credit Advances denominated in Canadian dollars, the CDOR Rate by (b) a percentage equal to 100% minus the Eurocurrency Rate Reserve Percentage for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Eurocurrency Rate shall be less than zero, such rate shall be deemed zero for purposes of this Agreement.</w:t>
      </w:r>
    </w:p>
    <w:p>
      <w:pPr>
        <w:spacing w:after="0" w:line="19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Advance</w:t>
      </w:r>
      <w:r>
        <w:rPr>
          <w:rFonts w:ascii="Arial" w:cs="Arial" w:eastAsia="Arial" w:hAnsi="Arial"/>
          <w:sz w:val="20"/>
          <w:szCs w:val="20"/>
          <w:color w:val="auto"/>
        </w:rPr>
        <w:t>” means a Revolving Credit Advance denominated in Dollars or a Committed Currency that bears interest as provided in Section 2.08(a)(ii).</w:t>
      </w:r>
    </w:p>
    <w:p>
      <w:pPr>
        <w:spacing w:after="0" w:line="177"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 Reserve Percentage</w:t>
      </w:r>
      <w:r>
        <w:rPr>
          <w:rFonts w:ascii="Arial" w:cs="Arial" w:eastAsia="Arial" w:hAnsi="Arial"/>
          <w:sz w:val="19"/>
          <w:szCs w:val="19"/>
          <w:color w:val="auto"/>
        </w:rPr>
        <w:t>” for any Interest Period for all Eurocurrency Rate Advances comprising part of the same Borrowing means the reserve percentage applicable two Business Days before the first day of such Interest Period under regulations issued from time to time by the Board of Governors of the Federal Reserve System (or any successor) for determining the maximum reserve requirement (including, without limitation, any emergency, supplemental or other marginal reserve requirement) for a member bank of the Federal Reserve System in New York City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Events of Default</w:t>
      </w:r>
      <w:r>
        <w:rPr>
          <w:rFonts w:ascii="Arial" w:cs="Arial" w:eastAsia="Arial" w:hAnsi="Arial"/>
          <w:sz w:val="20"/>
          <w:szCs w:val="20"/>
          <w:color w:val="auto"/>
        </w:rPr>
        <w:t>” has the meaning specified in Section 6.01.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specified in the preliminary statement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has the meaning specified in Section 2.04(f).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means a Lender that has agreed to extend the Termination Date applicable to it in accordance with Section</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2.22.</w:t>
      </w:r>
    </w:p>
    <w:p>
      <w:pPr>
        <w:spacing w:after="0" w:line="200"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published intergovernmental agreement entered into in connection with the implementation of the foregoing and any fiscal or regulatory legislation, rules or practices adopted pursuant to such published intergovernmental agreements.</w:t>
      </w:r>
    </w:p>
    <w:p>
      <w:pPr>
        <w:spacing w:after="0" w:line="181"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period, a fluctuating interest rate per annum equal for each day during such period to the rate published for such day (or, if such day is not a Business Day, published for the immediately preceding Business Day) by the Federal Reserve Bank of New York for overnight Federal funds transactions with members of the Federal Reserve System, or, if such rate is not so published for any day that is a Business Day, the average of the quotations for such day for such transactions received by the Agent from three Federal funds brokers of recognized standing selected by it.</w:t>
      </w:r>
    </w:p>
    <w:p>
      <w:pPr>
        <w:spacing w:after="0" w:line="181"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with respect to any Issuing Bank, such Defaulting Lender’s Pro Rata Share of the L/C Obligations with respect to Letters</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71"/>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of Credit issued by such Issuing Bank, other than L/C Obligations as to which such Defaulting Lender’s participation obligation has been reallocated to other Lenders or Cash Collateralized in accordance with the terms hereof.</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has the meaning specified in Section 1.03.</w:t>
      </w:r>
    </w:p>
    <w:p>
      <w:pPr>
        <w:spacing w:after="0" w:line="216" w:lineRule="exact"/>
        <w:rPr>
          <w:sz w:val="20"/>
          <w:szCs w:val="20"/>
          <w:color w:val="auto"/>
        </w:rPr>
      </w:pPr>
    </w:p>
    <w:p>
      <w:pPr>
        <w:jc w:val="both"/>
        <w:ind w:left="660" w:firstLine="648"/>
        <w:spacing w:after="0" w:line="237"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w:t>
      </w:r>
      <w:r>
        <w:rPr>
          <w:rFonts w:ascii="MS PGothic" w:cs="MS PGothic" w:eastAsia="MS PGothic" w:hAnsi="MS PGothic"/>
          <w:sz w:val="18"/>
          <w:szCs w:val="18"/>
          <w:color w:val="auto"/>
        </w:rPr>
        <w:t>‑</w:t>
      </w:r>
      <w:r>
        <w:rPr>
          <w:rFonts w:ascii="Arial" w:cs="Arial" w:eastAsia="Arial" w:hAnsi="Arial"/>
          <w:sz w:val="18"/>
          <w:szCs w:val="18"/>
          <w:color w:val="auto"/>
        </w:rPr>
        <w:t>containing materials, polychlorinated biphenyls and radon gas and (b) any other chemicals, materials or substances designated, classified or regulated as hazardous or toxic or as a pollutant or contaminant under any Environmental Law.</w:t>
      </w:r>
    </w:p>
    <w:p>
      <w:pPr>
        <w:spacing w:after="0" w:line="19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Agreements</w:t>
      </w:r>
      <w:r>
        <w:rPr>
          <w:rFonts w:ascii="Arial" w:cs="Arial" w:eastAsia="Arial" w:hAnsi="Arial"/>
          <w:sz w:val="20"/>
          <w:szCs w:val="20"/>
          <w:color w:val="auto"/>
        </w:rPr>
        <w:t>” means interest rate swap, cap or collar agreements, interest rate future or option contracts, currency swap agreements, currency future or option contracts and other similar agreements.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Date</w:t>
      </w:r>
      <w:r>
        <w:rPr>
          <w:rFonts w:ascii="Arial" w:cs="Arial" w:eastAsia="Arial" w:hAnsi="Arial"/>
          <w:sz w:val="20"/>
          <w:szCs w:val="20"/>
          <w:color w:val="auto"/>
        </w:rPr>
        <w:t>” has the meaning specified in Section 2.19(a).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Lender</w:t>
      </w:r>
      <w:r>
        <w:rPr>
          <w:rFonts w:ascii="Arial" w:cs="Arial" w:eastAsia="Arial" w:hAnsi="Arial"/>
          <w:sz w:val="20"/>
          <w:szCs w:val="20"/>
          <w:color w:val="auto"/>
        </w:rPr>
        <w:t>” has the meaning specified in Section 2.19(b).</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Memorandum</w:t>
      </w:r>
      <w:r>
        <w:rPr>
          <w:rFonts w:ascii="Arial" w:cs="Arial" w:eastAsia="Arial" w:hAnsi="Arial"/>
          <w:sz w:val="20"/>
          <w:szCs w:val="20"/>
          <w:color w:val="auto"/>
        </w:rPr>
        <w:t>” means the information memorandum dated August, 2015 used by the Agent in connection with the syndication of the Commitments.</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Issuing Banks</w:t>
      </w:r>
      <w:r>
        <w:rPr>
          <w:rFonts w:ascii="Arial" w:cs="Arial" w:eastAsia="Arial" w:hAnsi="Arial"/>
          <w:sz w:val="20"/>
          <w:szCs w:val="20"/>
          <w:color w:val="auto"/>
        </w:rPr>
        <w:t>”, “</w:t>
      </w:r>
      <w:r>
        <w:rPr>
          <w:rFonts w:ascii="Arial" w:cs="Arial" w:eastAsia="Arial" w:hAnsi="Arial"/>
          <w:sz w:val="20"/>
          <w:szCs w:val="20"/>
          <w:u w:val="single" w:color="auto"/>
          <w:color w:val="auto"/>
        </w:rPr>
        <w:t>Initial Lender Parties</w:t>
      </w:r>
      <w:r>
        <w:rPr>
          <w:rFonts w:ascii="Arial" w:cs="Arial" w:eastAsia="Arial" w:hAnsi="Arial"/>
          <w:sz w:val="20"/>
          <w:szCs w:val="20"/>
          <w:color w:val="auto"/>
        </w:rPr>
        <w:t>” and “</w:t>
      </w:r>
      <w:r>
        <w:rPr>
          <w:rFonts w:ascii="Arial" w:cs="Arial" w:eastAsia="Arial" w:hAnsi="Arial"/>
          <w:sz w:val="20"/>
          <w:szCs w:val="20"/>
          <w:u w:val="single" w:color="auto"/>
          <w:color w:val="auto"/>
        </w:rPr>
        <w:t>Initial Lenders</w:t>
      </w:r>
      <w:r>
        <w:rPr>
          <w:rFonts w:ascii="Arial" w:cs="Arial" w:eastAsia="Arial" w:hAnsi="Arial"/>
          <w:sz w:val="20"/>
          <w:szCs w:val="20"/>
          <w:color w:val="auto"/>
        </w:rPr>
        <w:t>” each has the meaning specified in the recital of parties to this Agreement.</w:t>
      </w:r>
    </w:p>
    <w:p>
      <w:pPr>
        <w:spacing w:after="0" w:line="177" w:lineRule="exact"/>
        <w:rPr>
          <w:sz w:val="20"/>
          <w:szCs w:val="20"/>
          <w:color w:val="auto"/>
        </w:rPr>
      </w:pPr>
    </w:p>
    <w:p>
      <w:pPr>
        <w:jc w:val="both"/>
        <w:ind w:left="660" w:right="20"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Intangible Assets</w:t>
      </w:r>
      <w:r>
        <w:rPr>
          <w:rFonts w:ascii="Arial" w:cs="Arial" w:eastAsia="Arial" w:hAnsi="Arial"/>
          <w:sz w:val="16"/>
          <w:szCs w:val="16"/>
          <w:color w:val="auto"/>
        </w:rPr>
        <w:t>” means, with respect to any Person at any time of determination, (i) goodwill, organizational expenses, research and development expenses, trademarks, tradenames, copyrights, patents, patent applications, licenses and rights in any thereof,</w:t>
      </w:r>
    </w:p>
    <w:p>
      <w:pPr>
        <w:spacing w:after="0" w:line="1" w:lineRule="exact"/>
        <w:rPr>
          <w:sz w:val="20"/>
          <w:szCs w:val="20"/>
          <w:color w:val="auto"/>
        </w:rPr>
      </w:pPr>
    </w:p>
    <w:p>
      <w:pPr>
        <w:jc w:val="both"/>
        <w:ind w:left="660" w:hanging="4"/>
        <w:spacing w:after="0" w:line="258" w:lineRule="auto"/>
        <w:tabs>
          <w:tab w:leader="none" w:pos="957" w:val="left"/>
        </w:tabs>
        <w:numPr>
          <w:ilvl w:val="0"/>
          <w:numId w:val="72"/>
        </w:numPr>
        <w:rPr>
          <w:rFonts w:ascii="Arial" w:cs="Arial" w:eastAsia="Arial" w:hAnsi="Arial"/>
          <w:sz w:val="19"/>
          <w:szCs w:val="19"/>
          <w:color w:val="auto"/>
        </w:rPr>
      </w:pPr>
      <w:r>
        <w:rPr>
          <w:rFonts w:ascii="Arial" w:cs="Arial" w:eastAsia="Arial" w:hAnsi="Arial"/>
          <w:sz w:val="19"/>
          <w:szCs w:val="19"/>
          <w:color w:val="auto"/>
        </w:rPr>
        <w:t>all reserves carried and not deducted from assets, (iii) treasury stock, (iv) securities which are not readily marketable, (v) cash held in a sinking or other analogous fund for the purpose of redemption, retirement or prepayment of capital stock or indebtedness, (vi) any write-up in the book value of any asset resulting from a reevaluation thereof subsequent to December 31, 2014, and (vii) any items not included in items (i)-(vi) above which are treated as intangibles in accordance with GAAP.</w:t>
      </w:r>
    </w:p>
    <w:p>
      <w:pPr>
        <w:spacing w:after="0" w:line="179"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for each Eurocurrency Rate Advance comprising part of the same Borrowing, the period commencing on the date of such Eurocurrency Rate Advance or the date of the Conversion of any Base Rate Advance into such Eurocurrency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notice received by the Agent not later than 11:00 A.M. (New York City time) on the third Business Day prior to the first day of such Interest Period, select;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69" w:lineRule="exact"/>
        <w:rPr>
          <w:sz w:val="20"/>
          <w:szCs w:val="20"/>
          <w:color w:val="auto"/>
        </w:rPr>
      </w:pPr>
    </w:p>
    <w:p>
      <w:pPr>
        <w:ind w:left="2380" w:hanging="427"/>
        <w:spacing w:after="0"/>
        <w:tabs>
          <w:tab w:leader="none" w:pos="23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Borrower may not select any Interest Period that ends after the latest Termination Date of any Lender;</w:t>
      </w:r>
    </w:p>
    <w:p>
      <w:pPr>
        <w:spacing w:after="0" w:line="200" w:lineRule="exact"/>
        <w:rPr>
          <w:rFonts w:ascii="Arial" w:cs="Arial" w:eastAsia="Arial" w:hAnsi="Arial"/>
          <w:sz w:val="19"/>
          <w:szCs w:val="19"/>
          <w:color w:val="auto"/>
        </w:rPr>
      </w:pPr>
    </w:p>
    <w:p>
      <w:pPr>
        <w:spacing w:after="0" w:line="268" w:lineRule="exact"/>
        <w:rPr>
          <w:rFonts w:ascii="Arial" w:cs="Arial" w:eastAsia="Arial" w:hAnsi="Arial"/>
          <w:sz w:val="19"/>
          <w:szCs w:val="19"/>
          <w:color w:val="auto"/>
        </w:rPr>
      </w:pPr>
    </w:p>
    <w:p>
      <w:pPr>
        <w:ind w:left="100" w:hanging="92"/>
        <w:spacing w:after="0"/>
        <w:tabs>
          <w:tab w:leader="none" w:pos="1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94" w:lineRule="exact"/>
        <w:rPr>
          <w:sz w:val="20"/>
          <w:szCs w:val="20"/>
          <w:color w:val="auto"/>
        </w:rPr>
      </w:pPr>
    </w:p>
    <w:p>
      <w:pPr>
        <w:ind w:left="1300" w:firstLine="653"/>
        <w:spacing w:after="0" w:line="260" w:lineRule="auto"/>
        <w:tabs>
          <w:tab w:leader="none" w:pos="2471"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Interest Periods commencing on the same date for Eurocurrency Rate Advances comprising part of the same Borrowing shall be of the same duration;</w:t>
      </w:r>
    </w:p>
    <w:p>
      <w:pPr>
        <w:spacing w:after="0" w:line="176" w:lineRule="exact"/>
        <w:rPr>
          <w:rFonts w:ascii="Arial" w:cs="Arial" w:eastAsia="Arial" w:hAnsi="Arial"/>
          <w:sz w:val="20"/>
          <w:szCs w:val="20"/>
          <w:color w:val="auto"/>
        </w:rPr>
      </w:pPr>
    </w:p>
    <w:p>
      <w:pPr>
        <w:jc w:val="both"/>
        <w:ind w:left="1300" w:firstLine="653"/>
        <w:spacing w:after="0" w:line="246" w:lineRule="auto"/>
        <w:tabs>
          <w:tab w:leader="none" w:pos="2402"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extension would cause the last day of such Interest Period to occur in the next following calendar month, the last day of such Interest Period shall occur on the next preceding Business Day; and</w:t>
      </w:r>
    </w:p>
    <w:p>
      <w:pPr>
        <w:spacing w:after="0" w:line="191" w:lineRule="exact"/>
        <w:rPr>
          <w:rFonts w:ascii="Arial" w:cs="Arial" w:eastAsia="Arial" w:hAnsi="Arial"/>
          <w:sz w:val="20"/>
          <w:szCs w:val="20"/>
          <w:color w:val="auto"/>
        </w:rPr>
      </w:pPr>
    </w:p>
    <w:p>
      <w:pPr>
        <w:jc w:val="both"/>
        <w:ind w:left="1300" w:firstLine="653"/>
        <w:spacing w:after="0" w:line="246" w:lineRule="auto"/>
        <w:tabs>
          <w:tab w:leader="none" w:pos="2424" w:val="left"/>
        </w:tabs>
        <w:numPr>
          <w:ilvl w:val="0"/>
          <w:numId w:val="74"/>
        </w:numPr>
        <w:rPr>
          <w:rFonts w:ascii="Arial" w:cs="Arial" w:eastAsia="Arial" w:hAnsi="Arial"/>
          <w:sz w:val="20"/>
          <w:szCs w:val="20"/>
          <w:color w:val="auto"/>
        </w:rPr>
      </w:pPr>
      <w:r>
        <w:rPr>
          <w:rFonts w:ascii="Arial" w:cs="Arial" w:eastAsia="Arial" w:hAnsi="Arial"/>
          <w:sz w:val="20"/>
          <w:szCs w:val="20"/>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92"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Revenue Code</w:t>
      </w:r>
      <w:r>
        <w:rPr>
          <w:rFonts w:ascii="Arial" w:cs="Arial" w:eastAsia="Arial" w:hAnsi="Arial"/>
          <w:sz w:val="20"/>
          <w:szCs w:val="20"/>
          <w:color w:val="auto"/>
        </w:rPr>
        <w:t>” means the Internal Revenue Code of 1986, as amended from time to time, and the regulations promulgated and rulings issued thereunder.</w:t>
      </w:r>
    </w:p>
    <w:p>
      <w:pPr>
        <w:spacing w:after="0" w:line="177"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the Initial Issuing Banks or any Eligible Assignee to which a portion of the Letter of Credit Commitment hereunder have been assigned pursuant to Section 8.07 so long as such Eligible Assignee expressly agrees to perform in accordance with their terms all of the obligations that by the terms of this Agreement are required to be performed by it as an Issuing Bank and notifies the Agent of its Applicable Lending Office (which information shall be recorded by the Agent in the Register), for so long as such Initial Issuing Bank or Eligible Assignee, as the case may be, shall have a Letter of Credit Commitment.</w:t>
      </w:r>
    </w:p>
    <w:p>
      <w:pPr>
        <w:spacing w:after="0" w:line="165"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Cash Collateral Account</w:t>
      </w:r>
      <w:r>
        <w:rPr>
          <w:rFonts w:ascii="Arial" w:cs="Arial" w:eastAsia="Arial" w:hAnsi="Arial"/>
          <w:sz w:val="20"/>
          <w:szCs w:val="20"/>
          <w:color w:val="auto"/>
        </w:rPr>
        <w:t>” means an interest bearing cash collateral account to be established and maintained by the Agent, over which the Agent shall have sole dominion and control, upon terms as may be satisfactory to the Agent.</w:t>
      </w:r>
    </w:p>
    <w:p>
      <w:pPr>
        <w:spacing w:after="0" w:line="177"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as of any date, the aggregate Available Amount of outstanding Letters of Credit and Advances made by an Issuing Bank in accordance with Section 2.04 that have not been funded by the Lenders and, in the case of any Letters of Credit denominated in any Committed Currency, shall be the Equivalent in Dollars of such amount, determined as of the third Business Day prior to such date.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Related Documents</w:t>
      </w:r>
      <w:r>
        <w:rPr>
          <w:rFonts w:ascii="Arial" w:cs="Arial" w:eastAsia="Arial" w:hAnsi="Arial"/>
          <w:sz w:val="20"/>
          <w:szCs w:val="20"/>
          <w:color w:val="auto"/>
        </w:rPr>
        <w:t>” has the meaning specified in Section 2.07(b)(ii)(A).</w:t>
      </w:r>
    </w:p>
    <w:p>
      <w:pPr>
        <w:spacing w:after="0" w:line="216"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Insolvency Event</w:t>
      </w:r>
      <w:r>
        <w:rPr>
          <w:rFonts w:ascii="Arial" w:cs="Arial" w:eastAsia="Arial" w:hAnsi="Arial"/>
          <w:sz w:val="20"/>
          <w:szCs w:val="20"/>
          <w:color w:val="auto"/>
        </w:rPr>
        <w:t>” means that (a) a Lender or its Parent Company is generally unable to pay its debts as they become due, or admits in writing its inability to pay its debts as they become due, or makes a general assignment for the benefit of its creditors, or (b) such Lender or its Parent Company has become the subject of a proceeding under any debtor relief law,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Party</w:t>
      </w:r>
      <w:r>
        <w:rPr>
          <w:rFonts w:ascii="Arial" w:cs="Arial" w:eastAsia="Arial" w:hAnsi="Arial"/>
          <w:sz w:val="20"/>
          <w:szCs w:val="20"/>
          <w:color w:val="auto"/>
        </w:rPr>
        <w:t>” means any Lender or Issuing Bank.</w:t>
      </w:r>
    </w:p>
    <w:p>
      <w:pPr>
        <w:spacing w:after="0" w:line="200" w:lineRule="exact"/>
        <w:rPr>
          <w:sz w:val="20"/>
          <w:szCs w:val="20"/>
          <w:color w:val="auto"/>
        </w:rPr>
      </w:pPr>
    </w:p>
    <w:p>
      <w:pPr>
        <w:spacing w:after="0" w:line="257" w:lineRule="exact"/>
        <w:rPr>
          <w:sz w:val="20"/>
          <w:szCs w:val="20"/>
          <w:color w:val="auto"/>
        </w:rPr>
      </w:pPr>
    </w:p>
    <w:p>
      <w:pPr>
        <w:ind w:right="8680" w:firstLine="8"/>
        <w:spacing w:after="0" w:line="273" w:lineRule="auto"/>
        <w:tabs>
          <w:tab w:leader="none" w:pos="84"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94"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the Initial Lenders, each Assuming Lender that shall become a party hereto pursuant to Section 2.19 or 2.22 and each Person that shall become a party hereto pursuant to Section 8.07.</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Advance</w:t>
      </w:r>
      <w:r>
        <w:rPr>
          <w:rFonts w:ascii="Arial" w:cs="Arial" w:eastAsia="Arial" w:hAnsi="Arial"/>
          <w:sz w:val="20"/>
          <w:szCs w:val="20"/>
          <w:color w:val="auto"/>
        </w:rPr>
        <w:t>” means an advance made by an Issuing Bank pursuant to Section 2.04(c).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Agreement</w:t>
      </w:r>
      <w:r>
        <w:rPr>
          <w:rFonts w:ascii="Arial" w:cs="Arial" w:eastAsia="Arial" w:hAnsi="Arial"/>
          <w:sz w:val="20"/>
          <w:szCs w:val="20"/>
          <w:color w:val="auto"/>
        </w:rPr>
        <w:t>” has the meaning specified in Section 2.04(a).</w:t>
      </w:r>
    </w:p>
    <w:p>
      <w:pPr>
        <w:spacing w:after="0" w:line="21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means, with respect to an Initial Issuing Bank, the amount set forth opposite such Initial Issuing Bank’s name on Schedule I hereto under the caption “Letter of Credit Commitment” or, if such Initial Issuing Bank has entered into one or more Assignment and Assumptions, the amount set forth for such Issuing Bank in the Register maintained by the Agent pursuant to Section 8.07(c) as such Issuing Bank’s “Letter of Credit Commitment”, as such amount may be reduced at or prior to such time pursuant to Section 2.06.</w:t>
      </w:r>
    </w:p>
    <w:p>
      <w:pPr>
        <w:spacing w:after="0" w:line="19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Facility</w:t>
      </w:r>
      <w:r>
        <w:rPr>
          <w:rFonts w:ascii="Arial" w:cs="Arial" w:eastAsia="Arial" w:hAnsi="Arial"/>
          <w:sz w:val="20"/>
          <w:szCs w:val="20"/>
          <w:color w:val="auto"/>
        </w:rPr>
        <w:t>” means, at any time, an amount equal to the lesser of (a) the amount of the Issuing Banks Letter of Credit Commitments at such time and (b) $150,000,000, as such amount may be reduced at or prior to such time pursuant to Section 2.06.</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has the meaning specified in Section 2.01(b).</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lien, security interest or other similar charge or encumbrance, including, without limitation, the lien or retained security title of a conditional vendor.</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Change</w:t>
      </w:r>
      <w:r>
        <w:rPr>
          <w:rFonts w:ascii="Arial" w:cs="Arial" w:eastAsia="Arial" w:hAnsi="Arial"/>
          <w:sz w:val="20"/>
          <w:szCs w:val="20"/>
          <w:color w:val="auto"/>
        </w:rPr>
        <w:t>” means any material adverse change in the business, condition (financial or otherwise), operations, performance, properties or prospects of the Borrower and its Subsidiaries taken as a whole.</w:t>
      </w:r>
    </w:p>
    <w:p>
      <w:pPr>
        <w:spacing w:after="0" w:line="177"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business, condition (financial or otherwise), operations, performance, properties or prospects of the Borrower and its Subsidiaries taken as a whole, (b) the rights and remedies of the Agent or any Lender under this Agreement or any Note or (c) the ability of the Borrower to perform its obligations under this Agreement or any Note.</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 in excess of 5% of the Consolidated Net Earnings of the Borrower during the then current fiscal year.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8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single employer plan, as defined in Section 4001(a)(15) of ERISA, that (a) is maintained for employees of the Borrower or any ERISA Affiliate and at least</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316" w:lineRule="auto"/>
        <w:rPr>
          <w:sz w:val="20"/>
          <w:szCs w:val="20"/>
          <w:color w:val="auto"/>
        </w:rPr>
      </w:pPr>
      <w:r>
        <w:rPr>
          <w:rFonts w:ascii="Arial" w:cs="Arial" w:eastAsia="Arial" w:hAnsi="Arial"/>
          <w:sz w:val="18"/>
          <w:szCs w:val="18"/>
          <w:color w:val="auto"/>
        </w:rPr>
        <w:t>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30"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Non-Approving Lender</w:t>
      </w:r>
      <w:r>
        <w:rPr>
          <w:rFonts w:ascii="Arial" w:cs="Arial" w:eastAsia="Arial" w:hAnsi="Arial"/>
          <w:sz w:val="18"/>
          <w:szCs w:val="18"/>
          <w:color w:val="auto"/>
        </w:rPr>
        <w:t>” means any Lender that does not approve any consent, waiver or amendment that (i) requires the approval of all affected Lenders in accordance with the terms of Section 8.01 and (ii) has been approved by the Required Lenders.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Non-Extending Lender</w:t>
      </w:r>
      <w:r>
        <w:rPr>
          <w:rFonts w:ascii="Arial" w:cs="Arial" w:eastAsia="Arial" w:hAnsi="Arial"/>
          <w:sz w:val="20"/>
          <w:szCs w:val="20"/>
          <w:color w:val="auto"/>
        </w:rPr>
        <w:t>” has the meaning specified in Section 2.22(b).</w:t>
      </w:r>
    </w:p>
    <w:p>
      <w:pPr>
        <w:spacing w:after="0" w:line="216"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means a promissory note of the Borrower payable to the order of any Lender, delivered pursuant to a request made under Section 2.17 in substantially the form of Exhibit A hereto, evidencing the aggregate indebtedness of the Borrower to such Lender resulting from the Revolving Credit Advances or Letter of Credit Advances made by such Lender.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has the meaning specified in Section 2.02(a).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Issuance</w:t>
      </w:r>
      <w:r>
        <w:rPr>
          <w:rFonts w:ascii="Arial" w:cs="Arial" w:eastAsia="Arial" w:hAnsi="Arial"/>
          <w:sz w:val="20"/>
          <w:szCs w:val="20"/>
          <w:color w:val="auto"/>
        </w:rPr>
        <w:t>” has the meaning specified in Section 2.04(a).</w:t>
      </w:r>
    </w:p>
    <w:p>
      <w:pPr>
        <w:spacing w:after="0" w:line="216"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Office</w:t>
      </w:r>
      <w:r>
        <w:rPr>
          <w:rFonts w:ascii="Arial" w:cs="Arial" w:eastAsia="Arial" w:hAnsi="Arial"/>
          <w:sz w:val="20"/>
          <w:szCs w:val="20"/>
          <w:color w:val="auto"/>
        </w:rPr>
        <w:t>” means, for any Committed Currency, such office of Citibank as shall be from time to time selected by the Agent and notified by the Agent to the Borrower and the Lenders.</w:t>
      </w:r>
    </w:p>
    <w:p>
      <w:pPr>
        <w:spacing w:after="0" w:line="177"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Company</w:t>
      </w:r>
      <w:r>
        <w:rPr>
          <w:rFonts w:ascii="Arial" w:cs="Arial" w:eastAsia="Arial" w:hAnsi="Arial"/>
          <w:sz w:val="20"/>
          <w:szCs w:val="20"/>
          <w:color w:val="auto"/>
        </w:rPr>
        <w:t>” 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Voting Stock of such Lender.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specified in Section 8.07(d).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w:t>
      </w:r>
    </w:p>
    <w:p>
      <w:pPr>
        <w:spacing w:after="0" w:line="216"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yet due or that are being contested in good faith by appropriate proceedings and with respect to which adequate reserves are being maintained; (c) pledges or deposits to secure obligations under workers’ compensation, unemployment insurance or other social security laws or similar legislation or to secure public or statutory obligations, the performance of tenders, surety and appeal bonds, bids, leases, government contracts, performance and return of money bonds (but not securing Debt) and similar obligations; and (d) easements, rights of way and other encumbrances on title to real property that do not render title to the property encumbered thereby unmarketable or materially adversely affect the use of such property for its present purposes.</w:t>
      </w:r>
    </w:p>
    <w:p>
      <w:pPr>
        <w:spacing w:after="0" w:line="200" w:lineRule="exact"/>
        <w:rPr>
          <w:sz w:val="20"/>
          <w:szCs w:val="20"/>
          <w:color w:val="auto"/>
        </w:rPr>
      </w:pPr>
    </w:p>
    <w:p>
      <w:pPr>
        <w:spacing w:after="0" w:line="223" w:lineRule="exact"/>
        <w:rPr>
          <w:sz w:val="20"/>
          <w:szCs w:val="20"/>
          <w:color w:val="auto"/>
        </w:rPr>
      </w:pPr>
    </w:p>
    <w:p>
      <w:pPr>
        <w:ind w:right="8680" w:firstLine="8"/>
        <w:spacing w:after="0" w:line="273" w:lineRule="auto"/>
        <w:tabs>
          <w:tab w:leader="none" w:pos="84"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94"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 Single Employer Plan or a Multiple Employer Plan.</w:t>
      </w:r>
    </w:p>
    <w:p>
      <w:pPr>
        <w:spacing w:after="0" w:line="216"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xml:space="preserve">” of any amount means, with respect to any Lender at any time, the product of such amount </w:t>
      </w:r>
      <w:r>
        <w:rPr>
          <w:rFonts w:ascii="Arial" w:cs="Arial" w:eastAsia="Arial" w:hAnsi="Arial"/>
          <w:sz w:val="20"/>
          <w:szCs w:val="20"/>
          <w:i w:val="1"/>
          <w:iCs w:val="1"/>
          <w:color w:val="auto"/>
        </w:rPr>
        <w:t>times</w:t>
      </w:r>
      <w:r>
        <w:rPr>
          <w:rFonts w:ascii="Arial" w:cs="Arial" w:eastAsia="Arial" w:hAnsi="Arial"/>
          <w:sz w:val="20"/>
          <w:szCs w:val="20"/>
          <w:color w:val="auto"/>
        </w:rPr>
        <w:t xml:space="preserve"> a fraction the numerator of which is the amount of such Lender’s Revolving Commitment at such time (or, if the Revolving Commitments shall have been terminated pursuant to Section 2.06 or 6.01, such Lender’s Revolving Commitment as in effect immediately prior to such termination) and the denominator of which is the aggregate amount of all Revolving Commitments at such time (or, if the Revolving Commitments shall have been terminated pursuant to Section 2.06 or 6.01, the aggregate amount of all Revolving Commitments as in effect immediately prior to such termination).</w:t>
      </w:r>
    </w:p>
    <w:p>
      <w:pPr>
        <w:spacing w:after="0" w:line="196" w:lineRule="exact"/>
        <w:rPr>
          <w:sz w:val="20"/>
          <w:szCs w:val="20"/>
          <w:color w:val="auto"/>
        </w:rPr>
      </w:pPr>
    </w:p>
    <w:p>
      <w:pPr>
        <w:jc w:val="both"/>
        <w:ind w:left="660" w:firstLine="648"/>
        <w:spacing w:after="0" w:line="235" w:lineRule="exact"/>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rating that has been most recently announced by either S&amp;P or Moody’s, as the case may be, for any class of non-credit enhanced long</w:t>
      </w:r>
      <w:r>
        <w:rPr>
          <w:rFonts w:ascii="MS PGothic" w:cs="MS PGothic" w:eastAsia="MS PGothic" w:hAnsi="MS PGothic"/>
          <w:sz w:val="16"/>
          <w:szCs w:val="16"/>
          <w:color w:val="auto"/>
        </w:rPr>
        <w:t>‑</w:t>
      </w:r>
      <w:r>
        <w:rPr>
          <w:rFonts w:ascii="Arial" w:cs="Arial" w:eastAsia="Arial" w:hAnsi="Arial"/>
          <w:sz w:val="16"/>
          <w:szCs w:val="16"/>
          <w:color w:val="auto"/>
        </w:rPr>
        <w:t>term senior unsecured debt issued by the Borrower or, if either such rating agency shall have issued more than one such rating, the lowest such rating issued by such rating agency. For purposes of the foregoing,</w:t>
      </w:r>
    </w:p>
    <w:p>
      <w:pPr>
        <w:spacing w:after="0" w:line="1" w:lineRule="exact"/>
        <w:rPr>
          <w:sz w:val="20"/>
          <w:szCs w:val="20"/>
          <w:color w:val="auto"/>
        </w:rPr>
      </w:pPr>
    </w:p>
    <w:p>
      <w:pPr>
        <w:jc w:val="both"/>
        <w:ind w:left="660" w:hanging="4"/>
        <w:spacing w:after="0" w:line="269" w:lineRule="auto"/>
        <w:tabs>
          <w:tab w:leader="none" w:pos="9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only one of S&amp;P and Moody’s shall have in effect a Public Debt Rating, the Applicable Margin and the Applicable Percentage shall be determined by reference to the available rating; (b) if neither S&amp;P nor Moody’s shall have in effect a Public Debt Rating, the Applicable Margin and the Applicable Percentage will be set in accordance with Level 4 under the definition of “</w:t>
      </w:r>
      <w:r>
        <w:rPr>
          <w:rFonts w:ascii="Arial" w:cs="Arial" w:eastAsia="Arial" w:hAnsi="Arial"/>
          <w:sz w:val="18"/>
          <w:szCs w:val="18"/>
          <w:u w:val="single" w:color="auto"/>
          <w:color w:val="auto"/>
        </w:rPr>
        <w:t>Applicable Margin</w:t>
      </w:r>
      <w:r>
        <w:rPr>
          <w:rFonts w:ascii="Arial" w:cs="Arial" w:eastAsia="Arial" w:hAnsi="Arial"/>
          <w:sz w:val="18"/>
          <w:szCs w:val="18"/>
          <w:color w:val="auto"/>
        </w:rPr>
        <w:t>” or “</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as the case may be; (c) if the ratings established by S&amp;P and Moody’s shall fall within different levels, the Applicable Margin and the Applicable Percentage shall be based upon the higher rating, unless the ratings shall fall within levels that are separated by two or more levels, in which case the Applicable Margin and the Applicable Percentage shall be based upon the rating that is one level above the lower rating;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w:t>
      </w:r>
      <w:r>
        <w:rPr>
          <w:rFonts w:ascii="Arial" w:cs="Arial" w:eastAsia="Arial" w:hAnsi="Arial"/>
          <w:sz w:val="20"/>
          <w:szCs w:val="20"/>
          <w:color w:val="auto"/>
        </w:rPr>
        <w:t>” has the meaning specified in Section 5.02(d).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Purchase Agreement</w:t>
      </w:r>
      <w:r>
        <w:rPr>
          <w:rFonts w:ascii="Arial" w:cs="Arial" w:eastAsia="Arial" w:hAnsi="Arial"/>
          <w:sz w:val="20"/>
          <w:szCs w:val="20"/>
          <w:color w:val="auto"/>
        </w:rPr>
        <w:t>” has the meaning specified in Section 5.02(d).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specified in Section 8.07(c).</w:t>
      </w:r>
    </w:p>
    <w:p>
      <w:pPr>
        <w:spacing w:after="0" w:line="216" w:lineRule="exact"/>
        <w:rPr>
          <w:sz w:val="20"/>
          <w:szCs w:val="20"/>
          <w:color w:val="auto"/>
        </w:rPr>
      </w:pPr>
    </w:p>
    <w:p>
      <w:pPr>
        <w:jc w:val="both"/>
        <w:ind w:left="660"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3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at any time Lenders owed more than 50% of (a) the then aggregate unpaid principal amount (based on the Equivalent in Dollars at such time) of the Revolving Credit Advances outstanding at such time and (b) the aggregate unpaid principal amount of Letter of Credit Advances outstanding at such time, or, if no principal amount is outstanding from Letter of Credit Advances at such time, Lenders having more than 50% of the Revolving Commitments. The</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79"/>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Commitment of any Defaulting Lender shall be disregarded in determining Required Lenders at any time.</w:t>
      </w:r>
    </w:p>
    <w:p>
      <w:pPr>
        <w:spacing w:after="0" w:line="21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means, with respect to any Lender at any time, the amount set forth opposite such Lender’s name on Schedule I hereto under the caption “Revolving Commitment” or, if such Lender has entered into one or more Assignment and Assumptions, set forth for such Lender in the Register maintained by the Agent pursuant to Section 8.07(c) as such Lender’s “Revolving Commitment”, as such amount may be reduced at or prior to such time pursuant to Section 2.06.</w:t>
      </w:r>
    </w:p>
    <w:p>
      <w:pPr>
        <w:spacing w:after="0" w:line="177"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Advance</w:t>
      </w:r>
      <w:r>
        <w:rPr>
          <w:rFonts w:ascii="Arial" w:cs="Arial" w:eastAsia="Arial" w:hAnsi="Arial"/>
          <w:sz w:val="20"/>
          <w:szCs w:val="20"/>
          <w:color w:val="auto"/>
        </w:rPr>
        <w:t>” means an advance by a Lender to the Borrower as part of a Borrowing and refers to a Base Rate Advance or a Eurocurrency Rate Advance (each of which shall be a “</w:t>
      </w:r>
      <w:r>
        <w:rPr>
          <w:rFonts w:ascii="Arial" w:cs="Arial" w:eastAsia="Arial" w:hAnsi="Arial"/>
          <w:sz w:val="20"/>
          <w:szCs w:val="20"/>
          <w:u w:val="single" w:color="auto"/>
          <w:color w:val="auto"/>
        </w:rPr>
        <w:t>Type</w:t>
      </w:r>
      <w:r>
        <w:rPr>
          <w:rFonts w:ascii="Arial" w:cs="Arial" w:eastAsia="Arial" w:hAnsi="Arial"/>
          <w:sz w:val="20"/>
          <w:szCs w:val="20"/>
          <w:color w:val="auto"/>
        </w:rPr>
        <w:t>” of Revolving Credit Advance).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means, at any time, the aggregate of the Revolving Commitments at such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Services, a division of The McGraw-Hill Companies, Inc.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economic or financial sanctions or trade embargoes imposed, administered or enforced from time to time by</w:t>
      </w:r>
    </w:p>
    <w:p>
      <w:pPr>
        <w:spacing w:after="0" w:line="62" w:lineRule="exact"/>
        <w:rPr>
          <w:sz w:val="20"/>
          <w:szCs w:val="20"/>
          <w:color w:val="auto"/>
        </w:rPr>
      </w:pPr>
    </w:p>
    <w:p>
      <w:pPr>
        <w:jc w:val="both"/>
        <w:ind w:left="660" w:hanging="4"/>
        <w:spacing w:after="0" w:line="241" w:lineRule="auto"/>
        <w:tabs>
          <w:tab w:leader="none" w:pos="936"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the subject or target of any Sanctions.</w:t>
      </w:r>
    </w:p>
    <w:p>
      <w:pPr>
        <w:spacing w:after="0" w:line="227"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or any EU member state, (b) any Person operating, organized or resident in a Sanctioned Country or (c) any Person controlled by any such Person.</w:t>
      </w:r>
    </w:p>
    <w:p>
      <w:pPr>
        <w:spacing w:after="0" w:line="192"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92"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partnership, joint venture, limited liability company, trust or estate, or any other entity (whether or not existing as at the date hereof)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joint venture or other entity or</w:t>
      </w:r>
    </w:p>
    <w:p>
      <w:pPr>
        <w:spacing w:after="0" w:line="4" w:lineRule="exact"/>
        <w:rPr>
          <w:sz w:val="20"/>
          <w:szCs w:val="20"/>
          <w:color w:val="auto"/>
        </w:rPr>
      </w:pPr>
    </w:p>
    <w:p>
      <w:pPr>
        <w:ind w:left="660" w:hanging="4"/>
        <w:spacing w:after="0" w:line="244" w:lineRule="auto"/>
        <w:tabs>
          <w:tab w:leader="none" w:pos="934"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the beneficial interest in such trust or estate is at the time directly or indirectly owned or controlled by such Person, by such Person and one or more of its other Subsidiaries or by one or more of such Person’s other Subsidiaries.</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September 16, 2020, subject to the extension thereof pursuant to Section 2.22 and</w:t>
      </w:r>
    </w:p>
    <w:p>
      <w:pPr>
        <w:spacing w:after="0" w:line="39" w:lineRule="exact"/>
        <w:rPr>
          <w:sz w:val="20"/>
          <w:szCs w:val="20"/>
          <w:color w:val="auto"/>
        </w:rPr>
      </w:pPr>
    </w:p>
    <w:p>
      <w:pPr>
        <w:jc w:val="both"/>
        <w:ind w:left="660" w:hanging="4"/>
        <w:spacing w:after="0" w:line="260" w:lineRule="auto"/>
        <w:tabs>
          <w:tab w:leader="none" w:pos="9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date of termination in whole of the Commitments pursuant to Section 2.06 or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Termination Date of any Lender that is a Non-Extending Lender to any requested extension pursuant to Section 2.22 shall be the Termination Date in effect immediately prior to the applicable Anniversary Date for all purposes of this Agreement.</w:t>
      </w:r>
    </w:p>
    <w:p>
      <w:pPr>
        <w:spacing w:after="0" w:line="179"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Unused Commitment</w:t>
      </w:r>
      <w:r>
        <w:rPr>
          <w:rFonts w:ascii="Arial" w:cs="Arial" w:eastAsia="Arial" w:hAnsi="Arial"/>
          <w:sz w:val="19"/>
          <w:szCs w:val="19"/>
          <w:color w:val="auto"/>
        </w:rPr>
        <w:t xml:space="preserve">” means, with respect to each Lender at any time, (a) such Lender’s Revolving Commitment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the aggregate principal amount of all Revolving Credit Advances and Letter of Credit Advances made by such Lender (in its capacity as a Lender) and outstanding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such Lender’s Pro Rata Share of (A) the aggregate Available Amount of all the Letters of Credit outstanding at such time and (B) the aggregate principal amount of all Letter of Credit Advances made by each Issuing Bank pursuant to Section 2.04(c) and outstanding at such time.</w:t>
      </w:r>
    </w:p>
    <w:p>
      <w:pPr>
        <w:spacing w:after="0" w:line="181"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Stock</w:t>
      </w:r>
      <w:r>
        <w:rPr>
          <w:rFonts w:ascii="Arial" w:cs="Arial" w:eastAsia="Arial" w:hAnsi="Arial"/>
          <w:sz w:val="19"/>
          <w:szCs w:val="19"/>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Computation of Time Periods</w:t>
      </w:r>
      <w:r>
        <w:rPr>
          <w:rFonts w:ascii="Arial" w:cs="Arial" w:eastAsia="Arial" w:hAnsi="Arial"/>
          <w:sz w:val="19"/>
          <w:szCs w:val="19"/>
          <w:color w:val="auto"/>
        </w:rPr>
        <w:t>. In this Agreement in the computation of periods of time from a specified date to a later specified date, the word “from” means “from and including” and the words “to” and “until” each mean “to but excluding”.</w:t>
      </w:r>
    </w:p>
    <w:p>
      <w:pPr>
        <w:spacing w:after="0" w:line="15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Accounting Terms</w:t>
      </w:r>
      <w:r>
        <w:rPr>
          <w:rFonts w:ascii="Arial" w:cs="Arial" w:eastAsia="Arial" w:hAnsi="Arial"/>
          <w:sz w:val="20"/>
          <w:szCs w:val="20"/>
          <w:color w:val="auto"/>
        </w:rPr>
        <w:t>. All accounting terms not specifically defined herein shall be construed in accordance with generally accepted accounting principles in the United States of America consistent with those applied in the preparation of the financial statements referred to in Section 4.01(e) (“</w:t>
      </w:r>
      <w:r>
        <w:rPr>
          <w:rFonts w:ascii="Arial" w:cs="Arial" w:eastAsia="Arial" w:hAnsi="Arial"/>
          <w:sz w:val="20"/>
          <w:szCs w:val="20"/>
          <w:u w:val="single" w:color="auto"/>
          <w:color w:val="auto"/>
        </w:rPr>
        <w:t>GAAP</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AMOUNTS AND TERMS OF THE ADVANCES</w:t>
      </w:r>
    </w:p>
    <w:p>
      <w:pPr>
        <w:spacing w:after="0" w:line="21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The Revolving Credit Advances and the Letters of Credit</w:t>
      </w:r>
      <w:r>
        <w:rPr>
          <w:rFonts w:ascii="Arial" w:cs="Arial" w:eastAsia="Arial" w:hAnsi="Arial"/>
          <w:sz w:val="19"/>
          <w:szCs w:val="19"/>
          <w:color w:val="auto"/>
        </w:rPr>
        <w:t xml:space="preserve">. (1) </w:t>
      </w:r>
      <w:r>
        <w:rPr>
          <w:rFonts w:ascii="Arial" w:cs="Arial" w:eastAsia="Arial" w:hAnsi="Arial"/>
          <w:sz w:val="19"/>
          <w:szCs w:val="19"/>
          <w:u w:val="single" w:color="auto"/>
          <w:color w:val="auto"/>
        </w:rPr>
        <w:t>The Revolving Credit Advances</w:t>
      </w:r>
      <w:r>
        <w:rPr>
          <w:rFonts w:ascii="Arial" w:cs="Arial" w:eastAsia="Arial" w:hAnsi="Arial"/>
          <w:sz w:val="19"/>
          <w:szCs w:val="19"/>
          <w:color w:val="auto"/>
        </w:rPr>
        <w:t>. Each Lender severally agrees, on the terms and conditions hereinafter set forth, to make Revolving Credit Advances to the Borrower from time to time on any Business Day during the period from the Effective Date until the Termination Date applicable to such Lender in an amount (based in respect of any Revolving Credit Advances to be denominated in a Committed Currency by reference to the Equivalent thereof in Dollars determined on the date of delivery of the applicable Notice of Borrowing) not to exceed at any time such Lender’s Unused Commitment at such time. Each Borrowing shall be in an amount not less than the Borrowing Minimum or the Borrowing Multiple in excess thereof and shall consist of Revolving Credit Advances of the same Type and in the same currency made on the same day by the Lenders ratably according to their respective Revolving Commitments. Within the limits of this Section 2.01(a), the Borrower may borrow under this Section 2.01(a), prepay pursuant to Section 2.11 and reborrow under this Section 2.01(a).</w:t>
      </w:r>
    </w:p>
    <w:p>
      <w:pPr>
        <w:spacing w:after="0" w:line="185" w:lineRule="exact"/>
        <w:rPr>
          <w:sz w:val="20"/>
          <w:szCs w:val="20"/>
          <w:color w:val="auto"/>
        </w:rPr>
      </w:pPr>
    </w:p>
    <w:p>
      <w:pPr>
        <w:jc w:val="both"/>
        <w:ind w:firstLine="1305"/>
        <w:spacing w:after="0" w:line="244" w:lineRule="auto"/>
        <w:tabs>
          <w:tab w:leader="none" w:pos="1793"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Letters of Credit</w:t>
      </w:r>
      <w:r>
        <w:rPr>
          <w:rFonts w:ascii="Arial" w:cs="Arial" w:eastAsia="Arial" w:hAnsi="Arial"/>
          <w:sz w:val="20"/>
          <w:szCs w:val="20"/>
          <w:color w:val="auto"/>
        </w:rPr>
        <w:t>. Each Issuing Bank agrees, on the terms and conditions hereinafter set forth, to issue letters of credit (each, a “</w:t>
      </w:r>
      <w:r>
        <w:rPr>
          <w:rFonts w:ascii="Arial" w:cs="Arial" w:eastAsia="Arial" w:hAnsi="Arial"/>
          <w:sz w:val="20"/>
          <w:szCs w:val="20"/>
          <w:u w:val="single" w:color="auto"/>
          <w:color w:val="auto"/>
        </w:rPr>
        <w:t>Letter of Credit</w:t>
      </w:r>
      <w:r>
        <w:rPr>
          <w:rFonts w:ascii="Arial" w:cs="Arial" w:eastAsia="Arial" w:hAnsi="Arial"/>
          <w:sz w:val="20"/>
          <w:szCs w:val="20"/>
          <w:color w:val="auto"/>
        </w:rPr>
        <w:t>”) denominated in Dollars or any Committed Currency for the account of the Borrower from time to time on any Business Day during the period from the Effective Date until 30 days before the Termination Date applicable to such Issuing Bank in an aggregate Available Amount (based in respect of any Letter of Credit to be denominated in a Committed Currency by reference to the Equivalent thereof in Dollars determined on the date of delivery of the applicable Notice of</w:t>
      </w: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100" w:hanging="92"/>
        <w:spacing w:after="0"/>
        <w:tabs>
          <w:tab w:leader="none" w:pos="1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Issuance) (i) for all Letters of Credit issued by each Issuing Bank not to exceed at any time the lesser of (x) the Letter of Credit Facility at such time and (y) each Issuing Bank’s Letter of Credit Commitment at such time and (ii) for each such Letter of Credit not to exceed an amount equal to the Unused Commitments of the Lenders at such time. No Letter of Credit shall have an expiration date (including all rights of the Borrower or the beneficiary to require renewal) later than one year after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Letter of Credit may expire after the Termination Date of any Non-Extending Lender if, after giving effect to such issuance, the aggregate Revolving Commitments of the Extending Lenders (including any replacement Lenders) for the period following such Termination Date would be less than the Available Amount of the Letters of Credit expiring after such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respect of any Letter of Credit with an expiry later than the date that is 90 days prior to the Termination Date, the Borrower shall deliver to the Agent cash collateral on such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pursuant to documentation reasonably satisfactory to the Agent, in an amount equal to the sum of (x) the aggregate stated amount of all Letters of Credit with an expiry later than the date five Business Days prior to the Termination Date and (y) an amount equal to the full amount of fees that would accrue with respect to such Letters of Credit under Section 2.05(b) if each such Letter of Credit with an expiry later than the date five Business Days prior to the Termination Date were not drawn or cancelled prior to its stated expiry. Within the limits referred to above, the Borrower may request the issuance of Letters of Credit under this Section 2.01(b), repay any Letter of Credit Advances resulting from drawings thereunder pursuant to Section 2.04(c) and request the issuance of additional Letters of Credit under this Section 2.01(b).</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the Revolving Credit Advances</w:t>
      </w:r>
      <w:r>
        <w:rPr>
          <w:rFonts w:ascii="Arial" w:cs="Arial" w:eastAsia="Arial" w:hAnsi="Arial"/>
          <w:sz w:val="18"/>
          <w:szCs w:val="18"/>
          <w:color w:val="auto"/>
        </w:rPr>
        <w:t>. (a) Each Borrowing shall be made on notice, given not later than</w:t>
      </w:r>
    </w:p>
    <w:p>
      <w:pPr>
        <w:spacing w:after="0" w:line="39" w:lineRule="exact"/>
        <w:rPr>
          <w:sz w:val="20"/>
          <w:szCs w:val="20"/>
          <w:color w:val="auto"/>
        </w:rPr>
      </w:pPr>
    </w:p>
    <w:p>
      <w:pPr>
        <w:jc w:val="both"/>
        <w:ind w:firstLine="8"/>
        <w:spacing w:after="0" w:line="253" w:lineRule="auto"/>
        <w:tabs>
          <w:tab w:leader="none" w:pos="309" w:val="left"/>
        </w:tabs>
        <w:numPr>
          <w:ilvl w:val="0"/>
          <w:numId w:val="84"/>
        </w:numPr>
        <w:rPr>
          <w:rFonts w:ascii="Arial" w:cs="Arial" w:eastAsia="Arial" w:hAnsi="Arial"/>
          <w:sz w:val="19"/>
          <w:szCs w:val="19"/>
          <w:color w:val="auto"/>
        </w:rPr>
      </w:pPr>
      <w:r>
        <w:rPr>
          <w:rFonts w:ascii="Arial" w:cs="Arial" w:eastAsia="Arial" w:hAnsi="Arial"/>
          <w:sz w:val="19"/>
          <w:szCs w:val="19"/>
          <w:color w:val="auto"/>
        </w:rPr>
        <w:t>11:00 A.M. (New York City time) on the third Business Day prior to the date of the proposed Borrowing in the case of a Borrowing consisting of Eurocurrency Rate Advances denominated in Dollars, (y) 9:00 A.M. (New York City time) on the third Business Day prior to the date of the proposed Borrowing in the case of a Borrowing consisting of Eurocurrency Rate Advances denominated in any Committed Currency, or (z) 11:00 A.M. (New York City time) on the date of the proposed Borrowing in the case of a Borrowing consisting of Base Rate Advances, by the Borrower to the Agent which shall give to each Lender prompt notice thereof by telecopier. Each such notice of a Borrowing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shall be by telephone, confirmed immediately in writing, or telecopier in substantially the form of Exhibit B hereto, specifying therein the requested (i) date of such Borrowing, (ii) Type of Advances comprising such Borrowing, (iii) aggregate amount of such Borrowing, and (iv) in the case of a Borrowing consisting of Eurocurrency Rate Advances, initial Interest Period and currency for each such Revolving Credit Advance. Each Lender shall, before 1:00 P.M. (New York City time) on the date of such Borrowing, in the case of a Borrowing consisting of Advances denominated in Dollars, and before 11:00 A.M. (London time) on the date of such Borrowing, in the case of a Borrowing consisting of Eurocurrency Rate Advances denominated in any Committed Currency, make available for the account of its Applicable Lending Office to the Agent at the applicable Agent’s Account, in same day funds, such Lender’s ratable portion of such Borrowing in the denominated Committed Currency. After the Agent’s receipt of such funds and upon fulfillment of the applicable conditions set forth in Article III, the Agent will make such funds available to the Borrower at the Agent’s address referred to in Section 8.02;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Agent shall first make a portion of such funds equal to the aggregate principal amount of any Letter of Credit Advances outstanding on the date of such Borrowing, </w:t>
      </w:r>
      <w:r>
        <w:rPr>
          <w:rFonts w:ascii="Arial" w:cs="Arial" w:eastAsia="Arial" w:hAnsi="Arial"/>
          <w:sz w:val="19"/>
          <w:szCs w:val="19"/>
          <w:i w:val="1"/>
          <w:iCs w:val="1"/>
          <w:color w:val="auto"/>
        </w:rPr>
        <w:t>plus</w:t>
      </w:r>
      <w:r>
        <w:rPr>
          <w:rFonts w:ascii="Arial" w:cs="Arial" w:eastAsia="Arial" w:hAnsi="Arial"/>
          <w:sz w:val="19"/>
          <w:szCs w:val="19"/>
          <w:color w:val="auto"/>
        </w:rPr>
        <w:t xml:space="preserve"> interest accrued and unpaid thereon to and as of such date, available to the Lenders for repayment of such Letter of Credit Advances.</w:t>
      </w:r>
    </w:p>
    <w:p>
      <w:pPr>
        <w:spacing w:after="0" w:line="187" w:lineRule="exact"/>
        <w:rPr>
          <w:rFonts w:ascii="Arial" w:cs="Arial" w:eastAsia="Arial" w:hAnsi="Arial"/>
          <w:sz w:val="19"/>
          <w:szCs w:val="19"/>
          <w:color w:val="auto"/>
        </w:rPr>
      </w:pPr>
    </w:p>
    <w:p>
      <w:pPr>
        <w:jc w:val="both"/>
        <w:ind w:right="20" w:firstLine="1305"/>
        <w:spacing w:after="0" w:line="250" w:lineRule="auto"/>
        <w:tabs>
          <w:tab w:leader="none" w:pos="1851" w:val="left"/>
        </w:tabs>
        <w:numPr>
          <w:ilvl w:val="1"/>
          <w:numId w:val="84"/>
        </w:numPr>
        <w:rPr>
          <w:rFonts w:ascii="Arial" w:cs="Arial" w:eastAsia="Arial" w:hAnsi="Arial"/>
          <w:sz w:val="20"/>
          <w:szCs w:val="20"/>
          <w:color w:val="auto"/>
        </w:rPr>
      </w:pPr>
      <w:r>
        <w:rPr>
          <w:rFonts w:ascii="Arial" w:cs="Arial" w:eastAsia="Arial" w:hAnsi="Arial"/>
          <w:sz w:val="20"/>
          <w:szCs w:val="20"/>
          <w:color w:val="auto"/>
        </w:rPr>
        <w:t>Anything in subsection (a) above to the contrary notwithstanding, the Borrower may not select Eurocurrency Rate Advances for any Borrowing if the aggregate amount of such Borrowing is less than the Borrowing Minimum or if the obligation of the Lenders to make Eurocurrency Rate Advances shall then be suspended pursuant to Section 2.09 or 2.13.</w:t>
      </w:r>
    </w:p>
    <w:p>
      <w:pPr>
        <w:spacing w:after="0" w:line="200" w:lineRule="exact"/>
        <w:rPr>
          <w:sz w:val="20"/>
          <w:szCs w:val="20"/>
          <w:color w:val="auto"/>
        </w:rPr>
      </w:pPr>
    </w:p>
    <w:p>
      <w:pPr>
        <w:spacing w:after="0" w:line="227" w:lineRule="exact"/>
        <w:rPr>
          <w:sz w:val="20"/>
          <w:szCs w:val="20"/>
          <w:color w:val="auto"/>
        </w:rPr>
      </w:pPr>
    </w:p>
    <w:p>
      <w:pPr>
        <w:ind w:right="8680" w:firstLine="8"/>
        <w:spacing w:after="0" w:line="273" w:lineRule="auto"/>
        <w:tabs>
          <w:tab w:leader="none" w:pos="84" w:val="left"/>
        </w:tabs>
        <w:numPr>
          <w:ilvl w:val="0"/>
          <w:numId w:val="8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94" w:lineRule="exact"/>
        <w:rPr>
          <w:sz w:val="20"/>
          <w:szCs w:val="20"/>
          <w:color w:val="auto"/>
        </w:rPr>
      </w:pPr>
    </w:p>
    <w:p>
      <w:pPr>
        <w:jc w:val="both"/>
        <w:ind w:firstLine="1305"/>
        <w:spacing w:after="0" w:line="243" w:lineRule="auto"/>
        <w:tabs>
          <w:tab w:leader="none" w:pos="1721" w:val="left"/>
        </w:tabs>
        <w:numPr>
          <w:ilvl w:val="0"/>
          <w:numId w:val="86"/>
        </w:numPr>
        <w:rPr>
          <w:rFonts w:ascii="Arial" w:cs="Arial" w:eastAsia="Arial" w:hAnsi="Arial"/>
          <w:sz w:val="20"/>
          <w:szCs w:val="20"/>
          <w:color w:val="auto"/>
        </w:rPr>
      </w:pPr>
      <w:r>
        <w:rPr>
          <w:rFonts w:ascii="Arial" w:cs="Arial" w:eastAsia="Arial" w:hAnsi="Arial"/>
          <w:sz w:val="20"/>
          <w:szCs w:val="20"/>
          <w:color w:val="auto"/>
        </w:rPr>
        <w:t>Each Notice of Borrowing shall be irrevocable and binding on the Borrower. In the case of any Borrowing that the related Notice of Borrowing specifies is to be comprised of Eurocurrency Rate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Revolving Credit Advance to be made by such Lender as part of such Borrowing when such Revolving Credit Advance, as a result of such failure, is not made on such date.</w:t>
      </w:r>
    </w:p>
    <w:p>
      <w:pPr>
        <w:spacing w:after="0" w:line="193" w:lineRule="exact"/>
        <w:rPr>
          <w:rFonts w:ascii="Arial" w:cs="Arial" w:eastAsia="Arial" w:hAnsi="Arial"/>
          <w:sz w:val="20"/>
          <w:szCs w:val="20"/>
          <w:color w:val="auto"/>
        </w:rPr>
      </w:pPr>
    </w:p>
    <w:p>
      <w:pPr>
        <w:jc w:val="both"/>
        <w:ind w:firstLine="1305"/>
        <w:spacing w:after="0" w:line="255" w:lineRule="auto"/>
        <w:tabs>
          <w:tab w:leader="none" w:pos="17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higher of (A) the interest rate applicable at the time to Revolving Credit Advances comprising such Borrowing and (B) the cost of funds incurred by the Agent in respect of such amount and (ii) in the case of such Lender, (A) the Federal Funds Rate in the case of Advances denominated in Dollars or (B) the cost of funds incurred by the Agent in respect of such amount in the case of Advances denominated in Committed Currencies. If such Lender shall repay to the Agent such corresponding amount, such amount so repaid shall constitute such Lender’s Revolving Credit Advance as part of such Borrowing for purposes of this Agreement.</w:t>
      </w:r>
    </w:p>
    <w:p>
      <w:pPr>
        <w:spacing w:after="0" w:line="185" w:lineRule="exact"/>
        <w:rPr>
          <w:rFonts w:ascii="Arial" w:cs="Arial" w:eastAsia="Arial" w:hAnsi="Arial"/>
          <w:sz w:val="19"/>
          <w:szCs w:val="19"/>
          <w:color w:val="auto"/>
        </w:rPr>
      </w:pPr>
    </w:p>
    <w:p>
      <w:pPr>
        <w:jc w:val="both"/>
        <w:ind w:firstLine="1305"/>
        <w:spacing w:after="0" w:line="246" w:lineRule="auto"/>
        <w:tabs>
          <w:tab w:leader="none" w:pos="1777"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failure of any Lender to make the Revolving Credit Advance to be made by it as part of any Borrowing shall not relieve any other Lender of its obligation, if any, hereunder to make its Revolving Credit Advance on the date of such Borrowing, but no Lender shall be responsible for the failure of any other Lender to make the Revolving Credit Advance to be made by such other Lender on the date of any Borrowing.</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Issuance of and Drawings and Reimbursement Under Letters of Credit</w:t>
      </w:r>
      <w:r>
        <w:rPr>
          <w:rFonts w:ascii="Arial" w:cs="Arial" w:eastAsia="Arial" w:hAnsi="Arial"/>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41" w:lineRule="auto"/>
        <w:tabs>
          <w:tab w:leader="none" w:pos="269"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Request for Issuance</w:t>
      </w:r>
      <w:r>
        <w:rPr>
          <w:rFonts w:ascii="Arial" w:cs="Arial" w:eastAsia="Arial" w:hAnsi="Arial"/>
          <w:sz w:val="20"/>
          <w:szCs w:val="20"/>
          <w:color w:val="auto"/>
        </w:rPr>
        <w:t>. (i) Each Letter of Credit shall be issued upon notice, given not later than 11:00 A.M. (New York City time) on the fifth Business Day prior to the date of the proposed issuance of such Letter of Credit, by the Borrower to any Issuing Bank, and such Issuing Bank shall give the Agent, prompt notice thereof by telecopier, and the Agent shall, within one Business Day of receipt of such notice, confirm the availability of the Letter of Credit Commitment to such Issuing Bank. Each such notice of issuance of a Letter of Credit (a “</w:t>
      </w:r>
      <w:r>
        <w:rPr>
          <w:rFonts w:ascii="Arial" w:cs="Arial" w:eastAsia="Arial" w:hAnsi="Arial"/>
          <w:sz w:val="20"/>
          <w:szCs w:val="20"/>
          <w:u w:val="single" w:color="auto"/>
          <w:color w:val="auto"/>
        </w:rPr>
        <w:t>Notice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Issuance</w:t>
      </w:r>
      <w:r>
        <w:rPr>
          <w:rFonts w:ascii="Arial" w:cs="Arial" w:eastAsia="Arial" w:hAnsi="Arial"/>
          <w:sz w:val="20"/>
          <w:szCs w:val="20"/>
          <w:color w:val="auto"/>
        </w:rPr>
        <w:t>”) shall be by telecopier, confirmed immediately in writing, specifying therein the requested (A) date of such issuance (which shall be a Business Day), (B) Available Amount of such Letter of Credit, (C) expiration date of such Letter of Credit, (D) name and address of the beneficiary of such Letter of Credit and (E) form of such Letter of Credit, and shall be accompanied by such application and agreement for letter of credit as such Issuing Bank may reasonably specify to the Borrower for use in connection with such requested Letter of Credit (a “</w:t>
      </w:r>
      <w:r>
        <w:rPr>
          <w:rFonts w:ascii="Arial" w:cs="Arial" w:eastAsia="Arial" w:hAnsi="Arial"/>
          <w:sz w:val="20"/>
          <w:szCs w:val="20"/>
          <w:u w:val="single" w:color="auto"/>
          <w:color w:val="auto"/>
        </w:rPr>
        <w:t>Letter of Credit Agreement</w:t>
      </w:r>
      <w:r>
        <w:rPr>
          <w:rFonts w:ascii="Arial" w:cs="Arial" w:eastAsia="Arial" w:hAnsi="Arial"/>
          <w:sz w:val="20"/>
          <w:szCs w:val="20"/>
          <w:color w:val="auto"/>
        </w:rPr>
        <w:t>”). If the requested form of such Letter of Credit is reasonably acceptable to such Issuing Bank, such Issuing Bank will, so long as the</w:t>
      </w:r>
    </w:p>
    <w:p>
      <w:pPr>
        <w:spacing w:after="0" w:line="200" w:lineRule="exact"/>
        <w:rPr>
          <w:sz w:val="20"/>
          <w:szCs w:val="20"/>
          <w:color w:val="auto"/>
        </w:rPr>
      </w:pPr>
    </w:p>
    <w:p>
      <w:pPr>
        <w:spacing w:after="0" w:line="244" w:lineRule="exact"/>
        <w:rPr>
          <w:sz w:val="20"/>
          <w:szCs w:val="20"/>
          <w:color w:val="auto"/>
        </w:rPr>
      </w:pPr>
    </w:p>
    <w:p>
      <w:pPr>
        <w:ind w:right="8680" w:firstLine="8"/>
        <w:spacing w:after="0" w:line="273" w:lineRule="auto"/>
        <w:tabs>
          <w:tab w:leader="none" w:pos="84" w:val="left"/>
        </w:tabs>
        <w:numPr>
          <w:ilvl w:val="0"/>
          <w:numId w:val="8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issuance of such Letter of Credit would not violate one or more policies of such Issuing Bank, and upon fulfillment of the applicable conditions set forth in Article III, make such Letter of Credit available to the Borrower at its office referred to in Section 8.02 or as otherwise agreed with the Borrower in connection with such issuance. In the event and to the extent that the provisions of any Letter of Credit Agreement shall conflict with this Agreement, the provisions of this Agreement shall govern.</w:t>
      </w:r>
    </w:p>
    <w:p>
      <w:pPr>
        <w:spacing w:after="0" w:line="192" w:lineRule="exact"/>
        <w:rPr>
          <w:sz w:val="20"/>
          <w:szCs w:val="20"/>
          <w:color w:val="auto"/>
        </w:rPr>
      </w:pPr>
    </w:p>
    <w:p>
      <w:pPr>
        <w:jc w:val="both"/>
        <w:ind w:firstLine="1305"/>
        <w:spacing w:after="0" w:line="255" w:lineRule="auto"/>
        <w:tabs>
          <w:tab w:leader="none" w:pos="1725"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Pro Rata Share of the aggregate amount available to be drawn under such Letter of Credit. The Borrower hereby agrees to each such participation. In consideration and in furtherance of the foregoing, each Lender hereby absolutely and unconditionally agrees to pay to the Agent, for the account of such Issuing Bank, such Lender’s Pro Rata Share of each Letter of Credit Advance made by such Issuing Bank and not reimbursed by the Borrower on the date made,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87" w:lineRule="exact"/>
        <w:rPr>
          <w:rFonts w:ascii="Arial" w:cs="Arial" w:eastAsia="Arial" w:hAnsi="Arial"/>
          <w:sz w:val="19"/>
          <w:szCs w:val="19"/>
          <w:color w:val="auto"/>
        </w:rPr>
      </w:pPr>
    </w:p>
    <w:p>
      <w:pPr>
        <w:jc w:val="both"/>
        <w:ind w:firstLine="1305"/>
        <w:spacing w:after="0" w:line="269" w:lineRule="auto"/>
        <w:tabs>
          <w:tab w:leader="none" w:pos="184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Drawing and Reimbursement</w:t>
      </w:r>
      <w:r>
        <w:rPr>
          <w:rFonts w:ascii="Arial" w:cs="Arial" w:eastAsia="Arial" w:hAnsi="Arial"/>
          <w:sz w:val="18"/>
          <w:szCs w:val="18"/>
          <w:color w:val="auto"/>
        </w:rPr>
        <w:t xml:space="preserve">. The payment by an Issuing Bank of a draft drawn under any Letter of Credit shall constitute for all purposes of this Agreement the making by any such Issuing Bank of a Letter of Credit Advance, which shall be a Base Rate Advance in the amount of such drawing (in the case of a Letter of Credit denominated in Dollars) or in the amount that is the Equivalent thereof in Dollars determined on the date of such drawing, in the case of any Letter of Credit denominated in a Committed Currency. Upon written demand by such Issuing Bank, with a copy of such demand to the Agent, each Lender shall pay to the Agent such Lender’s Pro Rata Share of such outstanding Letter of Credit Advance, by making available for the account of its Applicable Lending Office to the Agent for the account of such Issuing Bank, by deposit to the Agent’s Account, in same day funds, an amount equal to the portion of the outstanding principal amount of such Letter of Credit Advance to be funded by such Lender. Promptly after receipt thereof, the Agent shall transfer such funds to such Issuing Bank. Each Lender agrees to fund its Pro Rata Share of an outstanding Letter of Credit Advance on (i) the Business Day on which demand therefor is made by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of such demand is given not later than 11:00 A.M. (New York City time) on such Business Day, or (ii) the first Business Day next succeeding such demand if notice of such demand is given after such time. If and to the extent that any Lender shall not have so made the amount of such Letter of Credit Advance available to the Agent, such Lender agrees to pay to the Agent forthwith on demand such amount together with interest thereon, for each day from the date of demand by any such Issuing Bank until the date such amount is paid to the Agent, at the Federal Funds Rate for its account or the account of such Issuing Bank, as applicable. If such Lender shall pay to the Agent such amount for the account of any such Issuing Bank on any Business Day, such amount so paid in respect of principal shall constitute a Letter of Credit Advance made by such Lender on such Business Day for purposes of this Agreement, and the outstanding principal amount of the Letter of Credit Advance made by such Issuing Bank shall be reduced by such amount on such Business Day.</w:t>
      </w:r>
    </w:p>
    <w:p>
      <w:pPr>
        <w:spacing w:after="0" w:line="172" w:lineRule="exact"/>
        <w:rPr>
          <w:rFonts w:ascii="Arial" w:cs="Arial" w:eastAsia="Arial" w:hAnsi="Arial"/>
          <w:sz w:val="18"/>
          <w:szCs w:val="18"/>
          <w:color w:val="auto"/>
        </w:rPr>
      </w:pPr>
    </w:p>
    <w:p>
      <w:pPr>
        <w:jc w:val="both"/>
        <w:ind w:firstLine="1305"/>
        <w:spacing w:after="0" w:line="291" w:lineRule="auto"/>
        <w:tabs>
          <w:tab w:leader="none" w:pos="17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Letter of Credit Reports</w:t>
      </w:r>
      <w:r>
        <w:rPr>
          <w:rFonts w:ascii="Arial" w:cs="Arial" w:eastAsia="Arial" w:hAnsi="Arial"/>
          <w:sz w:val="18"/>
          <w:szCs w:val="18"/>
          <w:color w:val="auto"/>
        </w:rPr>
        <w:t>. Each Issuing Bank shall furnish in respect of Letters of Credit issued by it (A) to the Agent on the first Business Day of each week a written report summarizing issuance and expiration dates of Letters of Credit issued during the previous week and drawings during such week under all Letters of Credit, (B) to each Lender on the first Business Day of each month a written report</w:t>
      </w:r>
    </w:p>
    <w:p>
      <w:pPr>
        <w:spacing w:after="0" w:line="393" w:lineRule="exact"/>
        <w:rPr>
          <w:sz w:val="20"/>
          <w:szCs w:val="20"/>
          <w:color w:val="auto"/>
        </w:rPr>
      </w:pPr>
    </w:p>
    <w:p>
      <w:pPr>
        <w:ind w:right="8680" w:firstLine="8"/>
        <w:spacing w:after="0" w:line="273" w:lineRule="auto"/>
        <w:tabs>
          <w:tab w:leader="none" w:pos="84" w:val="left"/>
        </w:tabs>
        <w:numPr>
          <w:ilvl w:val="0"/>
          <w:numId w:val="9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summarizing issuance and expiration dates of Letters of Credit during the preceding month and drawings during such month under all Letters of Credit and (C) to the Agent and each Lender on the first Business Day of each calendar quarter a written report setting forth the average daily aggregate Available Amount during the preceding calendar quarter of all Letters of Credit.</w:t>
      </w:r>
    </w:p>
    <w:p>
      <w:pPr>
        <w:spacing w:after="0" w:line="186" w:lineRule="exact"/>
        <w:rPr>
          <w:sz w:val="20"/>
          <w:szCs w:val="20"/>
          <w:color w:val="auto"/>
        </w:rPr>
      </w:pPr>
    </w:p>
    <w:p>
      <w:pPr>
        <w:jc w:val="both"/>
        <w:ind w:firstLine="1305"/>
        <w:spacing w:after="0" w:line="246" w:lineRule="auto"/>
        <w:tabs>
          <w:tab w:leader="none" w:pos="1714"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Failure to Make Letter of Credit Advances</w:t>
      </w:r>
      <w:r>
        <w:rPr>
          <w:rFonts w:ascii="Arial" w:cs="Arial" w:eastAsia="Arial" w:hAnsi="Arial"/>
          <w:sz w:val="20"/>
          <w:szCs w:val="20"/>
          <w:color w:val="auto"/>
        </w:rPr>
        <w:t>. The failure of any Lender to make the Letter of Credit Advance to be made by it on the date specified in Section 2.04(c)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706"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Effective as of the Effective Date (i) the letters of credit issued for the account of the Borrower prior to such date by Persons who are Issuing Banks hereunder and set forth on Schedule 2.04(f) hereto (such letters of credit being the “</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in an aggregate face amount not exceeding the total amount set forth on such Schedule 2.04(f) will be deemed to have been issued as, and be, Letters of Credit hereunder and (ii) the Existing Letters of Credit and the reimbursement obligations in respect thereof shall be obligations of the Borrower hereunder and shall no longer be obligations under the documents pursuant to which such Existing Letters of Credit were initially issued.</w:t>
      </w:r>
    </w:p>
    <w:p>
      <w:pPr>
        <w:spacing w:after="0" w:line="19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Facility Fee</w:t>
      </w:r>
      <w:r>
        <w:rPr>
          <w:rFonts w:ascii="Arial" w:cs="Arial" w:eastAsia="Arial" w:hAnsi="Arial"/>
          <w:sz w:val="18"/>
          <w:szCs w:val="18"/>
          <w:color w:val="auto"/>
        </w:rPr>
        <w:t>. The Borrower agrees to pay to the Agent, in Dollars, for the account of each Lender a facility fee on the aggregate amount of such Lender’s Revolving Commitment from the Effective Date in the case of each Initial Lender and from the effective date specified in the Assumption Agreement or in the Assignment and Assumption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commencing September 30, 2015, and on the Termination Date applicable to such Lender, and after the Termination Date payable upon demand until all amounts due and payable under this Agreement have been paid in full in cash and either all Letters of Credit have been terminated or the Borrower shall otherwise have complied with the provisions of Section 6.02, provided that after the Revolving Credit Commitments have been terminated, the facility fee will be calculated on the aggregate balance of amounts outstanding under this Agreement plus the amounts of any outstanding Letters of Credit; and provided further that no Defaulting Lender shall be entitled to receive any facility fee except in respect of its outstanding Advances for any period during which that Lender is a Defaulting Lender (and the Borrower shall not be required to pay such fee that otherwise would have been required to have been paid to that Defaulting Lender).</w:t>
      </w:r>
    </w:p>
    <w:p>
      <w:pPr>
        <w:spacing w:after="0" w:line="177" w:lineRule="exact"/>
        <w:rPr>
          <w:sz w:val="20"/>
          <w:szCs w:val="20"/>
          <w:color w:val="auto"/>
        </w:rPr>
      </w:pPr>
    </w:p>
    <w:p>
      <w:pPr>
        <w:jc w:val="both"/>
        <w:ind w:firstLine="1305"/>
        <w:spacing w:after="0" w:line="271" w:lineRule="auto"/>
        <w:tabs>
          <w:tab w:leader="none" w:pos="172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(i) The Borrower shall pay to the Agent, in Dollars, for the account of each Lender a commission on such Lender’s Pro Rata Share of the average daily aggregate Available Amount (based in respect of any Letter of Credit to be denominated in a Committed Currency by reference to the Equivalent thereof in Dollars) all Letters of Credit outstanding from time to time at a rate per annum equal to the Applicable Margin for Eurocurrency Rate Advances in effect from time to time, payable in arrears quarterly on the last day of each March, June, September and December, commencing September 30, 2015, and on the Termination Date applicable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to the extent that all or a portion of the Fronting Exposure in respect of any Defaulting Lender is reallocated to the Non-Defaulting Lenders pursuant to Section 2.20(a), such fees that would have accrued for the benefit of such Defaulting Lender will instead accrue for the benefit of and be payable to such Non-Defaulting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Revolving Credit Commitments, and (ii) to the extent that all or any portion of such Fronting Exposure cannot be so reallocated, such fees will instead accrue for the benefit of and be payable to the respective Issuing Banks ratably according to the outstanding Letters of Credit issued by each Issuing Bank,</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0" w:hanging="92"/>
        <w:spacing w:after="0"/>
        <w:tabs>
          <w:tab w:leader="none" w:pos="1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provided that such payments to the Issuing Banks shall accrue only to the extent that such Letters of Credit have not been Cash Collateralized.</w:t>
      </w:r>
    </w:p>
    <w:p>
      <w:pPr>
        <w:spacing w:after="0" w:line="239" w:lineRule="exact"/>
        <w:rPr>
          <w:sz w:val="20"/>
          <w:szCs w:val="20"/>
          <w:color w:val="auto"/>
        </w:rPr>
      </w:pPr>
    </w:p>
    <w:p>
      <w:pPr>
        <w:jc w:val="both"/>
        <w:ind w:left="660" w:firstLine="645"/>
        <w:spacing w:after="0" w:line="246" w:lineRule="auto"/>
        <w:tabs>
          <w:tab w:leader="none" w:pos="1835"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Borrower shall pay to each Issuing Bank, for its own account, a fronting fee equal to 0.125% per annum of the amount available to be drawn under each Letter of Credit issued by such Issuing Bank, payable quarterly in arrears, and such other commissions, issuance fees, transfer fees and other fees and charges in connection with the issuance or administration of each Letter of Credit as the Borrower and such Issuing Bank shall agree.</w:t>
      </w:r>
    </w:p>
    <w:p>
      <w:pPr>
        <w:spacing w:after="0" w:line="192" w:lineRule="exact"/>
        <w:rPr>
          <w:sz w:val="20"/>
          <w:szCs w:val="20"/>
          <w:color w:val="auto"/>
        </w:rPr>
      </w:pPr>
    </w:p>
    <w:p>
      <w:pPr>
        <w:ind w:right="20" w:firstLine="1305"/>
        <w:spacing w:after="0" w:line="260" w:lineRule="auto"/>
        <w:tabs>
          <w:tab w:leader="none" w:pos="1782"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Agent’s Fees</w:t>
      </w:r>
      <w:r>
        <w:rPr>
          <w:rFonts w:ascii="Arial" w:cs="Arial" w:eastAsia="Arial" w:hAnsi="Arial"/>
          <w:sz w:val="20"/>
          <w:szCs w:val="20"/>
          <w:color w:val="auto"/>
        </w:rPr>
        <w:t>. The Borrower shall pay to the Agent for its own account such fees as may from time to time be agreed between the Borrower and the Agent.</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Optional Termination or Reduction of the Commitments</w:t>
      </w:r>
      <w:r>
        <w:rPr>
          <w:rFonts w:ascii="Arial" w:cs="Arial" w:eastAsia="Arial" w:hAnsi="Arial"/>
          <w:sz w:val="20"/>
          <w:szCs w:val="20"/>
          <w:color w:val="auto"/>
        </w:rPr>
        <w:t xml:space="preserve">. The Borrower shall have the right, upon at least three Business Days’ notice to the Agent, to terminate in whole or permanently reduce ratably in part the Unused Commitments of the Lender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partial reduction shall be in the aggregate amount of $5,000,000 or an integral multiple of $1,000,000 in excess thereof.</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Repayment of Revolving Credit Advances and Letters of Credit</w:t>
      </w:r>
      <w:r>
        <w:rPr>
          <w:rFonts w:ascii="Arial" w:cs="Arial" w:eastAsia="Arial" w:hAnsi="Arial"/>
          <w:sz w:val="20"/>
          <w:szCs w:val="20"/>
          <w:color w:val="auto"/>
        </w:rPr>
        <w:t xml:space="preserve">. (a) </w:t>
      </w:r>
      <w:r>
        <w:rPr>
          <w:rFonts w:ascii="Arial" w:cs="Arial" w:eastAsia="Arial" w:hAnsi="Arial"/>
          <w:sz w:val="20"/>
          <w:szCs w:val="20"/>
          <w:u w:val="single" w:color="auto"/>
          <w:color w:val="auto"/>
        </w:rPr>
        <w:t>Revolving Credit Advances</w:t>
      </w:r>
      <w:r>
        <w:rPr>
          <w:rFonts w:ascii="Arial" w:cs="Arial" w:eastAsia="Arial" w:hAnsi="Arial"/>
          <w:sz w:val="20"/>
          <w:szCs w:val="20"/>
          <w:color w:val="auto"/>
        </w:rPr>
        <w:t>. The Borrower shall repay to the Agent for the account of each Lender on the Termination Date applicable to such Lender the aggregate principal amount of the Revolving Credit Advances made by it then outstanding.</w:t>
      </w:r>
    </w:p>
    <w:p>
      <w:pPr>
        <w:spacing w:after="0" w:line="186" w:lineRule="exact"/>
        <w:rPr>
          <w:sz w:val="20"/>
          <w:szCs w:val="20"/>
          <w:color w:val="auto"/>
        </w:rPr>
      </w:pPr>
    </w:p>
    <w:p>
      <w:pPr>
        <w:jc w:val="both"/>
        <w:ind w:firstLine="1305"/>
        <w:spacing w:after="0" w:line="250" w:lineRule="auto"/>
        <w:tabs>
          <w:tab w:leader="none" w:pos="1847"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Letter of Credit Advances</w:t>
      </w:r>
      <w:r>
        <w:rPr>
          <w:rFonts w:ascii="Arial" w:cs="Arial" w:eastAsia="Arial" w:hAnsi="Arial"/>
          <w:sz w:val="20"/>
          <w:szCs w:val="20"/>
          <w:color w:val="auto"/>
        </w:rPr>
        <w:t>. (i) The Borrower shall repay the outstanding principal amount of each Letter of Credit Advance made by each Lender Party that has made a Letter of Credit Advance to the Agent for the ratable account of each such Lender Party on the earlier of demand and the Termination Date applicable to such Lender Party.</w:t>
      </w:r>
    </w:p>
    <w:p>
      <w:pPr>
        <w:spacing w:after="0" w:line="186" w:lineRule="exact"/>
        <w:rPr>
          <w:sz w:val="20"/>
          <w:szCs w:val="20"/>
          <w:color w:val="auto"/>
        </w:rPr>
      </w:pPr>
    </w:p>
    <w:p>
      <w:pPr>
        <w:jc w:val="both"/>
        <w:ind w:firstLine="1305"/>
        <w:spacing w:after="0" w:line="243" w:lineRule="auto"/>
        <w:tabs>
          <w:tab w:leader="none" w:pos="1838"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obligations of the Borrower under this Agreement,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the Borrower is without prejudice to, and does not constitute a waiver of, any rights the Borrower might have or might acquire as a result of the payment by any Lender of any draft or the reimbursement by the Borrower thereof):</w:t>
      </w:r>
    </w:p>
    <w:p>
      <w:pPr>
        <w:spacing w:after="0" w:line="197" w:lineRule="exact"/>
        <w:rPr>
          <w:sz w:val="20"/>
          <w:szCs w:val="20"/>
          <w:color w:val="auto"/>
        </w:rPr>
      </w:pPr>
    </w:p>
    <w:p>
      <w:pPr>
        <w:ind w:left="660" w:firstLine="645"/>
        <w:spacing w:after="0" w:line="316" w:lineRule="auto"/>
        <w:tabs>
          <w:tab w:leader="none" w:pos="18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Note, any Letter of Credit Agreement, any Letter of Credit or any other agreement or instrument relating thereto (all of the foregoing being, collectively, the “</w:t>
      </w:r>
      <w:r>
        <w:rPr>
          <w:rFonts w:ascii="Arial" w:cs="Arial" w:eastAsia="Arial" w:hAnsi="Arial"/>
          <w:sz w:val="18"/>
          <w:szCs w:val="18"/>
          <w:u w:val="single" w:color="auto"/>
          <w:color w:val="auto"/>
        </w:rPr>
        <w:t>L/C Related Documents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660" w:firstLine="645"/>
        <w:spacing w:after="0" w:line="250" w:lineRule="auto"/>
        <w:tabs>
          <w:tab w:leader="none" w:pos="1863"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change in the time, manner or place of payment of, or in any other term of, all or any of the obligations of the Borrower in respect of any L/C Related Document or any other amendment or waiver of or any consent to departure from all or any of the L/C Related Documents;</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786"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 that the Borrower may have at any time against any beneficiary or any transferee of a Letter of Credit (or any Persons for which any such beneficiary or any such transferee may be acting), any Issuing Bank, the Agent, any Lender or any other Person, whether in connection with the transactions contemplated by the L/C Related Documents or any unrelated transaction;</w:t>
      </w:r>
    </w:p>
    <w:p>
      <w:pPr>
        <w:spacing w:after="0" w:line="200" w:lineRule="exact"/>
        <w:rPr>
          <w:sz w:val="20"/>
          <w:szCs w:val="20"/>
          <w:color w:val="auto"/>
        </w:rPr>
      </w:pPr>
    </w:p>
    <w:p>
      <w:pPr>
        <w:spacing w:after="0" w:line="233" w:lineRule="exact"/>
        <w:rPr>
          <w:sz w:val="20"/>
          <w:szCs w:val="20"/>
          <w:color w:val="auto"/>
        </w:rPr>
      </w:pPr>
    </w:p>
    <w:p>
      <w:pPr>
        <w:ind w:right="8680" w:firstLine="8"/>
        <w:spacing w:after="0" w:line="273" w:lineRule="auto"/>
        <w:tabs>
          <w:tab w:leader="none" w:pos="84" w:val="left"/>
        </w:tabs>
        <w:numPr>
          <w:ilvl w:val="0"/>
          <w:numId w:val="9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color w:val="auto"/>
        </w:rPr>
        <w:t>22</w:t>
      </w:r>
    </w:p>
    <w:p>
      <w:pPr>
        <w:spacing w:after="0" w:line="200" w:lineRule="exact"/>
        <w:rPr>
          <w:sz w:val="20"/>
          <w:szCs w:val="20"/>
          <w:color w:val="auto"/>
        </w:rPr>
      </w:pPr>
    </w:p>
    <w:p>
      <w:pPr>
        <w:spacing w:after="0" w:line="294" w:lineRule="exact"/>
        <w:rPr>
          <w:sz w:val="20"/>
          <w:szCs w:val="20"/>
          <w:color w:val="auto"/>
        </w:rPr>
      </w:pPr>
    </w:p>
    <w:p>
      <w:pPr>
        <w:ind w:left="660" w:firstLine="645"/>
        <w:spacing w:after="0" w:line="260" w:lineRule="auto"/>
        <w:tabs>
          <w:tab w:leader="none" w:pos="1879"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statement or any other document presented under a Letter of Credit proving to be forged, fraudulent, invalid or insufficient in any respect or any statement therein being untrue or inaccurate in any respect;</w:t>
      </w:r>
    </w:p>
    <w:p>
      <w:pPr>
        <w:spacing w:after="0" w:line="176" w:lineRule="exact"/>
        <w:rPr>
          <w:rFonts w:ascii="Arial" w:cs="Arial" w:eastAsia="Arial" w:hAnsi="Arial"/>
          <w:sz w:val="20"/>
          <w:szCs w:val="20"/>
          <w:color w:val="auto"/>
        </w:rPr>
      </w:pPr>
    </w:p>
    <w:p>
      <w:pPr>
        <w:ind w:left="660" w:firstLine="645"/>
        <w:spacing w:after="0" w:line="260" w:lineRule="auto"/>
        <w:tabs>
          <w:tab w:leader="none" w:pos="1804" w:val="left"/>
        </w:tabs>
        <w:numPr>
          <w:ilvl w:val="0"/>
          <w:numId w:val="99"/>
        </w:numPr>
        <w:rPr>
          <w:rFonts w:ascii="Arial" w:cs="Arial" w:eastAsia="Arial" w:hAnsi="Arial"/>
          <w:sz w:val="20"/>
          <w:szCs w:val="20"/>
          <w:color w:val="auto"/>
        </w:rPr>
      </w:pPr>
      <w:r>
        <w:rPr>
          <w:rFonts w:ascii="Arial" w:cs="Arial" w:eastAsia="Arial" w:hAnsi="Arial"/>
          <w:sz w:val="20"/>
          <w:szCs w:val="20"/>
          <w:color w:val="auto"/>
        </w:rPr>
        <w:t>payment by any Issuing Bank under a Letter of Credit against presentation of a draft or certificate that does not strictly comply with the terms of such Letter of Credit;</w:t>
      </w:r>
    </w:p>
    <w:p>
      <w:pPr>
        <w:spacing w:after="0" w:line="176" w:lineRule="exact"/>
        <w:rPr>
          <w:rFonts w:ascii="Arial" w:cs="Arial" w:eastAsia="Arial" w:hAnsi="Arial"/>
          <w:sz w:val="20"/>
          <w:szCs w:val="20"/>
          <w:color w:val="auto"/>
        </w:rPr>
      </w:pPr>
    </w:p>
    <w:p>
      <w:pPr>
        <w:ind w:left="660" w:firstLine="645"/>
        <w:spacing w:after="0" w:line="287" w:lineRule="auto"/>
        <w:tabs>
          <w:tab w:leader="none" w:pos="1876"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exchange, release or non-perfection of any collateral, or any release or amendment or waiver of or consent to departure from any guarantee, for all or any of the obligations of the Borrower in respect of the L/C Related Documents; or</w:t>
      </w:r>
    </w:p>
    <w:p>
      <w:pPr>
        <w:spacing w:after="0" w:line="152" w:lineRule="exact"/>
        <w:rPr>
          <w:rFonts w:ascii="Arial" w:cs="Arial" w:eastAsia="Arial" w:hAnsi="Arial"/>
          <w:sz w:val="19"/>
          <w:szCs w:val="19"/>
          <w:color w:val="auto"/>
        </w:rPr>
      </w:pPr>
    </w:p>
    <w:p>
      <w:pPr>
        <w:jc w:val="both"/>
        <w:ind w:left="660" w:firstLine="645"/>
        <w:spacing w:after="0" w:line="316" w:lineRule="auto"/>
        <w:tabs>
          <w:tab w:leader="none" w:pos="188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without limitation, any other circumstance that might otherwise constitute a defense available to, or a discharge of, the Borrower or a guarantor.</w:t>
      </w:r>
    </w:p>
    <w:p>
      <w:pPr>
        <w:spacing w:after="0" w:line="13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Interest on Revolving Credit Advances</w:t>
      </w:r>
      <w:r>
        <w:rPr>
          <w:rFonts w:ascii="Arial" w:cs="Arial" w:eastAsia="Arial" w:hAnsi="Arial"/>
          <w:sz w:val="20"/>
          <w:szCs w:val="20"/>
          <w:color w:val="auto"/>
        </w:rPr>
        <w:t xml:space="preserve">. (a) </w:t>
      </w:r>
      <w:r>
        <w:rPr>
          <w:rFonts w:ascii="Arial" w:cs="Arial" w:eastAsia="Arial" w:hAnsi="Arial"/>
          <w:sz w:val="20"/>
          <w:szCs w:val="20"/>
          <w:u w:val="single" w:color="auto"/>
          <w:color w:val="auto"/>
        </w:rPr>
        <w:t>Scheduled Interest</w:t>
      </w:r>
      <w:r>
        <w:rPr>
          <w:rFonts w:ascii="Arial" w:cs="Arial" w:eastAsia="Arial" w:hAnsi="Arial"/>
          <w:sz w:val="20"/>
          <w:szCs w:val="20"/>
          <w:color w:val="auto"/>
        </w:rPr>
        <w:t>. The Borrower shall pay interest on the unpaid principal amount of each Advance owing to each Lender from the date of such Revolving Credit Advance until such principal amount shall be paid in full, at the following rates per annum:</w:t>
      </w:r>
    </w:p>
    <w:p>
      <w:pPr>
        <w:spacing w:after="0" w:line="186" w:lineRule="exact"/>
        <w:rPr>
          <w:sz w:val="20"/>
          <w:szCs w:val="20"/>
          <w:color w:val="auto"/>
        </w:rPr>
      </w:pPr>
    </w:p>
    <w:p>
      <w:pPr>
        <w:jc w:val="both"/>
        <w:ind w:left="660" w:firstLine="645"/>
        <w:spacing w:after="0" w:line="246" w:lineRule="auto"/>
        <w:tabs>
          <w:tab w:leader="none" w:pos="173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Base Rate Advances</w:t>
      </w:r>
      <w:r>
        <w:rPr>
          <w:rFonts w:ascii="Arial" w:cs="Arial" w:eastAsia="Arial" w:hAnsi="Arial"/>
          <w:sz w:val="20"/>
          <w:szCs w:val="20"/>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191" w:lineRule="exact"/>
        <w:rPr>
          <w:rFonts w:ascii="Arial" w:cs="Arial" w:eastAsia="Arial" w:hAnsi="Arial"/>
          <w:sz w:val="20"/>
          <w:szCs w:val="20"/>
          <w:color w:val="auto"/>
        </w:rPr>
      </w:pPr>
    </w:p>
    <w:p>
      <w:pPr>
        <w:jc w:val="both"/>
        <w:ind w:left="660" w:firstLine="645"/>
        <w:spacing w:after="0" w:line="243" w:lineRule="auto"/>
        <w:tabs>
          <w:tab w:leader="none" w:pos="1748"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Eurocurrency Rate Advances</w:t>
      </w:r>
      <w:r>
        <w:rPr>
          <w:rFonts w:ascii="Arial" w:cs="Arial" w:eastAsia="Arial" w:hAnsi="Arial"/>
          <w:sz w:val="20"/>
          <w:szCs w:val="20"/>
          <w:color w:val="auto"/>
        </w:rPr>
        <w:t xml:space="preserve">. During such periods as such Revolving Credit Advance is a Eurocurrency Rate Advance, a rate per annum equal at all times during each Interest Period for such Revolving Credit Advance to the sum of (x) the Eurocurrency Rate for such Interest Period for such Revolving Credit Advance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197" w:lineRule="exact"/>
        <w:rPr>
          <w:sz w:val="20"/>
          <w:szCs w:val="20"/>
          <w:color w:val="auto"/>
        </w:rPr>
      </w:pPr>
    </w:p>
    <w:p>
      <w:pPr>
        <w:jc w:val="both"/>
        <w:ind w:firstLine="1305"/>
        <w:spacing w:after="0" w:line="256" w:lineRule="auto"/>
        <w:tabs>
          <w:tab w:leader="none" w:pos="1779"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Upon the occurrence and during the continuance of an Event of Default, the Agent may, and upon the request of the Required Lenders shall, require the Borrower to pay interest (“</w:t>
      </w: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on (i) the unpaid principal amount of each Revolving Credit Advance and each Letter of Credit Advance owing to each Lender Party, payable in arrears on the dates referred to in Section 2.08(a)(i) or 2.08(a)(ii) above, at a rate per annum equal at all times to 2% per annum above the rate per annum required to be paid on such Advance pursuant to Section 2.08(a)(i) or 2.08(a)(ii)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2.08 (a)(i)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following acceleration of the Advances pursuant to Section 6.01, Default Interest shall accrue and be payable hereunder whether or not previously required by the Agent.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00" w:hanging="92"/>
        <w:spacing w:after="0"/>
        <w:tabs>
          <w:tab w:leader="none" w:pos="1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color w:val="auto"/>
        </w:rPr>
        <w:t>23</w:t>
      </w:r>
    </w:p>
    <w:p>
      <w:pPr>
        <w:spacing w:after="0" w:line="200" w:lineRule="exact"/>
        <w:rPr>
          <w:sz w:val="20"/>
          <w:szCs w:val="20"/>
          <w:color w:val="auto"/>
        </w:rPr>
      </w:pPr>
    </w:p>
    <w:p>
      <w:pPr>
        <w:spacing w:after="0" w:line="294"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Interest Rate Determination</w:t>
      </w:r>
      <w:r>
        <w:rPr>
          <w:rFonts w:ascii="Arial" w:cs="Arial" w:eastAsia="Arial" w:hAnsi="Arial"/>
          <w:sz w:val="20"/>
          <w:szCs w:val="20"/>
          <w:color w:val="auto"/>
        </w:rPr>
        <w:t>. (a) The Agent shall give prompt notice to the Borrower and the Lenders of the applicable interest rate determined by the Agent for purposes of Section 2.08(a)(i) or (ii).</w:t>
      </w:r>
    </w:p>
    <w:p>
      <w:pPr>
        <w:spacing w:after="0" w:line="177" w:lineRule="exact"/>
        <w:rPr>
          <w:sz w:val="20"/>
          <w:szCs w:val="20"/>
          <w:color w:val="auto"/>
        </w:rPr>
      </w:pPr>
    </w:p>
    <w:p>
      <w:pPr>
        <w:jc w:val="both"/>
        <w:ind w:firstLine="1305"/>
        <w:spacing w:after="0" w:line="232" w:lineRule="exact"/>
        <w:tabs>
          <w:tab w:leader="none" w:pos="17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with respect to any Eurocurrency Rate Advances, the Required Lenders notify the Agent that (i) they are unable to obtain matching deposits in the London inter</w:t>
      </w:r>
      <w:r>
        <w:rPr>
          <w:rFonts w:ascii="MS PGothic" w:cs="MS PGothic" w:eastAsia="MS PGothic" w:hAnsi="MS PGothic"/>
          <w:sz w:val="18"/>
          <w:szCs w:val="18"/>
          <w:color w:val="auto"/>
        </w:rPr>
        <w:t>‑</w:t>
      </w:r>
      <w:r>
        <w:rPr>
          <w:rFonts w:ascii="Arial" w:cs="Arial" w:eastAsia="Arial" w:hAnsi="Arial"/>
          <w:sz w:val="18"/>
          <w:szCs w:val="18"/>
          <w:color w:val="auto"/>
        </w:rPr>
        <w:t>bank market at or about 9:00 A.M. (New York time) on the second Business Day before the making of a Borrowing in sufficient amounts to fund their respective Revolving Credit Advances as a part of such Borrowing during its Interest Period or (ii) the Eurocurrency Rate for any Interest Period for such Advances will not adequately reflect the cost to such Required Lenders of making, funding or maintaining their respective Eurocurrency Rate Advances for such Interest Period, the Agent shall forthwith so notify the Borrower and the Lenders, whereupon (A) the Borrower will, on the last day of the then existing Interest Period therefor, (1) if such Eurocurrency Rate Advances are denominated in Dollars, either (x) prepay such Advances or (y) Convert such Advances into Base Rate Advances and (2) if such Eurocurrency Rate Advances are denominated in any Committed Currency, either (x) prepay such Advances or</w:t>
      </w:r>
    </w:p>
    <w:p>
      <w:pPr>
        <w:spacing w:after="0" w:line="3" w:lineRule="exact"/>
        <w:rPr>
          <w:rFonts w:ascii="Arial" w:cs="Arial" w:eastAsia="Arial" w:hAnsi="Arial"/>
          <w:sz w:val="18"/>
          <w:szCs w:val="18"/>
          <w:color w:val="auto"/>
        </w:rPr>
      </w:pPr>
    </w:p>
    <w:p>
      <w:pPr>
        <w:jc w:val="both"/>
        <w:ind w:firstLine="8"/>
        <w:spacing w:after="0" w:line="270" w:lineRule="auto"/>
        <w:tabs>
          <w:tab w:leader="none" w:pos="2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exchange such Advances into an Equivalent amount of Dollars and Convert such Advances into Base Rate Advances and (B) the obligation of the Lenders to make, or to Convert Revolving Credit Advances into, Eurocurrency Rate Advances shall be suspended until the Agent shall notify the Borrower and the Lenders that the circumstances causing such suspension no longer exist;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set forth in clause (ii) above are applicable, the Borrower may elect, by notice to the Agent and the Lenders, to continue such Advances in such Committed Currency for Interest Periods of not longer than one month, which Advances shall thereafter bear interest at a rate per annum equal to the Applicable Margin plus, for each Lender, the cost to such Lender (expressed as a rate per annum) of funding its Eurocurrency Rate Advances by whatever means it reasonably determines to be appropriate. Each Lender shall certify its cost of funds for each Interest Period to the Agent and the Borrower as soon as practicable (but in any event not later than ten Business Days after the first day of such Interest Period).</w:t>
      </w:r>
    </w:p>
    <w:p>
      <w:pPr>
        <w:spacing w:after="0" w:line="173" w:lineRule="exact"/>
        <w:rPr>
          <w:rFonts w:ascii="Arial" w:cs="Arial" w:eastAsia="Arial" w:hAnsi="Arial"/>
          <w:sz w:val="18"/>
          <w:szCs w:val="18"/>
          <w:color w:val="auto"/>
        </w:rPr>
      </w:pPr>
    </w:p>
    <w:p>
      <w:pPr>
        <w:jc w:val="both"/>
        <w:ind w:firstLine="1305"/>
        <w:spacing w:after="0" w:line="243" w:lineRule="auto"/>
        <w:tabs>
          <w:tab w:leader="none" w:pos="1738" w:val="left"/>
        </w:tabs>
        <w:numPr>
          <w:ilvl w:val="1"/>
          <w:numId w:val="103"/>
        </w:numPr>
        <w:rPr>
          <w:rFonts w:ascii="Arial" w:cs="Arial" w:eastAsia="Arial" w:hAnsi="Arial"/>
          <w:sz w:val="20"/>
          <w:szCs w:val="20"/>
          <w:color w:val="auto"/>
        </w:rPr>
      </w:pPr>
      <w:r>
        <w:rPr>
          <w:rFonts w:ascii="Arial" w:cs="Arial" w:eastAsia="Arial" w:hAnsi="Arial"/>
          <w:sz w:val="20"/>
          <w:szCs w:val="20"/>
          <w:color w:val="auto"/>
        </w:rPr>
        <w:t>If the Borrower shall fail to select the duration of any Interest Period for any Eurocurrency Rate Advances in accordance with the provisions contained in the definition of “Interest Period” in Section 1.01, the Agent will forthwith so notify the Borrower and the Lenders and such Advances will (to the extent such Eurocurrency Rate Advances remain outstanding on such day) automatically, on the last day of the then existing Interest Period therefor, (i) if such Eurocurrency Rate Advances are denominated in Dollars, Convert into Base Rate Advances and (ii) if such Eurocurrency Rate Advances are denominated in a Committed Currency, be exchanged for an Equivalent amount of Dollars and Convert into Base Rate Advances.</w:t>
      </w:r>
    </w:p>
    <w:p>
      <w:pPr>
        <w:spacing w:after="0" w:line="196" w:lineRule="exact"/>
        <w:rPr>
          <w:rFonts w:ascii="Arial" w:cs="Arial" w:eastAsia="Arial" w:hAnsi="Arial"/>
          <w:sz w:val="20"/>
          <w:szCs w:val="20"/>
          <w:color w:val="auto"/>
        </w:rPr>
      </w:pPr>
    </w:p>
    <w:p>
      <w:pPr>
        <w:jc w:val="both"/>
        <w:ind w:right="20" w:firstLine="1305"/>
        <w:spacing w:after="0" w:line="250" w:lineRule="auto"/>
        <w:tabs>
          <w:tab w:leader="none" w:pos="175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On the date on which the aggregate unpaid principal amount of Eurocurrency Rate Advances comprising any Borrowing shall be reduced, by payment or prepayment or otherwise, to less than the Borrowing Minimum, such Advances shall automatically Convert into Base Rate Advances.</w:t>
      </w:r>
    </w:p>
    <w:p>
      <w:pPr>
        <w:spacing w:after="0" w:line="186" w:lineRule="exact"/>
        <w:rPr>
          <w:rFonts w:ascii="Arial" w:cs="Arial" w:eastAsia="Arial" w:hAnsi="Arial"/>
          <w:sz w:val="20"/>
          <w:szCs w:val="20"/>
          <w:color w:val="auto"/>
        </w:rPr>
      </w:pPr>
    </w:p>
    <w:p>
      <w:pPr>
        <w:jc w:val="both"/>
        <w:ind w:firstLine="1305"/>
        <w:spacing w:after="0" w:line="273" w:lineRule="auto"/>
        <w:tabs>
          <w:tab w:leader="none" w:pos="182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any Event of Default, (i) each Eurocurrency Rate Advance will automatically, on the last day of the then existing Interest Period therefor, (A) if such Eurocurrency Rate Advances are denominated in Dollars, be Converted into Base Rate Advances and (B) if such Eurocurrency Rate Advances are denominated in any Committed Currency, be exchanged for an Equivalent amount of Dollars and be Converted into Base Rate Advances and (ii) the obligation of the Lenders to make, or to Convert Advances into, Eurocurrency Rate Advances shall be suspended;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elect, by notice to the Agent and the Lenders within one Business Day of such Event of Default, to continue such Advances in such Committed Currency, whereupon the Agent may require that each Interest Period relating to such Eurocurrency Rate Advances shall bear interest at the Overnight Eurocurrency Rate for a period of three Business Days and thereafter, each such Interest Period shall have a duration of not</w:t>
      </w:r>
    </w:p>
    <w:p>
      <w:pPr>
        <w:spacing w:after="0" w:line="200" w:lineRule="exact"/>
        <w:rPr>
          <w:sz w:val="20"/>
          <w:szCs w:val="20"/>
          <w:color w:val="auto"/>
        </w:rPr>
      </w:pPr>
    </w:p>
    <w:p>
      <w:pPr>
        <w:spacing w:after="0" w:line="210" w:lineRule="exact"/>
        <w:rPr>
          <w:sz w:val="20"/>
          <w:szCs w:val="20"/>
          <w:color w:val="auto"/>
        </w:rPr>
      </w:pPr>
    </w:p>
    <w:p>
      <w:pPr>
        <w:ind w:right="8680" w:firstLine="8"/>
        <w:spacing w:after="0" w:line="273" w:lineRule="auto"/>
        <w:tabs>
          <w:tab w:leader="none" w:pos="8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color w:val="auto"/>
        </w:rPr>
        <w:t>24</w:t>
      </w:r>
    </w:p>
    <w:p>
      <w:pPr>
        <w:spacing w:after="0" w:line="200" w:lineRule="exact"/>
        <w:rPr>
          <w:sz w:val="20"/>
          <w:szCs w:val="20"/>
          <w:color w:val="auto"/>
        </w:rPr>
      </w:pPr>
    </w:p>
    <w:p>
      <w:pPr>
        <w:spacing w:after="0" w:line="2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longer than one month. “</w:t>
      </w:r>
      <w:r>
        <w:rPr>
          <w:rFonts w:ascii="Arial" w:cs="Arial" w:eastAsia="Arial" w:hAnsi="Arial"/>
          <w:sz w:val="20"/>
          <w:szCs w:val="20"/>
          <w:u w:val="single" w:color="auto"/>
          <w:color w:val="auto"/>
        </w:rPr>
        <w:t>Overnight Eurocurrency Rate</w:t>
      </w:r>
      <w:r>
        <w:rPr>
          <w:rFonts w:ascii="Arial" w:cs="Arial" w:eastAsia="Arial" w:hAnsi="Arial"/>
          <w:sz w:val="20"/>
          <w:szCs w:val="20"/>
          <w:color w:val="auto"/>
        </w:rPr>
        <w:t>” means the rate per annum applicable to an overnight period beginning on one Business Day and ending on the next Business Day equal to the sum of 1%, the Applicable Interest Rate Margin and the average, rounded upward to the nearest whole multiple of 1/16 of 1%, if such average is not such a multiple, of the respective rates per annum quoted by each Lender to the Agent on request as the rate at which it is offering overnight deposits in the relevant currency in amounts comparable to such Lender’s Eurocurrency Rate Advances.</w:t>
      </w:r>
    </w:p>
    <w:p>
      <w:pPr>
        <w:spacing w:after="0" w:line="19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6"/>
          <w:szCs w:val="16"/>
          <w:color w:val="auto"/>
        </w:rPr>
        <w:t>If the applicable Reuters Screen page (or any successor page) is unavailable,</w:t>
      </w:r>
    </w:p>
    <w:p>
      <w:pPr>
        <w:spacing w:after="0" w:line="216" w:lineRule="exact"/>
        <w:rPr>
          <w:sz w:val="20"/>
          <w:szCs w:val="20"/>
          <w:color w:val="auto"/>
        </w:rPr>
      </w:pPr>
    </w:p>
    <w:p>
      <w:pPr>
        <w:ind w:left="660" w:firstLine="645"/>
        <w:spacing w:after="0" w:line="260" w:lineRule="auto"/>
        <w:tabs>
          <w:tab w:leader="none" w:pos="1828"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Agent shall forthwith notify the Borrower and the Lenders that the interest rate cannot be determined for such Eurocurrency Rate Advances,</w:t>
      </w:r>
    </w:p>
    <w:p>
      <w:pPr>
        <w:spacing w:after="0" w:line="176" w:lineRule="exact"/>
        <w:rPr>
          <w:rFonts w:ascii="Arial" w:cs="Arial" w:eastAsia="Arial" w:hAnsi="Arial"/>
          <w:sz w:val="20"/>
          <w:szCs w:val="20"/>
          <w:color w:val="auto"/>
        </w:rPr>
      </w:pPr>
    </w:p>
    <w:p>
      <w:pPr>
        <w:jc w:val="both"/>
        <w:ind w:left="660" w:firstLine="645"/>
        <w:spacing w:after="0" w:line="275" w:lineRule="auto"/>
        <w:tabs>
          <w:tab w:leader="none" w:pos="178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with respect to Eurocurrency Rate Advances, each such Advance will automatically, on the last day of the then existing Interest Period therefor, (A) if such Eurocurrency Rate Advance is denominated in Dollars, Convert into a Base Rate Advance and</w:t>
      </w:r>
    </w:p>
    <w:p>
      <w:pPr>
        <w:jc w:val="both"/>
        <w:ind w:left="660" w:hanging="4"/>
        <w:spacing w:after="0" w:line="241" w:lineRule="auto"/>
        <w:tabs>
          <w:tab w:leader="none" w:pos="98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such Eurocurrency Rate Advance is denominated in any Committed Currency, be prepaid by the Borrower or be automatically exchanged for an Equivalent amount of Dollars and be Converted into a Base Rate Advance (or if such Advance is then a Base Rate Advance, will continue as a Base Rate Advance), and</w:t>
      </w:r>
    </w:p>
    <w:p>
      <w:pPr>
        <w:spacing w:after="0" w:line="196" w:lineRule="exact"/>
        <w:rPr>
          <w:rFonts w:ascii="Arial" w:cs="Arial" w:eastAsia="Arial" w:hAnsi="Arial"/>
          <w:sz w:val="20"/>
          <w:szCs w:val="20"/>
          <w:color w:val="auto"/>
        </w:rPr>
      </w:pPr>
    </w:p>
    <w:p>
      <w:pPr>
        <w:jc w:val="both"/>
        <w:ind w:left="660" w:firstLine="645"/>
        <w:spacing w:after="0" w:line="250" w:lineRule="auto"/>
        <w:tabs>
          <w:tab w:leader="none" w:pos="196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obligation of the Lenders to make Eurodollar Rate Advances or to Convert Revolving Credit Advances into Eurodollar Rate Advances shall be suspended until the Agent shall notify the Borrower and the Lenders that the circumstances causing such suspension no longer exist.</w:t>
      </w:r>
    </w:p>
    <w:p>
      <w:pPr>
        <w:spacing w:after="0" w:line="186" w:lineRule="exact"/>
        <w:rPr>
          <w:sz w:val="20"/>
          <w:szCs w:val="20"/>
          <w:color w:val="auto"/>
        </w:rPr>
      </w:pPr>
    </w:p>
    <w:p>
      <w:pPr>
        <w:jc w:val="both"/>
        <w:ind w:firstLine="1513"/>
        <w:spacing w:after="0" w:line="268"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Conversion of Revolving Credit Advances</w:t>
      </w:r>
      <w:r>
        <w:rPr>
          <w:rFonts w:ascii="Arial" w:cs="Arial" w:eastAsia="Arial" w:hAnsi="Arial"/>
          <w:sz w:val="18"/>
          <w:szCs w:val="18"/>
          <w:color w:val="auto"/>
        </w:rPr>
        <w:t xml:space="preserve">. The Borrower may on any Business Day, upon notice given to the Agent not later than 11:00 A.M. (New York City time) on the third Business Day prior to the date of the proposed Conversion and subject to the provisions of Sections 2.09 and 2.13, Convert all Revolving Credit Advances denominated in Dollars of one Type comprising the same Borrowing into Revolving Credit Advances denominated in Dollars of the other Type;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2.02(b) and no Conversion of any Revolving Credit Advances shall result in more separate Borrowings than permitted under Section 2.02(b). Each such notice of a Conversion shall, within the restrictions specified above, specify (i) the date of such Conversion,</w:t>
      </w:r>
    </w:p>
    <w:p>
      <w:pPr>
        <w:spacing w:after="0" w:line="4" w:lineRule="exact"/>
        <w:rPr>
          <w:sz w:val="20"/>
          <w:szCs w:val="20"/>
          <w:color w:val="auto"/>
        </w:rPr>
      </w:pPr>
    </w:p>
    <w:p>
      <w:pPr>
        <w:ind w:firstLine="8"/>
        <w:spacing w:after="0" w:line="298" w:lineRule="auto"/>
        <w:tabs>
          <w:tab w:leader="none" w:pos="2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Dollar denominated Revolving Credit Advances to be Converted, and (iii) if such Conversion is into Eurocurrency Rate Advances, the duration of the initial Interest Period for each such Advance. Each notice of Conversion shall be irrevocable and binding on the Borrower.</w:t>
      </w:r>
    </w:p>
    <w:p>
      <w:pPr>
        <w:spacing w:after="0" w:line="14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Prepayments of Revolving Credit Advances and Letter of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Borrower may, upon notice at least two Business Days’ prior to the date of such prepayment, in the case of Eurocurrency Rate Advances, and not later than 11:00 A.M. (New York City time) on the date of such prepayment, in the case of Base Rate Advances, to the Agent stating the proposed date and aggregate principal amount of the prepayment, and if such notice is given the Borrower shall, prepay the outstanding principal amount of the Revolving Credit Advances comprising part of the same Borrowing or Letter of Credit Advances in whole or ratably in part, together with accrued interest to the date of such prepayment on the principal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each partial prepayment shall be in an aggregate principal amount of not less than the Borrowing Minimum or a Borrowing Multiple in excess thereof or the Equivalent thereof in a Committed Currency (determined on the date notice of prepayment is given) and (y) in the event of any such prepayment of a Eurocurrency Rate Advance, the Borrower shall be obligated to reimburse the Lenders in respect thereof pursuant to Section 8.04(c).</w:t>
      </w:r>
    </w:p>
    <w:p>
      <w:pPr>
        <w:spacing w:after="0" w:line="200" w:lineRule="exact"/>
        <w:rPr>
          <w:sz w:val="20"/>
          <w:szCs w:val="20"/>
          <w:color w:val="auto"/>
        </w:rPr>
      </w:pPr>
    </w:p>
    <w:p>
      <w:pPr>
        <w:spacing w:after="0" w:line="212" w:lineRule="exact"/>
        <w:rPr>
          <w:sz w:val="20"/>
          <w:szCs w:val="20"/>
          <w:color w:val="auto"/>
        </w:rPr>
      </w:pPr>
    </w:p>
    <w:p>
      <w:pPr>
        <w:ind w:right="8680" w:firstLine="8"/>
        <w:spacing w:after="0" w:line="273" w:lineRule="auto"/>
        <w:tabs>
          <w:tab w:leader="none" w:pos="84"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color w:val="auto"/>
        </w:rPr>
        <w:t>25</w:t>
      </w:r>
    </w:p>
    <w:p>
      <w:pPr>
        <w:spacing w:after="0" w:line="200" w:lineRule="exact"/>
        <w:rPr>
          <w:sz w:val="20"/>
          <w:szCs w:val="20"/>
          <w:color w:val="auto"/>
        </w:rPr>
      </w:pPr>
    </w:p>
    <w:p>
      <w:pPr>
        <w:spacing w:after="0" w:line="294" w:lineRule="exact"/>
        <w:rPr>
          <w:sz w:val="20"/>
          <w:szCs w:val="20"/>
          <w:color w:val="auto"/>
        </w:rPr>
      </w:pPr>
    </w:p>
    <w:p>
      <w:pPr>
        <w:jc w:val="both"/>
        <w:ind w:firstLine="1305"/>
        <w:spacing w:after="0" w:line="270" w:lineRule="auto"/>
        <w:tabs>
          <w:tab w:leader="none" w:pos="179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(i) If, on any date, the Agent notifies the Borrower that, on any interest payment date, the sum of (A) the aggregate principal amount of all Advances denominated in Dollars then outstanding plus (B) the Equivalent in Dollars (determined on the third Business Day prior to such interest payment date) of the aggregate principal amount of all Advances denominated in Committed Currencies then outstanding exceeds 105% of the aggregate Commitments of the Lenders on such date, the Borrower shall, as soon as practicable and in any event within two Business Days after receipt of such notice, subject to the proviso to this sentence set forth below, prepay the outstanding principal amount of any Advances owing by the Borrower in an aggregate amount sufficient to reduce such sum to an amount not to exceed 100% of the aggregate Commitments of the Lenders on such date together with any interest accrued to the date of such prepayment on the aggregate principal amount of Advances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principal amount of Base Rate Advances outstanding at the time of such required prepayment is less than the amount of such required prepayment, the portion of such required prepayment in excess of the aggregate principal amount of Base Rate Advances then outstanding shall be deferred until the earliest to occur of the last day of the Interest Period of the outstanding Eurocurrency Rate Advances in an aggregate amount equal to the excess of such required prepayment. The Agent shall give prompt notice of any prepayment required under this Section 2.11(b) to the Borrower and the Lenders, and shall provide prompt notice to the Borrower of any such notice of required prepayment received by it from any Lender.</w:t>
      </w:r>
    </w:p>
    <w:p>
      <w:pPr>
        <w:spacing w:after="0" w:line="174" w:lineRule="exact"/>
        <w:rPr>
          <w:sz w:val="20"/>
          <w:szCs w:val="20"/>
          <w:color w:val="auto"/>
        </w:rPr>
      </w:pPr>
    </w:p>
    <w:p>
      <w:pPr>
        <w:jc w:val="both"/>
        <w:ind w:firstLine="1305"/>
        <w:spacing w:after="0" w:line="244" w:lineRule="auto"/>
        <w:tabs>
          <w:tab w:leader="none" w:pos="179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Each prepayment made pursuant to this Section 2.11(b) shall be made together with any interest accrued to the date of such prepayment on the principal amounts prepaid and, in the case of any prepayment of a Eurocurrency Rate Advance on a date other than the last day of an Interest Period or at its maturity, any additional amounts which the Borrower shall be obligated to reimburse to the Lenders in respect thereof pursuant to Section 8.04(c). The Agent shall give prompt notice of any prepayment required under this Section 2.11(b) to the Borrower and the Lenders.</w:t>
      </w:r>
    </w:p>
    <w:p>
      <w:pPr>
        <w:spacing w:after="0" w:line="19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(a) If, due to either (i) the introduction of or any change in or in the interpretation, administration or application of any law or regulation or (ii) the compliance with any guideline or request from any central bank or other governmental authority including, without limitation, any agency of the European Union or similar monetary or multinational authority (whether or not having the force of law), there shall be any increase in the cost to any Lender Party of agreeing to make or making, funding or maintaining Eurocurrency Rate Advances or of agreeing to issue or of issuing or maintaining or participating in Letters of Credit or of agreeing to make or of making or maintaining Letters of Credit Advances (excluding for purposes of this Section 2.12 any such increased costs resulting from (i) Taxes or Other Taxes (as to which Section 2.15 shall govern), (ii) changes in the basis of taxation of overall net income or overall gross income by the United States or by the foreign jurisdiction or state under the laws of which such Lender Party is organized or has its Applicable Lending Office or any political subdivision thereof and (iii) FATCA), then the Borrower shall from time to time, upon demand by such Lender Party (with a copy of such demand to the Agent), pay to the Agent for the account of such Lender Party additional amounts sufficient to compensate such Lender Party for such increased cost;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before making any such demand, each Lender agrees to use reasonable efforts (consistent with its internal policy and legal and regulatory restrictions) to designate a different Applicable Lending Office if the making of such a designation would avoid the need for, or reduce the amount of, such increased cost and would not, in the reasonable judgment of such Lender Party, be otherwise disadvantageous to such Lender Party. A certificate as to the amount of such increased cost, submitted to the Borrower and the Agent by such Lender Party, shall be conclusive and binding for all purposes, absent manifest error.</w:t>
      </w:r>
    </w:p>
    <w:p>
      <w:pPr>
        <w:spacing w:after="0" w:line="180" w:lineRule="exact"/>
        <w:rPr>
          <w:sz w:val="20"/>
          <w:szCs w:val="20"/>
          <w:color w:val="auto"/>
        </w:rPr>
      </w:pPr>
    </w:p>
    <w:p>
      <w:pPr>
        <w:jc w:val="both"/>
        <w:ind w:firstLine="1305"/>
        <w:spacing w:after="0" w:line="250" w:lineRule="auto"/>
        <w:tabs>
          <w:tab w:leader="none" w:pos="176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If any Lender Party determines that compliance with any law or regulation or any guideline or request from any central bank or other governmental authority (whether or not having the force of law) affects or would affect the amount of capital or liquidity required or expected to be maintained by</w:t>
      </w: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100" w:hanging="92"/>
        <w:spacing w:after="0"/>
        <w:tabs>
          <w:tab w:leader="none" w:pos="1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color w:val="auto"/>
        </w:rPr>
        <w:t>26</w:t>
      </w:r>
    </w:p>
    <w:p>
      <w:pPr>
        <w:spacing w:after="0" w:line="200" w:lineRule="exact"/>
        <w:rPr>
          <w:sz w:val="20"/>
          <w:szCs w:val="20"/>
          <w:color w:val="auto"/>
        </w:rPr>
      </w:pPr>
    </w:p>
    <w:p>
      <w:pPr>
        <w:spacing w:after="0" w:line="29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such Lender Party or any corporation controlling such Lender Party and that the amount of such capital or liquidity is increased by or based upon the existence of such Lender Party’s commitment to lend hereunder and other commitments of this type, then, upon demand by such Lender Party (with a copy of such demand to the Agent), the Borrower shall pay to the Agent for the account of such Lender Party, from time to time as specified by such Lender Party, additional amounts sufficient to compensate such Lender Party or such corporation in the light of such circumstances, to the extent that such Lender Party reasonably determines such increase in capital or liquidity to be allocable to the existence of such Lender Party’s commitment to lend hereunder. A certificate as to such amounts submitted to the Borrower and the Agent by such Lender Party shall be conclusive and binding for all purposes, absent manifest error.</w:t>
      </w:r>
    </w:p>
    <w:p>
      <w:pPr>
        <w:spacing w:after="0" w:line="179" w:lineRule="exact"/>
        <w:rPr>
          <w:sz w:val="20"/>
          <w:szCs w:val="20"/>
          <w:color w:val="auto"/>
        </w:rPr>
      </w:pPr>
    </w:p>
    <w:p>
      <w:pPr>
        <w:jc w:val="both"/>
        <w:ind w:firstLine="1305"/>
        <w:spacing w:after="0" w:line="243" w:lineRule="auto"/>
        <w:tabs>
          <w:tab w:leader="none" w:pos="173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For the avoidance of doubt and notwithstanding anything herein to the contrary, for the purposes of this Section 2.12,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case for this clause (y) pursuant to Basel III, shall in each case be deemed to be a change in law regardless of the date enacted, adopted, issued, promulgated or implemented.</w:t>
      </w:r>
    </w:p>
    <w:p>
      <w:pPr>
        <w:spacing w:after="0" w:line="19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Notwithstanding any other provision of this Agreement, if any Lender Party shall notify the Agent that the introduction of or any change in or in the interpretation of any law or regulation makes it unlawful, or any central bank or other governmental authority asserts that it is unlawful, for any Lender Party or its Eurocurrency Lending Office to perform its obligations hereunder to make Eurocurrency Rate Advances in Dollars or any Committed Currency or to fund or maintain Eurocurrency Rate Advances in Dollars or any Committed Currency hereunder, (a) each Eurocurrency Rate Advance will automatically, upon such demand, Convert into a Base Rate Advance or an Advance that bears interest at the rate set forth in Section 2.08(a)(i), as the case may be, (i) if such Eurocurrency Rate Advance is denominated in Dollars, be Converted into a Base Rate Advance or an Advance that bears interest at the rate set forth in Section 2.08(a)(i), as the case may be, and (ii) if such Eurocurrency Rate Advance is denominated in any Committed Currency, be exchanged into an Equivalent amount of Dollars and be Converted into a Base Rate Advance or an Advance that bears interest at the rate set forth in Section 2.08(a)(i), as the case may be, and (b) the obligation of the Lender Parties to make Eurocurrency Rate Advances or to Convert Revolving Credit Advances into Eurocurrency Rate Advances shall be suspended until the Agent shall notify the Borrower and the Lender Parties that the circumstances causing such suspension no longer exist;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before making any such demand, each Lender agrees to use reasonable efforts (consistent with its internal policy and legal 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be otherwise disadvantageous to such Lender.</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 xml:space="preserve">SECTION 2.14. </w:t>
      </w:r>
      <w:r>
        <w:rPr>
          <w:rFonts w:ascii="Arial" w:cs="Arial" w:eastAsia="Arial" w:hAnsi="Arial"/>
          <w:sz w:val="20"/>
          <w:szCs w:val="20"/>
          <w:u w:val="single" w:color="auto"/>
          <w:color w:val="auto"/>
        </w:rPr>
        <w:t>Payments and Computations</w:t>
      </w:r>
      <w:r>
        <w:rPr>
          <w:rFonts w:ascii="Arial" w:cs="Arial" w:eastAsia="Arial" w:hAnsi="Arial"/>
          <w:sz w:val="20"/>
          <w:szCs w:val="20"/>
          <w:color w:val="auto"/>
        </w:rPr>
        <w:t>. (a) The Borrower shall make each payment hereunder, irrespective of any right of counterclaim or set-off except with respect to principal of, interest on, and other amounts relating to, Advances or Letters of Credit denominated in a Committed Currency, not later than 11:00 A.M. (New York City time) on the day when due in Dollars to the Agent at the applicable Agent’s Account in same day funds. The Borrower shall make each payment, irrespective of any right of counterclaim or set-off hereunder with respect to principal of, interest on, and other amounts (other than fees) relating to, Advances or Letters of Credit denominated in a Committed Currency, not later than 11:00 A.M. (at the Payment Office for such Committed Currency) on the day when due in such Committed Currency to the Agent, by</w:t>
      </w:r>
    </w:p>
    <w:p>
      <w:pPr>
        <w:spacing w:after="0" w:line="200" w:lineRule="exact"/>
        <w:rPr>
          <w:sz w:val="20"/>
          <w:szCs w:val="20"/>
          <w:color w:val="auto"/>
        </w:rPr>
      </w:pPr>
    </w:p>
    <w:p>
      <w:pPr>
        <w:spacing w:after="0" w:line="234" w:lineRule="exact"/>
        <w:rPr>
          <w:sz w:val="20"/>
          <w:szCs w:val="20"/>
          <w:color w:val="auto"/>
        </w:rPr>
      </w:pPr>
    </w:p>
    <w:p>
      <w:pPr>
        <w:ind w:right="8680" w:firstLine="8"/>
        <w:spacing w:after="0" w:line="273" w:lineRule="auto"/>
        <w:tabs>
          <w:tab w:leader="none" w:pos="84"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color w:val="auto"/>
        </w:rPr>
        <w:t>27</w:t>
      </w: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deposit of such funds to the applicable Agent’s Account in same day funds. The Agent will promptly thereafter cause to be distributed like funds relating to the payment of principal or interest or facility fees ratably (other than amounts payable pursuant to Section 2.12, 2.15, 2.20 or 8.04(c)) to the Lender Parties for the account of their respective Applicable Lending Offices, and like funds relating to the payment of any other amount payable to any Lender Party to such Lender Party for the account of its Applicable Lending Office, in each case to be applied in accordance with the terms of this Agreement. Upon any Assuming Lender becoming a Lender Party hereunder as a result of a Commitment Increase pursuant to Section 2.19 or an extension of the Termination Date pursuant to Section 2.20, and upon the Agent’s receipt of such Lender’s Assumption Agreement and recording of the information contained therein in the Register, from and after the applicable Increase Date or Anniversary Date, as the case may be,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8.07(c), from and after the effective date specified in such Assignment and Assumption, the Agent shall make all payments hereunder and under the Notes in respect of the interest assigned thereby to the Lender Party assignee thereunder, and the parties to such Assignment and Assumption shall make all appropriate adjustments in such payments for periods prior to such effective date directly between themselves.</w:t>
      </w:r>
    </w:p>
    <w:p>
      <w:pPr>
        <w:spacing w:after="0" w:line="174" w:lineRule="exact"/>
        <w:rPr>
          <w:sz w:val="20"/>
          <w:szCs w:val="20"/>
          <w:color w:val="auto"/>
        </w:rPr>
      </w:pPr>
    </w:p>
    <w:p>
      <w:pPr>
        <w:jc w:val="both"/>
        <w:ind w:firstLine="1305"/>
        <w:spacing w:after="0" w:line="259" w:lineRule="auto"/>
        <w:tabs>
          <w:tab w:leader="none" w:pos="175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All computations of interest based on Citibank’s base rate and of interest on Advances denominated in Sterling shall be made by the Agent on the basis of a year of 365 or 366 days, as the case may be, and all computations of interest based on the Eurocurrency Rate, the Federal Funds Rate or One Month LIBOR and of fees or Letter of Credit commissions shall be made by the Agent on the basis of a year of 360 days, in each case for the actual number of days (including the first day but excluding the last day) occurring in the period for which such interest fees or commissions are payable. Each determination by the Agent of an interest rate hereunder shall be conclusive and binding for all purposes, absent manifest error.</w:t>
      </w:r>
    </w:p>
    <w:p>
      <w:pPr>
        <w:spacing w:after="0" w:line="178" w:lineRule="exact"/>
        <w:rPr>
          <w:rFonts w:ascii="Arial" w:cs="Arial" w:eastAsia="Arial" w:hAnsi="Arial"/>
          <w:sz w:val="19"/>
          <w:szCs w:val="19"/>
          <w:color w:val="auto"/>
        </w:rPr>
      </w:pPr>
    </w:p>
    <w:p>
      <w:pPr>
        <w:jc w:val="both"/>
        <w:ind w:firstLine="1305"/>
        <w:spacing w:after="0" w:line="244" w:lineRule="auto"/>
        <w:tabs>
          <w:tab w:leader="none" w:pos="174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extension would cause payment of interest on or principal of Eurocurrency Rate Advances to be made in the next following calendar month, such payment shall be made on the next preceding Business Day.</w:t>
      </w:r>
    </w:p>
    <w:p>
      <w:pPr>
        <w:spacing w:after="0" w:line="194" w:lineRule="exact"/>
        <w:rPr>
          <w:rFonts w:ascii="Arial" w:cs="Arial" w:eastAsia="Arial" w:hAnsi="Arial"/>
          <w:sz w:val="20"/>
          <w:szCs w:val="20"/>
          <w:color w:val="auto"/>
        </w:rPr>
      </w:pPr>
    </w:p>
    <w:p>
      <w:pPr>
        <w:jc w:val="both"/>
        <w:ind w:firstLine="1305"/>
        <w:spacing w:after="0" w:line="273" w:lineRule="auto"/>
        <w:tabs>
          <w:tab w:leader="none" w:pos="18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any Lender Party hereunder that the Borrower will not make such payment in full, the Agent may assume that the Borrower has made such payment in full to the Agent on such date and the Agent may, in reliance upon such assumption, cause to be distributed to each Lender Party on such due date an amount equal to the amount then due such Lender Party. If and to the extent the Borrower shall not have so made such payment in full to the Agent, each Lender Party shall repay to the Agent forthwith on demand such amount distributed to such Lender Party together with interest thereon, for each day from the date such amount is distributed to such Lender Party until the date such Lender Party repays such amount to the Agent, at (i) the Federal Funds Rate in the case of Advances denominated in Dollars or (ii) the cost of funds incurred by the Agent in respect of such amount in the case of Advances denominated in Committed Currencies.</w:t>
      </w:r>
    </w:p>
    <w:p>
      <w:pPr>
        <w:spacing w:after="0" w:line="169" w:lineRule="exact"/>
        <w:rPr>
          <w:rFonts w:ascii="Arial" w:cs="Arial" w:eastAsia="Arial" w:hAnsi="Arial"/>
          <w:sz w:val="18"/>
          <w:szCs w:val="18"/>
          <w:color w:val="auto"/>
        </w:rPr>
      </w:pPr>
    </w:p>
    <w:p>
      <w:pPr>
        <w:jc w:val="both"/>
        <w:ind w:firstLine="1305"/>
        <w:spacing w:after="0" w:line="291" w:lineRule="auto"/>
        <w:tabs>
          <w:tab w:leader="none" w:pos="17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the extent that the Agent receives funds for application to the amounts owing by the Borrower under or in respect of this Agreement or any Note in currencies other than the currency or currencies required to enable the Agent to distribute funds to the Lender Parties in accordance with the terms of this Section 2.14, the Agent shall be entitled to convert or exchange such funds into Dollars or into a</w:t>
      </w:r>
    </w:p>
    <w:p>
      <w:pPr>
        <w:spacing w:after="0" w:line="393" w:lineRule="exact"/>
        <w:rPr>
          <w:sz w:val="20"/>
          <w:szCs w:val="20"/>
          <w:color w:val="auto"/>
        </w:rPr>
      </w:pPr>
    </w:p>
    <w:p>
      <w:pPr>
        <w:ind w:right="8680" w:firstLine="8"/>
        <w:spacing w:after="0" w:line="273" w:lineRule="auto"/>
        <w:tabs>
          <w:tab w:leader="none" w:pos="8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color w:val="auto"/>
        </w:rPr>
        <w:t>28</w:t>
      </w:r>
    </w:p>
    <w:p>
      <w:pPr>
        <w:spacing w:after="0" w:line="200" w:lineRule="exact"/>
        <w:rPr>
          <w:sz w:val="20"/>
          <w:szCs w:val="20"/>
          <w:color w:val="auto"/>
        </w:rPr>
      </w:pPr>
    </w:p>
    <w:p>
      <w:pPr>
        <w:spacing w:after="0" w:line="29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Committed Currency or from Dollars to a Committed Currency or from a Committed Currency to Dollars, as the case may be, to the extent necessary to enable the Agent to distribute such funds in accordance with the terms of this Section 2.14;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and each of the Lender Parties hereby agree that the Agent shall not be liable or responsible for any loss, cost or expense suffered by the Borrower or such Lender Party as a result of any conversion or exchange of currencies affected pursuant to this Section 2.14(f) or as a result of the failure of the Agent to effect any such conversion or exchange, other than any loss, cost or expense applicable to the Agent’s gross negligence or willful misconduct;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agrees to indemnify the Agent and each Lender Party, and hold the Agent and each Lender Party harmless, for any and all losses, costs and expenses incurred by the Agent or any Lender Party for any conversion or exchange of currencies (or the failure to convert or exchange any currencies) in accordance with this Section 2.14(f), other than any loss, cost or expense applicable to the Agent’s gross negligence or willful misconduct.</w:t>
      </w:r>
    </w:p>
    <w:p>
      <w:pPr>
        <w:spacing w:after="0" w:line="171" w:lineRule="exact"/>
        <w:rPr>
          <w:sz w:val="20"/>
          <w:szCs w:val="20"/>
          <w:color w:val="auto"/>
        </w:rPr>
      </w:pPr>
    </w:p>
    <w:p>
      <w:pPr>
        <w:jc w:val="both"/>
        <w:ind w:firstLine="1297"/>
        <w:spacing w:after="0" w:line="231" w:lineRule="exact"/>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Any and all payments by the Borrower to or for the account of any Lender or the Agent hereunder or under the Notes or any other documents to be delivered hereunder shall be made, in accordance with Section 2.14 or the applicable provisions of such other documents, free and clear of and without deduction for any and all present or future taxes, levies, imposts, deductions, charges or withholdings, and all liabilities with respect thereto,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(i) in the case of each Lender Party and the Agent, taxes imposed on its overall net income, and franchise taxes imposed on it in lieu of net income taxes, by the jurisdiction under the laws of which such Lender Party or the Agent (as the case may be) is organized or any political subdivision thereof and, in the case of each Lender Party, taxes imposed on its overall net income, and franchise taxes imposed on it in lieu of net income taxes, by the jurisdiction of such Lender Party’s Applicable Lending Office or any political subdivision thereof and (ii) any United States withholding tax imposed under FATCA (all such non</w:t>
      </w:r>
      <w:r>
        <w:rPr>
          <w:rFonts w:ascii="MS PGothic" w:cs="MS PGothic" w:eastAsia="MS PGothic" w:hAnsi="MS PGothic"/>
          <w:sz w:val="18"/>
          <w:szCs w:val="18"/>
          <w:color w:val="auto"/>
        </w:rPr>
        <w:t>‑</w:t>
      </w:r>
      <w:r>
        <w:rPr>
          <w:rFonts w:ascii="Arial" w:cs="Arial" w:eastAsia="Arial" w:hAnsi="Arial"/>
          <w:sz w:val="18"/>
          <w:szCs w:val="18"/>
          <w:color w:val="auto"/>
        </w:rPr>
        <w:t>excluded taxes, levies, imposts, deductions, charges, withholdings and liabilities in respect of payments hereunder or under the Notes being hereinafter referred to as “</w:t>
      </w:r>
      <w:r>
        <w:rPr>
          <w:rFonts w:ascii="Arial" w:cs="Arial" w:eastAsia="Arial" w:hAnsi="Arial"/>
          <w:sz w:val="18"/>
          <w:szCs w:val="18"/>
          <w:u w:val="single" w:color="auto"/>
          <w:color w:val="auto"/>
        </w:rPr>
        <w:t>Taxes</w:t>
      </w:r>
      <w:r>
        <w:rPr>
          <w:rFonts w:ascii="Arial" w:cs="Arial" w:eastAsia="Arial" w:hAnsi="Arial"/>
          <w:sz w:val="18"/>
          <w:szCs w:val="18"/>
          <w:color w:val="auto"/>
        </w:rPr>
        <w:t>”). If the Borrower shall be required by law to deduct any Taxes from or in respect of any sum payable hereunder or under any Note or any other documents to be delivered hereunder to any Lender Party or the Agent, (i) the sum payable shall be increased as may be necessary so that after making all required deductions (including deductions applicable to additional sums payable under this Section 2.15) such Lender Party or the Agent (as the case may be) receives an amount equal to the sum it would have received had no such deductions been made,</w:t>
      </w:r>
    </w:p>
    <w:p>
      <w:pPr>
        <w:spacing w:after="0" w:line="7" w:lineRule="exact"/>
        <w:rPr>
          <w:sz w:val="20"/>
          <w:szCs w:val="20"/>
          <w:color w:val="auto"/>
        </w:rPr>
      </w:pPr>
    </w:p>
    <w:p>
      <w:pPr>
        <w:ind w:firstLine="8"/>
        <w:spacing w:after="0" w:line="244" w:lineRule="auto"/>
        <w:tabs>
          <w:tab w:leader="none" w:pos="31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Borrower shall make such deductions and (iii) the Borrower shall pay the full amount deducted to the relevant taxation authority or other authority in accordance with applicable law.</w:t>
      </w:r>
    </w:p>
    <w:p>
      <w:pPr>
        <w:spacing w:after="0" w:line="191" w:lineRule="exact"/>
        <w:rPr>
          <w:rFonts w:ascii="Arial" w:cs="Arial" w:eastAsia="Arial" w:hAnsi="Arial"/>
          <w:sz w:val="20"/>
          <w:szCs w:val="20"/>
          <w:color w:val="auto"/>
        </w:rPr>
      </w:pPr>
    </w:p>
    <w:p>
      <w:pPr>
        <w:jc w:val="both"/>
        <w:ind w:firstLine="1305"/>
        <w:spacing w:after="0" w:line="263" w:lineRule="auto"/>
        <w:tabs>
          <w:tab w:leader="none" w:pos="180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(hereinafter referred to as “</w:t>
      </w:r>
      <w:r>
        <w:rPr>
          <w:rFonts w:ascii="Arial" w:cs="Arial" w:eastAsia="Arial" w:hAnsi="Arial"/>
          <w:sz w:val="19"/>
          <w:szCs w:val="19"/>
          <w:u w:val="single" w:color="auto"/>
          <w:color w:val="auto"/>
        </w:rPr>
        <w:t>Other Taxes</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1305"/>
        <w:spacing w:after="0" w:line="246" w:lineRule="auto"/>
        <w:tabs>
          <w:tab w:leader="none" w:pos="177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Borrower shall indemnify each Lender and the Agent for and hold it harmless against the full amount of Taxes or Other Taxes (including, without limitation, taxes of any kind imposed or asserted by any jurisdiction on amounts payable under this Section 2.15) imposed on or paid by such Lender Party or the Agent (as the case may be) and any liability (including penalties, interest and expenses) arising</w:t>
      </w:r>
    </w:p>
    <w:p>
      <w:pPr>
        <w:spacing w:after="0" w:line="200" w:lineRule="exact"/>
        <w:rPr>
          <w:sz w:val="20"/>
          <w:szCs w:val="20"/>
          <w:color w:val="auto"/>
        </w:rPr>
      </w:pPr>
    </w:p>
    <w:p>
      <w:pPr>
        <w:spacing w:after="0" w:line="233" w:lineRule="exact"/>
        <w:rPr>
          <w:sz w:val="20"/>
          <w:szCs w:val="20"/>
          <w:color w:val="auto"/>
        </w:rPr>
      </w:pPr>
    </w:p>
    <w:p>
      <w:pPr>
        <w:ind w:right="8680" w:firstLine="8"/>
        <w:spacing w:after="0" w:line="273" w:lineRule="auto"/>
        <w:tabs>
          <w:tab w:leader="none" w:pos="84" w:val="left"/>
        </w:tabs>
        <w:numPr>
          <w:ilvl w:val="0"/>
          <w:numId w:val="117"/>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color w:val="auto"/>
        </w:rPr>
        <w:t>29</w:t>
      </w:r>
    </w:p>
    <w:p>
      <w:pPr>
        <w:spacing w:after="0" w:line="200" w:lineRule="exact"/>
        <w:rPr>
          <w:sz w:val="20"/>
          <w:szCs w:val="20"/>
          <w:color w:val="auto"/>
        </w:rPr>
      </w:pPr>
    </w:p>
    <w:p>
      <w:pPr>
        <w:spacing w:after="0" w:line="29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therefrom or with respect thereto. This indemnification shall be made within 30 days from the date such Lender Party or the Agent (as the case may be) makes written demand therefor.</w:t>
      </w:r>
    </w:p>
    <w:p>
      <w:pPr>
        <w:spacing w:after="0" w:line="177" w:lineRule="exact"/>
        <w:rPr>
          <w:sz w:val="20"/>
          <w:szCs w:val="20"/>
          <w:color w:val="auto"/>
        </w:rPr>
      </w:pPr>
    </w:p>
    <w:p>
      <w:pPr>
        <w:jc w:val="both"/>
        <w:ind w:firstLine="1305"/>
        <w:spacing w:after="0" w:line="273" w:lineRule="auto"/>
        <w:tabs>
          <w:tab w:leader="none" w:pos="17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 In the case of any payment hereunder or under the Notes or any other documents to be delivered hereunder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United States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meanings specified in Section 7701 of the Internal Revenue Code.</w:t>
      </w:r>
    </w:p>
    <w:p>
      <w:pPr>
        <w:spacing w:after="0" w:line="169" w:lineRule="exact"/>
        <w:rPr>
          <w:rFonts w:ascii="Arial" w:cs="Arial" w:eastAsia="Arial" w:hAnsi="Arial"/>
          <w:sz w:val="18"/>
          <w:szCs w:val="18"/>
          <w:color w:val="auto"/>
        </w:rPr>
      </w:pPr>
    </w:p>
    <w:p>
      <w:pPr>
        <w:jc w:val="both"/>
        <w:ind w:firstLine="1305"/>
        <w:spacing w:after="0" w:line="269" w:lineRule="auto"/>
        <w:tabs>
          <w:tab w:leader="none" w:pos="176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 Each Lender Party organized under the laws of a jurisdiction outside the United States, on or prior to the date of its execution and delivery of this Agreement in the case of each Initial Lender Party and on the date of the Assumption Agreement or the Assignment and Assumption pursuant to which it becomes a Lender Party in the case of each other Lender Party, and from time to time thereafter as reasonably requested in writing by the Borrower (but only so long as such Lender Party remains lawfully able to do so), shall provide each of the Agent and the Borrower with two original Internal Revenue Service forms W-8BEN-E or W-8ECI, as appropriate, or any successor or other form prescribed by the Internal Revenue Service, certifying that such Lender Party is exempt from or entitled to a reduced rate of United States withholding tax on payments pursuant to this Agreement or the Notes. If the form provided by a Lender Party at the time such Lender Party first becomes a party to this Agreement indicates a United States interest withholding tax rate in excess of zero, withholding tax at such rate shall be considered excluded from Taxes unless and until such Lender Party provides the appropriate forms certifying that a lesser rate applies, whereupon withholding tax at such lesser rate only shall be considered excluded from Taxes for periods governed by such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date of the Assignment and Assumption pursuant to which a Lender Party assignee becomes a party to this Agreement, the Lender Party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Party assignee on such date. If any form or document referred to in this subsection (e) requires the disclosure of information, other than information necessary to compute the tax payable and information required by the Internal Revenue Service, that the Lender Party reasonably considers to be confidential, the Lender shall give notice thereof to the Borrower and shall not be obligated to include in such form or document such confidential information.</w:t>
      </w:r>
    </w:p>
    <w:p>
      <w:pPr>
        <w:spacing w:after="0" w:line="173" w:lineRule="exact"/>
        <w:rPr>
          <w:sz w:val="20"/>
          <w:szCs w:val="20"/>
          <w:color w:val="auto"/>
        </w:rPr>
      </w:pPr>
    </w:p>
    <w:p>
      <w:pPr>
        <w:jc w:val="both"/>
        <w:ind w:firstLine="1305"/>
        <w:spacing w:after="0" w:line="274" w:lineRule="auto"/>
        <w:tabs>
          <w:tab w:leader="none" w:pos="179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a payment made to a Lender Party would be subject to United States federal withholding tax imposed by FATCA if such Lender Party were to fail to comply with the applicable reporting requirements of FATCA (including those contained in Section 1471(b) or 1472(b) of the Internal Revenue Code, as applicable), such Lender Party shall deliver to the Borrower and the Agent, at the time or times prescribed by law and at such time or times reasonably requested in writing by the Borrower, such documentation prescribed by applicable law (including as prescribed by Section 1471(b)(3)(C)(i) of the Internal Revenue Code) and such additional documentation reasonably requested in writing by the Borrower of the Agent as may be necessary for the Borrower or the Agent to comply with their obligations under FATCA, to determine that such Lender Party has complied with such Lender Party’s obligations under FATCA or to</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0" w:hanging="92"/>
        <w:spacing w:after="0"/>
        <w:tabs>
          <w:tab w:leader="none" w:pos="1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color w:val="auto"/>
        </w:rPr>
        <w:t>30</w:t>
      </w:r>
    </w:p>
    <w:p>
      <w:pPr>
        <w:spacing w:after="0" w:line="200" w:lineRule="exact"/>
        <w:rPr>
          <w:sz w:val="20"/>
          <w:szCs w:val="20"/>
          <w:color w:val="auto"/>
        </w:rPr>
      </w:pPr>
    </w:p>
    <w:p>
      <w:pPr>
        <w:spacing w:after="0" w:line="29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determine the amount to deduct and withhold from such payment. For purposes of this Section 2.14(e)(ii) FATCA shall include amendments made to FATCA after the date of this Agreement.</w:t>
      </w:r>
    </w:p>
    <w:p>
      <w:pPr>
        <w:spacing w:after="0" w:line="177" w:lineRule="exact"/>
        <w:rPr>
          <w:sz w:val="20"/>
          <w:szCs w:val="20"/>
          <w:color w:val="auto"/>
        </w:rPr>
      </w:pPr>
    </w:p>
    <w:p>
      <w:pPr>
        <w:jc w:val="both"/>
        <w:ind w:firstLine="1305"/>
        <w:spacing w:after="0" w:line="274" w:lineRule="auto"/>
        <w:tabs>
          <w:tab w:leader="none" w:pos="18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period with respect to which a Lender Party has failed to provide the Borrower with the appropriate form, certificate or other document described in Section 2.15(e)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if such failure is due to a change in law, or in the interpretation or application thereof, occurring subsequent to the date on which a form, certificate or other document originally was required to be provided, or if such form, certificate or other document otherwise is not required under subsection (e) above), such Lender Party shall not be entitled to indemnification under Section 2.15(a) or (c) with respect to Taxes imposed by the United States by reason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should a Lender Party become subject to Taxes because of its failure to deliver a form, certificate or other document required hereunder, the Borrower shall take such steps as the Lender Party shall reasonably request to assist the Lender Party to recover such Taxes.</w:t>
      </w:r>
    </w:p>
    <w:p>
      <w:pPr>
        <w:spacing w:after="0" w:line="169" w:lineRule="exact"/>
        <w:rPr>
          <w:rFonts w:ascii="Arial" w:cs="Arial" w:eastAsia="Arial" w:hAnsi="Arial"/>
          <w:sz w:val="18"/>
          <w:szCs w:val="18"/>
          <w:color w:val="auto"/>
        </w:rPr>
      </w:pPr>
    </w:p>
    <w:p>
      <w:pPr>
        <w:jc w:val="both"/>
        <w:ind w:firstLine="1305"/>
        <w:spacing w:after="0" w:line="263" w:lineRule="auto"/>
        <w:tabs>
          <w:tab w:leader="none" w:pos="17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Lender Party claiming any additional amounts payable pursuant to this Section 2.15 agrees to use reasonable efforts (consistent with its internal policy and legal and regulatory restrictions) to change the jurisdiction of its Eurodollar Lending Office if the making of such a change would avoid the need for, or reduce the amount of, any such additional amounts that may thereafter accrue and would not, in the reasonable judgment of such Lender Party, be otherwise disadvantageous to such Lender Party.</w:t>
      </w:r>
    </w:p>
    <w:p>
      <w:pPr>
        <w:spacing w:after="0" w:line="176" w:lineRule="exact"/>
        <w:rPr>
          <w:rFonts w:ascii="Arial" w:cs="Arial" w:eastAsia="Arial" w:hAnsi="Arial"/>
          <w:sz w:val="19"/>
          <w:szCs w:val="19"/>
          <w:color w:val="auto"/>
        </w:rPr>
      </w:pPr>
    </w:p>
    <w:p>
      <w:pPr>
        <w:jc w:val="both"/>
        <w:ind w:firstLine="1305"/>
        <w:spacing w:after="0" w:line="274" w:lineRule="auto"/>
        <w:tabs>
          <w:tab w:leader="none" w:pos="182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any Lender Party determines, in its sole discretion, that it has actually and finally realized, by reason of a refund, deduction or credit of any Taxes paid or reimbursed by the Borrower pursuant to subsection (a) or (c) above in respect of payments under this Agreement or the Notes, a current monetary benefit that it would otherwise not have obtained, and that would result in the total payments under this Section 2.15 exceeding the amount needed to make such Lender Party whole, such Lender Party shall pay to the Borrower, with reasonable promptness following the date on which it actually realizes such benefit, an amount equal to the lesser of the amount of such benefit or the amount of such excess, in each case net of all out-of-pocket expenses in securing such refund, deduction or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be construed to require any Lender to disclose confidential information regarding its tax affairs.</w:t>
      </w:r>
    </w:p>
    <w:p>
      <w:pPr>
        <w:spacing w:after="0" w:line="169" w:lineRule="exact"/>
        <w:rPr>
          <w:rFonts w:ascii="Arial" w:cs="Arial" w:eastAsia="Arial" w:hAnsi="Arial"/>
          <w:sz w:val="18"/>
          <w:szCs w:val="18"/>
          <w:color w:val="auto"/>
        </w:rPr>
      </w:pPr>
    </w:p>
    <w:p>
      <w:pPr>
        <w:jc w:val="both"/>
        <w:ind w:firstLine="1305"/>
        <w:spacing w:after="0" w:line="250" w:lineRule="auto"/>
        <w:tabs>
          <w:tab w:leader="none" w:pos="187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For purposes of determining withholding taxes imposed under FATCA, from and after the effective date of this Agreement, the Borrower and the Agent shall treat (and the Lenders hereby authorize the Agent to treat) the Advances as not qualifying as "grandfathered obligations" within the meaning of Treasury Regulation Section 1.1471-2(b)(2)(i).</w:t>
      </w:r>
    </w:p>
    <w:p>
      <w:pPr>
        <w:spacing w:after="0" w:line="18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 xml:space="preserve">.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pro rata share thereof as provided herein, then the Lender receiving such greater proportion shall (a) notify the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9" w:lineRule="exact"/>
        <w:rPr>
          <w:sz w:val="20"/>
          <w:szCs w:val="20"/>
          <w:color w:val="auto"/>
        </w:rPr>
      </w:pPr>
    </w:p>
    <w:p>
      <w:pPr>
        <w:ind w:left="660" w:firstLine="645"/>
        <w:spacing w:after="0" w:line="287" w:lineRule="auto"/>
        <w:tabs>
          <w:tab w:leader="none" w:pos="180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2" w:lineRule="exact"/>
        <w:rPr>
          <w:rFonts w:ascii="Arial" w:cs="Arial" w:eastAsia="Arial" w:hAnsi="Arial"/>
          <w:sz w:val="19"/>
          <w:szCs w:val="19"/>
          <w:color w:val="auto"/>
        </w:rPr>
      </w:pPr>
    </w:p>
    <w:p>
      <w:pPr>
        <w:ind w:left="660" w:firstLine="645"/>
        <w:spacing w:after="0" w:line="260" w:lineRule="auto"/>
        <w:tabs>
          <w:tab w:leader="none" w:pos="175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provisions of this paragraph shall not be construed to apply to (x) any payment made by the Borrower pursuant to and in accordance with the express terms of this Agreement</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color w:val="auto"/>
        </w:rPr>
        <w:t>31</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(including the application of funds arising from the existence of a Defaulting Lender), or (y) any payment obtained by a Lender as consideration for the assignment of or sale of a participation in any of its Advances to any assignee or participant, other than to the Borrower or any Subsidiary thereof (as to which the provisions of this paragraph shall apply).</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0"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Evidence of Debt</w:t>
      </w:r>
      <w:r>
        <w:rPr>
          <w:rFonts w:ascii="Arial" w:cs="Arial" w:eastAsia="Arial" w:hAnsi="Arial"/>
          <w:sz w:val="20"/>
          <w:szCs w:val="20"/>
          <w:color w:val="auto"/>
        </w:rPr>
        <w:t>. (a) Each Lender Party shall maintain in accordance with its usual practice an account or accounts evidencing the indebtedness of the Borrower to such Lender Party resulting from each Revolving Credit Advance owing to such Lender Party from time to time, including the amounts of principal and interest payable and paid to such Lender Party from time to time hereunder in respect of Revolving Credit Advances. The Borrower agrees that upon notice by any Lender Party to the Borrower (with a copy of such notice to the Agent) to the effect that a Note is required or appropriate in order for such Lender Party to evidence (whether for purposes of pledge, enforcement or otherwise) the Revolving Credit Advances owing to, or to be made by, such Lender Party, the Borrower shall promptly execute and deliver to such Lender Party a Note payable to the order of such Lender Party in a principal amount up to the Commitment of such Lender Party.</w:t>
      </w:r>
    </w:p>
    <w:p>
      <w:pPr>
        <w:spacing w:after="0" w:line="198" w:lineRule="exact"/>
        <w:rPr>
          <w:sz w:val="20"/>
          <w:szCs w:val="20"/>
          <w:color w:val="auto"/>
        </w:rPr>
      </w:pPr>
    </w:p>
    <w:p>
      <w:pPr>
        <w:jc w:val="both"/>
        <w:ind w:firstLine="1305"/>
        <w:spacing w:after="0" w:line="259" w:lineRule="auto"/>
        <w:tabs>
          <w:tab w:leader="none" w:pos="18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Register maintained by the Agent pursuant to Section 8.07(c) shall include a control account, and a subsidiary account for each Lender Party,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Party hereunder and (iv) the amount of any sum received by the Agent from the Borrower hereunder and each Lender Party’s share thereof.</w:t>
      </w:r>
    </w:p>
    <w:p>
      <w:pPr>
        <w:spacing w:after="0" w:line="178" w:lineRule="exact"/>
        <w:rPr>
          <w:rFonts w:ascii="Arial" w:cs="Arial" w:eastAsia="Arial" w:hAnsi="Arial"/>
          <w:sz w:val="19"/>
          <w:szCs w:val="19"/>
          <w:color w:val="auto"/>
        </w:rPr>
      </w:pPr>
    </w:p>
    <w:p>
      <w:pPr>
        <w:jc w:val="both"/>
        <w:ind w:firstLine="1305"/>
        <w:spacing w:after="0" w:line="243" w:lineRule="auto"/>
        <w:tabs>
          <w:tab w:leader="none" w:pos="173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Entries made in good faith by the Agent in the Register pursuant to subsection (b) above, and by each Lender Party in its account or accounts pursuant to subsection (a) above,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of the amount of principal and interest due and payable or to become due and payable from the Borrower to, in the case of the Register, each Lender and, in the case of such account or accounts, such Lender Party, under this Agreement, absent manifest error;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of the Agent or such Lender Party to make an entry, or any finding that an entry is incorrect, in the Register or such account or accounts shall not limit or otherwise affect the obligations of the Borrower under this Agreement.</w:t>
      </w:r>
    </w:p>
    <w:p>
      <w:pPr>
        <w:spacing w:after="0" w:line="197"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 xml:space="preserve">SECTION 2.18.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Advances and issuances of Letters of Credit shall be available (and the Borrower agrees that it shall use such proceeds) solely for general corporate purposes of the Borrower and its Subsidiaries, including, without limitation, acquisitions. The Borrower will not request any Borrowing or Letter of Credit, and the Borrower shall not use, and shall procure that its Subsidiaries shall not use, the proceeds of any Borrowing or Letter of Credit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w:t>
      </w:r>
    </w:p>
    <w:p>
      <w:pPr>
        <w:spacing w:after="0" w:line="200" w:lineRule="exact"/>
        <w:rPr>
          <w:sz w:val="20"/>
          <w:szCs w:val="20"/>
          <w:color w:val="auto"/>
        </w:rPr>
      </w:pPr>
    </w:p>
    <w:p>
      <w:pPr>
        <w:spacing w:after="0" w:line="234" w:lineRule="exact"/>
        <w:rPr>
          <w:sz w:val="20"/>
          <w:szCs w:val="20"/>
          <w:color w:val="auto"/>
        </w:rPr>
      </w:pPr>
    </w:p>
    <w:p>
      <w:pPr>
        <w:ind w:right="8680" w:firstLine="8"/>
        <w:spacing w:after="0" w:line="273" w:lineRule="auto"/>
        <w:tabs>
          <w:tab w:leader="none" w:pos="8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color w:val="auto"/>
        </w:rPr>
        <w:t>32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Country or (c) in any manner that would result in the violation of any Sanctions applicable to any party hereto.</w:t>
      </w:r>
    </w:p>
    <w:p>
      <w:pPr>
        <w:spacing w:after="0" w:line="21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Increase in the Aggregate Commitments</w:t>
      </w:r>
      <w:r>
        <w:rPr>
          <w:rFonts w:ascii="Arial" w:cs="Arial" w:eastAsia="Arial" w:hAnsi="Arial"/>
          <w:sz w:val="19"/>
          <w:szCs w:val="19"/>
          <w:color w:val="auto"/>
        </w:rPr>
        <w:t>. (a) The Borrower may, at any time but in any event not more than once in any calendar year prior to the latest Termination Date, by notice to the Agent, request that the aggregate amount of the Commitment be increased by an amount of $10,000,000 or an integral multiple of $10,000,000 in excess thereof (each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to be effective as of a date that is at least 90 days prior to the latest scheduled Termination Date then in effect (the “</w:t>
      </w:r>
      <w:r>
        <w:rPr>
          <w:rFonts w:ascii="Arial" w:cs="Arial" w:eastAsia="Arial" w:hAnsi="Arial"/>
          <w:sz w:val="19"/>
          <w:szCs w:val="19"/>
          <w:u w:val="single" w:color="auto"/>
          <w:color w:val="auto"/>
        </w:rPr>
        <w:t>Increase Date</w:t>
      </w:r>
      <w:r>
        <w:rPr>
          <w:rFonts w:ascii="Arial" w:cs="Arial" w:eastAsia="Arial" w:hAnsi="Arial"/>
          <w:sz w:val="19"/>
          <w:szCs w:val="19"/>
          <w:color w:val="auto"/>
        </w:rPr>
        <w:t xml:space="preserve">”) as specified in the related notice to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in no event shall the aggregate amount of the Commitments at any time exceed $800,000,000 and (ii) on the date of any request by the Borrower for a Commitment Increase and on the related Increase Date, the applicable conditions set forth in Article III shall be satisfied.</w:t>
      </w:r>
    </w:p>
    <w:p>
      <w:pPr>
        <w:spacing w:after="0" w:line="179" w:lineRule="exact"/>
        <w:rPr>
          <w:sz w:val="20"/>
          <w:szCs w:val="20"/>
          <w:color w:val="auto"/>
        </w:rPr>
      </w:pPr>
    </w:p>
    <w:p>
      <w:pPr>
        <w:jc w:val="both"/>
        <w:ind w:firstLine="1305"/>
        <w:spacing w:after="0" w:line="273" w:lineRule="auto"/>
        <w:tabs>
          <w:tab w:leader="none" w:pos="18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Agent shall promptly notify the Lender Parties of a request by the Borrower for a Commitment Increase, which notice shall include (i) the proposed amount of such requested Commitment Increase, (ii) the proposed Increase Date and (iii) the date by which Lender Parties wishing to participate in the Commitment Increase must commit to an increase in the amount of their respective Commitments (the “</w:t>
      </w:r>
      <w:r>
        <w:rPr>
          <w:rFonts w:ascii="Arial" w:cs="Arial" w:eastAsia="Arial" w:hAnsi="Arial"/>
          <w:sz w:val="18"/>
          <w:szCs w:val="18"/>
          <w:u w:val="single" w:color="auto"/>
          <w:color w:val="auto"/>
        </w:rPr>
        <w:t>Commitment Date</w:t>
      </w:r>
      <w:r>
        <w:rPr>
          <w:rFonts w:ascii="Arial" w:cs="Arial" w:eastAsia="Arial" w:hAnsi="Arial"/>
          <w:sz w:val="18"/>
          <w:szCs w:val="18"/>
          <w:color w:val="auto"/>
        </w:rPr>
        <w:t>”). Each Lender Party that is willing to participate in such requested Commitment Increase (each an “</w:t>
      </w:r>
      <w:r>
        <w:rPr>
          <w:rFonts w:ascii="Arial" w:cs="Arial" w:eastAsia="Arial" w:hAnsi="Arial"/>
          <w:sz w:val="18"/>
          <w:szCs w:val="18"/>
          <w:u w:val="single" w:color="auto"/>
          <w:color w:val="auto"/>
        </w:rPr>
        <w:t>Increasing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shall, in its sole discretion, give written notice to the Agent on or prior to the Commitment Date of the amount by which it is willing to increase its Commitment. If the Lender Parties notify the Agent that they are willing to increase the amount of their respective Commitments by an aggregate amount that exceeds the amount of the requested Commitment Increase, the requested Commitment Increase shall be allocated among the Lender Parties willing to participate therein in such proportion as the Agent and the Borrower may agree.</w:t>
      </w:r>
    </w:p>
    <w:p>
      <w:pPr>
        <w:spacing w:after="0" w:line="169" w:lineRule="exact"/>
        <w:rPr>
          <w:rFonts w:ascii="Arial" w:cs="Arial" w:eastAsia="Arial" w:hAnsi="Arial"/>
          <w:sz w:val="18"/>
          <w:szCs w:val="18"/>
          <w:color w:val="auto"/>
        </w:rPr>
      </w:pPr>
    </w:p>
    <w:p>
      <w:pPr>
        <w:jc w:val="both"/>
        <w:ind w:firstLine="1305"/>
        <w:spacing w:after="0" w:line="259" w:lineRule="auto"/>
        <w:tabs>
          <w:tab w:leader="none" w:pos="176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Promptly following each Commitment Date, the Agent shall notify the Borrower as to the amount, if any, by which the Lender Parties are willing to participate in the requested Commitment Increase. If the aggregate amount by which the Lender Parties are willing to participate in any requested Commitment Increase on any such Commitment Date is less than the requested Commitment Increase, then the Borrower may extend offers to one or more Eligible Assignees to participate in any portion of the requested Commitment Increase that has not been committed to by the Lender Parties as of the applicable Commitment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Commitment of each such Eligible Assignee shall be in an amount of not less than $5,000,000.</w:t>
      </w:r>
    </w:p>
    <w:p>
      <w:pPr>
        <w:spacing w:after="0" w:line="178" w:lineRule="exact"/>
        <w:rPr>
          <w:rFonts w:ascii="Arial" w:cs="Arial" w:eastAsia="Arial" w:hAnsi="Arial"/>
          <w:sz w:val="19"/>
          <w:szCs w:val="19"/>
          <w:color w:val="auto"/>
        </w:rPr>
      </w:pPr>
    </w:p>
    <w:p>
      <w:pPr>
        <w:jc w:val="both"/>
        <w:ind w:firstLine="1305"/>
        <w:spacing w:after="0" w:line="259" w:lineRule="auto"/>
        <w:tabs>
          <w:tab w:leader="none" w:pos="174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On each Increase Date, each Eligible Assignee that accepts an offer to participate in a requested Commitment Increase in accordance with Section 2.19(b) (each such Eligible Assignee and each Eligible Assignee that shall become a party hereto in accordance with Section 2.22, an “</w:t>
      </w:r>
      <w:r>
        <w:rPr>
          <w:rFonts w:ascii="Arial" w:cs="Arial" w:eastAsia="Arial" w:hAnsi="Arial"/>
          <w:sz w:val="19"/>
          <w:szCs w:val="19"/>
          <w:u w:val="single" w:color="auto"/>
          <w:color w:val="auto"/>
        </w:rPr>
        <w:t>Assuming Lender</w:t>
      </w:r>
      <w:r>
        <w:rPr>
          <w:rFonts w:ascii="Arial" w:cs="Arial" w:eastAsia="Arial" w:hAnsi="Arial"/>
          <w:sz w:val="19"/>
          <w:szCs w:val="19"/>
          <w:color w:val="auto"/>
        </w:rPr>
        <w:t xml:space="preserve">”) shall become a Lender Party to this Agreement as of such Increase Date and the Commitment of each Increasing Lender Party for such requested Commitment Increase shall be so increased by such amount (or by the amount allocated to such Lender Party pursuant to the last sentence of Section 2.19(b)) as of such Increase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Agent shall have received on or before such Increase Date the following, each dated such date:</w:t>
      </w:r>
    </w:p>
    <w:p>
      <w:pPr>
        <w:spacing w:after="0" w:line="179" w:lineRule="exact"/>
        <w:rPr>
          <w:sz w:val="20"/>
          <w:szCs w:val="20"/>
          <w:color w:val="auto"/>
        </w:rPr>
      </w:pPr>
    </w:p>
    <w:p>
      <w:pPr>
        <w:jc w:val="both"/>
        <w:ind w:left="660" w:firstLine="645"/>
        <w:spacing w:after="0" w:line="250" w:lineRule="auto"/>
        <w:tabs>
          <w:tab w:leader="none" w:pos="174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 certified copies of resolutions of the Board of Directors of the Borrower or the Executive Committee of such Board approving the Commitment Increase and the corresponding modifications to this Agreement and (B) an opinion of counsel for the Borrower (which may be in-house counsel), in substantially the form of Exhibit E hereto;</w:t>
      </w: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100" w:hanging="92"/>
        <w:spacing w:after="0"/>
        <w:tabs>
          <w:tab w:leader="none" w:pos="1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color w:val="auto"/>
        </w:rPr>
        <w:t>33</w:t>
      </w:r>
    </w:p>
    <w:p>
      <w:pPr>
        <w:spacing w:after="0" w:line="200" w:lineRule="exact"/>
        <w:rPr>
          <w:sz w:val="20"/>
          <w:szCs w:val="20"/>
          <w:color w:val="auto"/>
        </w:rPr>
      </w:pPr>
    </w:p>
    <w:p>
      <w:pPr>
        <w:spacing w:after="0" w:line="294" w:lineRule="exact"/>
        <w:rPr>
          <w:sz w:val="20"/>
          <w:szCs w:val="20"/>
          <w:color w:val="auto"/>
        </w:rPr>
      </w:pPr>
    </w:p>
    <w:p>
      <w:pPr>
        <w:ind w:left="660" w:firstLine="645"/>
        <w:spacing w:after="0" w:line="287" w:lineRule="auto"/>
        <w:tabs>
          <w:tab w:leader="none" w:pos="176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 assumption agreement from each Assuming Lender, if any, in form and substance satisfactory to the Borrower and the Agent (each an “</w:t>
      </w:r>
      <w:r>
        <w:rPr>
          <w:rFonts w:ascii="Arial" w:cs="Arial" w:eastAsia="Arial" w:hAnsi="Arial"/>
          <w:sz w:val="19"/>
          <w:szCs w:val="19"/>
          <w:u w:val="single" w:color="auto"/>
          <w:color w:val="auto"/>
        </w:rPr>
        <w:t>Assumption Agreement</w:t>
      </w:r>
      <w:r>
        <w:rPr>
          <w:rFonts w:ascii="Arial" w:cs="Arial" w:eastAsia="Arial" w:hAnsi="Arial"/>
          <w:sz w:val="19"/>
          <w:szCs w:val="19"/>
          <w:color w:val="auto"/>
        </w:rPr>
        <w:t>”), duly executed by such Eligible Assignee, the Agent and the Borrower; and</w:t>
      </w:r>
    </w:p>
    <w:p>
      <w:pPr>
        <w:spacing w:after="0" w:line="152" w:lineRule="exact"/>
        <w:rPr>
          <w:rFonts w:ascii="Arial" w:cs="Arial" w:eastAsia="Arial" w:hAnsi="Arial"/>
          <w:sz w:val="19"/>
          <w:szCs w:val="19"/>
          <w:color w:val="auto"/>
        </w:rPr>
      </w:pPr>
    </w:p>
    <w:p>
      <w:pPr>
        <w:ind w:left="660" w:right="20" w:firstLine="645"/>
        <w:spacing w:after="0" w:line="260" w:lineRule="auto"/>
        <w:tabs>
          <w:tab w:leader="none" w:pos="184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confirmation from each Increasing Lender of the increase in the amount of its Commitment in a writing satisfactory to the Borrower and the Agent.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each Increase Date, upon fulfillment of the conditions set forth in the immediately preceding sentence of this Section 2.19(d), the Agent shall notify the Lender Parties (including, without limitation, each Assuming Lender) and the Borrower, on or before 1:00 P.M. (New York City time), by telecopier, of the occurrence of the Commitment Increase to be effected on such Increase Date and shall record in the Register the relevant information with respect to each Increasing Lender and each Assuming Lender on such date.</w:t>
      </w:r>
    </w:p>
    <w:p>
      <w:pPr>
        <w:spacing w:after="0" w:line="177" w:lineRule="exact"/>
        <w:rPr>
          <w:sz w:val="20"/>
          <w:szCs w:val="20"/>
          <w:color w:val="auto"/>
        </w:rPr>
      </w:pPr>
    </w:p>
    <w:p>
      <w:pPr>
        <w:ind w:right="600" w:firstLine="1297"/>
        <w:spacing w:after="0" w:line="260" w:lineRule="auto"/>
        <w:rPr>
          <w:sz w:val="20"/>
          <w:szCs w:val="20"/>
          <w:color w:val="auto"/>
        </w:rPr>
      </w:pPr>
      <w:r>
        <w:rPr>
          <w:rFonts w:ascii="Arial" w:cs="Arial" w:eastAsia="Arial" w:hAnsi="Arial"/>
          <w:sz w:val="20"/>
          <w:szCs w:val="20"/>
          <w:color w:val="auto"/>
        </w:rPr>
        <w:t xml:space="preserve">SECTION 2.20. </w:t>
      </w:r>
      <w:r>
        <w:rPr>
          <w:rFonts w:ascii="Arial" w:cs="Arial" w:eastAsia="Arial" w:hAnsi="Arial"/>
          <w:sz w:val="20"/>
          <w:szCs w:val="20"/>
          <w:u w:val="single" w:color="auto"/>
          <w:color w:val="auto"/>
        </w:rPr>
        <w:t>Defaulting Lenders</w:t>
      </w:r>
      <w:r>
        <w:rPr>
          <w:rFonts w:ascii="Arial" w:cs="Arial" w:eastAsia="Arial" w:hAnsi="Arial"/>
          <w:sz w:val="20"/>
          <w:szCs w:val="20"/>
          <w:color w:val="auto"/>
        </w:rPr>
        <w:t>. (a) If a Lender becomes, and during the period it remains, a Defaulting Lender, the following provisions shall apply:</w:t>
      </w:r>
    </w:p>
    <w:p>
      <w:pPr>
        <w:spacing w:after="0" w:line="177" w:lineRule="exact"/>
        <w:rPr>
          <w:sz w:val="20"/>
          <w:szCs w:val="20"/>
          <w:color w:val="auto"/>
        </w:rPr>
      </w:pPr>
    </w:p>
    <w:p>
      <w:pPr>
        <w:jc w:val="both"/>
        <w:ind w:left="660" w:firstLine="645"/>
        <w:spacing w:after="0" w:line="272" w:lineRule="auto"/>
        <w:tabs>
          <w:tab w:leader="none" w:pos="17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unless a Default has occurred and is continuing, such Defaulting Lenders’ Pro Rata Share of the L/C Obligations will, subject to the limitation in the first proviso below, automatically be reallocated (effective on the day such Lender becomes a Defaulting Lender) among the Non-Defaulting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jc w:val="both"/>
        <w:ind w:left="660" w:hanging="4"/>
        <w:spacing w:after="0"/>
        <w:tabs>
          <w:tab w:leader="none" w:pos="98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sum of each Non-Defaulting Lender’s aggregate principal amount of Advances and allocated share of the L/C Obligations may not in any event exceed the Revolving Credit Commitment of such Non-Defaulting Lender as in effect at the time of such reallocation and (B) neither such reallocation nor any payment by a Non-Defaulting Lender pursuant thereto will constitute a waiver or release of any claim the Borrower, the Agent, any Issuing Bank or any other Lender may have against such Defaulting Lender or cause such Defaulting Lender to be a Non-Defaulting Lender;</w:t>
      </w:r>
    </w:p>
    <w:p>
      <w:pPr>
        <w:spacing w:after="0" w:line="198" w:lineRule="exact"/>
        <w:rPr>
          <w:rFonts w:ascii="Arial" w:cs="Arial" w:eastAsia="Arial" w:hAnsi="Arial"/>
          <w:sz w:val="20"/>
          <w:szCs w:val="20"/>
          <w:color w:val="auto"/>
        </w:rPr>
      </w:pPr>
    </w:p>
    <w:p>
      <w:pPr>
        <w:jc w:val="both"/>
        <w:ind w:left="660" w:firstLine="645"/>
        <w:spacing w:after="0" w:line="259" w:lineRule="auto"/>
        <w:tabs>
          <w:tab w:leader="none" w:pos="1753"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to the extent that any portion (the “</w:t>
      </w:r>
      <w:r>
        <w:rPr>
          <w:rFonts w:ascii="Arial" w:cs="Arial" w:eastAsia="Arial" w:hAnsi="Arial"/>
          <w:sz w:val="19"/>
          <w:szCs w:val="19"/>
          <w:u w:val="single" w:color="auto"/>
          <w:color w:val="auto"/>
        </w:rPr>
        <w:t>unreallocated portion</w:t>
      </w:r>
      <w:r>
        <w:rPr>
          <w:rFonts w:ascii="Arial" w:cs="Arial" w:eastAsia="Arial" w:hAnsi="Arial"/>
          <w:sz w:val="19"/>
          <w:szCs w:val="19"/>
          <w:color w:val="auto"/>
        </w:rPr>
        <w:t>”) of the Defaulting Lender’s share of the L/C Obligations cannot be so reallocated, whether by reason of the first proviso in clause (i) above or otherwise, the Borrower will, not later than three Business Days after demand by the Agent (at the direction of an Issuing Bank), (A) Cash Collateralize the obligations of the Borrower in respect of such L/C Obligations in an amount at least equal to the aggregate amount of the unreallocated portion of such L/C Obligations, or (B) make other arrangements satisfactory to the Agent and each Issuing Bank, as the case may be, in their sole discretion to protect them against the risk of non-payment by such Defaulting Lender; and</w:t>
      </w:r>
    </w:p>
    <w:p>
      <w:pPr>
        <w:spacing w:after="0" w:line="178" w:lineRule="exact"/>
        <w:rPr>
          <w:rFonts w:ascii="Arial" w:cs="Arial" w:eastAsia="Arial" w:hAnsi="Arial"/>
          <w:sz w:val="19"/>
          <w:szCs w:val="19"/>
          <w:color w:val="auto"/>
        </w:rPr>
      </w:pPr>
    </w:p>
    <w:p>
      <w:pPr>
        <w:jc w:val="both"/>
        <w:ind w:left="660" w:firstLine="645"/>
        <w:spacing w:after="0" w:line="271" w:lineRule="auto"/>
        <w:tabs>
          <w:tab w:leader="none" w:pos="167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any amount paid by the Borrower or otherwise received by the Agent for the account of a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2.20(d)) the termination of the Revolving Credit Commitments and payment in full of all obligations of the Borrower hereunder and will be applied by the Agent, to the fullest extent permitted by law, to the making of payments from time to time in the following order of priority: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Agent under this Agreement,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of any amounts owing by such Defaulting Lender to an Issuing Bank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as to the respective amounts owing to each of them) under this Agreement,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payment of post-default interest and then current interest due and payable to the Lenders hereunder other than Defaulting Lenders, ratably among them in accordance with the amounts of such interest then due and payable to them,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Event of Default exists), to the funding</w:t>
      </w:r>
    </w:p>
    <w:p>
      <w:pPr>
        <w:spacing w:after="0" w:line="200" w:lineRule="exact"/>
        <w:rPr>
          <w:sz w:val="20"/>
          <w:szCs w:val="20"/>
          <w:color w:val="auto"/>
        </w:rPr>
      </w:pPr>
    </w:p>
    <w:p>
      <w:pPr>
        <w:spacing w:after="0" w:line="216" w:lineRule="exact"/>
        <w:rPr>
          <w:sz w:val="20"/>
          <w:szCs w:val="20"/>
          <w:color w:val="auto"/>
        </w:rPr>
      </w:pPr>
    </w:p>
    <w:p>
      <w:pPr>
        <w:ind w:right="8680" w:firstLine="8"/>
        <w:spacing w:after="0" w:line="273" w:lineRule="auto"/>
        <w:tabs>
          <w:tab w:leader="none" w:pos="84"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color w:val="auto"/>
        </w:rPr>
        <w:t>34</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 xml:space="preserve">of any Advance in respect of which such Defaulting Lender has failed to fund its portion thereof as required by this Agreement, as determined by the Agent;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payment of fees then due and payable to the Non-Defaulting Lenders hereunder, ratably among them in accordance with the amounts of such fees then due and payable to them,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pay principal then due and payable to the Non-Defaulting Lenders hereunder ratably in accordance with the amounts thereof then due and payable to them,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to the ratable payment of other amounts then due and payable to the Non-Defaulting Lenders, </w:t>
      </w:r>
      <w:r>
        <w:rPr>
          <w:rFonts w:ascii="Arial" w:cs="Arial" w:eastAsia="Arial" w:hAnsi="Arial"/>
          <w:sz w:val="19"/>
          <w:szCs w:val="19"/>
          <w:u w:val="single" w:color="auto"/>
          <w:color w:val="auto"/>
        </w:rPr>
        <w:t>eighth</w:t>
      </w:r>
      <w:r>
        <w:rPr>
          <w:rFonts w:ascii="Arial" w:cs="Arial" w:eastAsia="Arial" w:hAnsi="Arial"/>
          <w:sz w:val="19"/>
          <w:szCs w:val="19"/>
          <w:color w:val="auto"/>
        </w:rPr>
        <w:t xml:space="preserve"> to fund the Cash Collateralization requirements specified in clause (ii) above, </w:t>
      </w:r>
      <w:r>
        <w:rPr>
          <w:rFonts w:ascii="Arial" w:cs="Arial" w:eastAsia="Arial" w:hAnsi="Arial"/>
          <w:sz w:val="19"/>
          <w:szCs w:val="19"/>
          <w:u w:val="single" w:color="auto"/>
          <w:color w:val="auto"/>
        </w:rPr>
        <w:t>ninth</w:t>
      </w:r>
      <w:r>
        <w:rPr>
          <w:rFonts w:ascii="Arial" w:cs="Arial" w:eastAsia="Arial" w:hAnsi="Arial"/>
          <w:sz w:val="19"/>
          <w:szCs w:val="19"/>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u w:val="single" w:color="auto"/>
          <w:color w:val="auto"/>
        </w:rPr>
        <w:t>tenth</w:t>
      </w:r>
      <w:r>
        <w:rPr>
          <w:rFonts w:ascii="Arial" w:cs="Arial" w:eastAsia="Arial" w:hAnsi="Arial"/>
          <w:sz w:val="19"/>
          <w:szCs w:val="19"/>
          <w:color w:val="auto"/>
        </w:rPr>
        <w:t xml:space="preserve"> after the termination of the Revolving Credit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2.20 shall be deemed paid to and redirected by such Defaulting Lender, and each Lender irrevocably consents hereto.</w:t>
      </w:r>
    </w:p>
    <w:p>
      <w:pPr>
        <w:spacing w:after="0" w:line="183"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In furtherance of the foregoing, if any Lender becomes, and during the period it remains, a Defaulting Lender, each Issuing Bank is hereby authorized by the Borrower (which authorization is irrevocable and coupled with an interest) to give, in its discretion, through the Agent, Notices of Borrowing pursuant to Section 3.02 in such amounts and in such times as may be required to (i) reimburse an outstanding drawing under a Letter of Credit or (ii) Cash Collateralize the obligations of the Borrower in respect of outstanding Letters of Credit in an amount at least equal to the aggregate amount of the obligations (contingent or otherwise) of such Defaulting Lender in respect of such Letter of Credit.</w:t>
      </w:r>
    </w:p>
    <w:p>
      <w:pPr>
        <w:spacing w:after="0" w:line="197" w:lineRule="exact"/>
        <w:rPr>
          <w:sz w:val="20"/>
          <w:szCs w:val="20"/>
          <w:color w:val="auto"/>
        </w:rPr>
      </w:pPr>
    </w:p>
    <w:p>
      <w:pPr>
        <w:jc w:val="both"/>
        <w:ind w:firstLine="1305"/>
        <w:spacing w:after="0" w:line="263" w:lineRule="auto"/>
        <w:tabs>
          <w:tab w:leader="none" w:pos="176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No Commitment of any Lender shall be increased or otherwise affected, and, except as otherwise expressly provided in this Section 2.20, performance by the Borrower of its obligations shall not be excused or otherwise modified as a result of the operation of this Section 2.20. The rights and remedies against a Defaulting Lender under this Section 2.20 are in addition to any other rights and remedies which the Borrower, the Agent, any Issuing Bank or any Lender may have against such Defaulting Lender.</w:t>
      </w:r>
    </w:p>
    <w:p>
      <w:pPr>
        <w:spacing w:after="0" w:line="176" w:lineRule="exact"/>
        <w:rPr>
          <w:rFonts w:ascii="Arial" w:cs="Arial" w:eastAsia="Arial" w:hAnsi="Arial"/>
          <w:sz w:val="19"/>
          <w:szCs w:val="19"/>
          <w:color w:val="auto"/>
        </w:rPr>
      </w:pPr>
    </w:p>
    <w:p>
      <w:pPr>
        <w:jc w:val="both"/>
        <w:ind w:firstLine="1305"/>
        <w:spacing w:after="0" w:line="272" w:lineRule="auto"/>
        <w:tabs>
          <w:tab w:leader="none" w:pos="18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Agent may determine to be necessary to cause the Advances to be funded and held on a pro rata basis by the Lenders in accordance with their Revolving Credit Commitments,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7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2.21. </w:t>
      </w:r>
      <w:r>
        <w:rPr>
          <w:rFonts w:ascii="Arial" w:cs="Arial" w:eastAsia="Arial" w:hAnsi="Arial"/>
          <w:sz w:val="20"/>
          <w:szCs w:val="20"/>
          <w:u w:val="single" w:color="auto"/>
          <w:color w:val="auto"/>
        </w:rPr>
        <w:t>Replacement of Lenders</w:t>
      </w:r>
      <w:r>
        <w:rPr>
          <w:rFonts w:ascii="Arial" w:cs="Arial" w:eastAsia="Arial" w:hAnsi="Arial"/>
          <w:sz w:val="20"/>
          <w:szCs w:val="20"/>
          <w:color w:val="auto"/>
        </w:rPr>
        <w:t>. If any Lender requests compensation under Section 2.12, or if the Borrower is required to pay additional amounts to any Lender or any governmental authority for the account of any Lender pursuant to Section 2.15 and, in each case, such Lender has declined</w:t>
      </w:r>
    </w:p>
    <w:p>
      <w:pPr>
        <w:spacing w:after="0" w:line="200" w:lineRule="exact"/>
        <w:rPr>
          <w:sz w:val="20"/>
          <w:szCs w:val="20"/>
          <w:color w:val="auto"/>
        </w:rPr>
      </w:pPr>
    </w:p>
    <w:p>
      <w:pPr>
        <w:spacing w:after="0" w:line="227" w:lineRule="exact"/>
        <w:rPr>
          <w:sz w:val="20"/>
          <w:szCs w:val="20"/>
          <w:color w:val="auto"/>
        </w:rPr>
      </w:pPr>
    </w:p>
    <w:p>
      <w:pPr>
        <w:ind w:right="8680" w:firstLine="8"/>
        <w:spacing w:after="0" w:line="273" w:lineRule="auto"/>
        <w:tabs>
          <w:tab w:leader="none" w:pos="84" w:val="left"/>
        </w:tabs>
        <w:numPr>
          <w:ilvl w:val="0"/>
          <w:numId w:val="132"/>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auto"/>
        </w:rPr>
        <w:t>35</w:t>
      </w:r>
    </w:p>
    <w:p>
      <w:pPr>
        <w:spacing w:after="0" w:line="200" w:lineRule="exact"/>
        <w:rPr>
          <w:sz w:val="20"/>
          <w:szCs w:val="20"/>
          <w:color w:val="auto"/>
        </w:rPr>
      </w:pPr>
    </w:p>
    <w:p>
      <w:pPr>
        <w:spacing w:after="0" w:line="2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or is unable to designate a different Applicable Lending Office in accordance with Section 2.12(a) or 2.15(g), or if any Lender is a Defaulting Lender or a Non-Approving Lender, then the Borrower may, at its sole expense and effort and so long as no Default is continuing,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5" w:lineRule="exact"/>
        <w:rPr>
          <w:sz w:val="20"/>
          <w:szCs w:val="20"/>
          <w:color w:val="auto"/>
        </w:rPr>
      </w:pPr>
    </w:p>
    <w:p>
      <w:pPr>
        <w:ind w:left="1720" w:hanging="415"/>
        <w:spacing w:after="0"/>
        <w:tabs>
          <w:tab w:leader="none" w:pos="172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Borrower shall have paid to the Agent the assignment fee (if any) specified in Section 8.07;</w:t>
      </w:r>
    </w:p>
    <w:p>
      <w:pPr>
        <w:spacing w:after="0" w:line="215" w:lineRule="exact"/>
        <w:rPr>
          <w:rFonts w:ascii="Arial" w:cs="Arial" w:eastAsia="Arial" w:hAnsi="Arial"/>
          <w:sz w:val="20"/>
          <w:szCs w:val="20"/>
          <w:color w:val="auto"/>
        </w:rPr>
      </w:pPr>
    </w:p>
    <w:p>
      <w:pPr>
        <w:jc w:val="both"/>
        <w:ind w:firstLine="1305"/>
        <w:spacing w:after="0" w:line="291" w:lineRule="auto"/>
        <w:tabs>
          <w:tab w:leader="none" w:pos="18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Advances, accrued interest thereon, accrued fees and all other amounts payable to it hereunder (including any amounts under Section 8.04(e)) from the assignee (to the extent of such outstanding principal and accrued interest and fees) or the Borrower (in the case of all other amounts);</w:t>
      </w:r>
    </w:p>
    <w:p>
      <w:pPr>
        <w:spacing w:after="0" w:line="151" w:lineRule="exact"/>
        <w:rPr>
          <w:rFonts w:ascii="Arial" w:cs="Arial" w:eastAsia="Arial" w:hAnsi="Arial"/>
          <w:sz w:val="18"/>
          <w:szCs w:val="18"/>
          <w:color w:val="auto"/>
        </w:rPr>
      </w:pPr>
    </w:p>
    <w:p>
      <w:pPr>
        <w:ind w:firstLine="1305"/>
        <w:spacing w:after="0" w:line="287" w:lineRule="auto"/>
        <w:tabs>
          <w:tab w:leader="none" w:pos="171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any such assignment resulting from a claim for compensation under Section 2.12 or payments required to be made pursuant to Section 2.15, such assignment will result in a reduction in such compensation or payments thereafter;</w:t>
      </w:r>
    </w:p>
    <w:p>
      <w:pPr>
        <w:spacing w:after="0" w:line="152" w:lineRule="exact"/>
        <w:rPr>
          <w:rFonts w:ascii="Arial" w:cs="Arial" w:eastAsia="Arial" w:hAnsi="Arial"/>
          <w:sz w:val="19"/>
          <w:szCs w:val="19"/>
          <w:color w:val="auto"/>
        </w:rPr>
      </w:pPr>
    </w:p>
    <w:p>
      <w:pPr>
        <w:ind w:left="1740" w:hanging="435"/>
        <w:spacing w:after="0"/>
        <w:tabs>
          <w:tab w:leader="none" w:pos="17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15" w:lineRule="exact"/>
        <w:rPr>
          <w:rFonts w:ascii="Arial" w:cs="Arial" w:eastAsia="Arial" w:hAnsi="Arial"/>
          <w:sz w:val="20"/>
          <w:szCs w:val="20"/>
          <w:color w:val="auto"/>
        </w:rPr>
      </w:pPr>
    </w:p>
    <w:p>
      <w:pPr>
        <w:ind w:firstLine="1305"/>
        <w:spacing w:after="0" w:line="260" w:lineRule="auto"/>
        <w:tabs>
          <w:tab w:leader="none" w:pos="175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Non-Approving Lender, the applicable assignee shall have consented to the applicable amendment, waiver or consent.</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2.22. </w:t>
      </w:r>
      <w:r>
        <w:rPr>
          <w:rFonts w:ascii="Arial" w:cs="Arial" w:eastAsia="Arial" w:hAnsi="Arial"/>
          <w:sz w:val="20"/>
          <w:szCs w:val="20"/>
          <w:u w:val="single" w:color="auto"/>
          <w:color w:val="auto"/>
        </w:rPr>
        <w:t>Extension of Termination Date</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46" w:lineRule="auto"/>
        <w:tabs>
          <w:tab w:leader="none" w:pos="1768"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Requests for Extension</w:t>
      </w:r>
      <w:r>
        <w:rPr>
          <w:rFonts w:ascii="Arial" w:cs="Arial" w:eastAsia="Arial" w:hAnsi="Arial"/>
          <w:sz w:val="20"/>
          <w:szCs w:val="20"/>
          <w:color w:val="auto"/>
        </w:rPr>
        <w:t>. The Borrower may, by notice to the Agent (who shall promptly notify the Lenders) not earlier than 60 days and not later than 30 days prior to any anniversary of the Effective Date (the “</w:t>
      </w:r>
      <w:r>
        <w:rPr>
          <w:rFonts w:ascii="Arial" w:cs="Arial" w:eastAsia="Arial" w:hAnsi="Arial"/>
          <w:sz w:val="20"/>
          <w:szCs w:val="20"/>
          <w:u w:val="single" w:color="auto"/>
          <w:color w:val="auto"/>
        </w:rPr>
        <w:t>Anniversary Date</w:t>
      </w:r>
      <w:r>
        <w:rPr>
          <w:rFonts w:ascii="Arial" w:cs="Arial" w:eastAsia="Arial" w:hAnsi="Arial"/>
          <w:sz w:val="20"/>
          <w:szCs w:val="20"/>
          <w:color w:val="auto"/>
        </w:rPr>
        <w:t>”), but not more than twice, request that each Lender extend such Lender’s Termination Date for an additional one year from the Termination Date then in effect with respect to such Lender.</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752"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Lender Elections to Extend</w:t>
      </w:r>
      <w:r>
        <w:rPr>
          <w:rFonts w:ascii="Arial" w:cs="Arial" w:eastAsia="Arial" w:hAnsi="Arial"/>
          <w:sz w:val="20"/>
          <w:szCs w:val="20"/>
          <w:color w:val="auto"/>
        </w:rPr>
        <w:t>. Each Lender, acting in its sole and individual discretion, shall, by notice to the Agent given not later than the date (the “</w:t>
      </w:r>
      <w:r>
        <w:rPr>
          <w:rFonts w:ascii="Arial" w:cs="Arial" w:eastAsia="Arial" w:hAnsi="Arial"/>
          <w:sz w:val="20"/>
          <w:szCs w:val="20"/>
          <w:u w:val="single" w:color="auto"/>
          <w:color w:val="auto"/>
        </w:rPr>
        <w:t>Notice Date</w:t>
      </w:r>
      <w:r>
        <w:rPr>
          <w:rFonts w:ascii="Arial" w:cs="Arial" w:eastAsia="Arial" w:hAnsi="Arial"/>
          <w:sz w:val="20"/>
          <w:szCs w:val="20"/>
          <w:color w:val="auto"/>
        </w:rPr>
        <w:t>”) that is 15 days prior to such Anniversary Date, advise the Agent whether or not such Lender agrees to such extension (and each Lender that determines not to so extend its Termination Date (a “</w:t>
      </w:r>
      <w:r>
        <w:rPr>
          <w:rFonts w:ascii="Arial" w:cs="Arial" w:eastAsia="Arial" w:hAnsi="Arial"/>
          <w:sz w:val="20"/>
          <w:szCs w:val="20"/>
          <w:u w:val="single" w:color="auto"/>
          <w:color w:val="auto"/>
        </w:rPr>
        <w:t>Non Extending Lender</w:t>
      </w:r>
      <w:r>
        <w:rPr>
          <w:rFonts w:ascii="Arial" w:cs="Arial" w:eastAsia="Arial" w:hAnsi="Arial"/>
          <w:sz w:val="20"/>
          <w:szCs w:val="20"/>
          <w:color w:val="auto"/>
        </w:rPr>
        <w:t>”) shall notify the Agent of such fact promptly after such determination (but in any event no later than the Notice Date) and any Lender that does not so advise the Agent on or before the Notice Date shall be deemed to be a Non Extending Lender). The election of any Lender to agree to such extension shall not obligate any other Lender to so agree.</w:t>
      </w:r>
    </w:p>
    <w:p>
      <w:pPr>
        <w:spacing w:after="0" w:line="196" w:lineRule="exact"/>
        <w:rPr>
          <w:rFonts w:ascii="Arial" w:cs="Arial" w:eastAsia="Arial" w:hAnsi="Arial"/>
          <w:sz w:val="20"/>
          <w:szCs w:val="20"/>
          <w:color w:val="auto"/>
        </w:rPr>
      </w:pPr>
    </w:p>
    <w:p>
      <w:pPr>
        <w:ind w:firstLine="1305"/>
        <w:spacing w:after="0" w:line="316" w:lineRule="auto"/>
        <w:tabs>
          <w:tab w:leader="none" w:pos="176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Notification by Agent</w:t>
      </w:r>
      <w:r>
        <w:rPr>
          <w:rFonts w:ascii="Arial" w:cs="Arial" w:eastAsia="Arial" w:hAnsi="Arial"/>
          <w:sz w:val="18"/>
          <w:szCs w:val="18"/>
          <w:color w:val="auto"/>
        </w:rPr>
        <w:t>. The Agent shall notify the Borrower of each Lender’s determination under this Section no later than the date 10 days prior to the applicable Anniversary Date (or, if such date is not a Business Day, on the next preceding Business Day).</w:t>
      </w:r>
    </w:p>
    <w:p>
      <w:pPr>
        <w:spacing w:after="0" w:line="371" w:lineRule="exact"/>
        <w:rPr>
          <w:sz w:val="20"/>
          <w:szCs w:val="20"/>
          <w:color w:val="auto"/>
        </w:rPr>
      </w:pPr>
    </w:p>
    <w:p>
      <w:pPr>
        <w:ind w:right="8680" w:firstLine="8"/>
        <w:spacing w:after="0" w:line="273" w:lineRule="auto"/>
        <w:tabs>
          <w:tab w:leader="none" w:pos="84"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color w:val="auto"/>
        </w:rPr>
        <w:t>36</w:t>
      </w:r>
    </w:p>
    <w:p>
      <w:pPr>
        <w:spacing w:after="0" w:line="200" w:lineRule="exact"/>
        <w:rPr>
          <w:sz w:val="20"/>
          <w:szCs w:val="20"/>
          <w:color w:val="auto"/>
        </w:rPr>
      </w:pPr>
    </w:p>
    <w:p>
      <w:pPr>
        <w:spacing w:after="0" w:line="294" w:lineRule="exact"/>
        <w:rPr>
          <w:sz w:val="20"/>
          <w:szCs w:val="20"/>
          <w:color w:val="auto"/>
        </w:rPr>
      </w:pPr>
    </w:p>
    <w:p>
      <w:pPr>
        <w:jc w:val="both"/>
        <w:ind w:firstLine="1305"/>
        <w:spacing w:after="0" w:line="276" w:lineRule="auto"/>
        <w:tabs>
          <w:tab w:leader="none" w:pos="176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Additional Revolving Commitment Lenders</w:t>
      </w:r>
      <w:r>
        <w:rPr>
          <w:rFonts w:ascii="Arial" w:cs="Arial" w:eastAsia="Arial" w:hAnsi="Arial"/>
          <w:sz w:val="18"/>
          <w:szCs w:val="18"/>
          <w:color w:val="auto"/>
        </w:rPr>
        <w:t>. The Borrower shall have the right on or before the applicable Anniversary Date to replace each Non Extending Lender with, and add as “Lenders” under this Agreement in place thereof, one or more Eligible Assignees (as an Assuming Lender) with the approval of the Agent and each Issuing Bank (which approval shall not be unreasonably delayed or withheld), each of which Assuming Lenders shall have entered into an Assumption Agreement pursuant to which such Assuming Lender shall, effective as of the applicable Anniversary Date, undertake a Revolving Commitment (and, if any such Assuming Lender is already a Lender, its Revolving Commitment shall be in addition to such Lender’s Revolving Commitment hereunder on such date).</w:t>
      </w:r>
    </w:p>
    <w:p>
      <w:pPr>
        <w:spacing w:after="0" w:line="165" w:lineRule="exact"/>
        <w:rPr>
          <w:rFonts w:ascii="Arial" w:cs="Arial" w:eastAsia="Arial" w:hAnsi="Arial"/>
          <w:sz w:val="18"/>
          <w:szCs w:val="18"/>
          <w:color w:val="auto"/>
        </w:rPr>
      </w:pPr>
    </w:p>
    <w:p>
      <w:pPr>
        <w:jc w:val="both"/>
        <w:ind w:firstLine="1305"/>
        <w:spacing w:after="0" w:line="276" w:lineRule="auto"/>
        <w:tabs>
          <w:tab w:leader="none" w:pos="1809"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Minimum Extension Requirement</w:t>
      </w:r>
      <w:r>
        <w:rPr>
          <w:rFonts w:ascii="Arial" w:cs="Arial" w:eastAsia="Arial" w:hAnsi="Arial"/>
          <w:sz w:val="18"/>
          <w:szCs w:val="18"/>
          <w:color w:val="auto"/>
        </w:rPr>
        <w:t>. If (and only if) the total of the Revolving Commitments of the Lenders that have agreed so to extend their Termination Date and the additional Revolving Commitments of the Assuming Lenders shall be more than 50% of the aggregate amount of the Revolving Commitments in effect immediately prior to the applicable Anniversary Date, then, effective as of such Anniversary Date, the Termination Date of each Extending Lender and of each Assuming Lender shall be extended to the date falling one year after the Termination Date in effect for such Lenders (except that, if such date is not a Business Day, such Termination Date as so extended shall be the next preceding Business Day) and each Assuming Lender shall thereupon become a “Lender” for all purposes of this Agreement.</w:t>
      </w:r>
    </w:p>
    <w:p>
      <w:pPr>
        <w:spacing w:after="0" w:line="165" w:lineRule="exact"/>
        <w:rPr>
          <w:rFonts w:ascii="Arial" w:cs="Arial" w:eastAsia="Arial" w:hAnsi="Arial"/>
          <w:sz w:val="18"/>
          <w:szCs w:val="18"/>
          <w:color w:val="auto"/>
        </w:rPr>
      </w:pPr>
    </w:p>
    <w:p>
      <w:pPr>
        <w:ind w:right="20" w:firstLine="1305"/>
        <w:spacing w:after="0" w:line="287" w:lineRule="auto"/>
        <w:tabs>
          <w:tab w:leader="none" w:pos="1692"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 of Extensions</w:t>
      </w:r>
      <w:r>
        <w:rPr>
          <w:rFonts w:ascii="Arial" w:cs="Arial" w:eastAsia="Arial" w:hAnsi="Arial"/>
          <w:sz w:val="19"/>
          <w:szCs w:val="19"/>
          <w:color w:val="auto"/>
        </w:rPr>
        <w:t>. Notwithstanding the foregoing, the extension of the Termination Date pursuant to this Section shall not be effective with respect to any Lender unless on the Notice Date and on the Anniversary Date:</w:t>
      </w:r>
    </w:p>
    <w:p>
      <w:pPr>
        <w:spacing w:after="0" w:line="153" w:lineRule="exact"/>
        <w:rPr>
          <w:sz w:val="20"/>
          <w:szCs w:val="20"/>
          <w:color w:val="auto"/>
        </w:rPr>
      </w:pPr>
    </w:p>
    <w:p>
      <w:pPr>
        <w:ind w:left="1740" w:hanging="435"/>
        <w:spacing w:after="0"/>
        <w:tabs>
          <w:tab w:leader="none" w:pos="17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no Default shall have occurred and be continuing on such date and after giving effect to such extension;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85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representations and warranties contained in this Agreement are true and correct on and as of such date of such extension and after giving effect to such extension, as though made on and as of such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TO EFFECTIVENESS AND LENDING</w:t>
      </w:r>
    </w:p>
    <w:p>
      <w:pPr>
        <w:spacing w:after="0" w:line="225"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1"/>
          <w:szCs w:val="21"/>
          <w:u w:val="single" w:color="auto"/>
          <w:color w:val="auto"/>
        </w:rPr>
        <w:t>Conditions Precedent to Amendment and Restatement</w:t>
      </w:r>
      <w:r>
        <w:rPr>
          <w:rFonts w:ascii="Arial" w:cs="Arial" w:eastAsia="Arial" w:hAnsi="Arial"/>
          <w:sz w:val="21"/>
          <w:szCs w:val="21"/>
          <w:color w:val="auto"/>
        </w:rPr>
        <w:t>. This amendment and restatement of the</w:t>
      </w:r>
      <w:r>
        <w:rPr>
          <w:rFonts w:ascii="Arial" w:cs="Arial" w:eastAsia="Arial" w:hAnsi="Arial"/>
          <w:sz w:val="20"/>
          <w:szCs w:val="20"/>
          <w:color w:val="auto"/>
        </w:rPr>
        <w:t xml:space="preserve"> </w:t>
      </w:r>
      <w:r>
        <w:rPr>
          <w:rFonts w:ascii="Arial" w:cs="Arial" w:eastAsia="Arial" w:hAnsi="Arial"/>
          <w:sz w:val="21"/>
          <w:szCs w:val="21"/>
          <w:color w:val="auto"/>
        </w:rPr>
        <w:t>Existing Credit Agreement shall become effective on and as of the first date (the “</w:t>
      </w:r>
      <w:r>
        <w:rPr>
          <w:rFonts w:ascii="Arial" w:cs="Arial" w:eastAsia="Arial" w:hAnsi="Arial"/>
          <w:sz w:val="21"/>
          <w:szCs w:val="21"/>
          <w:u w:val="single" w:color="auto"/>
          <w:color w:val="auto"/>
        </w:rPr>
        <w:t>Effective Date</w:t>
      </w:r>
      <w:r>
        <w:rPr>
          <w:rFonts w:ascii="Arial" w:cs="Arial" w:eastAsia="Arial" w:hAnsi="Arial"/>
          <w:sz w:val="21"/>
          <w:szCs w:val="21"/>
          <w:color w:val="auto"/>
        </w:rPr>
        <w:t>”) on which the following conditions precedent have been satisfied</w:t>
      </w:r>
      <w:r>
        <w:rPr>
          <w:rFonts w:ascii="Arial" w:cs="Arial" w:eastAsia="Arial" w:hAnsi="Arial"/>
          <w:sz w:val="19"/>
          <w:szCs w:val="19"/>
          <w:color w:val="auto"/>
        </w:rPr>
        <w:t>:</w:t>
      </w:r>
    </w:p>
    <w:p>
      <w:pPr>
        <w:spacing w:after="0" w:line="165" w:lineRule="exact"/>
        <w:rPr>
          <w:sz w:val="20"/>
          <w:szCs w:val="20"/>
          <w:color w:val="auto"/>
        </w:rPr>
      </w:pPr>
    </w:p>
    <w:p>
      <w:pPr>
        <w:ind w:left="1720" w:hanging="415"/>
        <w:spacing w:after="0"/>
        <w:tabs>
          <w:tab w:leader="none" w:pos="172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There shall have occurred no Material Adverse Change since December 31, 2014.</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85"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There shall exist no action, suit, investigation, litigation or proceeding affecting the Borrower or any of its Subsidiaries pending or, to the knowledge of the Borrower, threatened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91" w:lineRule="exact"/>
        <w:rPr>
          <w:rFonts w:ascii="Arial" w:cs="Arial" w:eastAsia="Arial" w:hAnsi="Arial"/>
          <w:sz w:val="20"/>
          <w:szCs w:val="20"/>
          <w:color w:val="auto"/>
        </w:rPr>
      </w:pPr>
    </w:p>
    <w:p>
      <w:pPr>
        <w:jc w:val="both"/>
        <w:ind w:left="660" w:firstLine="645"/>
        <w:spacing w:after="0" w:line="291" w:lineRule="auto"/>
        <w:tabs>
          <w:tab w:leader="none" w:pos="17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Nothing shall have come to the attention of the Lender Parties during the course of their due diligence investigation to lead them to believe that the Information Memorandum was or has become misleading, incorrect or incomplete in any material respect; without limiting the generality of the foregoing, the Lender Parties shall have been given such access to the management, records,</w:t>
      </w:r>
    </w:p>
    <w:p>
      <w:pPr>
        <w:spacing w:after="0" w:line="393" w:lineRule="exact"/>
        <w:rPr>
          <w:sz w:val="20"/>
          <w:szCs w:val="20"/>
          <w:color w:val="auto"/>
        </w:rPr>
      </w:pPr>
    </w:p>
    <w:p>
      <w:pPr>
        <w:ind w:right="8680" w:firstLine="8"/>
        <w:spacing w:after="0" w:line="273" w:lineRule="auto"/>
        <w:tabs>
          <w:tab w:leader="none" w:pos="84" w:val="left"/>
        </w:tabs>
        <w:numPr>
          <w:ilvl w:val="0"/>
          <w:numId w:val="139"/>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96" w:name="page97"/>
    <w:bookmarkEnd w:id="96"/>
    <w:p>
      <w:pPr>
        <w:jc w:val="center"/>
        <w:ind w:right="-11"/>
        <w:spacing w:after="0"/>
        <w:rPr>
          <w:sz w:val="20"/>
          <w:szCs w:val="20"/>
          <w:color w:val="auto"/>
        </w:rPr>
      </w:pPr>
      <w:r>
        <w:rPr>
          <w:rFonts w:ascii="Arial" w:cs="Arial" w:eastAsia="Arial" w:hAnsi="Arial"/>
          <w:sz w:val="22"/>
          <w:szCs w:val="22"/>
          <w:color w:val="auto"/>
        </w:rPr>
        <w:t>37</w:t>
      </w:r>
    </w:p>
    <w:p>
      <w:pPr>
        <w:spacing w:after="0" w:line="200" w:lineRule="exact"/>
        <w:rPr>
          <w:sz w:val="20"/>
          <w:szCs w:val="20"/>
          <w:color w:val="auto"/>
        </w:rPr>
      </w:pPr>
    </w:p>
    <w:p>
      <w:pPr>
        <w:spacing w:after="0" w:line="294" w:lineRule="exact"/>
        <w:rPr>
          <w:sz w:val="20"/>
          <w:szCs w:val="20"/>
          <w:color w:val="auto"/>
        </w:rPr>
      </w:pPr>
    </w:p>
    <w:p>
      <w:pPr>
        <w:ind w:left="652"/>
        <w:spacing w:after="0"/>
        <w:rPr>
          <w:sz w:val="20"/>
          <w:szCs w:val="20"/>
          <w:color w:val="auto"/>
        </w:rPr>
      </w:pPr>
      <w:r>
        <w:rPr>
          <w:rFonts w:ascii="Arial" w:cs="Arial" w:eastAsia="Arial" w:hAnsi="Arial"/>
          <w:sz w:val="20"/>
          <w:szCs w:val="20"/>
          <w:color w:val="auto"/>
        </w:rPr>
        <w:t>books of account, contracts and properties of the Borrower and its Subsidiaries as they shall have requested.</w:t>
      </w:r>
    </w:p>
    <w:p>
      <w:pPr>
        <w:spacing w:after="0" w:line="216" w:lineRule="exact"/>
        <w:rPr>
          <w:sz w:val="20"/>
          <w:szCs w:val="20"/>
          <w:color w:val="auto"/>
        </w:rPr>
      </w:pPr>
    </w:p>
    <w:p>
      <w:pPr>
        <w:jc w:val="both"/>
        <w:ind w:left="652" w:firstLine="645"/>
        <w:spacing w:after="0" w:line="263" w:lineRule="auto"/>
        <w:tabs>
          <w:tab w:leader="none" w:pos="18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All governmental and third party consents and approvals necessary in connection with the transactions contemplated hereby shall have been obtained (without the imposition of any conditions that are not acceptable to the Lender Parties) and shall remain in effect, and no law or regulation shall be applicable in the reasonable judgment of the Lender Parties that restrains, prevents or imposes materially adverse conditions upon the transactions contemplated hereby.</w:t>
      </w:r>
    </w:p>
    <w:p>
      <w:pPr>
        <w:spacing w:after="0" w:line="176" w:lineRule="exact"/>
        <w:rPr>
          <w:rFonts w:ascii="Arial" w:cs="Arial" w:eastAsia="Arial" w:hAnsi="Arial"/>
          <w:sz w:val="19"/>
          <w:szCs w:val="19"/>
          <w:color w:val="auto"/>
        </w:rPr>
      </w:pPr>
    </w:p>
    <w:p>
      <w:pPr>
        <w:ind w:left="1712" w:hanging="415"/>
        <w:spacing w:after="0"/>
        <w:tabs>
          <w:tab w:leader="none" w:pos="171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Borrower shall have notified the Agent in writing as to the proposed Effective Date.</w:t>
      </w:r>
    </w:p>
    <w:p>
      <w:pPr>
        <w:spacing w:after="0" w:line="215" w:lineRule="exact"/>
        <w:rPr>
          <w:rFonts w:ascii="Arial" w:cs="Arial" w:eastAsia="Arial" w:hAnsi="Arial"/>
          <w:sz w:val="20"/>
          <w:szCs w:val="20"/>
          <w:color w:val="auto"/>
        </w:rPr>
      </w:pPr>
    </w:p>
    <w:p>
      <w:pPr>
        <w:jc w:val="both"/>
        <w:ind w:left="652" w:firstLine="645"/>
        <w:spacing w:after="0" w:line="250" w:lineRule="auto"/>
        <w:tabs>
          <w:tab w:leader="none" w:pos="171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Borrower shall have paid all accrued fees and expenses of the Agent and the Lenders (including the accrued fees and expenses of counsel to the Agent to the extent invoiced reasonably in advance of the Effective Date, and accrued facility fees under Section 2.04(a) of the Existing Credit Agreement).</w:t>
      </w:r>
    </w:p>
    <w:p>
      <w:pPr>
        <w:spacing w:after="0" w:line="186" w:lineRule="exact"/>
        <w:rPr>
          <w:rFonts w:ascii="Arial" w:cs="Arial" w:eastAsia="Arial" w:hAnsi="Arial"/>
          <w:sz w:val="20"/>
          <w:szCs w:val="20"/>
          <w:color w:val="auto"/>
        </w:rPr>
      </w:pPr>
    </w:p>
    <w:p>
      <w:pPr>
        <w:ind w:left="652" w:right="20" w:firstLine="645"/>
        <w:spacing w:after="0" w:line="287" w:lineRule="auto"/>
        <w:tabs>
          <w:tab w:leader="none" w:pos="177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On the Effective Date, the following statements shall be true and the Agent shall have received for the account of each Lender Party a certificate signed by a duly authorized officer of the Borrower, dated the Effective Date, stating that:</w:t>
      </w:r>
    </w:p>
    <w:p>
      <w:pPr>
        <w:spacing w:after="0" w:line="152" w:lineRule="exact"/>
        <w:rPr>
          <w:rFonts w:ascii="Arial" w:cs="Arial" w:eastAsia="Arial" w:hAnsi="Arial"/>
          <w:sz w:val="19"/>
          <w:szCs w:val="19"/>
          <w:color w:val="auto"/>
        </w:rPr>
      </w:pPr>
    </w:p>
    <w:p>
      <w:pPr>
        <w:ind w:left="2332" w:hanging="387"/>
        <w:spacing w:after="0"/>
        <w:tabs>
          <w:tab w:leader="none" w:pos="23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on and as of the Effective Date, and</w:t>
      </w:r>
    </w:p>
    <w:p>
      <w:pPr>
        <w:spacing w:after="0" w:line="238" w:lineRule="exact"/>
        <w:rPr>
          <w:rFonts w:ascii="Arial" w:cs="Arial" w:eastAsia="Arial" w:hAnsi="Arial"/>
          <w:sz w:val="18"/>
          <w:szCs w:val="18"/>
          <w:color w:val="auto"/>
        </w:rPr>
      </w:pPr>
    </w:p>
    <w:p>
      <w:pPr>
        <w:ind w:left="2392" w:hanging="447"/>
        <w:spacing w:after="0"/>
        <w:tabs>
          <w:tab w:leader="none" w:pos="2392" w:val="left"/>
        </w:tabs>
        <w:numPr>
          <w:ilvl w:val="1"/>
          <w:numId w:val="140"/>
        </w:numPr>
        <w:rPr>
          <w:rFonts w:ascii="Arial" w:cs="Arial" w:eastAsia="Arial" w:hAnsi="Arial"/>
          <w:sz w:val="20"/>
          <w:szCs w:val="20"/>
          <w:color w:val="auto"/>
        </w:rPr>
      </w:pPr>
      <w:r>
        <w:rPr>
          <w:rFonts w:ascii="Arial" w:cs="Arial" w:eastAsia="Arial" w:hAnsi="Arial"/>
          <w:sz w:val="20"/>
          <w:szCs w:val="20"/>
          <w:color w:val="auto"/>
        </w:rPr>
        <w:t>No event has occurred and is continuing that constitutes a Default.</w:t>
      </w:r>
    </w:p>
    <w:p>
      <w:pPr>
        <w:spacing w:after="0" w:line="215" w:lineRule="exact"/>
        <w:rPr>
          <w:rFonts w:ascii="Arial" w:cs="Arial" w:eastAsia="Arial" w:hAnsi="Arial"/>
          <w:sz w:val="20"/>
          <w:szCs w:val="20"/>
          <w:color w:val="auto"/>
        </w:rPr>
      </w:pPr>
    </w:p>
    <w:p>
      <w:pPr>
        <w:ind w:left="652" w:firstLine="645"/>
        <w:spacing w:after="0" w:line="260" w:lineRule="auto"/>
        <w:tabs>
          <w:tab w:leader="none" w:pos="175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Agent shall have received on or before the Effective Date the following, each dated such day, in form and substance satisfactory to the Agent and (except for the Notes) in sufficient copies for each Lender:</w:t>
      </w:r>
    </w:p>
    <w:p>
      <w:pPr>
        <w:spacing w:after="0" w:line="176" w:lineRule="exact"/>
        <w:rPr>
          <w:rFonts w:ascii="Arial" w:cs="Arial" w:eastAsia="Arial" w:hAnsi="Arial"/>
          <w:sz w:val="20"/>
          <w:szCs w:val="20"/>
          <w:color w:val="auto"/>
        </w:rPr>
      </w:pPr>
    </w:p>
    <w:p>
      <w:pPr>
        <w:ind w:left="2332" w:hanging="387"/>
        <w:spacing w:after="0"/>
        <w:tabs>
          <w:tab w:leader="none" w:pos="2332"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The Notes to the order of the Lenders to the extent requested by any Lender pursuant to Section 2.17.</w:t>
      </w:r>
    </w:p>
    <w:p>
      <w:pPr>
        <w:spacing w:after="0" w:line="215" w:lineRule="exact"/>
        <w:rPr>
          <w:rFonts w:ascii="Arial" w:cs="Arial" w:eastAsia="Arial" w:hAnsi="Arial"/>
          <w:sz w:val="20"/>
          <w:szCs w:val="20"/>
          <w:color w:val="auto"/>
        </w:rPr>
      </w:pPr>
    </w:p>
    <w:p>
      <w:pPr>
        <w:jc w:val="both"/>
        <w:ind w:left="1292" w:firstLine="653"/>
        <w:spacing w:after="0" w:line="250" w:lineRule="auto"/>
        <w:tabs>
          <w:tab w:leader="none" w:pos="2426" w:val="left"/>
        </w:tabs>
        <w:numPr>
          <w:ilvl w:val="1"/>
          <w:numId w:val="140"/>
        </w:numPr>
        <w:rPr>
          <w:rFonts w:ascii="Arial" w:cs="Arial" w:eastAsia="Arial" w:hAnsi="Arial"/>
          <w:sz w:val="20"/>
          <w:szCs w:val="20"/>
          <w:color w:val="auto"/>
        </w:rPr>
      </w:pPr>
      <w:r>
        <w:rPr>
          <w:rFonts w:ascii="Arial" w:cs="Arial" w:eastAsia="Arial" w:hAnsi="Arial"/>
          <w:sz w:val="20"/>
          <w:szCs w:val="20"/>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86" w:lineRule="exact"/>
        <w:rPr>
          <w:rFonts w:ascii="Arial" w:cs="Arial" w:eastAsia="Arial" w:hAnsi="Arial"/>
          <w:sz w:val="20"/>
          <w:szCs w:val="20"/>
          <w:color w:val="auto"/>
        </w:rPr>
      </w:pPr>
    </w:p>
    <w:p>
      <w:pPr>
        <w:jc w:val="both"/>
        <w:ind w:left="1292" w:firstLine="653"/>
        <w:spacing w:after="0" w:line="250" w:lineRule="auto"/>
        <w:tabs>
          <w:tab w:leader="none" w:pos="2452"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86" w:lineRule="exact"/>
        <w:rPr>
          <w:rFonts w:ascii="Arial" w:cs="Arial" w:eastAsia="Arial" w:hAnsi="Arial"/>
          <w:sz w:val="20"/>
          <w:szCs w:val="20"/>
          <w:color w:val="auto"/>
        </w:rPr>
      </w:pPr>
    </w:p>
    <w:p>
      <w:pPr>
        <w:ind w:left="1292" w:firstLine="653"/>
        <w:spacing w:after="0" w:line="260" w:lineRule="auto"/>
        <w:tabs>
          <w:tab w:leader="none" w:pos="2455"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 favorable opinion of Godfrey &amp; Kahn, S.C., counsel for the Borrower, substantially in the form of Exhibit E hereto and as to such other matters as any Lender Party through the Agent may reasonably request.</w:t>
      </w:r>
    </w:p>
    <w:p>
      <w:pPr>
        <w:spacing w:after="0" w:line="176" w:lineRule="exact"/>
        <w:rPr>
          <w:rFonts w:ascii="Arial" w:cs="Arial" w:eastAsia="Arial" w:hAnsi="Arial"/>
          <w:sz w:val="20"/>
          <w:szCs w:val="20"/>
          <w:color w:val="auto"/>
        </w:rPr>
      </w:pPr>
    </w:p>
    <w:p>
      <w:pPr>
        <w:ind w:left="2372" w:hanging="427"/>
        <w:spacing w:after="0"/>
        <w:tabs>
          <w:tab w:leader="none" w:pos="237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favorable opinion of Shearman &amp; Sterling LLP, counsel for the Agent, in form and substance satisfactory to the</w:t>
      </w:r>
    </w:p>
    <w:p>
      <w:pPr>
        <w:spacing w:after="0" w:line="38" w:lineRule="exact"/>
        <w:rPr>
          <w:rFonts w:ascii="Arial" w:cs="Arial" w:eastAsia="Arial" w:hAnsi="Arial"/>
          <w:sz w:val="18"/>
          <w:szCs w:val="18"/>
          <w:color w:val="auto"/>
        </w:rPr>
      </w:pPr>
    </w:p>
    <w:p>
      <w:pPr>
        <w:ind w:left="1292"/>
        <w:spacing w:after="0"/>
        <w:rPr>
          <w:rFonts w:ascii="Arial" w:cs="Arial" w:eastAsia="Arial" w:hAnsi="Arial"/>
          <w:sz w:val="18"/>
          <w:szCs w:val="18"/>
          <w:color w:val="auto"/>
        </w:rPr>
      </w:pPr>
      <w:r>
        <w:rPr>
          <w:rFonts w:ascii="Arial" w:cs="Arial" w:eastAsia="Arial" w:hAnsi="Arial"/>
          <w:sz w:val="20"/>
          <w:szCs w:val="20"/>
          <w:color w:val="auto"/>
        </w:rPr>
        <w:t>Agent.</w:t>
      </w:r>
    </w:p>
    <w:p>
      <w:pPr>
        <w:spacing w:after="0" w:line="200" w:lineRule="exact"/>
        <w:rPr>
          <w:sz w:val="20"/>
          <w:szCs w:val="20"/>
          <w:color w:val="auto"/>
        </w:rPr>
      </w:pPr>
    </w:p>
    <w:p>
      <w:pPr>
        <w:spacing w:after="0" w:line="241" w:lineRule="exact"/>
        <w:rPr>
          <w:sz w:val="20"/>
          <w:szCs w:val="20"/>
          <w:color w:val="auto"/>
        </w:rPr>
      </w:pPr>
    </w:p>
    <w:p>
      <w:pPr>
        <w:ind w:left="-8" w:right="8680" w:firstLine="8"/>
        <w:spacing w:after="0" w:line="273" w:lineRule="auto"/>
        <w:tabs>
          <w:tab w:leader="none" w:pos="76"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12"/>
          </w:cols>
          <w:pgMar w:left="248" w:top="132"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color w:val="auto"/>
        </w:rPr>
        <w:t>38</w:t>
      </w:r>
    </w:p>
    <w:p>
      <w:pPr>
        <w:spacing w:after="0" w:line="200" w:lineRule="exact"/>
        <w:rPr>
          <w:sz w:val="20"/>
          <w:szCs w:val="20"/>
          <w:color w:val="auto"/>
        </w:rPr>
      </w:pPr>
    </w:p>
    <w:p>
      <w:pPr>
        <w:spacing w:after="0" w:line="29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Conditions Precedent to Each Borrowing, Each Issuance of Letters of Credit and Commitment Increase</w:t>
      </w:r>
      <w:r>
        <w:rPr>
          <w:rFonts w:ascii="Arial" w:cs="Arial" w:eastAsia="Arial" w:hAnsi="Arial"/>
          <w:sz w:val="19"/>
          <w:szCs w:val="19"/>
          <w:color w:val="auto"/>
        </w:rPr>
        <w:t>. The obligation of each Lender to make a Revolving Credit Advance on the occasion of each Borrowing, and the obligation of the Issuing Banks to issue a Letter of Credit and each Commitment Increase shall be subject to the conditions precedent that the Effective Date shall have occurred and on the date of such Borrowing, issuance of Letter of Credit or the applicable Increase Date (a) the following statements shall be true (and each of the giving of the applicable Notice of Borrowing, Notice of Issuance, request for Commitment Increase and the acceptance by the Borrower of the proceeds of such Borrowing shall constitute a representation and warranty by the Borrower that on the date of such Borrowing, such issuance of Letter of Credit or such Increase Date such statements are true):</w:t>
      </w:r>
    </w:p>
    <w:p>
      <w:pPr>
        <w:spacing w:after="0" w:line="179" w:lineRule="exact"/>
        <w:rPr>
          <w:sz w:val="20"/>
          <w:szCs w:val="20"/>
          <w:color w:val="auto"/>
        </w:rPr>
      </w:pPr>
    </w:p>
    <w:p>
      <w:pPr>
        <w:jc w:val="both"/>
        <w:ind w:left="660" w:firstLine="645"/>
        <w:spacing w:after="0" w:line="263" w:lineRule="auto"/>
        <w:tabs>
          <w:tab w:leader="none" w:pos="171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4.01 (except, in the case of Borrowings and issuance of Letters of Credit, the representations set forth in the last sentence of subsection (e) thereof and in subsection (f)(i) thereof) are correct on and as of such date, before and after giving effect to such Borrowing, such issuance of Letter of Credit or such Commitment Increase and to the application of the proceeds therefrom, as though made on and as of such date, and</w:t>
      </w:r>
    </w:p>
    <w:p>
      <w:pPr>
        <w:spacing w:after="0" w:line="176" w:lineRule="exact"/>
        <w:rPr>
          <w:rFonts w:ascii="Arial" w:cs="Arial" w:eastAsia="Arial" w:hAnsi="Arial"/>
          <w:sz w:val="19"/>
          <w:szCs w:val="19"/>
          <w:color w:val="auto"/>
        </w:rPr>
      </w:pPr>
    </w:p>
    <w:p>
      <w:pPr>
        <w:ind w:left="660" w:firstLine="645"/>
        <w:spacing w:after="0" w:line="260" w:lineRule="auto"/>
        <w:tabs>
          <w:tab w:leader="none" w:pos="177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no event has occurred and is continuing, or would result from such Borrowing, such issuance of Letter of Credit or such Commitment Increase or from the application of the proceeds therefrom, that constitutes a Default;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(b) the Agent shall have received such other approvals, opinions or documents as any Lender Party through the Agent may reasonably request to confirm the foregoing.</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In addition to the other conditions precedent herein set forth, if any Lender becomes, and during the period it remains, a Defaulting Lender, no Issuing Bank will be required to issue any Letter of Credit or to amend any outstanding Letter of Credit to increase the face amount thereof, alter the drawing terms thereunder or extend the expiry date thereof unless such Issuing Bank is reasonably satisfied that any exposure that would result therefrom is eliminated or fully covered by the Revolving Credit Commitments of the Non-Defaulting Lenders or by Cash Collateralization or a combination thereof reasonably satisfactory to such Issuing Bank.</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Determinations Under Section 3.01</w:t>
      </w:r>
      <w:r>
        <w:rPr>
          <w:rFonts w:ascii="Arial" w:cs="Arial" w:eastAsia="Arial" w:hAnsi="Arial"/>
          <w:sz w:val="19"/>
          <w:szCs w:val="19"/>
          <w:color w:val="auto"/>
        </w:rPr>
        <w:t>.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Agent responsible for the transactions contemplated by this Agreement shall have received notice from such Lender Party prior to the date that the Borrower, by notice to the Lender Parties, designates as the proposed Effective Date, specifying its objection thereto. The Agent shall promptly notify the Lender Parties of the occurrence of the Effective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Representations and Warranties of the Borrower</w:t>
      </w:r>
      <w:r>
        <w:rPr>
          <w:rFonts w:ascii="Arial" w:cs="Arial" w:eastAsia="Arial" w:hAnsi="Arial"/>
          <w:sz w:val="19"/>
          <w:szCs w:val="19"/>
          <w:color w:val="auto"/>
        </w:rPr>
        <w:t>. The Borrower represents and warrants as follows:</w:t>
      </w:r>
    </w:p>
    <w:p>
      <w:pPr>
        <w:spacing w:after="0" w:line="227" w:lineRule="exact"/>
        <w:rPr>
          <w:sz w:val="20"/>
          <w:szCs w:val="20"/>
          <w:color w:val="auto"/>
        </w:rPr>
      </w:pPr>
    </w:p>
    <w:p>
      <w:pPr>
        <w:ind w:left="1840" w:hanging="535"/>
        <w:spacing w:after="0"/>
        <w:tabs>
          <w:tab w:leader="none" w:pos="184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Borrower is a corporation duly organized, validly existing and in good standing under the laws of the State of</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Wisconsin.</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100" w:hanging="92"/>
        <w:spacing w:after="0"/>
        <w:tabs>
          <w:tab w:leader="none" w:pos="1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t>39</w:t>
      </w:r>
    </w:p>
    <w:p>
      <w:pPr>
        <w:spacing w:after="0" w:line="200" w:lineRule="exact"/>
        <w:rPr>
          <w:sz w:val="20"/>
          <w:szCs w:val="20"/>
          <w:color w:val="auto"/>
        </w:rPr>
      </w:pPr>
    </w:p>
    <w:p>
      <w:pPr>
        <w:spacing w:after="0" w:line="294" w:lineRule="exact"/>
        <w:rPr>
          <w:sz w:val="20"/>
          <w:szCs w:val="20"/>
          <w:color w:val="auto"/>
        </w:rPr>
      </w:pPr>
    </w:p>
    <w:p>
      <w:pPr>
        <w:jc w:val="both"/>
        <w:ind w:left="660" w:firstLine="645"/>
        <w:spacing w:after="0" w:line="235" w:lineRule="exact"/>
        <w:tabs>
          <w:tab w:leader="none" w:pos="175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execution, delivery and performance by the Borrower of this Agreement and the Notes to be delivered by it, and the consummation of the transactions contemplated hereby, are within the Borrower’s corporate powers, have been duly authorized by all necessary corporate action, and do not contravene (i) the Borrower’s charter or by</w:t>
      </w:r>
      <w:r>
        <w:rPr>
          <w:rFonts w:ascii="MS PGothic" w:cs="MS PGothic" w:eastAsia="MS PGothic" w:hAnsi="MS PGothic"/>
          <w:sz w:val="20"/>
          <w:szCs w:val="20"/>
          <w:color w:val="auto"/>
        </w:rPr>
        <w:t>‑</w:t>
      </w:r>
      <w:r>
        <w:rPr>
          <w:rFonts w:ascii="Arial" w:cs="Arial" w:eastAsia="Arial" w:hAnsi="Arial"/>
          <w:sz w:val="20"/>
          <w:szCs w:val="20"/>
          <w:color w:val="auto"/>
        </w:rPr>
        <w:t>laws or (ii) law or any material contractual restriction binding on or affecting the Borrower.</w:t>
      </w:r>
    </w:p>
    <w:p>
      <w:pPr>
        <w:spacing w:after="0" w:line="195" w:lineRule="exact"/>
        <w:rPr>
          <w:rFonts w:ascii="Arial" w:cs="Arial" w:eastAsia="Arial" w:hAnsi="Arial"/>
          <w:sz w:val="20"/>
          <w:szCs w:val="20"/>
          <w:color w:val="auto"/>
        </w:rPr>
      </w:pPr>
    </w:p>
    <w:p>
      <w:pPr>
        <w:jc w:val="both"/>
        <w:ind w:left="660" w:firstLine="645"/>
        <w:spacing w:after="0" w:line="250" w:lineRule="auto"/>
        <w:tabs>
          <w:tab w:leader="none" w:pos="174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 to be delivered by it.</w:t>
      </w:r>
    </w:p>
    <w:p>
      <w:pPr>
        <w:spacing w:after="0" w:line="186" w:lineRule="exact"/>
        <w:rPr>
          <w:rFonts w:ascii="Arial" w:cs="Arial" w:eastAsia="Arial" w:hAnsi="Arial"/>
          <w:sz w:val="20"/>
          <w:szCs w:val="20"/>
          <w:color w:val="auto"/>
        </w:rPr>
      </w:pPr>
    </w:p>
    <w:p>
      <w:pPr>
        <w:jc w:val="both"/>
        <w:ind w:left="660" w:firstLine="645"/>
        <w:spacing w:after="0" w:line="244" w:lineRule="auto"/>
        <w:tabs>
          <w:tab w:leader="none" w:pos="181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This Agreement has been, and each of the Notes to be delivered by it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 except as such enforceability may be limited by applicable bankruptcy, insolvency, reorganization, moratorium or similar laws affecting the enforcement of creditors’ rights generally and by general equitable principles.</w:t>
      </w:r>
    </w:p>
    <w:p>
      <w:pPr>
        <w:spacing w:after="0" w:line="194" w:lineRule="exact"/>
        <w:rPr>
          <w:rFonts w:ascii="Arial" w:cs="Arial" w:eastAsia="Arial" w:hAnsi="Arial"/>
          <w:sz w:val="20"/>
          <w:szCs w:val="20"/>
          <w:color w:val="auto"/>
        </w:rPr>
      </w:pPr>
    </w:p>
    <w:p>
      <w:pPr>
        <w:jc w:val="both"/>
        <w:ind w:left="660" w:firstLine="645"/>
        <w:spacing w:after="0" w:line="232" w:lineRule="exact"/>
        <w:tabs>
          <w:tab w:leader="none" w:pos="191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Consolidated balance sheet of the Borrower and its Subsidiaries as at December 31, 2014, and the related Consolidated statements of income and cash flows of the Borrower and its Subsidiaries for the fiscal year then ended, accompanied by an opinion of Deloitte &amp; Touche LLP, an independent registered public accounting firm, and the Consolidated balance sheet of the Borrower and its Subsidiaries as at June 30, 2015, and the related Consolidated statements of income and cash flows of the Borrower and its Subsidiaries for the six months then ended, duly certified by the chief financial officer of the Borrower, copies of which have been furnished to each Lender Party, fairly present in all material respects, subject, in the case of said balance sheet as at June 30, 2015, and said statements of income and cash flows for the six months then ended, to year</w:t>
      </w:r>
      <w:r>
        <w:rPr>
          <w:rFonts w:ascii="MS PGothic" w:cs="MS PGothic" w:eastAsia="MS PGothic" w:hAnsi="MS PGothic"/>
          <w:sz w:val="18"/>
          <w:szCs w:val="18"/>
          <w:color w:val="auto"/>
        </w:rPr>
        <w:t>‑</w:t>
      </w:r>
      <w:r>
        <w:rPr>
          <w:rFonts w:ascii="Arial" w:cs="Arial" w:eastAsia="Arial" w:hAnsi="Arial"/>
          <w:sz w:val="18"/>
          <w:szCs w:val="18"/>
          <w:color w:val="auto"/>
        </w:rPr>
        <w:t>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Since December 31, 2014, there has been no Material Adverse Change.</w:t>
      </w:r>
    </w:p>
    <w:p>
      <w:pPr>
        <w:spacing w:after="0" w:line="200" w:lineRule="exact"/>
        <w:rPr>
          <w:rFonts w:ascii="Arial" w:cs="Arial" w:eastAsia="Arial" w:hAnsi="Arial"/>
          <w:sz w:val="18"/>
          <w:szCs w:val="18"/>
          <w:color w:val="auto"/>
        </w:rPr>
      </w:pPr>
    </w:p>
    <w:p>
      <w:pPr>
        <w:jc w:val="both"/>
        <w:ind w:left="660" w:firstLine="645"/>
        <w:spacing w:after="0" w:line="263" w:lineRule="auto"/>
        <w:tabs>
          <w:tab w:leader="none" w:pos="173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reasonably likely to have a Material Adverse Effect or (ii) purports to affect the legality, validity or enforceability of this Agreement or any Note or the consummation of the transactions contemplated hereby.</w:t>
      </w:r>
    </w:p>
    <w:p>
      <w:pPr>
        <w:spacing w:after="0" w:line="176" w:lineRule="exact"/>
        <w:rPr>
          <w:rFonts w:ascii="Arial" w:cs="Arial" w:eastAsia="Arial" w:hAnsi="Arial"/>
          <w:sz w:val="19"/>
          <w:szCs w:val="19"/>
          <w:color w:val="auto"/>
        </w:rPr>
      </w:pPr>
    </w:p>
    <w:p>
      <w:pPr>
        <w:jc w:val="both"/>
        <w:ind w:left="660" w:firstLine="645"/>
        <w:spacing w:after="0" w:line="244" w:lineRule="auto"/>
        <w:tabs>
          <w:tab w:leader="none" w:pos="173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194" w:lineRule="exact"/>
        <w:rPr>
          <w:rFonts w:ascii="Arial" w:cs="Arial" w:eastAsia="Arial" w:hAnsi="Arial"/>
          <w:sz w:val="20"/>
          <w:szCs w:val="20"/>
          <w:color w:val="auto"/>
        </w:rPr>
      </w:pPr>
    </w:p>
    <w:p>
      <w:pPr>
        <w:ind w:left="660" w:firstLine="645"/>
        <w:spacing w:after="0" w:line="260" w:lineRule="auto"/>
        <w:tabs>
          <w:tab w:leader="none" w:pos="175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No proceeds of any Advance will be used to acquire any equity security of a class which is registered pursuant to Section 12 of the Securities Exchange Act of 1934 if the Borrower</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14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color w:val="auto"/>
        </w:rPr>
        <w:t>40</w:t>
      </w: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has reason to know that the board of directors of the issuer of such equity security opposes or will oppose such acquisition.</w:t>
      </w:r>
    </w:p>
    <w:p>
      <w:pPr>
        <w:spacing w:after="0" w:line="227" w:lineRule="exact"/>
        <w:rPr>
          <w:sz w:val="20"/>
          <w:szCs w:val="20"/>
          <w:color w:val="auto"/>
        </w:rPr>
      </w:pPr>
    </w:p>
    <w:p>
      <w:pPr>
        <w:jc w:val="both"/>
        <w:ind w:left="660" w:firstLine="645"/>
        <w:spacing w:after="0" w:line="246" w:lineRule="auto"/>
        <w:tabs>
          <w:tab w:leader="none" w:pos="1739" w:val="left"/>
        </w:tabs>
        <w:numPr>
          <w:ilvl w:val="1"/>
          <w:numId w:val="146"/>
        </w:numPr>
        <w:rPr>
          <w:rFonts w:ascii="Arial" w:cs="Arial" w:eastAsia="Arial" w:hAnsi="Arial"/>
          <w:sz w:val="20"/>
          <w:szCs w:val="20"/>
          <w:color w:val="auto"/>
        </w:rPr>
      </w:pPr>
      <w:r>
        <w:rPr>
          <w:rFonts w:ascii="Arial" w:cs="Arial" w:eastAsia="Arial" w:hAnsi="Arial"/>
          <w:sz w:val="20"/>
          <w:szCs w:val="20"/>
          <w:color w:val="auto"/>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spacing w:after="0" w:line="191" w:lineRule="exact"/>
        <w:rPr>
          <w:rFonts w:ascii="Arial" w:cs="Arial" w:eastAsia="Arial" w:hAnsi="Arial"/>
          <w:sz w:val="20"/>
          <w:szCs w:val="20"/>
          <w:color w:val="auto"/>
        </w:rPr>
      </w:pPr>
    </w:p>
    <w:p>
      <w:pPr>
        <w:jc w:val="both"/>
        <w:ind w:left="660" w:firstLine="645"/>
        <w:spacing w:after="0" w:line="275" w:lineRule="auto"/>
        <w:tabs>
          <w:tab w:leader="none" w:pos="172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operations of the Borrower and each of its Domestic Subsidiaries comply in all material respects with all applicable ERISA, environmental, health and safety requirements of law the failure to comply with which would have a Material Adverse Effect;</w:t>
      </w:r>
    </w:p>
    <w:p>
      <w:pPr>
        <w:jc w:val="both"/>
        <w:ind w:left="660" w:hanging="4"/>
        <w:spacing w:after="0" w:line="271" w:lineRule="auto"/>
        <w:tabs>
          <w:tab w:leader="none" w:pos="95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operations of each Foreign Subsidiary of the Borrower comply in all material respects with all applicable environmental, health and safety requirements of law, the failure to comply with which would have a Material Adverse Effect; and (iii) prior to the date hereof, the Borrower shall have inspected, and shall have caused each of its Domestic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“Domestic Subsidiary” means a Subsidiary organized under the laws of, or having its principal place of business within, a jurisdiction located in the United States and the term “Foreign Subsidiary” means any other Subsidiary.</w:t>
      </w:r>
    </w:p>
    <w:p>
      <w:pPr>
        <w:spacing w:after="0" w:line="171" w:lineRule="exact"/>
        <w:rPr>
          <w:rFonts w:ascii="Arial" w:cs="Arial" w:eastAsia="Arial" w:hAnsi="Arial"/>
          <w:sz w:val="18"/>
          <w:szCs w:val="18"/>
          <w:color w:val="auto"/>
        </w:rPr>
      </w:pPr>
    </w:p>
    <w:p>
      <w:pPr>
        <w:ind w:left="660" w:firstLine="645"/>
        <w:spacing w:after="0" w:line="260" w:lineRule="auto"/>
        <w:tabs>
          <w:tab w:leader="none" w:pos="1839" w:val="left"/>
        </w:tabs>
        <w:numPr>
          <w:ilvl w:val="1"/>
          <w:numId w:val="147"/>
        </w:numPr>
        <w:rPr>
          <w:rFonts w:ascii="Arial" w:cs="Arial" w:eastAsia="Arial" w:hAnsi="Arial"/>
          <w:sz w:val="20"/>
          <w:szCs w:val="20"/>
          <w:color w:val="auto"/>
        </w:rPr>
      </w:pPr>
      <w:r>
        <w:rPr>
          <w:rFonts w:ascii="Arial" w:cs="Arial" w:eastAsia="Arial" w:hAnsi="Arial"/>
          <w:sz w:val="20"/>
          <w:szCs w:val="20"/>
          <w:color w:val="auto"/>
        </w:rPr>
        <w:t>The Borrower is not an “investment company”, or a company “controlled” by an “investment company”, within the meaning of the Investment Company Act of 1940, as amended.</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1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All information furnished to the Agent or any Lender Party by or at the direction of the Borrower in connection with this Agreement was, on the date furnished, true and correct in all material respects and did not fail to state any fact the omission of which rendered the information provided materially misleading in any material respect.</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813" w:val="left"/>
        </w:tabs>
        <w:numPr>
          <w:ilvl w:val="1"/>
          <w:numId w:val="147"/>
        </w:numPr>
        <w:rPr>
          <w:rFonts w:ascii="Arial" w:cs="Arial" w:eastAsia="Arial" w:hAnsi="Arial"/>
          <w:sz w:val="20"/>
          <w:szCs w:val="20"/>
          <w:color w:val="auto"/>
        </w:rPr>
      </w:pPr>
      <w:r>
        <w:rPr>
          <w:rFonts w:ascii="Arial" w:cs="Arial" w:eastAsia="Arial" w:hAnsi="Arial"/>
          <w:sz w:val="20"/>
          <w:szCs w:val="20"/>
          <w:color w:val="auto"/>
        </w:rPr>
        <w:t>The Borrower and its Subsidiaries and, to the knowledge of the Borrower, their respective directors, officers, employees and agents, are in compliance with Anti-Corruption Laws, AML Laws and applicable Sanctions in all material respects. None of the Borrower, any Subsidiary or, to the knowledge of the Borrower or such Subsidiary, any of their respective directors, officers, employees or any agents, is a Sanctioned Person.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COVENANTS OF THE BORROWER</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Affirmative Covenants</w:t>
      </w:r>
      <w:r>
        <w:rPr>
          <w:rFonts w:ascii="Arial" w:cs="Arial" w:eastAsia="Arial" w:hAnsi="Arial"/>
          <w:sz w:val="20"/>
          <w:szCs w:val="20"/>
          <w:color w:val="auto"/>
        </w:rPr>
        <w:t>. So long as any Advance shall remain unpaid, any Lender shall have any Commitment hereunder or any Letter of Credit shall be outstanding, the Borrower will:</w:t>
      </w:r>
    </w:p>
    <w:p>
      <w:pPr>
        <w:spacing w:after="0" w:line="177" w:lineRule="exact"/>
        <w:rPr>
          <w:sz w:val="20"/>
          <w:szCs w:val="20"/>
          <w:color w:val="auto"/>
        </w:rPr>
      </w:pPr>
    </w:p>
    <w:p>
      <w:pPr>
        <w:jc w:val="both"/>
        <w:ind w:left="660" w:firstLine="645"/>
        <w:spacing w:after="0" w:line="246" w:lineRule="auto"/>
        <w:tabs>
          <w:tab w:leader="none" w:pos="1834"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Compliance with Laws, Etc</w:t>
      </w:r>
      <w:r>
        <w:rPr>
          <w:rFonts w:ascii="Arial" w:cs="Arial" w:eastAsia="Arial" w:hAnsi="Arial"/>
          <w:sz w:val="20"/>
          <w:szCs w:val="20"/>
          <w:color w:val="auto"/>
        </w:rPr>
        <w:t>. Comply, and cause each of its Subsidiaries to comply, in all material respects, with all applicable laws, rules, regulations and orders, such compliance to include, without limitation, compliance with ERISA and Environmental Laws, and maintain in effect and enforce policies and procedures reasonably designed to ensure compliance in all material respects</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ind w:left="100" w:hanging="92"/>
        <w:spacing w:after="0"/>
        <w:tabs>
          <w:tab w:leader="none" w:pos="1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color w:val="auto"/>
        </w:rPr>
        <w:t>41</w:t>
      </w:r>
    </w:p>
    <w:p>
      <w:pPr>
        <w:spacing w:after="0" w:line="200" w:lineRule="exact"/>
        <w:rPr>
          <w:sz w:val="20"/>
          <w:szCs w:val="20"/>
          <w:color w:val="auto"/>
        </w:rPr>
      </w:pPr>
    </w:p>
    <w:p>
      <w:pPr>
        <w:spacing w:after="0" w:line="294"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by the Borrower, its Subsidiaries and their respective directors, officers, employees and agents with Anti-Corruption Laws, AML Laws and applicable Sanctions.</w:t>
      </w:r>
    </w:p>
    <w:p>
      <w:pPr>
        <w:spacing w:after="0" w:line="177" w:lineRule="exact"/>
        <w:rPr>
          <w:sz w:val="20"/>
          <w:szCs w:val="20"/>
          <w:color w:val="auto"/>
        </w:rPr>
      </w:pPr>
    </w:p>
    <w:p>
      <w:pPr>
        <w:jc w:val="both"/>
        <w:ind w:left="660" w:firstLine="645"/>
        <w:spacing w:after="0" w:line="243" w:lineRule="auto"/>
        <w:tabs>
          <w:tab w:leader="none" w:pos="1764"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Payment of Taxes, Etc</w:t>
      </w:r>
      <w:r>
        <w:rPr>
          <w:rFonts w:ascii="Arial" w:cs="Arial" w:eastAsia="Arial" w:hAnsi="Arial"/>
          <w:sz w:val="20"/>
          <w:szCs w:val="20"/>
          <w:color w:val="auto"/>
        </w:rPr>
        <w:t xml:space="preserve">.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neither the Borrower nor any of its Subsidiaries shall be required to pay or discharge any such tax, assessment, charge or claim that is being contested in good faith and by proper proceedings and as to which appropriate reserves are being maintained, unless and until any Lien resulting therefrom attaches to its property and becomes enforceable against its other creditors (unless such Lien would be permitted in accordance with Section 5.02(a)).</w:t>
      </w:r>
    </w:p>
    <w:p>
      <w:pPr>
        <w:spacing w:after="0" w:line="193" w:lineRule="exact"/>
        <w:rPr>
          <w:rFonts w:ascii="Arial" w:cs="Arial" w:eastAsia="Arial" w:hAnsi="Arial"/>
          <w:sz w:val="20"/>
          <w:szCs w:val="20"/>
          <w:color w:val="auto"/>
        </w:rPr>
      </w:pPr>
    </w:p>
    <w:p>
      <w:pPr>
        <w:jc w:val="both"/>
        <w:ind w:left="660" w:firstLine="645"/>
        <w:spacing w:after="0" w:line="291" w:lineRule="auto"/>
        <w:tabs>
          <w:tab w:leader="none" w:pos="184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w:t>
      </w:r>
    </w:p>
    <w:p>
      <w:pPr>
        <w:spacing w:after="0" w:line="151" w:lineRule="exact"/>
        <w:rPr>
          <w:rFonts w:ascii="Arial" w:cs="Arial" w:eastAsia="Arial" w:hAnsi="Arial"/>
          <w:sz w:val="18"/>
          <w:szCs w:val="18"/>
          <w:color w:val="auto"/>
        </w:rPr>
      </w:pPr>
    </w:p>
    <w:p>
      <w:pPr>
        <w:jc w:val="both"/>
        <w:ind w:left="660" w:firstLine="645"/>
        <w:spacing w:after="0" w:line="243" w:lineRule="auto"/>
        <w:tabs>
          <w:tab w:leader="none" w:pos="1777"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Preservation of Corporate Existence, Etc</w:t>
      </w:r>
      <w:r>
        <w:rPr>
          <w:rFonts w:ascii="Arial" w:cs="Arial" w:eastAsia="Arial" w:hAnsi="Arial"/>
          <w:sz w:val="20"/>
          <w:szCs w:val="20"/>
          <w:color w:val="auto"/>
        </w:rPr>
        <w:t xml:space="preserve">. Preserve and maintain, and cause each of its Material Subsidiaries to preserve and maintain, its corporate existence, and its material rights (charter and statutory) and franchises;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Borrower and its Subsidiaries may consummate any merger or consolidation permitted under Section 5.02(b),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neither the Borrower nor any of its Subsidiaries shall be required to preserve any right or franchise if the Board of Directors of the Borrower or such Subsidiary shall determine that the preservation thereof is no longer desirable in the conduct of the business of the Borrower or such Subsidiary, as the case may be, and that the loss thereof is not disadvantageous in any material respect to the Borrower, such Subsidiary or the Lenders.</w:t>
      </w:r>
    </w:p>
    <w:p>
      <w:pPr>
        <w:spacing w:after="0" w:line="193" w:lineRule="exact"/>
        <w:rPr>
          <w:rFonts w:ascii="Arial" w:cs="Arial" w:eastAsia="Arial" w:hAnsi="Arial"/>
          <w:sz w:val="20"/>
          <w:szCs w:val="20"/>
          <w:color w:val="auto"/>
        </w:rPr>
      </w:pPr>
    </w:p>
    <w:p>
      <w:pPr>
        <w:jc w:val="both"/>
        <w:ind w:left="660" w:firstLine="645"/>
        <w:spacing w:after="0" w:line="282" w:lineRule="auto"/>
        <w:tabs>
          <w:tab w:leader="none" w:pos="17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Visitation Rights</w:t>
      </w:r>
      <w:r>
        <w:rPr>
          <w:rFonts w:ascii="Arial" w:cs="Arial" w:eastAsia="Arial" w:hAnsi="Arial"/>
          <w:sz w:val="18"/>
          <w:szCs w:val="18"/>
          <w:color w:val="auto"/>
        </w:rPr>
        <w:t>. At any reasonable time and from time to time, permit the Agent or any of the Lender Parties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officers or directors and with their independent certified public accountants.</w:t>
      </w:r>
    </w:p>
    <w:p>
      <w:pPr>
        <w:spacing w:after="0" w:line="161" w:lineRule="exact"/>
        <w:rPr>
          <w:rFonts w:ascii="Arial" w:cs="Arial" w:eastAsia="Arial" w:hAnsi="Arial"/>
          <w:sz w:val="18"/>
          <w:szCs w:val="18"/>
          <w:color w:val="auto"/>
        </w:rPr>
      </w:pPr>
    </w:p>
    <w:p>
      <w:pPr>
        <w:jc w:val="both"/>
        <w:ind w:left="660" w:firstLine="645"/>
        <w:spacing w:after="0" w:line="269" w:lineRule="auto"/>
        <w:tabs>
          <w:tab w:leader="none" w:pos="1718"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Keeping of Books</w:t>
      </w:r>
      <w:r>
        <w:rPr>
          <w:rFonts w:ascii="Arial" w:cs="Arial" w:eastAsia="Arial" w:hAnsi="Arial"/>
          <w:sz w:val="19"/>
          <w:szCs w:val="19"/>
          <w:color w:val="auto"/>
        </w:rPr>
        <w:t>. Keep, and cause each of its Consolidated Subsidiaries to keep, proper books of record and account, in which full and correct entries shall be made of all financial transactions and the assets and business of the Borrower and each such Subsidiary in accordance with generally accepted accounting principles in effect from time to time.</w:t>
      </w:r>
    </w:p>
    <w:p>
      <w:pPr>
        <w:spacing w:after="0" w:line="170" w:lineRule="exact"/>
        <w:rPr>
          <w:rFonts w:ascii="Arial" w:cs="Arial" w:eastAsia="Arial" w:hAnsi="Arial"/>
          <w:sz w:val="19"/>
          <w:szCs w:val="19"/>
          <w:color w:val="auto"/>
        </w:rPr>
      </w:pPr>
    </w:p>
    <w:p>
      <w:pPr>
        <w:jc w:val="both"/>
        <w:ind w:left="660" w:firstLine="645"/>
        <w:spacing w:after="0" w:line="250" w:lineRule="auto"/>
        <w:tabs>
          <w:tab w:leader="none" w:pos="175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Maintenance of Properties, Etc</w:t>
      </w:r>
      <w:r>
        <w:rPr>
          <w:rFonts w:ascii="Arial" w:cs="Arial" w:eastAsia="Arial" w:hAnsi="Arial"/>
          <w:sz w:val="20"/>
          <w:szCs w:val="20"/>
          <w:color w:val="auto"/>
        </w:rPr>
        <w:t>. Maintain and preserve, and cause each of its Subsidiaries to maintain and preserve, all of its properties that are used or useful in the conduct of its business in good working order and condition, ordinary wear and tear excepted.</w:t>
      </w:r>
    </w:p>
    <w:p>
      <w:pPr>
        <w:spacing w:after="0" w:line="186" w:lineRule="exact"/>
        <w:rPr>
          <w:rFonts w:ascii="Arial" w:cs="Arial" w:eastAsia="Arial" w:hAnsi="Arial"/>
          <w:sz w:val="20"/>
          <w:szCs w:val="20"/>
          <w:color w:val="auto"/>
        </w:rPr>
      </w:pPr>
    </w:p>
    <w:p>
      <w:pPr>
        <w:ind w:left="1740" w:hanging="435"/>
        <w:spacing w:after="0"/>
        <w:tabs>
          <w:tab w:leader="none" w:pos="174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Reporting Requirements</w:t>
      </w:r>
      <w:r>
        <w:rPr>
          <w:rFonts w:ascii="Arial" w:cs="Arial" w:eastAsia="Arial" w:hAnsi="Arial"/>
          <w:sz w:val="20"/>
          <w:szCs w:val="20"/>
          <w:color w:val="auto"/>
        </w:rPr>
        <w:t>. Furnish to the Lender Parties:</w:t>
      </w:r>
    </w:p>
    <w:p>
      <w:pPr>
        <w:spacing w:after="0" w:line="215" w:lineRule="exact"/>
        <w:rPr>
          <w:rFonts w:ascii="Arial" w:cs="Arial" w:eastAsia="Arial" w:hAnsi="Arial"/>
          <w:sz w:val="20"/>
          <w:szCs w:val="20"/>
          <w:color w:val="auto"/>
        </w:rPr>
      </w:pPr>
    </w:p>
    <w:p>
      <w:pPr>
        <w:jc w:val="both"/>
        <w:ind w:left="1300" w:firstLine="653"/>
        <w:spacing w:after="0" w:line="291" w:lineRule="auto"/>
        <w:tabs>
          <w:tab w:leader="none" w:pos="235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as soon as available and in any event within 50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w:t>
      </w:r>
    </w:p>
    <w:p>
      <w:pPr>
        <w:spacing w:after="0" w:line="393" w:lineRule="exact"/>
        <w:rPr>
          <w:sz w:val="20"/>
          <w:szCs w:val="20"/>
          <w:color w:val="auto"/>
        </w:rPr>
      </w:pPr>
    </w:p>
    <w:p>
      <w:pPr>
        <w:ind w:right="8680" w:firstLine="8"/>
        <w:spacing w:after="0" w:line="273" w:lineRule="auto"/>
        <w:tabs>
          <w:tab w:leader="none" w:pos="8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color w:val="auto"/>
        </w:rPr>
        <w:t>42</w:t>
      </w:r>
    </w:p>
    <w:p>
      <w:pPr>
        <w:spacing w:after="0" w:line="200" w:lineRule="exact"/>
        <w:rPr>
          <w:sz w:val="20"/>
          <w:szCs w:val="20"/>
          <w:color w:val="auto"/>
        </w:rPr>
      </w:pPr>
    </w:p>
    <w:p>
      <w:pPr>
        <w:spacing w:after="0" w:line="294" w:lineRule="exact"/>
        <w:rPr>
          <w:sz w:val="20"/>
          <w:szCs w:val="20"/>
          <w:color w:val="auto"/>
        </w:rPr>
      </w:pPr>
    </w:p>
    <w:p>
      <w:pPr>
        <w:jc w:val="both"/>
        <w:ind w:left="1300"/>
        <w:spacing w:after="0" w:line="233" w:lineRule="exact"/>
        <w:rPr>
          <w:sz w:val="20"/>
          <w:szCs w:val="20"/>
          <w:color w:val="auto"/>
        </w:rPr>
      </w:pPr>
      <w:r>
        <w:rPr>
          <w:rFonts w:ascii="Arial" w:cs="Arial" w:eastAsia="Arial" w:hAnsi="Arial"/>
          <w:sz w:val="19"/>
          <w:szCs w:val="19"/>
          <w:color w:val="auto"/>
        </w:rPr>
        <w:t>at the end of the previous fiscal year and ending with the end of such quarter, duly certified (subject to year</w:t>
      </w:r>
      <w:r>
        <w:rPr>
          <w:rFonts w:ascii="MS PGothic" w:cs="MS PGothic" w:eastAsia="MS PGothic" w:hAnsi="MS PGothic"/>
          <w:sz w:val="19"/>
          <w:szCs w:val="19"/>
          <w:color w:val="auto"/>
        </w:rPr>
        <w:t>‑</w:t>
      </w:r>
      <w:r>
        <w:rPr>
          <w:rFonts w:ascii="Arial" w:cs="Arial" w:eastAsia="Arial" w:hAnsi="Arial"/>
          <w:sz w:val="19"/>
          <w:szCs w:val="19"/>
          <w:color w:val="auto"/>
        </w:rPr>
        <w:t xml:space="preserve">end audit adjustments) by the chief financial officer, chief accounting officer, treasurer or vice president – corporate controller of the Borrower as having been prepared in accordance with generally accepted accounting principles and certificates of the chief financial officer, treasurer or vice president – corporate controller of the Borrower as to compliance with the terms of this Agreement and setting forth in reasonable detail the calculations necessary to demonstrate compliance with Section 5.03,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96" w:lineRule="exact"/>
        <w:rPr>
          <w:sz w:val="20"/>
          <w:szCs w:val="20"/>
          <w:color w:val="auto"/>
        </w:rPr>
      </w:pPr>
    </w:p>
    <w:p>
      <w:pPr>
        <w:jc w:val="both"/>
        <w:ind w:left="1300" w:firstLine="653"/>
        <w:spacing w:after="0" w:line="274" w:lineRule="auto"/>
        <w:tabs>
          <w:tab w:leader="none" w:pos="240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independent public accountants of nationally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spacing w:after="0" w:line="169" w:lineRule="exact"/>
        <w:rPr>
          <w:rFonts w:ascii="Arial" w:cs="Arial" w:eastAsia="Arial" w:hAnsi="Arial"/>
          <w:sz w:val="18"/>
          <w:szCs w:val="18"/>
          <w:color w:val="auto"/>
        </w:rPr>
      </w:pPr>
    </w:p>
    <w:p>
      <w:pPr>
        <w:jc w:val="both"/>
        <w:ind w:left="1300" w:firstLine="653"/>
        <w:spacing w:after="0" w:line="246" w:lineRule="auto"/>
        <w:tabs>
          <w:tab w:leader="none" w:pos="245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as soon as possible and in any event within five days after the occurrence of each Default continuing on the date of such statement, a statement of the chief financial officer, chief accounting officer, treasurer or vice president – corporate controller of the Borrower setting forth details of such Default and the action that the Borrower has taken and proposes to take with respect thereto;</w:t>
      </w:r>
    </w:p>
    <w:p>
      <w:pPr>
        <w:spacing w:after="0" w:line="191" w:lineRule="exact"/>
        <w:rPr>
          <w:rFonts w:ascii="Arial" w:cs="Arial" w:eastAsia="Arial" w:hAnsi="Arial"/>
          <w:sz w:val="20"/>
          <w:szCs w:val="20"/>
          <w:color w:val="auto"/>
        </w:rPr>
      </w:pPr>
    </w:p>
    <w:p>
      <w:pPr>
        <w:jc w:val="both"/>
        <w:ind w:left="1300" w:firstLine="653"/>
        <w:spacing w:after="0" w:line="263" w:lineRule="auto"/>
        <w:tabs>
          <w:tab w:leader="none" w:pos="246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promptly after the sending or filing thereof, copies of all quarterly and annual reports or any proxy solicitations that the Borrower sends to its securityholders generally, and copies of all reports on Form 8-K and registration statements for the public offering (other than pursuant to employee Plans) of securities that the Borrower or any Subsidiary files with the Securities and Exchange Commission or any national securities exchange;</w:t>
      </w:r>
    </w:p>
    <w:p>
      <w:pPr>
        <w:spacing w:after="0" w:line="176" w:lineRule="exact"/>
        <w:rPr>
          <w:rFonts w:ascii="Arial" w:cs="Arial" w:eastAsia="Arial" w:hAnsi="Arial"/>
          <w:sz w:val="19"/>
          <w:szCs w:val="19"/>
          <w:color w:val="auto"/>
        </w:rPr>
      </w:pPr>
    </w:p>
    <w:p>
      <w:pPr>
        <w:ind w:left="1300" w:firstLine="653"/>
        <w:spacing w:after="0" w:line="316" w:lineRule="auto"/>
        <w:tabs>
          <w:tab w:leader="none" w:pos="241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w:t>
      </w:r>
    </w:p>
    <w:p>
      <w:pPr>
        <w:spacing w:after="0" w:line="130" w:lineRule="exact"/>
        <w:rPr>
          <w:rFonts w:ascii="Arial" w:cs="Arial" w:eastAsia="Arial" w:hAnsi="Arial"/>
          <w:sz w:val="18"/>
          <w:szCs w:val="18"/>
          <w:color w:val="auto"/>
        </w:rPr>
      </w:pPr>
    </w:p>
    <w:p>
      <w:pPr>
        <w:ind w:left="1300" w:firstLine="653"/>
        <w:spacing w:after="0" w:line="260" w:lineRule="auto"/>
        <w:tabs>
          <w:tab w:leader="none" w:pos="248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promptly following any change in any credit rating (whether publicly announced or shadow) by either S&amp;P or Moody’s in respect of any debt of the Borrower, notice thereof; and</w:t>
      </w:r>
    </w:p>
    <w:p>
      <w:pPr>
        <w:spacing w:after="0" w:line="176" w:lineRule="exact"/>
        <w:rPr>
          <w:rFonts w:ascii="Arial" w:cs="Arial" w:eastAsia="Arial" w:hAnsi="Arial"/>
          <w:sz w:val="20"/>
          <w:szCs w:val="20"/>
          <w:color w:val="auto"/>
        </w:rPr>
      </w:pPr>
    </w:p>
    <w:p>
      <w:pPr>
        <w:ind w:left="1300" w:firstLine="653"/>
        <w:spacing w:after="0" w:line="260" w:lineRule="auto"/>
        <w:tabs>
          <w:tab w:leader="none" w:pos="2492"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such other information respecting the Borrower or any of its Subsidiaries as any Lender Party through the Agent may from time to time reasonably request.</w:t>
      </w:r>
    </w:p>
    <w:p>
      <w:pPr>
        <w:spacing w:after="0" w:line="17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Reports and financial statements required to be delivered by the Borrower pursuant to paragraphs (i), (ii) and (iv) of this Section 5.01 shall be deemed to have been delivered on the date on which it posts such reports, or reports containing such financial statements, on its website on the Internet at www.manpowergroup.com and when such reports, or reports containing such financial statements are posted</w:t>
      </w:r>
    </w:p>
    <w:p>
      <w:pPr>
        <w:spacing w:after="0" w:line="360" w:lineRule="exact"/>
        <w:rPr>
          <w:sz w:val="20"/>
          <w:szCs w:val="20"/>
          <w:color w:val="auto"/>
        </w:rPr>
      </w:pPr>
    </w:p>
    <w:p>
      <w:pPr>
        <w:ind w:right="8680" w:firstLine="8"/>
        <w:spacing w:after="0" w:line="273" w:lineRule="auto"/>
        <w:tabs>
          <w:tab w:leader="none" w:pos="8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color w:val="auto"/>
        </w:rPr>
        <w:t>43</w:t>
      </w:r>
    </w:p>
    <w:p>
      <w:pPr>
        <w:spacing w:after="0" w:line="200" w:lineRule="exact"/>
        <w:rPr>
          <w:sz w:val="20"/>
          <w:szCs w:val="20"/>
          <w:color w:val="auto"/>
        </w:rPr>
      </w:pPr>
    </w:p>
    <w:p>
      <w:pPr>
        <w:spacing w:after="0" w:line="2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on the SEC’s website at www.sec.gov;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it shall deliver paper copies of the reports and financial statements referred to in paragraphs (i), (ii) and (iv) of this Section 5.01 to the Agent or any Lender who requests it to deliver such paper copies until written notice to cease delivering paper copies is given by the Agent or such Lender;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every instance it shall provide paper copies of the certificate required by subsections (i) and (ii) to the Agent and the Agent shall, in turn, provide a copy to each of the Lender Parties until such time as the Agent shall provide it written notice otherwise.</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Negative Covenants</w:t>
      </w:r>
      <w:r>
        <w:rPr>
          <w:rFonts w:ascii="Arial" w:cs="Arial" w:eastAsia="Arial" w:hAnsi="Arial"/>
          <w:sz w:val="19"/>
          <w:szCs w:val="19"/>
          <w:color w:val="auto"/>
        </w:rPr>
        <w:t>. So long as any Advance shall remain unpaid or any Lender Party shall have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Commitment hereunder or any Letter of Credit shall be outstanding, the Borrower will not:</w:t>
      </w:r>
    </w:p>
    <w:p>
      <w:pPr>
        <w:spacing w:after="0" w:line="200" w:lineRule="exact"/>
        <w:rPr>
          <w:sz w:val="20"/>
          <w:szCs w:val="20"/>
          <w:color w:val="auto"/>
        </w:rPr>
      </w:pPr>
    </w:p>
    <w:p>
      <w:pPr>
        <w:jc w:val="both"/>
        <w:ind w:left="660" w:firstLine="645"/>
        <w:spacing w:after="0" w:line="250" w:lineRule="auto"/>
        <w:tabs>
          <w:tab w:leader="none" w:pos="1807"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Liens, Etc</w:t>
      </w:r>
      <w:r>
        <w:rPr>
          <w:rFonts w:ascii="Arial" w:cs="Arial" w:eastAsia="Arial" w:hAnsi="Arial"/>
          <w:sz w:val="20"/>
          <w:szCs w:val="20"/>
          <w:color w:val="auto"/>
        </w:rPr>
        <w:t>. Create or suffer to exist, or permit any of its Subsidiaries to create or suffer to exist, any Lien on or with respect to any of its properties, whether now owned or hereafter acquired, or assign, or permit any of its Subsidiaries to assign, any right to receive income, other than:</w:t>
      </w:r>
    </w:p>
    <w:p>
      <w:pPr>
        <w:spacing w:after="0" w:line="186" w:lineRule="exact"/>
        <w:rPr>
          <w:rFonts w:ascii="Arial" w:cs="Arial" w:eastAsia="Arial" w:hAnsi="Arial"/>
          <w:sz w:val="20"/>
          <w:szCs w:val="20"/>
          <w:color w:val="auto"/>
        </w:rPr>
      </w:pPr>
    </w:p>
    <w:p>
      <w:pPr>
        <w:ind w:left="2340" w:hanging="387"/>
        <w:spacing w:after="0"/>
        <w:tabs>
          <w:tab w:leader="none" w:pos="2340" w:val="left"/>
        </w:tabs>
        <w:numPr>
          <w:ilvl w:val="2"/>
          <w:numId w:val="153"/>
        </w:numPr>
        <w:rPr>
          <w:rFonts w:ascii="Arial" w:cs="Arial" w:eastAsia="Arial" w:hAnsi="Arial"/>
          <w:sz w:val="20"/>
          <w:szCs w:val="20"/>
          <w:color w:val="auto"/>
        </w:rPr>
      </w:pPr>
      <w:r>
        <w:rPr>
          <w:rFonts w:ascii="Arial" w:cs="Arial" w:eastAsia="Arial" w:hAnsi="Arial"/>
          <w:sz w:val="20"/>
          <w:szCs w:val="20"/>
          <w:color w:val="auto"/>
        </w:rPr>
        <w:t>Permitted Liens,</w:t>
      </w:r>
    </w:p>
    <w:p>
      <w:pPr>
        <w:spacing w:after="0" w:line="215" w:lineRule="exact"/>
        <w:rPr>
          <w:rFonts w:ascii="Arial" w:cs="Arial" w:eastAsia="Arial" w:hAnsi="Arial"/>
          <w:sz w:val="20"/>
          <w:szCs w:val="20"/>
          <w:color w:val="auto"/>
        </w:rPr>
      </w:pPr>
    </w:p>
    <w:p>
      <w:pPr>
        <w:jc w:val="both"/>
        <w:ind w:left="1300" w:firstLine="653"/>
        <w:spacing w:after="0" w:line="274" w:lineRule="auto"/>
        <w:tabs>
          <w:tab w:leader="none" w:pos="2432" w:val="left"/>
        </w:tabs>
        <w:numPr>
          <w:ilvl w:val="2"/>
          <w:numId w:val="153"/>
        </w:numPr>
        <w:rPr>
          <w:rFonts w:ascii="Arial" w:cs="Arial" w:eastAsia="Arial" w:hAnsi="Arial"/>
          <w:sz w:val="18"/>
          <w:szCs w:val="18"/>
          <w:color w:val="auto"/>
        </w:rPr>
      </w:pPr>
      <w:r>
        <w:rPr>
          <w:rFonts w:ascii="Arial" w:cs="Arial" w:eastAsia="Arial" w:hAnsi="Arial"/>
          <w:sz w:val="18"/>
          <w:szCs w:val="18"/>
          <w:color w:val="auto"/>
        </w:rPr>
        <w:t>(A)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(B) liens consisting of the interests of lessors under Capitalized Leases and (C) liens not otherwise described above in this Section 5.02(a); provided, that the aggregate capitalized amount of Debt incurred pursuant to such Capitalized Leases, plus the aggregate principal amount of the indebtedness or other obligations secured by any of the liens described in this clause (ii) (or, if greater, the book value of the assets that are subject to such liens) shall not exceed $75,000,000 at any time outstanding; and</w:t>
      </w:r>
    </w:p>
    <w:p>
      <w:pPr>
        <w:spacing w:after="0" w:line="169" w:lineRule="exact"/>
        <w:rPr>
          <w:rFonts w:ascii="Arial" w:cs="Arial" w:eastAsia="Arial" w:hAnsi="Arial"/>
          <w:sz w:val="18"/>
          <w:szCs w:val="18"/>
          <w:color w:val="auto"/>
        </w:rPr>
      </w:pPr>
    </w:p>
    <w:p>
      <w:pPr>
        <w:ind w:left="2440" w:hanging="487"/>
        <w:spacing w:after="0"/>
        <w:tabs>
          <w:tab w:leader="none" w:pos="2440" w:val="left"/>
        </w:tabs>
        <w:numPr>
          <w:ilvl w:val="2"/>
          <w:numId w:val="153"/>
        </w:numPr>
        <w:rPr>
          <w:rFonts w:ascii="Arial" w:cs="Arial" w:eastAsia="Arial" w:hAnsi="Arial"/>
          <w:sz w:val="20"/>
          <w:szCs w:val="20"/>
          <w:color w:val="auto"/>
        </w:rPr>
      </w:pPr>
      <w:r>
        <w:rPr>
          <w:rFonts w:ascii="Arial" w:cs="Arial" w:eastAsia="Arial" w:hAnsi="Arial"/>
          <w:sz w:val="20"/>
          <w:szCs w:val="20"/>
          <w:color w:val="auto"/>
        </w:rPr>
        <w:t>the Liens existing on the Effective Date and described on Schedule 5.02(a) hereto,</w:t>
      </w:r>
    </w:p>
    <w:p>
      <w:pPr>
        <w:spacing w:after="0" w:line="215" w:lineRule="exact"/>
        <w:rPr>
          <w:rFonts w:ascii="Arial" w:cs="Arial" w:eastAsia="Arial" w:hAnsi="Arial"/>
          <w:sz w:val="20"/>
          <w:szCs w:val="20"/>
          <w:color w:val="auto"/>
        </w:rPr>
      </w:pPr>
    </w:p>
    <w:p>
      <w:pPr>
        <w:jc w:val="both"/>
        <w:ind w:left="1300" w:firstLine="653"/>
        <w:spacing w:after="0" w:line="244" w:lineRule="auto"/>
        <w:tabs>
          <w:tab w:leader="none" w:pos="2453" w:val="left"/>
        </w:tabs>
        <w:numPr>
          <w:ilvl w:val="2"/>
          <w:numId w:val="153"/>
        </w:numPr>
        <w:rPr>
          <w:rFonts w:ascii="Arial" w:cs="Arial" w:eastAsia="Arial" w:hAnsi="Arial"/>
          <w:sz w:val="20"/>
          <w:szCs w:val="20"/>
          <w:color w:val="auto"/>
        </w:rPr>
      </w:pPr>
      <w:r>
        <w:rPr>
          <w:rFonts w:ascii="Arial" w:cs="Arial" w:eastAsia="Arial" w:hAnsi="Arial"/>
          <w:sz w:val="20"/>
          <w:szCs w:val="20"/>
          <w:color w:val="auto"/>
        </w:rPr>
        <w:t xml:space="preserve">Liens on property of a Person existing at the time such Person is merged into or consolidated with the Borrower or any Subsidiary of the Borrower or becomes a Subsidiary of the Borrower or the property is acquired by the Borrower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were not created in contemplation of such merger, consolidation or acquisition and do not extend to any assets other than those of the Person so merged into or consolidated with the Borrower or such Subsidiary or acquired by the Borrower or such Subsidiary,</w:t>
      </w:r>
    </w:p>
    <w:p>
      <w:pPr>
        <w:spacing w:after="0" w:line="194" w:lineRule="exact"/>
        <w:rPr>
          <w:rFonts w:ascii="Arial" w:cs="Arial" w:eastAsia="Arial" w:hAnsi="Arial"/>
          <w:sz w:val="20"/>
          <w:szCs w:val="20"/>
          <w:color w:val="auto"/>
        </w:rPr>
      </w:pPr>
    </w:p>
    <w:p>
      <w:pPr>
        <w:ind w:left="2380" w:hanging="427"/>
        <w:spacing w:after="0"/>
        <w:tabs>
          <w:tab w:leader="none" w:pos="2380" w:val="left"/>
        </w:tabs>
        <w:numPr>
          <w:ilvl w:val="2"/>
          <w:numId w:val="153"/>
        </w:numPr>
        <w:rPr>
          <w:rFonts w:ascii="Arial" w:cs="Arial" w:eastAsia="Arial" w:hAnsi="Arial"/>
          <w:sz w:val="20"/>
          <w:szCs w:val="20"/>
          <w:color w:val="auto"/>
        </w:rPr>
      </w:pPr>
      <w:r>
        <w:rPr>
          <w:rFonts w:ascii="Arial" w:cs="Arial" w:eastAsia="Arial" w:hAnsi="Arial"/>
          <w:sz w:val="20"/>
          <w:szCs w:val="20"/>
          <w:color w:val="auto"/>
        </w:rPr>
        <w:t>Liens permitted by Section 5.02(d);</w:t>
      </w:r>
    </w:p>
    <w:p>
      <w:pPr>
        <w:spacing w:after="0" w:line="215" w:lineRule="exact"/>
        <w:rPr>
          <w:rFonts w:ascii="Arial" w:cs="Arial" w:eastAsia="Arial" w:hAnsi="Arial"/>
          <w:sz w:val="20"/>
          <w:szCs w:val="20"/>
          <w:color w:val="auto"/>
        </w:rPr>
      </w:pPr>
    </w:p>
    <w:p>
      <w:pPr>
        <w:jc w:val="both"/>
        <w:ind w:left="1300" w:firstLine="653"/>
        <w:spacing w:after="0" w:line="250" w:lineRule="auto"/>
        <w:tabs>
          <w:tab w:leader="none" w:pos="2439" w:val="left"/>
        </w:tabs>
        <w:numPr>
          <w:ilvl w:val="2"/>
          <w:numId w:val="153"/>
        </w:numPr>
        <w:rPr>
          <w:rFonts w:ascii="Arial" w:cs="Arial" w:eastAsia="Arial" w:hAnsi="Arial"/>
          <w:sz w:val="20"/>
          <w:szCs w:val="20"/>
          <w:color w:val="auto"/>
        </w:rPr>
      </w:pPr>
      <w:r>
        <w:rPr>
          <w:rFonts w:ascii="Arial" w:cs="Arial" w:eastAsia="Arial" w:hAnsi="Arial"/>
          <w:sz w:val="20"/>
          <w:szCs w:val="20"/>
          <w:color w:val="auto"/>
        </w:rPr>
        <w:t>the replacement, extension or renewal of any Lien permitted by clause (ii), (iii) or (iv) above upon or in the same property theretofore subject thereto or the replacement, extension or renewal (without increase in the amount or change in any direct or contingent obligor) of the Debt secured thereby;</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left="2500" w:hanging="547"/>
        <w:spacing w:after="0"/>
        <w:tabs>
          <w:tab w:leader="none" w:pos="2500" w:val="left"/>
        </w:tabs>
        <w:numPr>
          <w:ilvl w:val="2"/>
          <w:numId w:val="153"/>
        </w:numPr>
        <w:rPr>
          <w:rFonts w:ascii="Arial" w:cs="Arial" w:eastAsia="Arial" w:hAnsi="Arial"/>
          <w:sz w:val="20"/>
          <w:szCs w:val="20"/>
          <w:color w:val="auto"/>
        </w:rPr>
      </w:pPr>
      <w:r>
        <w:rPr>
          <w:rFonts w:ascii="Arial" w:cs="Arial" w:eastAsia="Arial" w:hAnsi="Arial"/>
          <w:sz w:val="20"/>
          <w:szCs w:val="20"/>
          <w:color w:val="auto"/>
        </w:rPr>
        <w:t>Liens on cash collateral provided under the terms of this Agreement; and</w:t>
      </w:r>
    </w:p>
    <w:p>
      <w:pPr>
        <w:spacing w:after="0" w:line="215" w:lineRule="exact"/>
        <w:rPr>
          <w:rFonts w:ascii="Arial" w:cs="Arial" w:eastAsia="Arial" w:hAnsi="Arial"/>
          <w:sz w:val="20"/>
          <w:szCs w:val="20"/>
          <w:color w:val="auto"/>
        </w:rPr>
      </w:pPr>
    </w:p>
    <w:p>
      <w:pPr>
        <w:ind w:left="1300" w:firstLine="653"/>
        <w:spacing w:after="0" w:line="260" w:lineRule="auto"/>
        <w:tabs>
          <w:tab w:leader="none" w:pos="2544" w:val="left"/>
        </w:tabs>
        <w:numPr>
          <w:ilvl w:val="2"/>
          <w:numId w:val="153"/>
        </w:numPr>
        <w:rPr>
          <w:rFonts w:ascii="Arial" w:cs="Arial" w:eastAsia="Arial" w:hAnsi="Arial"/>
          <w:sz w:val="20"/>
          <w:szCs w:val="20"/>
          <w:color w:val="auto"/>
        </w:rPr>
      </w:pPr>
      <w:r>
        <w:rPr>
          <w:rFonts w:ascii="Arial" w:cs="Arial" w:eastAsia="Arial" w:hAnsi="Arial"/>
          <w:sz w:val="20"/>
          <w:szCs w:val="20"/>
          <w:color w:val="auto"/>
        </w:rPr>
        <w:t>any Liens on cash balances of accounts maintained by the Borrower or any of its Subsidiaries organized outside of the United States with Bank Mendes Gans nv pursuant</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100" w:hanging="92"/>
        <w:spacing w:after="0"/>
        <w:tabs>
          <w:tab w:leader="none" w:pos="1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color w:val="auto"/>
        </w:rPr>
        <w:t>44</w:t>
      </w:r>
    </w:p>
    <w:p>
      <w:pPr>
        <w:spacing w:after="0" w:line="200" w:lineRule="exact"/>
        <w:rPr>
          <w:sz w:val="20"/>
          <w:szCs w:val="20"/>
          <w:color w:val="auto"/>
        </w:rPr>
      </w:pPr>
    </w:p>
    <w:p>
      <w:pPr>
        <w:spacing w:after="0" w:line="294"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to the Cash Pooling Agreement dated July 9, 2003, as may be amended from time to time, or on cash balances of accounts maintained by the Borrower or any of its Subsidiaries organized outside of the United States with other lending institutions under substantially similar arrangements.</w:t>
      </w:r>
    </w:p>
    <w:p>
      <w:pPr>
        <w:spacing w:after="0" w:line="186" w:lineRule="exact"/>
        <w:rPr>
          <w:sz w:val="20"/>
          <w:szCs w:val="20"/>
          <w:color w:val="auto"/>
        </w:rPr>
      </w:pPr>
    </w:p>
    <w:p>
      <w:pPr>
        <w:jc w:val="both"/>
        <w:ind w:left="660" w:right="20" w:firstLine="645"/>
        <w:spacing w:after="0" w:line="269" w:lineRule="auto"/>
        <w:tabs>
          <w:tab w:leader="none" w:pos="185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Mergers, Etc</w:t>
      </w:r>
      <w:r>
        <w:rPr>
          <w:rFonts w:ascii="Arial" w:cs="Arial" w:eastAsia="Arial" w:hAnsi="Arial"/>
          <w:sz w:val="19"/>
          <w:szCs w:val="19"/>
          <w:color w:val="auto"/>
        </w:rPr>
        <w:t>.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other than:</w:t>
      </w:r>
    </w:p>
    <w:p>
      <w:pPr>
        <w:spacing w:after="0" w:line="170" w:lineRule="exact"/>
        <w:rPr>
          <w:rFonts w:ascii="Arial" w:cs="Arial" w:eastAsia="Arial" w:hAnsi="Arial"/>
          <w:sz w:val="19"/>
          <w:szCs w:val="19"/>
          <w:color w:val="auto"/>
        </w:rPr>
      </w:pPr>
    </w:p>
    <w:p>
      <w:pPr>
        <w:jc w:val="both"/>
        <w:ind w:left="1300" w:firstLine="653"/>
        <w:spacing w:after="0" w:line="246" w:lineRule="auto"/>
        <w:tabs>
          <w:tab w:leader="none" w:pos="240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w:t>
      </w:r>
    </w:p>
    <w:p>
      <w:pPr>
        <w:spacing w:after="0" w:line="191" w:lineRule="exact"/>
        <w:rPr>
          <w:rFonts w:ascii="Arial" w:cs="Arial" w:eastAsia="Arial" w:hAnsi="Arial"/>
          <w:sz w:val="20"/>
          <w:szCs w:val="20"/>
          <w:color w:val="auto"/>
        </w:rPr>
      </w:pPr>
    </w:p>
    <w:p>
      <w:pPr>
        <w:jc w:val="both"/>
        <w:ind w:left="1300" w:firstLine="653"/>
        <w:spacing w:after="0" w:line="258" w:lineRule="auto"/>
        <w:tabs>
          <w:tab w:leader="none" w:pos="2401"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any Subsidiary of the Borrower or the Borrower may merge into or consolidate with, or transfer assets (including but not limited to stock or other equity interests of any Person) to or acquire the assets (including but not limited to stock or other equity interests of any Person) of any Subsidiary of the Borrower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merger or consolidation transaction to which the Borrower is a party, the Borrower shall be the surviving corporation; provided that, in each such case, immediately after giving effect to such proposed transaction, no Default shall exist (it being understood that in connection with any internal corporate restructuring of the Borrower, the Borrower may transfer assets to any of its Subsidiaries and may change its name); and</w:t>
      </w:r>
    </w:p>
    <w:p>
      <w:pPr>
        <w:spacing w:after="0" w:line="179" w:lineRule="exact"/>
        <w:rPr>
          <w:rFonts w:ascii="Arial" w:cs="Arial" w:eastAsia="Arial" w:hAnsi="Arial"/>
          <w:sz w:val="19"/>
          <w:szCs w:val="19"/>
          <w:color w:val="auto"/>
        </w:rPr>
      </w:pPr>
    </w:p>
    <w:p>
      <w:pPr>
        <w:ind w:left="2440" w:hanging="487"/>
        <w:spacing w:after="0"/>
        <w:tabs>
          <w:tab w:leader="none" w:pos="244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sales permitted pursuant to Section 5.02(c).</w:t>
      </w:r>
    </w:p>
    <w:p>
      <w:pPr>
        <w:spacing w:after="0" w:line="215" w:lineRule="exact"/>
        <w:rPr>
          <w:rFonts w:ascii="Arial" w:cs="Arial" w:eastAsia="Arial" w:hAnsi="Arial"/>
          <w:sz w:val="20"/>
          <w:szCs w:val="20"/>
          <w:color w:val="auto"/>
        </w:rPr>
      </w:pPr>
    </w:p>
    <w:p>
      <w:pPr>
        <w:jc w:val="both"/>
        <w:ind w:left="660" w:firstLine="645"/>
        <w:spacing w:after="0" w:line="256" w:lineRule="auto"/>
        <w:tabs>
          <w:tab w:leader="none" w:pos="1753"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Sales, Etc. of Assets</w:t>
      </w:r>
      <w:r>
        <w:rPr>
          <w:rFonts w:ascii="Arial" w:cs="Arial" w:eastAsia="Arial" w:hAnsi="Arial"/>
          <w:sz w:val="19"/>
          <w:szCs w:val="19"/>
          <w:color w:val="auto"/>
        </w:rPr>
        <w:t>.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5.02(b) or Section 5.02(d).</w:t>
      </w:r>
    </w:p>
    <w:p>
      <w:pPr>
        <w:spacing w:after="0" w:line="184" w:lineRule="exact"/>
        <w:rPr>
          <w:rFonts w:ascii="Arial" w:cs="Arial" w:eastAsia="Arial" w:hAnsi="Arial"/>
          <w:sz w:val="19"/>
          <w:szCs w:val="19"/>
          <w:color w:val="auto"/>
        </w:rPr>
      </w:pPr>
    </w:p>
    <w:p>
      <w:pPr>
        <w:jc w:val="both"/>
        <w:ind w:left="660" w:firstLine="645"/>
        <w:spacing w:after="0" w:line="274" w:lineRule="auto"/>
        <w:tabs>
          <w:tab w:leader="none" w:pos="1764"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Securitization Facilities</w:t>
      </w:r>
      <w:r>
        <w:rPr>
          <w:rFonts w:ascii="Arial" w:cs="Arial" w:eastAsia="Arial" w:hAnsi="Arial"/>
          <w:sz w:val="18"/>
          <w:szCs w:val="18"/>
          <w:color w:val="auto"/>
        </w:rPr>
        <w:t>. At any time sell, assign or otherwise dispose of all or any material portion of the Borrower’s or any Subsidiary’s accounts receivable, lease receivables or other rights to receive payment or income (any of the foregoing being a “</w:t>
      </w:r>
      <w:r>
        <w:rPr>
          <w:rFonts w:ascii="Arial" w:cs="Arial" w:eastAsia="Arial" w:hAnsi="Arial"/>
          <w:sz w:val="18"/>
          <w:szCs w:val="18"/>
          <w:u w:val="single" w:color="auto"/>
          <w:color w:val="auto"/>
        </w:rPr>
        <w:t>Receivable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in Section 5.02 to the contrary, the Borrower or any of its Subsidiaries may enter into one or more agreements contemplating the sale, assignment or other transfer of its Receivables, whether constituting a “true sale” or secured financing for accounting, tax or any other purpose (each, a “</w:t>
      </w:r>
      <w:r>
        <w:rPr>
          <w:rFonts w:ascii="Arial" w:cs="Arial" w:eastAsia="Arial" w:hAnsi="Arial"/>
          <w:sz w:val="18"/>
          <w:szCs w:val="18"/>
          <w:u w:val="single" w:color="auto"/>
          <w:color w:val="auto"/>
        </w:rPr>
        <w:t>Receivables Purchase Agreement</w:t>
      </w:r>
      <w:r>
        <w:rPr>
          <w:rFonts w:ascii="Arial" w:cs="Arial" w:eastAsia="Arial" w:hAnsi="Arial"/>
          <w:sz w:val="18"/>
          <w:szCs w:val="18"/>
          <w:color w:val="auto"/>
        </w:rPr>
        <w:t>”), so long as (i) the aggregate outstanding investment or claims held at any time by purchasers, assignees or other transferees of (or of interests in) Receivables under Receivables Purchase Agreements shall not exceed an amount</w:t>
      </w:r>
    </w:p>
    <w:p>
      <w:pPr>
        <w:spacing w:after="0" w:line="200" w:lineRule="exact"/>
        <w:rPr>
          <w:sz w:val="20"/>
          <w:szCs w:val="20"/>
          <w:color w:val="auto"/>
        </w:rPr>
      </w:pPr>
    </w:p>
    <w:p>
      <w:pPr>
        <w:spacing w:after="0" w:line="210" w:lineRule="exact"/>
        <w:rPr>
          <w:sz w:val="20"/>
          <w:szCs w:val="20"/>
          <w:color w:val="auto"/>
        </w:rPr>
      </w:pPr>
    </w:p>
    <w:p>
      <w:pPr>
        <w:ind w:right="8680" w:firstLine="8"/>
        <w:spacing w:after="0" w:line="273" w:lineRule="auto"/>
        <w:tabs>
          <w:tab w:leader="none" w:pos="84" w:val="left"/>
        </w:tabs>
        <w:numPr>
          <w:ilvl w:val="0"/>
          <w:numId w:val="15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color w:val="auto"/>
        </w:rPr>
        <w:t>45</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 xml:space="preserve">equal to $500,000,000 at any time outstanding and (ii) each sale, assignment or other transfer effected under or in connection with a Receivables Purchase Agreement shall be effected on a non-recourse or limited recourse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addition to such Receivables Purchase Agreements, the Borrower or any of its Subsidiaries may enter into one or more Receivables Purchase Agreements so long as the assets subject to such Receivables Purchase Agreement consist solely of accrued tax credits in France earned with respect to payroll and do not exceed an aggregate present value of $500,000,000 (measured as of the date of transfer of such tax credits) at any time outstanding.</w:t>
      </w:r>
    </w:p>
    <w:p>
      <w:pPr>
        <w:spacing w:after="0" w:line="197" w:lineRule="exact"/>
        <w:rPr>
          <w:sz w:val="20"/>
          <w:szCs w:val="20"/>
          <w:color w:val="auto"/>
        </w:rPr>
      </w:pPr>
    </w:p>
    <w:p>
      <w:pPr>
        <w:ind w:left="660" w:firstLine="645"/>
        <w:spacing w:after="0" w:line="316" w:lineRule="auto"/>
        <w:tabs>
          <w:tab w:leader="none" w:pos="17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Consolidated Subsidiaries to make or permit, any change in accounting policies or reporting practices, except as required or permitted by generally accepted accounting principles.</w:t>
      </w:r>
    </w:p>
    <w:p>
      <w:pPr>
        <w:spacing w:after="0" w:line="130" w:lineRule="exact"/>
        <w:rPr>
          <w:rFonts w:ascii="Arial" w:cs="Arial" w:eastAsia="Arial" w:hAnsi="Arial"/>
          <w:sz w:val="18"/>
          <w:szCs w:val="18"/>
          <w:color w:val="auto"/>
        </w:rPr>
      </w:pPr>
    </w:p>
    <w:p>
      <w:pPr>
        <w:ind w:left="1700" w:hanging="395"/>
        <w:spacing w:after="0"/>
        <w:tabs>
          <w:tab w:leader="none" w:pos="170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Subsidiary Debt</w:t>
      </w:r>
      <w:r>
        <w:rPr>
          <w:rFonts w:ascii="Arial" w:cs="Arial" w:eastAsia="Arial" w:hAnsi="Arial"/>
          <w:sz w:val="20"/>
          <w:szCs w:val="20"/>
          <w:color w:val="auto"/>
        </w:rPr>
        <w:t>. Permit any of its Subsidiaries to create or suffer to exist, any Debt other than:</w:t>
      </w:r>
    </w:p>
    <w:p>
      <w:pPr>
        <w:spacing w:after="0" w:line="215" w:lineRule="exact"/>
        <w:rPr>
          <w:rFonts w:ascii="Arial" w:cs="Arial" w:eastAsia="Arial" w:hAnsi="Arial"/>
          <w:sz w:val="20"/>
          <w:szCs w:val="20"/>
          <w:color w:val="auto"/>
        </w:rPr>
      </w:pPr>
    </w:p>
    <w:p>
      <w:pPr>
        <w:ind w:left="2340" w:hanging="387"/>
        <w:spacing w:after="0"/>
        <w:tabs>
          <w:tab w:leader="none" w:pos="234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Debt owed to the Borrower or to a Subsidiary of the Borrower,</w:t>
      </w:r>
    </w:p>
    <w:p>
      <w:pPr>
        <w:spacing w:after="0" w:line="215" w:lineRule="exact"/>
        <w:rPr>
          <w:rFonts w:ascii="Arial" w:cs="Arial" w:eastAsia="Arial" w:hAnsi="Arial"/>
          <w:sz w:val="20"/>
          <w:szCs w:val="20"/>
          <w:color w:val="auto"/>
        </w:rPr>
      </w:pPr>
    </w:p>
    <w:p>
      <w:pPr>
        <w:jc w:val="both"/>
        <w:ind w:left="1300" w:firstLine="653"/>
        <w:spacing w:after="0" w:line="291" w:lineRule="auto"/>
        <w:tabs>
          <w:tab w:leader="none" w:pos="245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other Debt aggregating for all of the Borrower’s Subsidiaries not more than (A) $300,000,000 at any one time drawn and outstanding during each fiscal quarter ending March 31, June 30 and December 31 in each calendar year and (B) $600,000,000 at any one time drawn and outstanding during each fiscal quarter ending September 30 in each calendar year,</w:t>
      </w:r>
    </w:p>
    <w:p>
      <w:pPr>
        <w:spacing w:after="0" w:line="151" w:lineRule="exact"/>
        <w:rPr>
          <w:rFonts w:ascii="Arial" w:cs="Arial" w:eastAsia="Arial" w:hAnsi="Arial"/>
          <w:sz w:val="18"/>
          <w:szCs w:val="18"/>
          <w:color w:val="auto"/>
        </w:rPr>
      </w:pPr>
    </w:p>
    <w:p>
      <w:pPr>
        <w:ind w:left="2480" w:hanging="527"/>
        <w:spacing w:after="0"/>
        <w:tabs>
          <w:tab w:leader="none" w:pos="2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indorsement of negotiable instruments for deposit or collection or similar transactions in the ordinary course of</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business, and</w:t>
      </w:r>
    </w:p>
    <w:p>
      <w:pPr>
        <w:spacing w:after="0" w:line="199" w:lineRule="exact"/>
        <w:rPr>
          <w:rFonts w:ascii="Arial" w:cs="Arial" w:eastAsia="Arial" w:hAnsi="Arial"/>
          <w:sz w:val="18"/>
          <w:szCs w:val="18"/>
          <w:color w:val="auto"/>
        </w:rPr>
      </w:pPr>
    </w:p>
    <w:p>
      <w:pPr>
        <w:ind w:left="2440" w:hanging="487"/>
        <w:spacing w:after="0"/>
        <w:tabs>
          <w:tab w:leader="none" w:pos="2440" w:val="left"/>
        </w:tabs>
        <w:numPr>
          <w:ilvl w:val="1"/>
          <w:numId w:val="156"/>
        </w:numPr>
        <w:rPr>
          <w:rFonts w:ascii="Arial" w:cs="Arial" w:eastAsia="Arial" w:hAnsi="Arial"/>
          <w:sz w:val="20"/>
          <w:szCs w:val="20"/>
          <w:color w:val="auto"/>
        </w:rPr>
      </w:pPr>
      <w:r>
        <w:rPr>
          <w:rFonts w:ascii="Arial" w:cs="Arial" w:eastAsia="Arial" w:hAnsi="Arial"/>
          <w:sz w:val="20"/>
          <w:szCs w:val="20"/>
          <w:color w:val="auto"/>
        </w:rPr>
        <w:t>Debt which is, or would be permitted to be, secured by a Lien permitted under Section 5.02(a).</w:t>
      </w:r>
    </w:p>
    <w:p>
      <w:pPr>
        <w:spacing w:after="0" w:line="215" w:lineRule="exact"/>
        <w:rPr>
          <w:rFonts w:ascii="Arial" w:cs="Arial" w:eastAsia="Arial" w:hAnsi="Arial"/>
          <w:sz w:val="20"/>
          <w:szCs w:val="20"/>
          <w:color w:val="auto"/>
        </w:rPr>
      </w:pPr>
    </w:p>
    <w:p>
      <w:pPr>
        <w:ind w:left="660" w:firstLine="645"/>
        <w:spacing w:after="0" w:line="260" w:lineRule="auto"/>
        <w:tabs>
          <w:tab w:leader="none" w:pos="1777"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Make, or permit any of its Subsidiaries to make, any material change in the nature of its business as carried on at the date 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Financial Covenants</w:t>
      </w:r>
      <w:r>
        <w:rPr>
          <w:rFonts w:ascii="Arial" w:cs="Arial" w:eastAsia="Arial" w:hAnsi="Arial"/>
          <w:sz w:val="19"/>
          <w:szCs w:val="19"/>
          <w:color w:val="auto"/>
        </w:rPr>
        <w:t>. So long as any Advance shall remain unpaid or any Lender Party shall have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Commitment hereunder or any Letter of Credit shall be outstanding, the Borrower will:</w:t>
      </w:r>
    </w:p>
    <w:p>
      <w:pPr>
        <w:spacing w:after="0" w:line="200" w:lineRule="exact"/>
        <w:rPr>
          <w:sz w:val="20"/>
          <w:szCs w:val="20"/>
          <w:color w:val="auto"/>
        </w:rPr>
      </w:pPr>
    </w:p>
    <w:p>
      <w:pPr>
        <w:ind w:left="660" w:firstLine="645"/>
        <w:spacing w:after="0" w:line="260" w:lineRule="auto"/>
        <w:tabs>
          <w:tab w:leader="none" w:pos="1793"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Leverage Ratio</w:t>
      </w:r>
      <w:r>
        <w:rPr>
          <w:rFonts w:ascii="Arial" w:cs="Arial" w:eastAsia="Arial" w:hAnsi="Arial"/>
          <w:sz w:val="20"/>
          <w:szCs w:val="20"/>
          <w:color w:val="auto"/>
        </w:rPr>
        <w:t>. Maintain a ratio of Consolidated Adjusted Debt to Consolidated EBITDA as of the end of each fiscal quarter, in respect of the four-quarter period then ended, of not greater than 3.5 to 1.00.</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37"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Maintain a ratio of (i) the sum of Consolidated EBITDA plus Consolidated Rental Expense to (ii) the sum of Consolidated Interest Expense and Consolidated Rental Expense as of the end of each fiscal quarter, in respect of the four-quarter period then ended, of not less than 1.50 to 1.00.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w:t>
      </w:r>
    </w:p>
    <w:p>
      <w:pPr>
        <w:spacing w:after="0" w:line="200" w:lineRule="exact"/>
        <w:rPr>
          <w:sz w:val="20"/>
          <w:szCs w:val="20"/>
          <w:color w:val="auto"/>
        </w:rPr>
      </w:pPr>
    </w:p>
    <w:p>
      <w:pPr>
        <w:spacing w:after="0" w:line="257" w:lineRule="exact"/>
        <w:rPr>
          <w:sz w:val="20"/>
          <w:szCs w:val="20"/>
          <w:color w:val="auto"/>
        </w:rPr>
      </w:pPr>
    </w:p>
    <w:p>
      <w:pPr>
        <w:ind w:right="8680" w:firstLine="8"/>
        <w:spacing w:after="0" w:line="273" w:lineRule="auto"/>
        <w:tabs>
          <w:tab w:leader="none" w:pos="84" w:val="left"/>
        </w:tabs>
        <w:numPr>
          <w:ilvl w:val="0"/>
          <w:numId w:val="15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color w:val="auto"/>
        </w:rPr>
        <w:t>46</w:t>
      </w: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w:t>
      </w:r>
      <w:r>
        <w:rPr>
          <w:rFonts w:ascii="Arial" w:cs="Arial" w:eastAsia="Arial" w:hAnsi="Arial"/>
          <w:sz w:val="19"/>
          <w:szCs w:val="19"/>
          <w:u w:val="single" w:color="auto"/>
          <w:color w:val="auto"/>
        </w:rPr>
        <w:t>Events of Default</w:t>
      </w:r>
      <w:r>
        <w:rPr>
          <w:rFonts w:ascii="Arial" w:cs="Arial" w:eastAsia="Arial" w:hAnsi="Arial"/>
          <w:sz w:val="19"/>
          <w:szCs w:val="19"/>
          <w:color w:val="auto"/>
        </w:rPr>
        <w:t>”) shall occur and be continuing:</w:t>
      </w:r>
    </w:p>
    <w:p>
      <w:pPr>
        <w:spacing w:after="0" w:line="227" w:lineRule="exact"/>
        <w:rPr>
          <w:sz w:val="20"/>
          <w:szCs w:val="20"/>
          <w:color w:val="auto"/>
        </w:rPr>
      </w:pPr>
    </w:p>
    <w:p>
      <w:pPr>
        <w:jc w:val="both"/>
        <w:ind w:left="660" w:firstLine="645"/>
        <w:spacing w:after="0" w:line="250" w:lineRule="auto"/>
        <w:tabs>
          <w:tab w:leader="none" w:pos="176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Advance when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86" w:lineRule="exact"/>
        <w:rPr>
          <w:rFonts w:ascii="Arial" w:cs="Arial" w:eastAsia="Arial" w:hAnsi="Arial"/>
          <w:sz w:val="20"/>
          <w:szCs w:val="20"/>
          <w:color w:val="auto"/>
        </w:rPr>
      </w:pPr>
    </w:p>
    <w:p>
      <w:pPr>
        <w:ind w:left="660" w:firstLine="645"/>
        <w:spacing w:after="0" w:line="316" w:lineRule="auto"/>
        <w:tabs>
          <w:tab w:leader="none" w:pos="175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herein or by the Borrower (or any of its officers) in connection with this Agreement shall prove to have been incorrect in any material respect when made or deemed made; or</w:t>
      </w:r>
    </w:p>
    <w:p>
      <w:pPr>
        <w:spacing w:after="0" w:line="130" w:lineRule="exact"/>
        <w:rPr>
          <w:rFonts w:ascii="Arial" w:cs="Arial" w:eastAsia="Arial" w:hAnsi="Arial"/>
          <w:sz w:val="18"/>
          <w:szCs w:val="18"/>
          <w:color w:val="auto"/>
        </w:rPr>
      </w:pPr>
    </w:p>
    <w:p>
      <w:pPr>
        <w:jc w:val="both"/>
        <w:ind w:left="660" w:firstLine="645"/>
        <w:spacing w:after="0" w:line="246" w:lineRule="auto"/>
        <w:tabs>
          <w:tab w:leader="none" w:pos="174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 The Borrower shall fail to perform or observe any term, covenant or agreement contained in Section 2.18, 5.01(d), (e) or (h)(iii), 5.02 or 5.03, or (ii) the Borrower shall fail to perform or observe any other term, covenant or agreement contained in this Agreement on its part to be performed or observed if such failure shall remain unremedied for 30 days after written notice thereof shall have been given to the Borrower by the Agent or any Lender Party; or</w:t>
      </w:r>
    </w:p>
    <w:p>
      <w:pPr>
        <w:spacing w:after="0" w:line="191" w:lineRule="exact"/>
        <w:rPr>
          <w:rFonts w:ascii="Arial" w:cs="Arial" w:eastAsia="Arial" w:hAnsi="Arial"/>
          <w:sz w:val="20"/>
          <w:szCs w:val="20"/>
          <w:color w:val="auto"/>
        </w:rPr>
      </w:pPr>
    </w:p>
    <w:p>
      <w:pPr>
        <w:jc w:val="both"/>
        <w:ind w:left="660" w:firstLine="645"/>
        <w:spacing w:after="0" w:line="269" w:lineRule="auto"/>
        <w:tabs>
          <w:tab w:leader="none" w:pos="182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Borrower or any of its Subsidiaries shall fail to pay any principal of or premium or interest on any Debt that is outstanding in a principal or notional amount of at least $50,000,000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Section 6.01(d), in the case of (x) Debt of any Person (other than the Borrower or one of its Subsidiaries) which the Borrower or a Subsidiary has guaranteed and (y) Debt of Persons (other than the Borrower or one of its Subsidiaries) the payment of which is secured by a Lien on property of the Borrower or one of its Subsidiaries, such Debt shall be deemed to have not been paid when due or to have been declared to be due and payable only when the Borrower or its Subsidiary, as the case may be, shall have failed to pay when due any amount which it shall be obligated to pay with respect to such Debt; or</w:t>
      </w:r>
    </w:p>
    <w:p>
      <w:pPr>
        <w:spacing w:after="0" w:line="179" w:lineRule="exact"/>
        <w:rPr>
          <w:rFonts w:ascii="Arial" w:cs="Arial" w:eastAsia="Arial" w:hAnsi="Arial"/>
          <w:sz w:val="18"/>
          <w:szCs w:val="18"/>
          <w:color w:val="auto"/>
        </w:rPr>
      </w:pPr>
    </w:p>
    <w:p>
      <w:pPr>
        <w:jc w:val="both"/>
        <w:ind w:left="660" w:firstLine="645"/>
        <w:spacing w:after="0" w:line="257" w:lineRule="auto"/>
        <w:tabs>
          <w:tab w:leader="none" w:pos="180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Borrower or any of its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30 days, or any of the actions sought in such proceeding (including, without limitation,</w:t>
      </w:r>
    </w:p>
    <w:p>
      <w:pPr>
        <w:spacing w:after="0" w:line="200" w:lineRule="exact"/>
        <w:rPr>
          <w:sz w:val="20"/>
          <w:szCs w:val="20"/>
          <w:color w:val="auto"/>
        </w:rPr>
      </w:pPr>
    </w:p>
    <w:p>
      <w:pPr>
        <w:spacing w:after="0" w:line="222" w:lineRule="exact"/>
        <w:rPr>
          <w:sz w:val="20"/>
          <w:szCs w:val="20"/>
          <w:color w:val="auto"/>
        </w:rPr>
      </w:pPr>
    </w:p>
    <w:p>
      <w:pPr>
        <w:ind w:right="8680" w:firstLine="8"/>
        <w:spacing w:after="0" w:line="273" w:lineRule="auto"/>
        <w:tabs>
          <w:tab w:leader="none" w:pos="84" w:val="left"/>
        </w:tabs>
        <w:numPr>
          <w:ilvl w:val="0"/>
          <w:numId w:val="16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color w:val="auto"/>
        </w:rPr>
        <w:t>47</w:t>
      </w:r>
    </w:p>
    <w:p>
      <w:pPr>
        <w:spacing w:after="0" w:line="200" w:lineRule="exact"/>
        <w:rPr>
          <w:sz w:val="20"/>
          <w:szCs w:val="20"/>
          <w:color w:val="auto"/>
        </w:rPr>
      </w:pPr>
    </w:p>
    <w:p>
      <w:pPr>
        <w:spacing w:after="0" w:line="29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entry of an order for relief against, or the appointment of a receiver, trustee, custodian or other similar official for, it or for any substantial part of its property) shall occur; or the Borrower or any of its Subsidiaries shall take any corporate action to authorize any of the actions set forth above in this subsection (e); or</w:t>
      </w:r>
    </w:p>
    <w:p>
      <w:pPr>
        <w:spacing w:after="0" w:line="186" w:lineRule="exact"/>
        <w:rPr>
          <w:sz w:val="20"/>
          <w:szCs w:val="20"/>
          <w:color w:val="auto"/>
        </w:rPr>
      </w:pPr>
    </w:p>
    <w:p>
      <w:pPr>
        <w:jc w:val="both"/>
        <w:ind w:left="660" w:firstLine="645"/>
        <w:spacing w:after="0" w:line="263" w:lineRule="auto"/>
        <w:tabs>
          <w:tab w:leader="none" w:pos="17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Judgments or orders for the payment of money in excess of $50,000,000 in the aggregate shall be rendered against and remain unpaid by the Borrower or any of its Subsidiaries and enforcement proceedings shall have been commenced by any creditor upon such judgment or order and there shall be any period of 10 consecutive days during which a stay of enforcement of such judgment or order, by reason of a pending appeal or otherwise, shall not be in effect; or</w:t>
      </w:r>
    </w:p>
    <w:p>
      <w:pPr>
        <w:spacing w:after="0" w:line="176" w:lineRule="exact"/>
        <w:rPr>
          <w:rFonts w:ascii="Arial" w:cs="Arial" w:eastAsia="Arial" w:hAnsi="Arial"/>
          <w:sz w:val="19"/>
          <w:szCs w:val="19"/>
          <w:color w:val="auto"/>
        </w:rPr>
      </w:pPr>
    </w:p>
    <w:p>
      <w:pPr>
        <w:jc w:val="both"/>
        <w:ind w:left="660" w:firstLine="645"/>
        <w:spacing w:after="0" w:line="235" w:lineRule="exact"/>
        <w:tabs>
          <w:tab w:leader="none" w:pos="175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Any non</w:t>
      </w:r>
      <w:r>
        <w:rPr>
          <w:rFonts w:ascii="MS PGothic" w:cs="MS PGothic" w:eastAsia="MS PGothic" w:hAnsi="MS PGothic"/>
          <w:sz w:val="20"/>
          <w:szCs w:val="20"/>
          <w:color w:val="auto"/>
        </w:rPr>
        <w:t>‑</w:t>
      </w:r>
      <w:r>
        <w:rPr>
          <w:rFonts w:ascii="Arial" w:cs="Arial" w:eastAsia="Arial" w:hAnsi="Arial"/>
          <w:sz w:val="20"/>
          <w:szCs w:val="20"/>
          <w:color w:val="auto"/>
        </w:rPr>
        <w:t>monetary judgment or order shall be rendered against the Borrower or any of its Subsidiaries that is reasonably expected to have a Material Adverse Effect, and enforcement proceedings shall have been commenced by any Person upon such judgment or order and there shall be any period of 10 consecutive days during which a stay of enforcement of such judgment or order, by reason of a pending appeal or otherwise, shall not be in effect; or</w:t>
      </w:r>
    </w:p>
    <w:p>
      <w:pPr>
        <w:spacing w:after="0" w:line="195" w:lineRule="exact"/>
        <w:rPr>
          <w:rFonts w:ascii="Arial" w:cs="Arial" w:eastAsia="Arial" w:hAnsi="Arial"/>
          <w:sz w:val="20"/>
          <w:szCs w:val="20"/>
          <w:color w:val="auto"/>
        </w:rPr>
      </w:pPr>
    </w:p>
    <w:p>
      <w:pPr>
        <w:jc w:val="both"/>
        <w:ind w:left="660" w:firstLine="645"/>
        <w:spacing w:after="0" w:line="232" w:lineRule="exact"/>
        <w:tabs>
          <w:tab w:leader="none" w:pos="17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Any Person or two or more Persons acting in concert shall have acquired beneficial ownership (within the meaning of Rule 13d</w:t>
      </w:r>
      <w:r>
        <w:rPr>
          <w:rFonts w:ascii="MS PGothic" w:cs="MS PGothic" w:eastAsia="MS PGothic" w:hAnsi="MS PGothic"/>
          <w:sz w:val="18"/>
          <w:szCs w:val="18"/>
          <w:color w:val="auto"/>
        </w:rPr>
        <w:t>‑</w:t>
      </w:r>
      <w:r>
        <w:rPr>
          <w:rFonts w:ascii="Arial" w:cs="Arial" w:eastAsia="Arial" w:hAnsi="Arial"/>
          <w:sz w:val="18"/>
          <w:szCs w:val="18"/>
          <w:color w:val="auto"/>
        </w:rPr>
        <w:t>3 of the Securities and Exchange Commission under the Securities Exchange Act of 1934), directly or indirectly, of Voting Stock of the Borrower (or other securities convertible into such Voting Stock) representing 25% or more of the combined voting power of all Voting Stock of the Borrower; or (ii) during any period of up to 24 consecutive months, commencing before or after the date of this Agreement, individuals who at the beginning of such 24</w:t>
      </w:r>
      <w:r>
        <w:rPr>
          <w:rFonts w:ascii="MS PGothic" w:cs="MS PGothic" w:eastAsia="MS PGothic" w:hAnsi="MS PGothic"/>
          <w:sz w:val="18"/>
          <w:szCs w:val="18"/>
          <w:color w:val="auto"/>
        </w:rPr>
        <w:t>‑</w:t>
      </w:r>
      <w:r>
        <w:rPr>
          <w:rFonts w:ascii="Arial" w:cs="Arial" w:eastAsia="Arial" w:hAnsi="Arial"/>
          <w:sz w:val="18"/>
          <w:szCs w:val="18"/>
          <w:color w:val="auto"/>
        </w:rPr>
        <w:t>month period were directors of the Borrower shall cease for any reason to constitute a majority of the board of directors of the Borrower (except to the extent that individuals who at the beginning of such 24</w:t>
      </w:r>
      <w:r>
        <w:rPr>
          <w:rFonts w:ascii="MS PGothic" w:cs="MS PGothic" w:eastAsia="MS PGothic" w:hAnsi="MS PGothic"/>
          <w:sz w:val="18"/>
          <w:szCs w:val="18"/>
          <w:color w:val="auto"/>
        </w:rPr>
        <w:t>‑</w:t>
      </w:r>
      <w:r>
        <w:rPr>
          <w:rFonts w:ascii="Arial" w:cs="Arial" w:eastAsia="Arial" w:hAnsi="Arial"/>
          <w:sz w:val="18"/>
          <w:szCs w:val="18"/>
          <w:color w:val="auto"/>
        </w:rPr>
        <w:t>month period were replaced by individuals (x) elected by 66</w:t>
      </w:r>
      <w:r>
        <w:rPr>
          <w:rFonts w:ascii="MS PGothic" w:cs="MS PGothic" w:eastAsia="MS PGothic" w:hAnsi="MS PGothic"/>
          <w:sz w:val="18"/>
          <w:szCs w:val="18"/>
          <w:color w:val="auto"/>
        </w:rPr>
        <w:t>‑</w:t>
      </w:r>
      <w:r>
        <w:rPr>
          <w:rFonts w:ascii="Arial" w:cs="Arial" w:eastAsia="Arial" w:hAnsi="Arial"/>
          <w:sz w:val="18"/>
          <w:szCs w:val="18"/>
          <w:color w:val="auto"/>
        </w:rPr>
        <w:t>2/3% of the remaining members of the board of directors of the Borrower or (y) nominated or approved for election by a majority of the remaining members of the board of directors of the Borrower and thereafter elected as directors by the shareholders of the Borrower); or</w:t>
      </w:r>
    </w:p>
    <w:p>
      <w:pPr>
        <w:spacing w:after="0" w:line="202" w:lineRule="exact"/>
        <w:rPr>
          <w:rFonts w:ascii="Arial" w:cs="Arial" w:eastAsia="Arial" w:hAnsi="Arial"/>
          <w:sz w:val="18"/>
          <w:szCs w:val="18"/>
          <w:color w:val="auto"/>
        </w:rPr>
      </w:pPr>
    </w:p>
    <w:p>
      <w:pPr>
        <w:jc w:val="both"/>
        <w:ind w:left="660" w:firstLine="645"/>
        <w:spacing w:after="0" w:line="246" w:lineRule="auto"/>
        <w:tabs>
          <w:tab w:leader="none" w:pos="180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Borrower or any of its ERISA Affiliates shall incur, or shall be reasonably likely to incur liability in excess of $50,000,000 in the aggregate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then, and in any such event, the Agent (i) shall at the request, or may with the consent, of the Required Lenders, by notice to the Borrower, declare the obligation of each Lender Party to make Advances (other than Letter of Credit Advances by an Issuing Bank or a Lender pursuant to Section 2.04(c)) and of any Issuing Bank to issue Letters of Credit to be terminated, whereupon the same shall forthwith terminate, and</w:t>
      </w:r>
    </w:p>
    <w:p>
      <w:pPr>
        <w:spacing w:after="0" w:line="1" w:lineRule="exact"/>
        <w:rPr>
          <w:sz w:val="20"/>
          <w:szCs w:val="20"/>
          <w:color w:val="auto"/>
        </w:rPr>
      </w:pPr>
    </w:p>
    <w:p>
      <w:pPr>
        <w:jc w:val="both"/>
        <w:ind w:firstLine="8"/>
        <w:spacing w:after="0" w:line="271" w:lineRule="auto"/>
        <w:tabs>
          <w:tab w:leader="none" w:pos="29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 actual or deemed entry of an order for relief with respect to the Borrower under the Federal Bankruptcy Code, (A) the obligation of each Lender Party to make Advances (other than Letter of Credit Advances by any Issuing Bank or a Lender pursuant to Section 2.04(c)) and of the Issuing Banks to issue Letters of Credit shall automatically be terminated and (B) the Advances, all such interest and all such amounts shall automatically become and be due and payable,</w:t>
      </w:r>
    </w:p>
    <w:p>
      <w:pPr>
        <w:spacing w:after="0" w:line="200" w:lineRule="exact"/>
        <w:rPr>
          <w:sz w:val="20"/>
          <w:szCs w:val="20"/>
          <w:color w:val="auto"/>
        </w:rPr>
      </w:pPr>
    </w:p>
    <w:p>
      <w:pPr>
        <w:spacing w:after="0" w:line="212" w:lineRule="exact"/>
        <w:rPr>
          <w:sz w:val="20"/>
          <w:szCs w:val="20"/>
          <w:color w:val="auto"/>
        </w:rPr>
      </w:pPr>
    </w:p>
    <w:p>
      <w:pPr>
        <w:ind w:right="8680" w:firstLine="8"/>
        <w:spacing w:after="0" w:line="273" w:lineRule="auto"/>
        <w:tabs>
          <w:tab w:leader="none" w:pos="84" w:val="left"/>
        </w:tabs>
        <w:numPr>
          <w:ilvl w:val="0"/>
          <w:numId w:val="163"/>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color w:val="auto"/>
        </w:rPr>
        <w:t>48</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without presentment, demand, protest or any notice of any kind, all of which are hereby expressly waived by the Borrower.</w:t>
      </w:r>
    </w:p>
    <w:p>
      <w:pPr>
        <w:spacing w:after="0" w:line="216" w:lineRule="exact"/>
        <w:rPr>
          <w:sz w:val="20"/>
          <w:szCs w:val="20"/>
          <w:color w:val="auto"/>
        </w:rPr>
      </w:pPr>
    </w:p>
    <w:p>
      <w:pPr>
        <w:jc w:val="both"/>
        <w:ind w:firstLine="1297"/>
        <w:spacing w:after="0" w:line="309"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Actions in Respect of the Letters of Credit upon Default</w:t>
      </w:r>
      <w:r>
        <w:rPr>
          <w:rFonts w:ascii="Arial" w:cs="Arial" w:eastAsia="Arial" w:hAnsi="Arial"/>
          <w:sz w:val="16"/>
          <w:szCs w:val="16"/>
          <w:color w:val="auto"/>
        </w:rPr>
        <w:t>. If any Event of Default shall have occurred and be continuing, the Agent may with the consent, or shall at the request, of the Required Lenders, irrespective of whether it is taking any of the actions described in Section 6.01 or otherwise, make demand upon the Borrower to, and forthwith upon such demand the Borrower will, (a) pay to the Agent on behalf of the Lender Parties in same day funds at the Agent’s office designated in such demand, for deposit in the L/C Cash Collateral Account, an amount equal to the aggregate Available Amount of all Letters of Credit then outstanding (but only to the extent such Available Amount has not already been Cash Collateralized) or (b) make such other arrangements in respect of the outstanding Letters of Credit as shall be acceptable to the Required Lenders. If at any time the Agent determines that any funds held in the L/C Cash Collateral Account are subject to any right or claim of any Person other than the Agent and the Lender Parties or that the total amount of such funds is less than the aggregate Available Amount of all Letters of Credit, the Borrower will, forthwith upon demand by the Agent, pay to the Agent, as additional funds to be deposited and held in the L/C Cash Collateral Account, an amount equal to the excess of (a) such aggregate Available Amount over</w:t>
      </w:r>
    </w:p>
    <w:p>
      <w:pPr>
        <w:spacing w:after="0" w:line="180" w:lineRule="exact"/>
        <w:rPr>
          <w:sz w:val="20"/>
          <w:szCs w:val="20"/>
          <w:color w:val="auto"/>
        </w:rPr>
      </w:pPr>
    </w:p>
    <w:p>
      <w:pPr>
        <w:jc w:val="both"/>
        <w:ind w:firstLine="8"/>
        <w:spacing w:after="0" w:line="241" w:lineRule="auto"/>
        <w:tabs>
          <w:tab w:leader="none" w:pos="29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total amount of funds, if any, then held in the L/C Cash Collateral Account that the Agent determines to be free and clear of any such right and claim. Upon the drawing of any Letter of Credit, to the extent funds are on deposit in the L/C Cash Collateral Account, such funds shall be applied to reimburse the Issuing Banks to the extent permitted by applicable law.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AGENT</w:t>
      </w:r>
    </w:p>
    <w:p>
      <w:pPr>
        <w:spacing w:after="0" w:line="216"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Appointment and Authority</w:t>
      </w:r>
      <w:r>
        <w:rPr>
          <w:rFonts w:ascii="Arial" w:cs="Arial" w:eastAsia="Arial" w:hAnsi="Arial"/>
          <w:sz w:val="20"/>
          <w:szCs w:val="20"/>
          <w:color w:val="auto"/>
        </w:rPr>
        <w:t>. Each of the Lender Parties hereby irrevocably appoints Citibank to act on its behalf as the Agent hereunder and under the Notes and authorizes the Agent to take such actions on its behalf and to exercise such powers as are delegated to the Agent by the terms hereof, together with such actions and powers as are reasonably incidental thereto. The provisions of this Article are solely for the benefit of the Agent and the Lender Parties, and the Borrower shall not have rights as a third-party beneficiary of any of such provisions. It is understood and agreed that the use of the term “agent” herein or in any Note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the Agent hereunder shall have the same rights and powers in its capacity as a Lender Party as any other Lender Party and may exercise the same as though it were not the Agent, and the term “Lender Party” or “Lender Parties”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 Parties.</w:t>
      </w:r>
    </w:p>
    <w:p>
      <w:pPr>
        <w:spacing w:after="0" w:line="165"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(a) The Agent shall not have any duties or obligations except those expressly set forth herein, and its duties hereunder shall be administrative in nature. Without limiting the generality of the foregoing, the Agent:</w:t>
      </w:r>
    </w:p>
    <w:p>
      <w:pPr>
        <w:spacing w:after="0" w:line="394" w:lineRule="exact"/>
        <w:rPr>
          <w:sz w:val="20"/>
          <w:szCs w:val="20"/>
          <w:color w:val="auto"/>
        </w:rPr>
      </w:pPr>
    </w:p>
    <w:p>
      <w:pPr>
        <w:ind w:right="8680" w:firstLine="8"/>
        <w:spacing w:after="0" w:line="273" w:lineRule="auto"/>
        <w:tabs>
          <w:tab w:leader="none" w:pos="8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color w:val="auto"/>
        </w:rPr>
        <w:t>49</w:t>
      </w:r>
    </w:p>
    <w:p>
      <w:pPr>
        <w:spacing w:after="0" w:line="200" w:lineRule="exact"/>
        <w:rPr>
          <w:sz w:val="20"/>
          <w:szCs w:val="20"/>
          <w:color w:val="auto"/>
        </w:rPr>
      </w:pPr>
    </w:p>
    <w:p>
      <w:pPr>
        <w:spacing w:after="0" w:line="294" w:lineRule="exact"/>
        <w:rPr>
          <w:sz w:val="20"/>
          <w:szCs w:val="20"/>
          <w:color w:val="auto"/>
        </w:rPr>
      </w:pPr>
    </w:p>
    <w:p>
      <w:pPr>
        <w:ind w:left="2380" w:hanging="427"/>
        <w:spacing w:after="0"/>
        <w:tabs>
          <w:tab w:leader="none" w:pos="23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199" w:lineRule="exact"/>
        <w:rPr>
          <w:rFonts w:ascii="Arial" w:cs="Arial" w:eastAsia="Arial" w:hAnsi="Arial"/>
          <w:sz w:val="18"/>
          <w:szCs w:val="18"/>
          <w:color w:val="auto"/>
        </w:rPr>
      </w:pPr>
    </w:p>
    <w:p>
      <w:pPr>
        <w:jc w:val="both"/>
        <w:ind w:left="1300" w:firstLine="653"/>
        <w:spacing w:after="0" w:line="258" w:lineRule="auto"/>
        <w:tabs>
          <w:tab w:leader="none" w:pos="2388"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shall not be required to take any action that, in its opinion or the opinion of its counsel, may expose the Agent to liability or that 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9" w:lineRule="exact"/>
        <w:rPr>
          <w:rFonts w:ascii="Arial" w:cs="Arial" w:eastAsia="Arial" w:hAnsi="Arial"/>
          <w:sz w:val="19"/>
          <w:szCs w:val="19"/>
          <w:color w:val="auto"/>
        </w:rPr>
      </w:pPr>
    </w:p>
    <w:p>
      <w:pPr>
        <w:jc w:val="both"/>
        <w:ind w:left="1300" w:firstLine="653"/>
        <w:spacing w:after="0" w:line="250" w:lineRule="auto"/>
        <w:tabs>
          <w:tab w:leader="none" w:pos="2465" w:val="left"/>
        </w:tabs>
        <w:numPr>
          <w:ilvl w:val="1"/>
          <w:numId w:val="166"/>
        </w:numPr>
        <w:rPr>
          <w:rFonts w:ascii="Arial" w:cs="Arial" w:eastAsia="Arial" w:hAnsi="Arial"/>
          <w:sz w:val="20"/>
          <w:szCs w:val="20"/>
          <w:color w:val="auto"/>
        </w:rPr>
      </w:pPr>
      <w:r>
        <w:rPr>
          <w:rFonts w:ascii="Arial" w:cs="Arial" w:eastAsia="Arial" w:hAnsi="Arial"/>
          <w:sz w:val="20"/>
          <w:szCs w:val="20"/>
          <w:color w:val="auto"/>
        </w:rPr>
        <w:t>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spacing w:after="0" w:line="186" w:lineRule="exact"/>
        <w:rPr>
          <w:rFonts w:ascii="Arial" w:cs="Arial" w:eastAsia="Arial" w:hAnsi="Arial"/>
          <w:sz w:val="20"/>
          <w:szCs w:val="20"/>
          <w:color w:val="auto"/>
        </w:rPr>
      </w:pPr>
    </w:p>
    <w:p>
      <w:pPr>
        <w:jc w:val="both"/>
        <w:ind w:firstLine="1305"/>
        <w:spacing w:after="0" w:line="278" w:lineRule="auto"/>
        <w:tabs>
          <w:tab w:leader="none" w:pos="17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spacing w:after="0" w:line="165" w:lineRule="exact"/>
        <w:rPr>
          <w:rFonts w:ascii="Arial" w:cs="Arial" w:eastAsia="Arial" w:hAnsi="Arial"/>
          <w:sz w:val="18"/>
          <w:szCs w:val="18"/>
          <w:color w:val="auto"/>
        </w:rPr>
      </w:pPr>
    </w:p>
    <w:p>
      <w:pPr>
        <w:jc w:val="both"/>
        <w:ind w:firstLine="1305"/>
        <w:spacing w:after="0" w:line="259" w:lineRule="auto"/>
        <w:tabs>
          <w:tab w:leader="none" w:pos="183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 (v) the satisfaction of any condition set forth in Article III or elsewhere herein, other than to confirm receipt of items expressly required to be delivered to the Agent.</w:t>
      </w:r>
    </w:p>
    <w:p>
      <w:pPr>
        <w:spacing w:after="0" w:line="17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Reliance by Agent</w:t>
      </w:r>
      <w:r>
        <w:rPr>
          <w:rFonts w:ascii="Arial" w:cs="Arial" w:eastAsia="Arial" w:hAnsi="Arial"/>
          <w:sz w:val="18"/>
          <w:szCs w:val="18"/>
          <w:color w:val="auto"/>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 must be fulfilled to the satisfaction of a Lender or an Issuing Bank, the Agent may presume that such condition is satisfactory to such Lender or Issuing Bank unless the Agent shall have received notice to the contrary from such Lender or Issuing Bank prior to the making of such Advance or the issuance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16" w:lineRule="exact"/>
        <w:rPr>
          <w:sz w:val="20"/>
          <w:szCs w:val="20"/>
          <w:color w:val="auto"/>
        </w:rPr>
      </w:pPr>
    </w:p>
    <w:p>
      <w:pPr>
        <w:ind w:right="8680" w:firstLine="8"/>
        <w:spacing w:after="0" w:line="273" w:lineRule="auto"/>
        <w:tabs>
          <w:tab w:leader="none" w:pos="8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color w:val="auto"/>
        </w:rPr>
        <w:t>50</w:t>
      </w:r>
    </w:p>
    <w:p>
      <w:pPr>
        <w:spacing w:after="0" w:line="200" w:lineRule="exact"/>
        <w:rPr>
          <w:sz w:val="20"/>
          <w:szCs w:val="20"/>
          <w:color w:val="auto"/>
        </w:rPr>
      </w:pPr>
    </w:p>
    <w:p>
      <w:pPr>
        <w:spacing w:after="0" w:line="294" w:lineRule="exact"/>
        <w:rPr>
          <w:sz w:val="20"/>
          <w:szCs w:val="20"/>
          <w:color w:val="auto"/>
        </w:rPr>
      </w:pPr>
    </w:p>
    <w:p>
      <w:pPr>
        <w:jc w:val="both"/>
        <w:ind w:firstLine="1297"/>
        <w:spacing w:after="0" w:line="232" w:lineRule="exact"/>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Indemnification</w:t>
      </w:r>
      <w:r>
        <w:rPr>
          <w:rFonts w:ascii="Arial" w:cs="Arial" w:eastAsia="Arial" w:hAnsi="Arial"/>
          <w:sz w:val="18"/>
          <w:szCs w:val="18"/>
          <w:color w:val="auto"/>
        </w:rPr>
        <w:t>. (a) Each Lender Party severally agrees to indemnify the Agent (to the extent not reimbursed by the Borrower), ratably according to the respective principal amounts of the Revolving Credit Advances and Letter of Credit Advances owed to each of them (or if no Revolving Credit Advances and Letter of Credit Advances are at the time outstanding,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(collectively, the “</w:t>
      </w:r>
      <w:r>
        <w:rPr>
          <w:rFonts w:ascii="Arial" w:cs="Arial" w:eastAsia="Arial" w:hAnsi="Arial"/>
          <w:sz w:val="18"/>
          <w:szCs w:val="18"/>
          <w:u w:val="single" w:color="auto"/>
          <w:color w:val="auto"/>
        </w:rPr>
        <w:t>Indemnified Costs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Party shall be liable for any portion of the Indemnified Costs resulting from the Agent’s gross negligence or willful misconduct. Without limitation of the foregoing, each Lender Party agrees to reimburse the Agent promptly upon demand for its ratable share of any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(including reasonable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 In the case of any investigation, litigation or proceeding giving rise to any Indemnified Costs, this Section 7.05 applies whether any such investigation, litigation or proceeding is brought by the Agent, any Lender Party or a third party.</w:t>
      </w:r>
    </w:p>
    <w:p>
      <w:pPr>
        <w:spacing w:after="0" w:line="196" w:lineRule="exact"/>
        <w:rPr>
          <w:sz w:val="20"/>
          <w:szCs w:val="20"/>
          <w:color w:val="auto"/>
        </w:rPr>
      </w:pPr>
    </w:p>
    <w:p>
      <w:pPr>
        <w:jc w:val="both"/>
        <w:ind w:firstLine="1305"/>
        <w:spacing w:after="0" w:line="271" w:lineRule="auto"/>
        <w:tabs>
          <w:tab w:leader="none" w:pos="18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Each Lender Party severally agrees to indemnify the Issuing Banks (to the extent not promptly reimbursed by the Borrower)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any such Issuing Bank in any way relating to or arising out of this Agreement or any action taken or omitted by such Issuing Bank hereunder or in connection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Lender Party shall be liable for any portion of such liabilities, obligations, losses, damages, penalties, actions, judgments, suits, costs, expenses or disbursements resulting from such Issuing Bank’s gross negligence or willful misconduct as found in a final, non-appealable judgment by a court of competent jurisdiction. Without limitation of the foregoing, each Lender Party agrees to reimburse any such Issuing Bank promptly upon demand for its ratable share of any costs and expenses (including, without limitation, fees and expenses of counsel) payable by the Borrower under Section 8.04, to the extent that such Issuing Bank is not promptly reimbursed for such costs and expenses by the Borrower.</w:t>
      </w:r>
    </w:p>
    <w:p>
      <w:pPr>
        <w:spacing w:after="0" w:line="174" w:lineRule="exact"/>
        <w:rPr>
          <w:rFonts w:ascii="Arial" w:cs="Arial" w:eastAsia="Arial" w:hAnsi="Arial"/>
          <w:sz w:val="18"/>
          <w:szCs w:val="18"/>
          <w:color w:val="auto"/>
        </w:rPr>
      </w:pPr>
    </w:p>
    <w:p>
      <w:pPr>
        <w:jc w:val="both"/>
        <w:ind w:firstLine="1305"/>
        <w:spacing w:after="0" w:line="270" w:lineRule="auto"/>
        <w:tabs>
          <w:tab w:leader="none" w:pos="173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For purposes of this Section 7.05, the Lender Parties’ respective ratable shares of any amount shall be determined, at any time, according to the sum of (i) the aggregate principal amount of the Advances outstanding at such time and owing to the respective Lender Parties, (ii) their respective Pro Rata Shares of the aggregate Available Amount of all Letters of Credit outstanding at such time and (iii) their respective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Letter of Credit Advances owing to the Issuing Banks shall be considered to be owed to the Lenders ratably in accordance with their respective Revolving Commitments. The failure of any Lender Party to reimburse the Agent or any such Issuing Bank, as the case may be, promptly upon demand for its ratable share of any amount required to be paid by the Lender Parties to such Agent or such Issuing Bank, as the case may be, as provided herein shall not relieve any other Lender Party of its obligation hereunder to reimburse such Agent or Issuing Bank, as the case may be, for its ratable share of such amount, but no Lender Party shall be responsible for the failure of any other Lender Party to reimburse the Agent or any such Issuing Bank, as the case may be, for such other Lender Party’s ratable share of such amount. Without prejudice to the survival of any other agreement of any Lender Party hereunder, the agreement and obligations of each Lender Party contained in this Section 7.05 shall survive the payment in full of principal, interest and all other amounts payable hereunder and under the Notes.</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17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color w:val="auto"/>
        </w:rPr>
        <w:t>51</w:t>
      </w:r>
    </w:p>
    <w:p>
      <w:pPr>
        <w:spacing w:after="0" w:line="200" w:lineRule="exact"/>
        <w:rPr>
          <w:sz w:val="20"/>
          <w:szCs w:val="20"/>
          <w:color w:val="auto"/>
        </w:rPr>
      </w:pPr>
    </w:p>
    <w:p>
      <w:pPr>
        <w:spacing w:after="0" w:line="294" w:lineRule="exact"/>
        <w:rPr>
          <w:sz w:val="20"/>
          <w:szCs w:val="20"/>
          <w:color w:val="auto"/>
        </w:rPr>
      </w:pPr>
    </w:p>
    <w:p>
      <w:pPr>
        <w:jc w:val="both"/>
        <w:ind w:firstLine="1297"/>
        <w:spacing w:after="0" w:line="233" w:lineRule="exact"/>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Agent may perform any and all of its duties and exercise its rights and powers hereunder by or through any one or more sub</w:t>
      </w:r>
      <w:r>
        <w:rPr>
          <w:rFonts w:ascii="MS PGothic" w:cs="MS PGothic" w:eastAsia="MS PGothic" w:hAnsi="MS PGothic"/>
          <w:sz w:val="18"/>
          <w:szCs w:val="18"/>
          <w:color w:val="auto"/>
        </w:rPr>
        <w:t>‑</w:t>
      </w:r>
      <w:r>
        <w:rPr>
          <w:rFonts w:ascii="Arial" w:cs="Arial" w:eastAsia="Arial" w:hAnsi="Arial"/>
          <w:sz w:val="18"/>
          <w:szCs w:val="18"/>
          <w:color w:val="auto"/>
        </w:rPr>
        <w:t>agents appointed by the Agent. The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Arial" w:cs="Arial" w:eastAsia="Arial" w:hAnsi="Arial"/>
          <w:sz w:val="18"/>
          <w:szCs w:val="18"/>
          <w:color w:val="auto"/>
        </w:rPr>
        <w:t>agent and to the Related Parties of the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The Agent shall not be responsible for the negligence or misconduct of any sub-agents except to the extent that a court of competent jurisdiction determines in a final and non appealable judgment that the Agent acted with gross negligence or willful misconduct in the selection of such sub</w:t>
      </w:r>
      <w:r>
        <w:rPr>
          <w:rFonts w:ascii="MS PGothic" w:cs="MS PGothic" w:eastAsia="MS PGothic" w:hAnsi="MS PGothic"/>
          <w:sz w:val="18"/>
          <w:szCs w:val="18"/>
          <w:color w:val="auto"/>
        </w:rPr>
        <w:t>‑</w:t>
      </w:r>
      <w:r>
        <w:rPr>
          <w:rFonts w:ascii="Arial" w:cs="Arial" w:eastAsia="Arial" w:hAnsi="Arial"/>
          <w:sz w:val="18"/>
          <w:szCs w:val="18"/>
          <w:color w:val="auto"/>
        </w:rPr>
        <w:t>agents.</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u w:val="single" w:color="auto"/>
          <w:color w:val="auto"/>
        </w:rPr>
        <w:t>Resignation of Agent</w:t>
      </w:r>
      <w:r>
        <w:rPr>
          <w:rFonts w:ascii="Arial" w:cs="Arial" w:eastAsia="Arial" w:hAnsi="Arial"/>
          <w:sz w:val="19"/>
          <w:szCs w:val="19"/>
          <w:color w:val="auto"/>
        </w:rPr>
        <w:t>. (a) The Agent may at any time give notice of its resignation to the Lender Parties and the Borrower. Upon receipt of any such notice of resignation, the Required Lenders shall have the right, so long as no Default has occurred and is continuing, with the consent of the Borrower (which consent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Agent may (but shall not be obligated to), on behalf of the Lender Parties, appoint a successor Agent meeting the qualifications set forth above. Whether or not a successor has been appointed, such resignation shall become effective in accordance with such notice on the Resignation Effective Date.</w:t>
      </w:r>
    </w:p>
    <w:p>
      <w:pPr>
        <w:spacing w:after="0" w:line="185" w:lineRule="exact"/>
        <w:rPr>
          <w:sz w:val="20"/>
          <w:szCs w:val="20"/>
          <w:color w:val="auto"/>
        </w:rPr>
      </w:pPr>
    </w:p>
    <w:p>
      <w:pPr>
        <w:jc w:val="both"/>
        <w:ind w:firstLine="1305"/>
        <w:spacing w:after="0" w:line="276" w:lineRule="auto"/>
        <w:tabs>
          <w:tab w:leader="none" w:pos="183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Person serving as Agent is a Defaulting Lender pursuant to clause (v) of the definition thereof, the Required Lenders may, to the extent permitted by applicable law, by notice in writing to the Borrower and such Person remove such Person as Agent and, so long as no Default has occurred and is continuing, with the consent of the Borrower (which consent shall not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78" w:lineRule="exact"/>
        <w:rPr>
          <w:rFonts w:ascii="Arial" w:cs="Arial" w:eastAsia="Arial" w:hAnsi="Arial"/>
          <w:sz w:val="18"/>
          <w:szCs w:val="18"/>
          <w:color w:val="auto"/>
        </w:rPr>
      </w:pPr>
    </w:p>
    <w:p>
      <w:pPr>
        <w:jc w:val="both"/>
        <w:ind w:firstLine="1305"/>
        <w:spacing w:after="0" w:line="232" w:lineRule="exact"/>
        <w:tabs>
          <w:tab w:leader="none" w:pos="1723" w:val="left"/>
        </w:tabs>
        <w:numPr>
          <w:ilvl w:val="0"/>
          <w:numId w:val="171"/>
        </w:numPr>
        <w:rPr>
          <w:rFonts w:ascii="Arial" w:cs="Arial" w:eastAsia="Arial" w:hAnsi="Arial"/>
          <w:sz w:val="19"/>
          <w:szCs w:val="19"/>
          <w:color w:val="auto"/>
        </w:rPr>
      </w:pPr>
      <w:r>
        <w:rPr>
          <w:rFonts w:ascii="Arial" w:cs="Arial" w:eastAsia="Arial" w:hAnsi="Arial"/>
          <w:sz w:val="19"/>
          <w:szCs w:val="19"/>
          <w:color w:val="auto"/>
        </w:rPr>
        <w:t>With effect from the Resignation Effective Date or the Removal Effective Date (as applicable) (1) the retiring or removed Agent shall be discharged from its duties and obligations hereunder (except that in the case of any Cash Collateral held by the Agent on behalf of the Lenders or the Issuing Banks hereunder, the retiring or removed Agent shall continue to hold such Cash Collateral until such time as a successor Agent is appointed) and (2) all payments, communications and determinations provided to be made by, to or through the Agent shall instead be made by or to each Lender and Issuing Bank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while the retiring or removed Agent was acting as Agent.</w:t>
      </w:r>
    </w:p>
    <w:p>
      <w:pPr>
        <w:spacing w:after="0" w:line="196" w:lineRule="exact"/>
        <w:rPr>
          <w:rFonts w:ascii="Arial" w:cs="Arial" w:eastAsia="Arial" w:hAnsi="Arial"/>
          <w:sz w:val="19"/>
          <w:szCs w:val="19"/>
          <w:color w:val="auto"/>
        </w:rPr>
      </w:pPr>
    </w:p>
    <w:p>
      <w:pPr>
        <w:jc w:val="both"/>
        <w:ind w:firstLine="1305"/>
        <w:spacing w:after="0" w:line="250" w:lineRule="auto"/>
        <w:tabs>
          <w:tab w:leader="none" w:pos="174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Any resignation pursuant to this Section by a Person acting as Agent shall, unless such Person shall notify the Borrower and the Lenders otherwise, also act to relieve such Person and its Affiliates of any obligation to advance or issue new, or extend existing, Letters of Credit where such advance,</w:t>
      </w:r>
    </w:p>
    <w:p>
      <w:pPr>
        <w:spacing w:after="0" w:line="200" w:lineRule="exact"/>
        <w:rPr>
          <w:sz w:val="20"/>
          <w:szCs w:val="20"/>
          <w:color w:val="auto"/>
        </w:rPr>
      </w:pPr>
    </w:p>
    <w:p>
      <w:pPr>
        <w:spacing w:after="0" w:line="227" w:lineRule="exact"/>
        <w:rPr>
          <w:sz w:val="20"/>
          <w:szCs w:val="20"/>
          <w:color w:val="auto"/>
        </w:rPr>
      </w:pPr>
    </w:p>
    <w:p>
      <w:pPr>
        <w:ind w:right="8680" w:firstLine="8"/>
        <w:spacing w:after="0" w:line="273" w:lineRule="auto"/>
        <w:tabs>
          <w:tab w:leader="none" w:pos="84" w:val="left"/>
        </w:tabs>
        <w:numPr>
          <w:ilvl w:val="0"/>
          <w:numId w:val="172"/>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color w:val="auto"/>
        </w:rPr>
        <w:t>52</w:t>
      </w:r>
    </w:p>
    <w:p>
      <w:pPr>
        <w:spacing w:after="0" w:line="200" w:lineRule="exact"/>
        <w:rPr>
          <w:sz w:val="20"/>
          <w:szCs w:val="20"/>
          <w:color w:val="auto"/>
        </w:rPr>
      </w:pPr>
    </w:p>
    <w:p>
      <w:pPr>
        <w:spacing w:after="0" w:line="2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issuance or extension is to occur on or after the effective date of such resignation. Upon the acceptance of a successor’s appointment as Agent hereunder, (i) such successor shall succeed to and become vested with all of the rights, powers, privileges and duties of the retiring Issuing Bank, (ii) the retiring Issuing Bank shall be discharged from all of its duties and obligations hereunder and (iii)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6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u w:val="single" w:color="auto"/>
          <w:color w:val="auto"/>
        </w:rPr>
        <w:t>Non-Reliance on Agent and Other Lenders</w:t>
      </w:r>
      <w:r>
        <w:rPr>
          <w:rFonts w:ascii="Arial" w:cs="Arial" w:eastAsia="Arial" w:hAnsi="Arial"/>
          <w:sz w:val="19"/>
          <w:szCs w:val="19"/>
          <w:color w:val="auto"/>
        </w:rPr>
        <w:t>. Each Lender Party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Party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or any related agreement or any document furnished hereunder or thereunder.</w:t>
      </w:r>
    </w:p>
    <w:p>
      <w:pPr>
        <w:spacing w:after="0" w:line="179"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0"/>
          <w:szCs w:val="20"/>
          <w:color w:val="auto"/>
        </w:rPr>
        <w:t xml:space="preserve">SECTION 7.09.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none of the Bookrunners, Arrangers, Syndication Agents or Documentation Agents listed on the cover page hereof shall have any powers, duties or responsibilities under this Agreement, except in its capacity, as applicable, as the Agent or a Lender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waiver of any provision of this Agreement or the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no amendment, waiver or consent shall, unless in writing and signed by all the Lenders, do any of the following: (i) waive any of the conditions specified in Section 3.01, (ii) change the definition of “Required Lenders”, the percentage of the Commitments or of the aggregate unpaid principal amount of the Advances, or the number of Lenders, that shall be required for the Lenders or any of them to take any action hereunder or (iii) amend this Section 8.01 and (b) no amendment, waiver or consent shall, unless in writing and signed by each Lender directly affected thereby, do any of the following: (i) increase the Commitments of such Lender, (ii) reduce the principal of, or rate of interest on, the Advances or any fees or other amounts payable hereunder or (iii) postpone any date fixed for any payment of principal of, or interest on, the Advances or any fees or other amounts payable hereunder;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amendment, waiver or consent shall, unless in writing and signed by the Agent in addition to the Lenders required above to take such action, affect the rights or duties of the Agent under this Agreement or any Note;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amendment, waiver or consent shall, unless in writing and signed by the Issuing Banks in addition to the Lenders required above to take such action, affect the rights or obligation of the Issuing Banks under this Agreement.</w:t>
      </w:r>
    </w:p>
    <w:p>
      <w:pPr>
        <w:spacing w:after="0" w:line="17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Notices; Effectiveness; Electronic Communication</w:t>
      </w:r>
      <w:r>
        <w:rPr>
          <w:rFonts w:ascii="Arial" w:cs="Arial" w:eastAsia="Arial" w:hAnsi="Arial"/>
          <w:sz w:val="20"/>
          <w:szCs w:val="20"/>
          <w:color w:val="auto"/>
        </w:rPr>
        <w:t xml:space="preserve">. (a) </w:t>
      </w: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paragraph (b) below), all notices and other communications provided</w:t>
      </w:r>
    </w:p>
    <w:p>
      <w:pPr>
        <w:spacing w:after="0" w:line="200" w:lineRule="exact"/>
        <w:rPr>
          <w:sz w:val="20"/>
          <w:szCs w:val="20"/>
          <w:color w:val="auto"/>
        </w:rPr>
      </w:pPr>
    </w:p>
    <w:p>
      <w:pPr>
        <w:spacing w:after="0" w:line="227" w:lineRule="exact"/>
        <w:rPr>
          <w:sz w:val="20"/>
          <w:szCs w:val="20"/>
          <w:color w:val="auto"/>
        </w:rPr>
      </w:pPr>
    </w:p>
    <w:p>
      <w:pPr>
        <w:ind w:right="8680" w:firstLine="8"/>
        <w:spacing w:after="0" w:line="273" w:lineRule="auto"/>
        <w:tabs>
          <w:tab w:leader="none" w:pos="84" w:val="left"/>
        </w:tabs>
        <w:numPr>
          <w:ilvl w:val="0"/>
          <w:numId w:val="173"/>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color w:val="auto"/>
        </w:rPr>
        <w:t>53</w:t>
      </w:r>
    </w:p>
    <w:p>
      <w:pPr>
        <w:spacing w:after="0" w:line="200" w:lineRule="exact"/>
        <w:rPr>
          <w:sz w:val="20"/>
          <w:szCs w:val="20"/>
          <w:color w:val="auto"/>
        </w:rPr>
      </w:pPr>
    </w:p>
    <w:p>
      <w:pPr>
        <w:spacing w:after="0" w:line="29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for herein shall be in writing and shall be delivered by hand or overnight courier service, mailed by certified or registered mail or sent by facsimile as follows:</w:t>
      </w:r>
    </w:p>
    <w:p>
      <w:pPr>
        <w:spacing w:after="0" w:line="177" w:lineRule="exact"/>
        <w:rPr>
          <w:sz w:val="20"/>
          <w:szCs w:val="20"/>
          <w:color w:val="auto"/>
        </w:rPr>
      </w:pPr>
    </w:p>
    <w:p>
      <w:pPr>
        <w:ind w:left="1300" w:firstLine="653"/>
        <w:spacing w:after="0" w:line="287" w:lineRule="auto"/>
        <w:tabs>
          <w:tab w:leader="none" w:pos="2345"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to the Borrower, to it at 100 Manpower Place, Milwaukee, Wisconsin 53212, Attention: Sherri Albinger, Senior Vice President, Corporate Controller and Treasurer (Facsimile No. 414-906-7875; Telephone No. 414-906-6626);</w:t>
      </w:r>
    </w:p>
    <w:p>
      <w:pPr>
        <w:spacing w:after="0" w:line="152" w:lineRule="exact"/>
        <w:rPr>
          <w:rFonts w:ascii="Arial" w:cs="Arial" w:eastAsia="Arial" w:hAnsi="Arial"/>
          <w:sz w:val="19"/>
          <w:szCs w:val="19"/>
          <w:color w:val="auto"/>
        </w:rPr>
      </w:pPr>
    </w:p>
    <w:p>
      <w:pPr>
        <w:ind w:left="1300" w:firstLine="653"/>
        <w:spacing w:after="0" w:line="260" w:lineRule="auto"/>
        <w:tabs>
          <w:tab w:leader="none" w:pos="245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to the Agent, to Citibank at 1615 Brett Road, Building #3, New Castle, Delaware 19720, Attention of Bank Loan Syndications (Facsimile No. 212-994-0961; Telephone No. 302-894-6160;</w:t>
      </w:r>
    </w:p>
    <w:p>
      <w:pPr>
        <w:spacing w:after="0" w:line="176" w:lineRule="exact"/>
        <w:rPr>
          <w:rFonts w:ascii="Arial" w:cs="Arial" w:eastAsia="Arial" w:hAnsi="Arial"/>
          <w:sz w:val="20"/>
          <w:szCs w:val="20"/>
          <w:color w:val="auto"/>
        </w:rPr>
      </w:pPr>
    </w:p>
    <w:p>
      <w:pPr>
        <w:ind w:left="1300" w:right="20" w:firstLine="653"/>
        <w:spacing w:after="0" w:line="260" w:lineRule="auto"/>
        <w:tabs>
          <w:tab w:leader="none" w:pos="252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any Issuing Bank, to it at the address provided in writing to the Agent and the Borrower at the time of its appointment as an Issuing Bank hereunder;</w:t>
      </w:r>
    </w:p>
    <w:p>
      <w:pPr>
        <w:spacing w:after="0" w:line="176" w:lineRule="exact"/>
        <w:rPr>
          <w:rFonts w:ascii="Arial" w:cs="Arial" w:eastAsia="Arial" w:hAnsi="Arial"/>
          <w:sz w:val="20"/>
          <w:szCs w:val="20"/>
          <w:color w:val="auto"/>
        </w:rPr>
      </w:pPr>
    </w:p>
    <w:p>
      <w:pPr>
        <w:ind w:left="2440" w:hanging="487"/>
        <w:spacing w:after="0"/>
        <w:tabs>
          <w:tab w:leader="none" w:pos="24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to a Lender, to it at its address (or facsimile number) set forth in its Administrative Questionnaire.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62" w:lineRule="exact"/>
        <w:rPr>
          <w:sz w:val="20"/>
          <w:szCs w:val="20"/>
          <w:color w:val="auto"/>
        </w:rPr>
      </w:pPr>
    </w:p>
    <w:p>
      <w:pPr>
        <w:jc w:val="both"/>
        <w:ind w:firstLine="1305"/>
        <w:spacing w:after="0" w:line="234" w:lineRule="exact"/>
        <w:tabs>
          <w:tab w:leader="none" w:pos="1820"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 Parties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Party pursuant to Article II if such Lender Party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95"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9" w:lineRule="exact"/>
        <w:rPr>
          <w:sz w:val="20"/>
          <w:szCs w:val="20"/>
          <w:color w:val="auto"/>
        </w:rPr>
      </w:pPr>
    </w:p>
    <w:p>
      <w:pPr>
        <w:ind w:firstLine="1305"/>
        <w:spacing w:after="0" w:line="260" w:lineRule="auto"/>
        <w:tabs>
          <w:tab w:leader="none" w:pos="1944"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facsimile number for notices and other communications hereunder by notice to the other parties hereto.</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firstLine="653"/>
        <w:spacing w:after="0" w:line="260" w:lineRule="auto"/>
        <w:tabs>
          <w:tab w:leader="none" w:pos="2409" w:val="left"/>
        </w:tabs>
        <w:numPr>
          <w:ilvl w:val="1"/>
          <w:numId w:val="176"/>
        </w:numPr>
        <w:rPr>
          <w:rFonts w:ascii="Arial" w:cs="Arial" w:eastAsia="Arial" w:hAnsi="Arial"/>
          <w:sz w:val="20"/>
          <w:szCs w:val="20"/>
          <w:color w:val="auto"/>
        </w:rPr>
      </w:pPr>
      <w:r>
        <w:rPr>
          <w:rFonts w:ascii="Arial" w:cs="Arial" w:eastAsia="Arial" w:hAnsi="Arial"/>
          <w:sz w:val="20"/>
          <w:szCs w:val="20"/>
          <w:color w:val="auto"/>
        </w:rPr>
        <w:t>The Borrower agrees that the Agent may, but shall not be obligated to, make the Communications (as defined below) available to the Lender Parties by posting the</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177"/>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color w:val="auto"/>
        </w:rPr>
        <w:t>54</w:t>
      </w:r>
    </w:p>
    <w:p>
      <w:pPr>
        <w:spacing w:after="0" w:line="200" w:lineRule="exact"/>
        <w:rPr>
          <w:sz w:val="20"/>
          <w:szCs w:val="20"/>
          <w:color w:val="auto"/>
        </w:rPr>
      </w:pPr>
    </w:p>
    <w:p>
      <w:pPr>
        <w:spacing w:after="0" w:line="294"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Communications on Debt Domain, Intralinks, Syndtrak or a substantially similar electronic transmission system (the “</w:t>
      </w: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177" w:lineRule="exact"/>
        <w:rPr>
          <w:sz w:val="20"/>
          <w:szCs w:val="20"/>
          <w:color w:val="auto"/>
        </w:rPr>
      </w:pPr>
    </w:p>
    <w:p>
      <w:pPr>
        <w:jc w:val="both"/>
        <w:ind w:left="1300" w:firstLine="653"/>
        <w:spacing w:after="0" w:line="270" w:lineRule="auto"/>
        <w:tabs>
          <w:tab w:leader="none" w:pos="246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unless, and solely in the case of direct damages, such damages are found in a final, non-appealable judgment by a court of competent jurisdiction to have resulted from the gross negligence or willful misconduct of such Agent Party. “</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that the Borrower provides to the Agent pursuant to this Agreement or the transactions contemplated herein which is distributed to the Agent or any Lender Party by means of electronic communications pursuant to this Section, including through the Platform.</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No Waiver; Remedies</w:t>
      </w:r>
      <w:r>
        <w:rPr>
          <w:rFonts w:ascii="Arial" w:cs="Arial" w:eastAsia="Arial" w:hAnsi="Arial"/>
          <w:sz w:val="20"/>
          <w:szCs w:val="20"/>
          <w:color w:val="auto"/>
        </w:rPr>
        <w:t>. No failure on the part of any Lender Party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Costs and Expenses</w:t>
      </w:r>
      <w:r>
        <w:rPr>
          <w:rFonts w:ascii="Arial" w:cs="Arial" w:eastAsia="Arial" w:hAnsi="Arial"/>
          <w:sz w:val="19"/>
          <w:szCs w:val="19"/>
          <w:color w:val="auto"/>
        </w:rPr>
        <w:t>. (a) The Borrower agrees to pay on demand all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computer, duplication, appraisal, consultant, and audit expenses and (B) the reasonable fees and expenses of counsel for the Agent with respect thereto and with respect to advising the Agent as to its rights and responsibilities under this Agreement. The Borrower agrees to pay on demand all costs and expenses of each Issuing Bank in connection with the preparation, execution, delivery, administration, modification and amendment of each Letter of Credit issued by it. The Borrower further agrees to pay on demand all costs and expenses of the Agent and the Lender Parties,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Party in connection with the enforcement of rights under this Section 8.04(a).</w:t>
      </w:r>
    </w:p>
    <w:p>
      <w:pPr>
        <w:spacing w:after="0" w:line="188" w:lineRule="exact"/>
        <w:rPr>
          <w:sz w:val="20"/>
          <w:szCs w:val="20"/>
          <w:color w:val="auto"/>
        </w:rPr>
      </w:pPr>
    </w:p>
    <w:p>
      <w:pPr>
        <w:jc w:val="both"/>
        <w:ind w:firstLine="1305"/>
        <w:spacing w:after="0" w:line="244" w:lineRule="auto"/>
        <w:tabs>
          <w:tab w:leader="none" w:pos="177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Borrower agrees to indemnify and hold harmless the Agent and each Lender Party and each of their Affiliates and their officers, directors, employees, agents and advisors (each, an “</w:t>
      </w:r>
      <w:r>
        <w:rPr>
          <w:rFonts w:ascii="Arial" w:cs="Arial" w:eastAsia="Arial" w:hAnsi="Arial"/>
          <w:sz w:val="20"/>
          <w:szCs w:val="20"/>
          <w:u w:val="single" w:color="auto"/>
          <w:color w:val="auto"/>
        </w:rPr>
        <w:t>Indemnified Party</w:t>
      </w:r>
      <w:r>
        <w:rPr>
          <w:rFonts w:ascii="Arial" w:cs="Arial" w:eastAsia="Arial" w:hAnsi="Arial"/>
          <w:sz w:val="20"/>
          <w:szCs w:val="20"/>
          <w:color w:val="auto"/>
        </w:rPr>
        <w:t>”) from and against any and all claims, damages, losses, liabilities and expenses (including, without limitation, reasonable fees and expenses of counsel) incurred by or asserted or awarded against any Indemnified Party, in each case arising out of or in connection with or by reason of (including, without limitation, in connection with any investigation, litigation or proceeding or preparation of a defense in</w:t>
      </w: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100" w:hanging="92"/>
        <w:spacing w:after="0"/>
        <w:tabs>
          <w:tab w:leader="none" w:pos="10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t>55</w:t>
      </w:r>
    </w:p>
    <w:p>
      <w:pPr>
        <w:spacing w:after="0" w:line="200" w:lineRule="exact"/>
        <w:rPr>
          <w:sz w:val="20"/>
          <w:szCs w:val="20"/>
          <w:color w:val="auto"/>
        </w:rPr>
      </w:pP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connection therewith) the Notes, this Agreement, any of the transactions contemplated herein or the actual or proposed use of the proceeds of the Advances, except to the extent such claim, damage, loss, liability or expense is found in a final, non-appealable judgment by a court of competent jurisdiction to have resulted from such Indemnified Party’s gross negligence or willful misconduct.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also agrees not to assert any claim for special, indirect, consequential or punitive damages against the Agent, any Lender Party,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w:t>
      </w:r>
    </w:p>
    <w:p>
      <w:pPr>
        <w:spacing w:after="0" w:line="181" w:lineRule="exact"/>
        <w:rPr>
          <w:sz w:val="20"/>
          <w:szCs w:val="20"/>
          <w:color w:val="auto"/>
        </w:rPr>
      </w:pPr>
    </w:p>
    <w:p>
      <w:pPr>
        <w:jc w:val="both"/>
        <w:ind w:firstLine="1305"/>
        <w:spacing w:after="0" w:line="270" w:lineRule="auto"/>
        <w:tabs>
          <w:tab w:leader="none" w:pos="17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payment of principal of, or Conversion of, any Eurocurrency Rate Advance is made by the Borrower to or for the account of a Lender (i) other than on the last day of the Interest Period for such Advance, as a result of a payment or Conversion pursuant to Section 2.09, 2.11 or 2.13, acceleration of the maturity of the Notes pursuant to Section 6.01 or for any other reason, or by an Eligible Assignee to a Lender Party other than on the last day of the Interest Period for such Advance upon an assignment of rights and obligations under this Agreement pursuant to Section 8.07 as a result of a demand by the Borrower pursuant to Section 2.21 or (ii) as a result of a payment or Conversion pursuant to Section 2.09, 2.11 or 2.13, the Borrower shall, upon demand by such Lender Party (with a copy of such demand to the Agent), pay to the Agent for the account of such Lender Party any amounts required to compensate such Lender Party for any additional losses, costs or expenses that it may reasonably incur as a result of such payment or Conversion, including, without limitation, any loss (including loss of anticipated profits), cost or expense incurred by reason of the liquidation or reemployment of deposits or other funds acquired by any Lender Party to fund or maintain such Advance. If the amount of the Committed Currency purchased by any Lender Party in the case of a Conversion or redenomination of Advances in the case of Section 2.09 or 2.13 exceeds the sum required to satisfy such Lender Party’s liability in respect of such Advances, such Lender agrees to remit to the Borrower such excess.</w:t>
      </w:r>
    </w:p>
    <w:p>
      <w:pPr>
        <w:spacing w:after="0" w:line="176" w:lineRule="exact"/>
        <w:rPr>
          <w:rFonts w:ascii="Arial" w:cs="Arial" w:eastAsia="Arial" w:hAnsi="Arial"/>
          <w:sz w:val="18"/>
          <w:szCs w:val="18"/>
          <w:color w:val="auto"/>
        </w:rPr>
      </w:pPr>
    </w:p>
    <w:p>
      <w:pPr>
        <w:jc w:val="both"/>
        <w:ind w:firstLine="1305"/>
        <w:spacing w:after="0" w:line="250" w:lineRule="auto"/>
        <w:tabs>
          <w:tab w:leader="none" w:pos="177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Without prejudice to the survival of any other agreement of the Borrower hereunder, the agreements and obligations of the Borrower contained in Sections 2.12, 2.15 and 8.04 shall survive the payment in full of principal, interest and all other amounts payable hereunder and under the Notes.</w:t>
      </w:r>
    </w:p>
    <w:p>
      <w:pPr>
        <w:spacing w:after="0" w:line="186" w:lineRule="exact"/>
        <w:rPr>
          <w:sz w:val="20"/>
          <w:szCs w:val="20"/>
          <w:color w:val="auto"/>
        </w:rPr>
      </w:pPr>
    </w:p>
    <w:p>
      <w:pPr>
        <w:jc w:val="both"/>
        <w:ind w:firstLine="1297"/>
        <w:spacing w:after="0" w:line="232" w:lineRule="exact"/>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Right of Set</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off</w:t>
      </w:r>
      <w:r>
        <w:rPr>
          <w:rFonts w:ascii="MS PGothic" w:cs="MS PGothic" w:eastAsia="MS PGothic" w:hAnsi="MS PGothic"/>
          <w:sz w:val="18"/>
          <w:szCs w:val="18"/>
          <w:u w:val="single" w:color="auto"/>
          <w:color w:val="auto"/>
        </w:rPr>
        <w:t>‑</w:t>
      </w:r>
      <w:r>
        <w:rPr>
          <w:rFonts w:ascii="Arial" w:cs="Arial" w:eastAsia="Arial" w:hAnsi="Arial"/>
          <w:sz w:val="18"/>
          <w:szCs w:val="18"/>
          <w:color w:val="auto"/>
        </w:rPr>
        <w:t xml:space="preserve">. If an Event of Default shall have occurred and be continuing, each Lender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Party or any such Affiliate, to or for the credit or the account of the Borrower against any and all of the obligations of the Borrower now or hereafter existing under this Agreement or any Note to such Lender Party or its Affiliates, irrespective of whether or not such Lender Party or Affiliate shall have made any demand under this Agreement or any Note and although such obligations of the Borrower may be contingent or unmatured or are owed to a branch, office or Affiliate of such Lender Party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2.20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w:t>
      </w:r>
    </w:p>
    <w:p>
      <w:pPr>
        <w:spacing w:after="0" w:line="200" w:lineRule="exact"/>
        <w:rPr>
          <w:sz w:val="20"/>
          <w:szCs w:val="20"/>
          <w:color w:val="auto"/>
        </w:rPr>
      </w:pPr>
    </w:p>
    <w:p>
      <w:pPr>
        <w:spacing w:after="0" w:line="239" w:lineRule="exact"/>
        <w:rPr>
          <w:sz w:val="20"/>
          <w:szCs w:val="20"/>
          <w:color w:val="auto"/>
        </w:rPr>
      </w:pPr>
    </w:p>
    <w:p>
      <w:pPr>
        <w:ind w:right="8680" w:firstLine="8"/>
        <w:spacing w:after="0" w:line="273" w:lineRule="auto"/>
        <w:tabs>
          <w:tab w:leader="none" w:pos="8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color w:val="auto"/>
        </w:rPr>
        <w:t>56</w:t>
      </w:r>
    </w:p>
    <w:p>
      <w:pPr>
        <w:spacing w:after="0" w:line="200" w:lineRule="exact"/>
        <w:rPr>
          <w:sz w:val="20"/>
          <w:szCs w:val="20"/>
          <w:color w:val="auto"/>
        </w:rPr>
      </w:pPr>
    </w:p>
    <w:p>
      <w:pPr>
        <w:spacing w:after="0" w:line="2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to such Defaulting Lender as to which it exercised such right of setoff. The rights of each Lender Party and its Affiliates under this Section are in addition to other rights and remedies (including other rights of setoff) that such Lender Party or its Affiliates may have. Each Lender Party agrees to notify the Borrower and the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19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become effective when it shall have been executed by the Borrower and the Agent and when the Agent shall have been notified by each Initial Lender that such Initial Lender has executed it and upon satisfaction of the conditions precedent set forth in Section 3.01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all of the Lenders (and any other attempted assignment or transfer by the Borrower shall be null and void).</w:t>
      </w:r>
    </w:p>
    <w:p>
      <w:pPr>
        <w:spacing w:after="0" w:line="19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no Lender Party may assign or otherwise transfer any of its rights or obligations hereunder except (i) to an assignee in accordance with the provisions of paragraph (b) of this Section, (ii) by way of participation in accordance with the provisions of paragraph (d) of this Section, or</w:t>
      </w:r>
    </w:p>
    <w:p>
      <w:pPr>
        <w:spacing w:after="0" w:line="3" w:lineRule="exact"/>
        <w:rPr>
          <w:sz w:val="20"/>
          <w:szCs w:val="20"/>
          <w:color w:val="auto"/>
        </w:rPr>
      </w:pPr>
    </w:p>
    <w:p>
      <w:pPr>
        <w:jc w:val="both"/>
        <w:ind w:firstLine="8"/>
        <w:spacing w:after="0" w:line="256" w:lineRule="auto"/>
        <w:tabs>
          <w:tab w:leader="none" w:pos="36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by way of pledge or assignment of a security interest subject to the restrictions of paragraph (f) of this Section (and any other attempted assignment or transfer by any Lender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w:t>
      </w:r>
    </w:p>
    <w:p>
      <w:pPr>
        <w:spacing w:after="0" w:line="182" w:lineRule="exact"/>
        <w:rPr>
          <w:rFonts w:ascii="Arial" w:cs="Arial" w:eastAsia="Arial" w:hAnsi="Arial"/>
          <w:sz w:val="19"/>
          <w:szCs w:val="19"/>
          <w:color w:val="auto"/>
        </w:rPr>
      </w:pPr>
    </w:p>
    <w:p>
      <w:pPr>
        <w:jc w:val="both"/>
        <w:ind w:firstLine="1305"/>
        <w:spacing w:after="0" w:line="250" w:lineRule="auto"/>
        <w:tabs>
          <w:tab w:leader="none" w:pos="1766" w:val="left"/>
        </w:tabs>
        <w:numPr>
          <w:ilvl w:val="1"/>
          <w:numId w:val="18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Advances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any such assignment shall be subject to the following conditions:</w:t>
      </w:r>
    </w:p>
    <w:p>
      <w:pPr>
        <w:spacing w:after="0" w:line="186" w:lineRule="exact"/>
        <w:rPr>
          <w:sz w:val="20"/>
          <w:szCs w:val="20"/>
          <w:color w:val="auto"/>
        </w:rPr>
      </w:pPr>
    </w:p>
    <w:p>
      <w:pPr>
        <w:ind w:left="1680" w:hanging="375"/>
        <w:spacing w:after="0"/>
        <w:tabs>
          <w:tab w:leader="none" w:pos="1680" w:val="left"/>
        </w:tabs>
        <w:numPr>
          <w:ilvl w:val="1"/>
          <w:numId w:val="183"/>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3"/>
        <w:spacing w:after="0" w:line="263" w:lineRule="auto"/>
        <w:tabs>
          <w:tab w:leader="none" w:pos="2296" w:val="left"/>
        </w:tabs>
        <w:numPr>
          <w:ilvl w:val="2"/>
          <w:numId w:val="183"/>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and/or the Advances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176" w:lineRule="exact"/>
        <w:rPr>
          <w:rFonts w:ascii="Arial" w:cs="Arial" w:eastAsia="Arial" w:hAnsi="Arial"/>
          <w:sz w:val="19"/>
          <w:szCs w:val="19"/>
          <w:color w:val="auto"/>
        </w:rPr>
      </w:pPr>
    </w:p>
    <w:p>
      <w:pPr>
        <w:jc w:val="both"/>
        <w:ind w:left="1300" w:firstLine="653"/>
        <w:spacing w:after="0" w:line="243" w:lineRule="auto"/>
        <w:tabs>
          <w:tab w:leader="none" w:pos="2271" w:val="left"/>
        </w:tabs>
        <w:numPr>
          <w:ilvl w:val="2"/>
          <w:numId w:val="183"/>
        </w:numPr>
        <w:rPr>
          <w:rFonts w:ascii="Arial" w:cs="Arial" w:eastAsia="Arial" w:hAnsi="Arial"/>
          <w:sz w:val="20"/>
          <w:szCs w:val="20"/>
          <w:color w:val="auto"/>
        </w:rPr>
      </w:pPr>
      <w:r>
        <w:rPr>
          <w:rFonts w:ascii="Arial" w:cs="Arial" w:eastAsia="Arial" w:hAnsi="Arial"/>
          <w:sz w:val="20"/>
          <w:szCs w:val="20"/>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Agent or, if “</w:t>
      </w:r>
      <w:r>
        <w:rPr>
          <w:rFonts w:ascii="Arial" w:cs="Arial" w:eastAsia="Arial" w:hAnsi="Arial"/>
          <w:sz w:val="20"/>
          <w:szCs w:val="20"/>
          <w:u w:val="single" w:color="auto"/>
          <w:color w:val="auto"/>
        </w:rPr>
        <w:t>Trade Date</w:t>
      </w:r>
      <w:r>
        <w:rPr>
          <w:rFonts w:ascii="Arial" w:cs="Arial" w:eastAsia="Arial" w:hAnsi="Arial"/>
          <w:sz w:val="20"/>
          <w:szCs w:val="20"/>
          <w:color w:val="auto"/>
        </w:rPr>
        <w:t>” is specified in the Assignment and Assumption, as of the Trade Date) shall not be less than $5,000,000, unless each of the Agent and, so long as no Event of Default has occurred and is continuing, the Borrower otherwise consents (each such consent not to be unreasonably withheld or delayed).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0" w:hanging="92"/>
        <w:spacing w:after="0"/>
        <w:tabs>
          <w:tab w:leader="none" w:pos="10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NYDOCS01/1628313.3B</w:t>
      </w:r>
    </w:p>
    <w:p>
      <w:pPr>
        <w:sectPr>
          <w:pgSz w:w="11900" w:h="16838" w:orient="portrait"/>
          <w:cols w:equalWidth="0" w:num="1">
            <w:col w:w="11420"/>
          </w:cols>
          <w:pgMar w:left="240" w:top="132"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color w:val="auto"/>
        </w:rPr>
        <w:t>57</w:t>
      </w:r>
    </w:p>
    <w:p>
      <w:pPr>
        <w:spacing w:after="0" w:line="200" w:lineRule="exact"/>
        <w:rPr>
          <w:sz w:val="20"/>
          <w:szCs w:val="20"/>
          <w:color w:val="auto"/>
        </w:rPr>
      </w:pPr>
    </w:p>
    <w:p>
      <w:pPr>
        <w:spacing w:after="0" w:line="294" w:lineRule="exact"/>
        <w:rPr>
          <w:sz w:val="20"/>
          <w:szCs w:val="20"/>
          <w:color w:val="auto"/>
        </w:rPr>
      </w:pPr>
    </w:p>
    <w:p>
      <w:pPr>
        <w:ind w:left="660" w:right="20" w:firstLine="645"/>
        <w:spacing w:after="0" w:line="287" w:lineRule="auto"/>
        <w:tabs>
          <w:tab w:leader="none" w:pos="1883"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Advances or the Commitment assigned.</w:t>
      </w:r>
    </w:p>
    <w:p>
      <w:pPr>
        <w:spacing w:after="0" w:line="152" w:lineRule="exact"/>
        <w:rPr>
          <w:rFonts w:ascii="Arial" w:cs="Arial" w:eastAsia="Arial" w:hAnsi="Arial"/>
          <w:sz w:val="19"/>
          <w:szCs w:val="19"/>
          <w:color w:val="auto"/>
        </w:rPr>
      </w:pPr>
    </w:p>
    <w:p>
      <w:pPr>
        <w:ind w:left="660" w:right="20" w:firstLine="645"/>
        <w:spacing w:after="0" w:line="260" w:lineRule="auto"/>
        <w:tabs>
          <w:tab w:leader="none" w:pos="1816"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and, in addition:</w:t>
      </w:r>
    </w:p>
    <w:p>
      <w:pPr>
        <w:spacing w:after="0" w:line="176" w:lineRule="exact"/>
        <w:rPr>
          <w:rFonts w:ascii="Arial" w:cs="Arial" w:eastAsia="Arial" w:hAnsi="Arial"/>
          <w:sz w:val="20"/>
          <w:szCs w:val="20"/>
          <w:color w:val="auto"/>
        </w:rPr>
      </w:pPr>
    </w:p>
    <w:p>
      <w:pPr>
        <w:jc w:val="both"/>
        <w:ind w:left="1300" w:firstLine="653"/>
        <w:spacing w:after="0" w:line="244" w:lineRule="auto"/>
        <w:tabs>
          <w:tab w:leader="none" w:pos="2276"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Agent within five Business Days after having received prior written notice thereof;</w:t>
      </w:r>
    </w:p>
    <w:p>
      <w:pPr>
        <w:spacing w:after="0" w:line="194" w:lineRule="exact"/>
        <w:rPr>
          <w:rFonts w:ascii="Arial" w:cs="Arial" w:eastAsia="Arial" w:hAnsi="Arial"/>
          <w:sz w:val="20"/>
          <w:szCs w:val="20"/>
          <w:color w:val="auto"/>
        </w:rPr>
      </w:pPr>
    </w:p>
    <w:p>
      <w:pPr>
        <w:jc w:val="both"/>
        <w:ind w:left="1300" w:firstLine="653"/>
        <w:spacing w:after="0" w:line="250" w:lineRule="auto"/>
        <w:tabs>
          <w:tab w:leader="none" w:pos="2311"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consent of the Agent (such consent not to be unreasonably withheld or delayed) shall be required for assignments in respect of any Commitments if such assignment is to a Person that is not a Lender, an Affiliate of such Lender or an Approved Fund with respect to such Lender, and</w:t>
      </w:r>
    </w:p>
    <w:p>
      <w:pPr>
        <w:spacing w:after="0" w:line="186" w:lineRule="exact"/>
        <w:rPr>
          <w:rFonts w:ascii="Arial" w:cs="Arial" w:eastAsia="Arial" w:hAnsi="Arial"/>
          <w:sz w:val="20"/>
          <w:szCs w:val="20"/>
          <w:color w:val="auto"/>
        </w:rPr>
      </w:pPr>
    </w:p>
    <w:p>
      <w:pPr>
        <w:ind w:left="1300" w:firstLine="653"/>
        <w:spacing w:after="0" w:line="260" w:lineRule="auto"/>
        <w:tabs>
          <w:tab w:leader="none" w:pos="231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consent of each Issuing Bank shall be required for any assignment in respect of the Revolving Credit Commitments.</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819"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Agent an Assignment and Assumption, together with a processing and recordation fee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Agent may, in its sole discretion, elect to waive such processing and recordation fee in the case of any assignment</w:t>
      </w:r>
      <w:r>
        <w:rPr>
          <w:rFonts w:ascii="Arial" w:cs="Arial" w:eastAsia="Arial" w:hAnsi="Arial"/>
          <w:sz w:val="20"/>
          <w:szCs w:val="20"/>
          <w:b w:val="1"/>
          <w:bCs w:val="1"/>
          <w:color w:val="auto"/>
        </w:rPr>
        <w:t>.</w:t>
      </w:r>
      <w:r>
        <w:rPr>
          <w:rFonts w:ascii="Arial" w:cs="Arial" w:eastAsia="Arial" w:hAnsi="Arial"/>
          <w:sz w:val="20"/>
          <w:szCs w:val="20"/>
          <w:color w:val="auto"/>
        </w:rPr>
        <w:t xml:space="preserve"> The assignee, if it is not a Lender, shall deliver to the Agent an Administrative Questionnaire.</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818"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86" w:lineRule="exact"/>
        <w:rPr>
          <w:rFonts w:ascii="Arial" w:cs="Arial" w:eastAsia="Arial" w:hAnsi="Arial"/>
          <w:sz w:val="20"/>
          <w:szCs w:val="20"/>
          <w:color w:val="auto"/>
        </w:rPr>
      </w:pPr>
    </w:p>
    <w:p>
      <w:pPr>
        <w:ind w:left="660" w:firstLine="645"/>
        <w:spacing w:after="0" w:line="260" w:lineRule="auto"/>
        <w:tabs>
          <w:tab w:leader="none" w:pos="1900"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 (or a holding company, investment vehicle or trust for, or owned and operated for the primary benefit of, a natural Person).</w:t>
      </w:r>
    </w:p>
    <w:p>
      <w:pPr>
        <w:spacing w:after="0" w:line="176" w:lineRule="exact"/>
        <w:rPr>
          <w:rFonts w:ascii="Arial" w:cs="Arial" w:eastAsia="Arial" w:hAnsi="Arial"/>
          <w:sz w:val="20"/>
          <w:szCs w:val="20"/>
          <w:color w:val="auto"/>
        </w:rPr>
      </w:pPr>
    </w:p>
    <w:p>
      <w:pPr>
        <w:jc w:val="both"/>
        <w:ind w:left="660" w:firstLine="645"/>
        <w:spacing w:after="0" w:line="271" w:lineRule="auto"/>
        <w:tabs>
          <w:tab w:leader="none" w:pos="192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each Issuing Bank and each other Lender hereunder (and interest accrued thereon), and (y) acquire (and fund as appropriate) its full pro rata share of all Advances in accordance with its Commitment. Notwithstanding the foregoing, in the event that any assignment of rights and obligations of any Defaulting Lender hereunder shall become effective under applicable law without compliance with</w:t>
      </w:r>
    </w:p>
    <w:p>
      <w:pPr>
        <w:spacing w:after="0" w:line="200" w:lineRule="exact"/>
        <w:rPr>
          <w:sz w:val="20"/>
          <w:szCs w:val="20"/>
          <w:color w:val="auto"/>
        </w:rPr>
      </w:pPr>
    </w:p>
    <w:p>
      <w:pPr>
        <w:spacing w:after="0" w:line="216" w:lineRule="exact"/>
        <w:rPr>
          <w:sz w:val="20"/>
          <w:szCs w:val="20"/>
          <w:color w:val="auto"/>
        </w:rPr>
      </w:pPr>
    </w:p>
    <w:p>
      <w:pPr>
        <w:ind w:right="8680" w:firstLine="8"/>
        <w:spacing w:after="0" w:line="273" w:lineRule="auto"/>
        <w:tabs>
          <w:tab w:leader="none" w:pos="84" w:val="left"/>
        </w:tabs>
        <w:numPr>
          <w:ilvl w:val="0"/>
          <w:numId w:val="18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color w:val="auto"/>
        </w:rPr>
        <w:t>58</w:t>
      </w:r>
    </w:p>
    <w:p>
      <w:pPr>
        <w:spacing w:after="0" w:line="200" w:lineRule="exact"/>
        <w:rPr>
          <w:sz w:val="20"/>
          <w:szCs w:val="20"/>
          <w:color w:val="auto"/>
        </w:rPr>
      </w:pPr>
    </w:p>
    <w:p>
      <w:pPr>
        <w:spacing w:after="0" w:line="294"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the provisions of this paragraph, then the assignee of such interest shall be deemed to be a Defaulting Lender for all purposes of this Agreement until such compliance occurs.</w:t>
      </w:r>
    </w:p>
    <w:p>
      <w:pPr>
        <w:spacing w:after="0" w:line="17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2.12 and 8.04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88" w:lineRule="exact"/>
        <w:rPr>
          <w:sz w:val="20"/>
          <w:szCs w:val="20"/>
          <w:color w:val="auto"/>
        </w:rPr>
      </w:pPr>
    </w:p>
    <w:p>
      <w:pPr>
        <w:jc w:val="both"/>
        <w:ind w:firstLine="1305"/>
        <w:spacing w:after="0" w:line="243" w:lineRule="auto"/>
        <w:tabs>
          <w:tab w:leader="none" w:pos="1741"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Agent, acting solely for this purpose as an agent of the Borrower, shall maintain at one of its offices in the United States a copy of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3" w:lineRule="exact"/>
        <w:rPr>
          <w:rFonts w:ascii="Arial" w:cs="Arial" w:eastAsia="Arial" w:hAnsi="Arial"/>
          <w:sz w:val="20"/>
          <w:szCs w:val="20"/>
          <w:color w:val="auto"/>
        </w:rPr>
      </w:pPr>
    </w:p>
    <w:p>
      <w:pPr>
        <w:jc w:val="both"/>
        <w:ind w:firstLine="1305"/>
        <w:spacing w:after="0" w:line="257" w:lineRule="auto"/>
        <w:tabs>
          <w:tab w:leader="none" w:pos="1860"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Agent, sell participations to any Person (other than a natural Person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Advances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Agent, the Issuing Banks and Lenders shall continue to deal solely and directly with such Lender in connection with such Lender’s rights and obligations under this Agreement. For the avoidance of doubt, each Lender shall be responsible for the indemnity under Section 8.04(c) with respect to any payments made by such Lender to its Participant(s).</w:t>
      </w:r>
    </w:p>
    <w:p>
      <w:pPr>
        <w:spacing w:after="0" w:line="18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clause (a) of the first proviso of Section 8.01 that affects such Participant. The Borrower agrees that each Participant shall be entitled to the benefits of Sections 2.12 and 2.15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Section 2.21 as if it were an assignee under paragraph (b) of this Section. To the extent permitted by law, each Participant also shall be entitled to the benefits of Section 8.05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2.14 as though it were a Lender.</w:t>
      </w:r>
    </w:p>
    <w:p>
      <w:pPr>
        <w:spacing w:after="0" w:line="200" w:lineRule="exact"/>
        <w:rPr>
          <w:sz w:val="20"/>
          <w:szCs w:val="20"/>
          <w:color w:val="auto"/>
        </w:rPr>
      </w:pPr>
    </w:p>
    <w:p>
      <w:pPr>
        <w:spacing w:after="0" w:line="210" w:lineRule="exact"/>
        <w:rPr>
          <w:sz w:val="20"/>
          <w:szCs w:val="20"/>
          <w:color w:val="auto"/>
        </w:rPr>
      </w:pPr>
    </w:p>
    <w:p>
      <w:pPr>
        <w:ind w:right="8680" w:firstLine="8"/>
        <w:spacing w:after="0" w:line="273" w:lineRule="auto"/>
        <w:tabs>
          <w:tab w:leader="none" w:pos="84" w:val="left"/>
        </w:tabs>
        <w:numPr>
          <w:ilvl w:val="0"/>
          <w:numId w:val="187"/>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color w:val="auto"/>
        </w:rPr>
        <w:t>59</w:t>
      </w:r>
    </w:p>
    <w:p>
      <w:pPr>
        <w:spacing w:after="0" w:line="200" w:lineRule="exact"/>
        <w:rPr>
          <w:sz w:val="20"/>
          <w:szCs w:val="20"/>
          <w:color w:val="auto"/>
        </w:rPr>
      </w:pPr>
    </w:p>
    <w:p>
      <w:pPr>
        <w:spacing w:after="0" w:line="294" w:lineRule="exact"/>
        <w:rPr>
          <w:sz w:val="20"/>
          <w:szCs w:val="20"/>
          <w:color w:val="auto"/>
        </w:rPr>
      </w:pPr>
    </w:p>
    <w:p>
      <w:pPr>
        <w:jc w:val="both"/>
        <w:ind w:firstLine="1305"/>
        <w:spacing w:after="0" w:line="278" w:lineRule="auto"/>
        <w:tabs>
          <w:tab w:leader="none" w:pos="156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2.12 and 2.15 than the applicable Lender would have been entitled to receive with respect to the participation sold to such Participant, unless the sale of the participation to such Participant is made with the Borrower’s prior written consent. A Participant that is organized under the laws of a jurisdiction outside of the United States shall not be entitled to the benefits of Section 2.15 unless the Borrower is notified of the participation sold to such Participant and such Participant agrees, for the benefit of the Borrower, to comply with Section 2.15(e) as though it were a Lender.</w:t>
      </w:r>
    </w:p>
    <w:p>
      <w:pPr>
        <w:spacing w:after="0" w:line="165" w:lineRule="exact"/>
        <w:rPr>
          <w:rFonts w:ascii="Arial" w:cs="Arial" w:eastAsia="Arial" w:hAnsi="Arial"/>
          <w:sz w:val="18"/>
          <w:szCs w:val="18"/>
          <w:color w:val="auto"/>
        </w:rPr>
      </w:pPr>
    </w:p>
    <w:p>
      <w:pPr>
        <w:jc w:val="both"/>
        <w:ind w:firstLine="1305"/>
        <w:spacing w:after="0" w:line="263" w:lineRule="auto"/>
        <w:tabs>
          <w:tab w:leader="none" w:pos="1719"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7" w:lineRule="exact"/>
        <w:rPr>
          <w:sz w:val="20"/>
          <w:szCs w:val="20"/>
          <w:color w:val="auto"/>
        </w:rPr>
      </w:pPr>
    </w:p>
    <w:p>
      <w:pPr>
        <w:jc w:val="both"/>
        <w:ind w:firstLine="1305"/>
        <w:spacing w:after="0" w:line="243" w:lineRule="auto"/>
        <w:tabs>
          <w:tab w:leader="none" w:pos="173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The Issuing Bank may assign to an Eligible Assignee its rights and obligations or any portion of the undrawn Letter of Credit Commitment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the amount of the Letter of Credit Commitment of the assigning Issuing Bank being assigned pursuant to each such assignment (determined as of the date of the Assignment and Assumption with respect to such assignment) shall in no event be less than $1,000,000 or an integral multiple of $1,000,000 in excess thereof, and (ii) the parties to each such assignment shall execute and deliver to the Agent, for its acceptance and recording in the Register, an Assignment and Assumption, together with a processing and recordation fee of $3,500.</w:t>
      </w:r>
    </w:p>
    <w:p>
      <w:pPr>
        <w:spacing w:after="0" w:line="196" w:lineRule="exact"/>
        <w:rPr>
          <w:rFonts w:ascii="Arial" w:cs="Arial" w:eastAsia="Arial" w:hAnsi="Arial"/>
          <w:sz w:val="20"/>
          <w:szCs w:val="20"/>
          <w:color w:val="auto"/>
        </w:rPr>
      </w:pPr>
    </w:p>
    <w:p>
      <w:pPr>
        <w:jc w:val="both"/>
        <w:ind w:firstLine="1305"/>
        <w:spacing w:after="0" w:line="250" w:lineRule="auto"/>
        <w:tabs>
          <w:tab w:leader="none" w:pos="181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Notwithstanding any other provision set forth in this Agreement, any Lender Party may at any time create a security interest in all or any portion of its rights under this Agreement including in favor of any Federal Reserve Bank in accordance with Regulation A of the Board of Governors of the Federal Reserve System.</w:t>
      </w:r>
    </w:p>
    <w:p>
      <w:pPr>
        <w:spacing w:after="0" w:line="186"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Agent and the Lender Parties agree to maintain the confidentiality of the Confidential Information, except that Confidential Information may be disclosed (a) to its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Note or any action or proceeding relating to this Agreement or any Note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the Borrower and its obligations, this Agreement or payments hereunder or (iii) to any credit insurance provider relating to the Borrower and its obligations hereunder; (g) on a confidential basis to (i) any rating agency in connection with rating the Borrower or its Subsidiaries or the transactions contemplated by this Agreement or (ii) the CUSIP Service Bureau or any similar agency in connection with the issuance and monitoring of CUSIP numbers with respect to this Agreement; or (h) with the consent of the Borrower.</w:t>
      </w:r>
    </w:p>
    <w:p>
      <w:pPr>
        <w:spacing w:after="0" w:line="3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8.09.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Notes and any claims, controversy, dispute or cause of action (whether in contract or tort or otherwise) based upon, arising out of or relating to</w:t>
      </w:r>
    </w:p>
    <w:p>
      <w:pPr>
        <w:spacing w:after="0" w:line="200" w:lineRule="exact"/>
        <w:rPr>
          <w:sz w:val="20"/>
          <w:szCs w:val="20"/>
          <w:color w:val="auto"/>
        </w:rPr>
      </w:pPr>
    </w:p>
    <w:p>
      <w:pPr>
        <w:spacing w:after="0" w:line="218" w:lineRule="exact"/>
        <w:rPr>
          <w:sz w:val="20"/>
          <w:szCs w:val="20"/>
          <w:color w:val="auto"/>
        </w:rPr>
      </w:pPr>
    </w:p>
    <w:p>
      <w:pPr>
        <w:ind w:right="8680" w:firstLine="8"/>
        <w:spacing w:after="0" w:line="273" w:lineRule="auto"/>
        <w:tabs>
          <w:tab w:leader="none" w:pos="84" w:val="left"/>
        </w:tabs>
        <w:numPr>
          <w:ilvl w:val="0"/>
          <w:numId w:val="190"/>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color w:val="auto"/>
        </w:rPr>
        <w:t>60</w:t>
      </w:r>
    </w:p>
    <w:p>
      <w:pPr>
        <w:spacing w:after="0" w:line="200" w:lineRule="exact"/>
        <w:rPr>
          <w:sz w:val="20"/>
          <w:szCs w:val="20"/>
          <w:color w:val="auto"/>
        </w:rPr>
      </w:pP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Agreement or any Note and the transactions contemplated hereby and thereby shall be governed by, and construed in accordance with, the law of the State of New York.</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8.10.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92"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Judgment</w:t>
      </w:r>
      <w:r>
        <w:rPr>
          <w:rFonts w:ascii="Arial" w:cs="Arial" w:eastAsia="Arial" w:hAnsi="Arial"/>
          <w:sz w:val="16"/>
          <w:szCs w:val="16"/>
          <w:color w:val="auto"/>
        </w:rPr>
        <w:t>. (a) If for the purposes of obtaining judgment in any court it is necessary to convert a sum due hereunder in Dollars into another currency, the parties hereto agree, to the fullest extent that they may effectively do so, that the rate of exchange used shall be that at which in accordance with normal banking procedures the Agent could purchase Dollars with such other currency at Citibank’s principal office in London at 11:00 A.M. (London time) on the Business Day preceding that on which final judgment is given.</w:t>
      </w:r>
    </w:p>
    <w:p>
      <w:pPr>
        <w:spacing w:after="0" w:line="129" w:lineRule="exact"/>
        <w:rPr>
          <w:sz w:val="20"/>
          <w:szCs w:val="20"/>
          <w:color w:val="auto"/>
        </w:rPr>
      </w:pPr>
    </w:p>
    <w:p>
      <w:pPr>
        <w:jc w:val="both"/>
        <w:ind w:firstLine="1305"/>
        <w:spacing w:after="0" w:line="282" w:lineRule="auto"/>
        <w:tabs>
          <w:tab w:leader="none" w:pos="179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for the purposes of obtaining judgment in any court it is necessary to convert a sum due hereunder in a Committed Currency into Dollars, the parties agree to the fullest extent that they may effectively do so, that the rate of exchange used shall be that at which in accordance with normal banking procedures the Agent could purchase such Committed Currency with Dollars at Citibank’s principal office in London at 11:00 A.M. (London time) on the Business Day preceding that on which final judgment is given.</w:t>
      </w:r>
    </w:p>
    <w:p>
      <w:pPr>
        <w:spacing w:after="0" w:line="161" w:lineRule="exact"/>
        <w:rPr>
          <w:rFonts w:ascii="Arial" w:cs="Arial" w:eastAsia="Arial" w:hAnsi="Arial"/>
          <w:sz w:val="18"/>
          <w:szCs w:val="18"/>
          <w:color w:val="auto"/>
        </w:rPr>
      </w:pPr>
    </w:p>
    <w:p>
      <w:pPr>
        <w:jc w:val="both"/>
        <w:ind w:firstLine="1305"/>
        <w:spacing w:after="0" w:line="272" w:lineRule="auto"/>
        <w:tabs>
          <w:tab w:leader="none" w:pos="171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obligation of the Borrower in respect of any sum due from it in any currency (the “</w:t>
      </w:r>
      <w:r>
        <w:rPr>
          <w:rFonts w:ascii="Arial" w:cs="Arial" w:eastAsia="Arial" w:hAnsi="Arial"/>
          <w:sz w:val="18"/>
          <w:szCs w:val="18"/>
          <w:u w:val="single" w:color="auto"/>
          <w:color w:val="auto"/>
        </w:rPr>
        <w:t>Primary Currency</w:t>
      </w:r>
      <w:r>
        <w:rPr>
          <w:rFonts w:ascii="Arial" w:cs="Arial" w:eastAsia="Arial" w:hAnsi="Arial"/>
          <w:sz w:val="18"/>
          <w:szCs w:val="18"/>
          <w:color w:val="auto"/>
        </w:rPr>
        <w:t>”) to any Lender Party or the Agent hereunder shall, notwithstanding any judgment in any other currency, be discharged only to the extent that on the Business Day following receipt by such Lender Party or the Agent (as the case may be), of any sum adjudged to be so due in such other currency, such Lender Party or the Agent (as the case may be) may in accordance with normal banking procedures purchase the applicable Primary Currency with such other currency; if the amount of the applicable Primary Currency so purchased is less than such sum due to such Lender Party or the Agent (as the case may be) in the applicable Primary Currency, the Borrower agrees, as a separate obligation and notwithstanding any such judgment, to indemnify such Lender Party or the Agent (as the case may be) against such loss, and if the amount of the applicable Primary Currency so purchased exceeds such sum due to any Lender Party or the Agent (as the case may be) in the applicable Primary Currency, such Lender Party or the Agent (as the case may be) agrees to remit to the Borrower such excess.</w:t>
      </w:r>
    </w:p>
    <w:p>
      <w:pPr>
        <w:spacing w:after="0" w:line="17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 xml:space="preserve">SECTION 8.12. </w:t>
      </w:r>
      <w:r>
        <w:rPr>
          <w:rFonts w:ascii="Arial" w:cs="Arial" w:eastAsia="Arial" w:hAnsi="Arial"/>
          <w:sz w:val="19"/>
          <w:szCs w:val="19"/>
          <w:u w:val="single" w:color="auto"/>
          <w:color w:val="auto"/>
        </w:rPr>
        <w:t>Jurisdiction, Etc</w:t>
      </w:r>
      <w:r>
        <w:rPr>
          <w:rFonts w:ascii="Arial" w:cs="Arial" w:eastAsia="Arial" w:hAnsi="Arial"/>
          <w:sz w:val="19"/>
          <w:szCs w:val="19"/>
          <w:color w:val="auto"/>
        </w:rPr>
        <w:t>. (a) The Borrower irrevocably and unconditionally agrees that it will not commence any action, litigation or proceeding of any kind or description, whether in law or equity, whether in contract or in tort or otherwise, against the Agent, any Lender Party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Note shall affect any right that the Agent or any Lender Party or may otherwise have to bring any action or proceeding relating to this Agreement or any Note against the Borrower or its properties in the courts of any jurisdiction.</w:t>
      </w:r>
    </w:p>
    <w:p>
      <w:pPr>
        <w:spacing w:after="0" w:line="200" w:lineRule="exact"/>
        <w:rPr>
          <w:sz w:val="20"/>
          <w:szCs w:val="20"/>
          <w:color w:val="auto"/>
        </w:rPr>
      </w:pPr>
    </w:p>
    <w:p>
      <w:pPr>
        <w:spacing w:after="0" w:line="229" w:lineRule="exact"/>
        <w:rPr>
          <w:sz w:val="20"/>
          <w:szCs w:val="20"/>
          <w:color w:val="auto"/>
        </w:rPr>
      </w:pPr>
    </w:p>
    <w:p>
      <w:pPr>
        <w:ind w:right="8680" w:firstLine="8"/>
        <w:spacing w:after="0" w:line="273" w:lineRule="auto"/>
        <w:tabs>
          <w:tab w:leader="none" w:pos="84" w:val="left"/>
        </w:tabs>
        <w:numPr>
          <w:ilvl w:val="0"/>
          <w:numId w:val="192"/>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color w:val="auto"/>
        </w:rPr>
        <w:t>61</w:t>
      </w:r>
    </w:p>
    <w:p>
      <w:pPr>
        <w:spacing w:after="0" w:line="200" w:lineRule="exact"/>
        <w:rPr>
          <w:sz w:val="20"/>
          <w:szCs w:val="20"/>
          <w:color w:val="auto"/>
        </w:rPr>
      </w:pPr>
    </w:p>
    <w:p>
      <w:pPr>
        <w:spacing w:after="0" w:line="294" w:lineRule="exact"/>
        <w:rPr>
          <w:sz w:val="20"/>
          <w:szCs w:val="20"/>
          <w:color w:val="auto"/>
        </w:rPr>
      </w:pPr>
    </w:p>
    <w:p>
      <w:pPr>
        <w:jc w:val="both"/>
        <w:ind w:firstLine="1305"/>
        <w:spacing w:after="0" w:line="282" w:lineRule="auto"/>
        <w:tabs>
          <w:tab w:leader="none" w:pos="172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Note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6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SECTION 8.13. </w:t>
      </w:r>
      <w:r>
        <w:rPr>
          <w:rFonts w:ascii="Arial" w:cs="Arial" w:eastAsia="Arial" w:hAnsi="Arial"/>
          <w:sz w:val="20"/>
          <w:szCs w:val="20"/>
          <w:u w:val="single" w:color="auto"/>
          <w:color w:val="auto"/>
        </w:rPr>
        <w:t>Substitution of Currency</w:t>
      </w:r>
      <w:r>
        <w:rPr>
          <w:rFonts w:ascii="Arial" w:cs="Arial" w:eastAsia="Arial" w:hAnsi="Arial"/>
          <w:sz w:val="20"/>
          <w:szCs w:val="20"/>
          <w:color w:val="auto"/>
        </w:rPr>
        <w:t>. If a change in any Committed Currency occurs pursuant to any applicable law, rule or regulation of any governmental, monetary or multi-national authority, this Agreement (including, without limitation, the definition of Eurocurrency Rate) will be amended to the extent determined by the Agent (acting reasonably and in consultation with the Borrower) to be necessary to reflect the change in currency and to put the Lender Parties and the Borrower in the same position, so far as possible, that they would have been in if no change in such Committed Currency had occurred.</w:t>
      </w:r>
    </w:p>
    <w:p>
      <w:pPr>
        <w:spacing w:after="0" w:line="19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No Liability of the Issuing Banks.</w:t>
      </w:r>
      <w:r>
        <w:rPr>
          <w:rFonts w:ascii="Arial" w:cs="Arial" w:eastAsia="Arial" w:hAnsi="Arial"/>
          <w:sz w:val="18"/>
          <w:szCs w:val="18"/>
          <w:color w:val="auto"/>
        </w:rPr>
        <w:t xml:space="preserve"> The Borrower assumes all risks of the acts or omissions of any beneficiary or transferee of any Letter of Credit with respect to its use of such Letter of Credit. Neither an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170"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 xml:space="preserve">SECTION 8.15. </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Each Lender hereby notifies each Borrower that pursuant to the requirements of the USA Patriot Act (Title III of Pub. L. 107-56 (signed into law October 26, 2001)) (the “Act”), it is required to obtain, verify and record information that identifies each borrower, guarantor or grantor (the “Loan Parties”), which information includes the name and address of the Borrower and other information that will allow such Lender to identify the Borrower in accordance with the Act. The Borrower shall provide such information and take such actions as are reasonably requested by the Agent or any Lender Party to assist the Agent and the Lender Parties in maintaining compliance with the Act.</w:t>
      </w:r>
    </w:p>
    <w:p>
      <w:pPr>
        <w:spacing w:after="0" w:line="19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 xml:space="preserve">SECTION 8.16. </w:t>
      </w:r>
      <w:r>
        <w:rPr>
          <w:rFonts w:ascii="Arial" w:cs="Arial" w:eastAsia="Arial" w:hAnsi="Arial"/>
          <w:sz w:val="20"/>
          <w:szCs w:val="20"/>
          <w:u w:val="single" w:color="auto"/>
          <w:color w:val="auto"/>
        </w:rPr>
        <w:t>No Fiduciary Duty</w:t>
      </w:r>
      <w:r>
        <w:rPr>
          <w:rFonts w:ascii="Arial" w:cs="Arial" w:eastAsia="Arial" w:hAnsi="Arial"/>
          <w:sz w:val="20"/>
          <w:szCs w:val="20"/>
          <w:color w:val="auto"/>
        </w:rPr>
        <w:t>. In connection with all aspects of each transaction contemplated hereby (including in connection with any amendment, waiver or other modification hereof), the Borrower acknowledges and agrees, and acknowledges its Affiliates’ understanding, that: (a) (i) no fiduciary, advisory or agency relationship between the Borrower and its Subsidiaries and the Agent or any Lender Party is intended to be or has been created in respect of the transactions contemplated hereby, irrespective of whether the Agent or any Lender Party has advised or is advising the Borrower or any Subsidiary on other matters, (ii) the arranging and other services regarding this Agreement provided by the Agent and</w:t>
      </w:r>
    </w:p>
    <w:p>
      <w:pPr>
        <w:spacing w:after="0" w:line="200" w:lineRule="exact"/>
        <w:rPr>
          <w:sz w:val="20"/>
          <w:szCs w:val="20"/>
          <w:color w:val="auto"/>
        </w:rPr>
      </w:pPr>
    </w:p>
    <w:p>
      <w:pPr>
        <w:spacing w:after="0" w:line="238" w:lineRule="exact"/>
        <w:rPr>
          <w:sz w:val="20"/>
          <w:szCs w:val="20"/>
          <w:color w:val="auto"/>
        </w:rPr>
      </w:pPr>
    </w:p>
    <w:p>
      <w:pPr>
        <w:ind w:right="8680" w:firstLine="8"/>
        <w:spacing w:after="0" w:line="273" w:lineRule="auto"/>
        <w:tabs>
          <w:tab w:leader="none" w:pos="84" w:val="left"/>
        </w:tabs>
        <w:numPr>
          <w:ilvl w:val="0"/>
          <w:numId w:val="194"/>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color w:val="auto"/>
        </w:rPr>
        <w:t>62</w:t>
      </w:r>
    </w:p>
    <w:p>
      <w:pPr>
        <w:spacing w:after="0" w:line="200" w:lineRule="exact"/>
        <w:rPr>
          <w:sz w:val="20"/>
          <w:szCs w:val="20"/>
          <w:color w:val="auto"/>
        </w:rPr>
      </w:pPr>
    </w:p>
    <w:p>
      <w:pPr>
        <w:spacing w:after="0" w:line="2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Lender Parties are arm’s-length commercial transactions between the Borrower and its Affiliates, on the one hand, and the Agent and the Lender Parties,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 (i) the Agent and the Lender Parties each is and has been acting solely as a principal and, except as expressly agreed in writing by the relevant parties, has not been, is not, and will not be acting as an advisor, agent or fiduciary for the Borrower or any of its Affiliates, or any other Person; (ii) none of the Agent and the Lender Parties has any obligation to the Borrower or any of its Affiliates with respect to the transactions contemplated hereby except those obligations expressly set forth herein; and (iii) the Agent, the Lender Parties and their respective Affiliates may be engaged, for their own accounts or the accounts of customers, in a broad range of transactions that involve interests that differ from those of the Borrower and its Affiliates, and none of the Agent and the Lender Parties has any obligation to disclose any of such interests to the Borrower or its Affiliates. To the fullest extent permitted by Law, the Borrower hereby waives and releases any claims that it may have against the Agent and the Lender Parties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680" w:firstLine="8"/>
        <w:spacing w:after="0" w:line="273" w:lineRule="auto"/>
        <w:tabs>
          <w:tab w:leader="none" w:pos="84" w:val="left"/>
        </w:tabs>
        <w:numPr>
          <w:ilvl w:val="0"/>
          <w:numId w:val="195"/>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132" w:right="239" w:bottom="1440" w:gutter="0" w:footer="0" w:header="0"/>
        </w:sectPr>
      </w:pPr>
    </w:p>
    <w:bookmarkStart w:id="122" w:name="page123"/>
    <w:bookmarkEnd w:id="122"/>
    <w:p>
      <w:pPr>
        <w:jc w:val="both"/>
        <w:ind w:firstLine="1297"/>
        <w:spacing w:after="0" w:line="276"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 Parties hereby irrevocably waives, to the fullest extent permitted by applicable law, any right it may have to a trial by jury in any legal proceeding directly or indirectly arising out of or relating to this Agreement or any Note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5"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officers thereunto duly authorized, as of the date first above written.</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MANPOWERGROUP INC.</w:t>
      </w:r>
    </w:p>
    <w:p>
      <w:pPr>
        <w:spacing w:after="0" w:line="300"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gridSpan w:val="2"/>
          </w:tcPr>
          <w:p>
            <w:pPr>
              <w:spacing w:after="0"/>
              <w:rPr>
                <w:sz w:val="20"/>
                <w:szCs w:val="20"/>
                <w:color w:val="auto"/>
              </w:rPr>
            </w:pPr>
            <w:r>
              <w:rPr>
                <w:rFonts w:ascii="Arial" w:cs="Arial" w:eastAsia="Arial" w:hAnsi="Arial"/>
                <w:sz w:val="20"/>
                <w:szCs w:val="20"/>
                <w:color w:val="auto"/>
              </w:rPr>
              <w:t>/s/ Sherri L. Albinger</w:t>
            </w:r>
          </w:p>
        </w:tc>
      </w:tr>
      <w:tr>
        <w:trPr>
          <w:trHeight w:val="20"/>
        </w:trPr>
        <w:tc>
          <w:tcPr>
            <w:tcW w:w="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4"/>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4820" w:type="dxa"/>
            <w:vAlign w:val="bottom"/>
            <w:gridSpan w:val="2"/>
          </w:tcPr>
          <w:p>
            <w:pPr>
              <w:ind w:left="220"/>
              <w:spacing w:after="0"/>
              <w:rPr>
                <w:sz w:val="20"/>
                <w:szCs w:val="20"/>
                <w:color w:val="auto"/>
              </w:rPr>
            </w:pPr>
            <w:r>
              <w:rPr>
                <w:rFonts w:ascii="Arial" w:cs="Arial" w:eastAsia="Arial" w:hAnsi="Arial"/>
                <w:sz w:val="20"/>
                <w:szCs w:val="20"/>
                <w:color w:val="auto"/>
                <w:w w:val="88"/>
              </w:rPr>
              <w:t>Senior Vice President, Corporate Controller and Treasurer</w:t>
            </w:r>
          </w:p>
        </w:tc>
      </w:tr>
    </w:tbl>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CITIBANK, N.A.,</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as Agent, as Issuing Bank and as Lender</w:t>
      </w:r>
    </w:p>
    <w:p>
      <w:pPr>
        <w:spacing w:after="0" w:line="17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7"/>
              </w:rPr>
              <w:t>/s/ Susan M. Olsen</w:t>
            </w:r>
          </w:p>
        </w:tc>
        <w:tc>
          <w:tcPr>
            <w:tcW w:w="1840" w:type="dxa"/>
            <w:vAlign w:val="bottom"/>
            <w:gridSpan w:val="3"/>
          </w:tcPr>
          <w:p>
            <w:pPr>
              <w:spacing w:after="0"/>
              <w:rPr>
                <w:sz w:val="19"/>
                <w:szCs w:val="19"/>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200" w:type="dxa"/>
            <w:vAlign w:val="bottom"/>
            <w:gridSpan w:val="5"/>
          </w:tcPr>
          <w:p>
            <w:pPr>
              <w:ind w:left="160"/>
              <w:spacing w:after="0"/>
              <w:rPr>
                <w:sz w:val="20"/>
                <w:szCs w:val="20"/>
                <w:color w:val="auto"/>
              </w:rPr>
            </w:pPr>
            <w:r>
              <w:rPr>
                <w:rFonts w:ascii="Arial" w:cs="Arial" w:eastAsia="Arial" w:hAnsi="Arial"/>
                <w:sz w:val="20"/>
                <w:szCs w:val="20"/>
                <w:color w:val="auto"/>
              </w:rPr>
              <w:t>Susan M. Olsen</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20"/>
                <w:szCs w:val="20"/>
                <w:color w:val="auto"/>
              </w:rPr>
              <w:t>Vice President</w:t>
            </w:r>
          </w:p>
        </w:tc>
      </w:tr>
      <w:tr>
        <w:trPr>
          <w:trHeight w:val="401"/>
        </w:trPr>
        <w:tc>
          <w:tcPr>
            <w:tcW w:w="44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Syndication Agent</w:t>
            </w:r>
          </w:p>
        </w:tc>
        <w:tc>
          <w:tcPr>
            <w:tcW w:w="1860" w:type="dxa"/>
            <w:vAlign w:val="bottom"/>
            <w:gridSpan w:val="4"/>
          </w:tcPr>
          <w:p>
            <w:pPr>
              <w:spacing w:after="0"/>
              <w:rPr>
                <w:sz w:val="24"/>
                <w:szCs w:val="24"/>
                <w:color w:val="auto"/>
              </w:rPr>
            </w:pPr>
          </w:p>
        </w:tc>
      </w:tr>
      <w:tr>
        <w:trPr>
          <w:trHeight w:val="470"/>
        </w:trPr>
        <w:tc>
          <w:tcPr>
            <w:tcW w:w="3780" w:type="dxa"/>
            <w:vAlign w:val="bottom"/>
            <w:gridSpan w:val="7"/>
          </w:tcPr>
          <w:p>
            <w:pPr>
              <w:spacing w:after="0"/>
              <w:rPr>
                <w:sz w:val="20"/>
                <w:szCs w:val="20"/>
                <w:color w:val="auto"/>
              </w:rPr>
            </w:pPr>
            <w:r>
              <w:rPr>
                <w:rFonts w:ascii="Arial" w:cs="Arial" w:eastAsia="Arial" w:hAnsi="Arial"/>
                <w:sz w:val="20"/>
                <w:szCs w:val="20"/>
                <w:color w:val="auto"/>
                <w:w w:val="89"/>
              </w:rPr>
              <w:t>BNP PARIBAS, as Issuing Bank and as Lender</w:t>
            </w:r>
          </w:p>
        </w:tc>
      </w:tr>
      <w:tr>
        <w:trPr>
          <w:trHeight w:val="509"/>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8"/>
              </w:rPr>
              <w:t>/s/ Christopher Sked</w:t>
            </w:r>
          </w:p>
        </w:tc>
        <w:tc>
          <w:tcPr>
            <w:tcW w:w="1720" w:type="dxa"/>
            <w:vAlign w:val="bottom"/>
          </w:tcPr>
          <w:p>
            <w:pPr>
              <w:spacing w:after="0"/>
              <w:rPr>
                <w:sz w:val="24"/>
                <w:szCs w:val="24"/>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200" w:type="dxa"/>
            <w:vAlign w:val="bottom"/>
            <w:gridSpan w:val="5"/>
          </w:tcPr>
          <w:p>
            <w:pPr>
              <w:ind w:left="160"/>
              <w:spacing w:after="0"/>
              <w:rPr>
                <w:sz w:val="20"/>
                <w:szCs w:val="20"/>
                <w:color w:val="auto"/>
              </w:rPr>
            </w:pPr>
            <w:r>
              <w:rPr>
                <w:rFonts w:ascii="Arial" w:cs="Arial" w:eastAsia="Arial" w:hAnsi="Arial"/>
                <w:sz w:val="20"/>
                <w:szCs w:val="20"/>
                <w:color w:val="auto"/>
              </w:rPr>
              <w:t>Christopher Sked</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20"/>
                <w:szCs w:val="20"/>
                <w:color w:val="auto"/>
              </w:rPr>
              <w:t>Managing Director</w:t>
            </w:r>
          </w:p>
        </w:tc>
      </w:tr>
      <w:tr>
        <w:trPr>
          <w:trHeight w:val="401"/>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0"/>
              </w:rPr>
              <w:t>/s/ Karim Remtoula</w:t>
            </w:r>
          </w:p>
        </w:tc>
        <w:tc>
          <w:tcPr>
            <w:tcW w:w="1780" w:type="dxa"/>
            <w:vAlign w:val="bottom"/>
            <w:gridSpan w:val="2"/>
          </w:tcPr>
          <w:p>
            <w:pPr>
              <w:spacing w:after="0"/>
              <w:rPr>
                <w:sz w:val="24"/>
                <w:szCs w:val="24"/>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200" w:type="dxa"/>
            <w:vAlign w:val="bottom"/>
            <w:gridSpan w:val="5"/>
          </w:tcPr>
          <w:p>
            <w:pPr>
              <w:ind w:left="160"/>
              <w:spacing w:after="0"/>
              <w:rPr>
                <w:sz w:val="20"/>
                <w:szCs w:val="20"/>
                <w:color w:val="auto"/>
              </w:rPr>
            </w:pPr>
            <w:r>
              <w:rPr>
                <w:rFonts w:ascii="Arial" w:cs="Arial" w:eastAsia="Arial" w:hAnsi="Arial"/>
                <w:sz w:val="20"/>
                <w:szCs w:val="20"/>
                <w:color w:val="auto"/>
              </w:rPr>
              <w:t>Karim Remtoula</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20"/>
                <w:szCs w:val="20"/>
                <w:color w:val="auto"/>
              </w:rPr>
              <w:t>Vice President</w:t>
            </w: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Documentation Agents</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BARCLAYS BANK PLC,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Kayode Sulola</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Kayode Sulola</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41" w:lineRule="exact"/>
        <w:rPr>
          <w:sz w:val="20"/>
          <w:szCs w:val="20"/>
          <w:color w:val="auto"/>
        </w:rPr>
      </w:pPr>
    </w:p>
    <w:p>
      <w:pPr>
        <w:ind w:right="8680" w:firstLine="8"/>
        <w:spacing w:after="0" w:line="273" w:lineRule="auto"/>
        <w:tabs>
          <w:tab w:leader="none" w:pos="84" w:val="left"/>
        </w:tabs>
        <w:numPr>
          <w:ilvl w:val="0"/>
          <w:numId w:val="196"/>
        </w:numPr>
        <w:rPr>
          <w:rFonts w:ascii="Arial" w:cs="Arial" w:eastAsia="Arial" w:hAnsi="Arial"/>
          <w:sz w:val="14"/>
          <w:szCs w:val="14"/>
          <w:color w:val="auto"/>
        </w:rPr>
      </w:pPr>
      <w:r>
        <w:rPr>
          <w:rFonts w:ascii="Arial" w:cs="Arial" w:eastAsia="Arial" w:hAnsi="Arial"/>
          <w:sz w:val="14"/>
          <w:szCs w:val="14"/>
          <w:color w:val="auto"/>
        </w:rPr>
        <w:t>ManpowerGroup Five Year Credit Agreement NYDOCS03/975898.3</w:t>
      </w:r>
    </w:p>
    <w:p>
      <w:pPr>
        <w:sectPr>
          <w:pgSz w:w="11900" w:h="16838" w:orient="portrait"/>
          <w:cols w:equalWidth="0" w:num="1">
            <w:col w:w="11420"/>
          </w:cols>
          <w:pgMar w:left="240" w:top="582" w:right="239" w:bottom="1440" w:gutter="0" w:footer="0" w:header="0"/>
        </w:sectPr>
      </w:pPr>
    </w:p>
    <w:bookmarkStart w:id="123" w:name="page124"/>
    <w:bookmarkEnd w:id="123"/>
    <w:p>
      <w:pPr>
        <w:jc w:val="right"/>
        <w:ind w:right="299"/>
        <w:spacing w:after="0"/>
        <w:rPr>
          <w:sz w:val="20"/>
          <w:szCs w:val="20"/>
          <w:color w:val="auto"/>
        </w:rPr>
      </w:pPr>
      <w:r>
        <w:rPr>
          <w:rFonts w:ascii="Arial" w:cs="Arial" w:eastAsia="Arial" w:hAnsi="Arial"/>
          <w:sz w:val="20"/>
          <w:szCs w:val="20"/>
          <w:color w:val="auto"/>
        </w:rPr>
        <w:t>JPMORGAN CHASE BANK, N.A., as Issuing Bank and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Erik Barragan</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Erik Barragan</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Officer</w:t>
      </w:r>
    </w:p>
    <w:p>
      <w:pPr>
        <w:spacing w:after="0" w:line="17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Lenders</w:t>
            </w:r>
          </w:p>
        </w:tc>
        <w:tc>
          <w:tcPr>
            <w:tcW w:w="2480" w:type="dxa"/>
            <w:vAlign w:val="bottom"/>
            <w:gridSpan w:val="3"/>
          </w:tcPr>
          <w:p>
            <w:pPr>
              <w:spacing w:after="0"/>
              <w:rPr>
                <w:sz w:val="19"/>
                <w:szCs w:val="19"/>
                <w:color w:val="auto"/>
              </w:rPr>
            </w:pPr>
          </w:p>
        </w:tc>
      </w:tr>
      <w:tr>
        <w:trPr>
          <w:trHeight w:val="470"/>
        </w:trPr>
        <w:tc>
          <w:tcPr>
            <w:tcW w:w="3980" w:type="dxa"/>
            <w:vAlign w:val="bottom"/>
            <w:gridSpan w:val="7"/>
          </w:tcPr>
          <w:p>
            <w:pPr>
              <w:spacing w:after="0"/>
              <w:rPr>
                <w:sz w:val="20"/>
                <w:szCs w:val="20"/>
                <w:color w:val="auto"/>
              </w:rPr>
            </w:pPr>
            <w:r>
              <w:rPr>
                <w:rFonts w:ascii="Arial" w:cs="Arial" w:eastAsia="Arial" w:hAnsi="Arial"/>
                <w:sz w:val="20"/>
                <w:szCs w:val="20"/>
                <w:color w:val="auto"/>
                <w:w w:val="95"/>
              </w:rPr>
              <w:t>ING BANK N.V., DUBLIN BRANCH, as Lender</w:t>
            </w:r>
          </w:p>
        </w:tc>
      </w:tr>
      <w:tr>
        <w:trPr>
          <w:trHeight w:val="509"/>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88"/>
              </w:rPr>
              <w:t>/s/ Shaun Hawley</w:t>
            </w:r>
          </w:p>
        </w:tc>
        <w:tc>
          <w:tcPr>
            <w:tcW w:w="2140" w:type="dxa"/>
            <w:vAlign w:val="bottom"/>
          </w:tcPr>
          <w:p>
            <w:pPr>
              <w:spacing w:after="0"/>
              <w:rPr>
                <w:sz w:val="24"/>
                <w:szCs w:val="24"/>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400" w:type="dxa"/>
            <w:vAlign w:val="bottom"/>
            <w:gridSpan w:val="5"/>
          </w:tcPr>
          <w:p>
            <w:pPr>
              <w:ind w:left="160"/>
              <w:spacing w:after="0"/>
              <w:rPr>
                <w:sz w:val="20"/>
                <w:szCs w:val="20"/>
                <w:color w:val="auto"/>
              </w:rPr>
            </w:pPr>
            <w:r>
              <w:rPr>
                <w:rFonts w:ascii="Arial" w:cs="Arial" w:eastAsia="Arial" w:hAnsi="Arial"/>
                <w:sz w:val="20"/>
                <w:szCs w:val="20"/>
                <w:color w:val="auto"/>
              </w:rPr>
              <w:t>Shaun Hawley</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400" w:type="dxa"/>
            <w:vAlign w:val="bottom"/>
            <w:gridSpan w:val="5"/>
          </w:tcPr>
          <w:p>
            <w:pPr>
              <w:ind w:left="40"/>
              <w:spacing w:after="0"/>
              <w:rPr>
                <w:sz w:val="20"/>
                <w:szCs w:val="20"/>
                <w:color w:val="auto"/>
              </w:rPr>
            </w:pPr>
            <w:r>
              <w:rPr>
                <w:rFonts w:ascii="Arial" w:cs="Arial" w:eastAsia="Arial" w:hAnsi="Arial"/>
                <w:sz w:val="20"/>
                <w:szCs w:val="20"/>
                <w:color w:val="auto"/>
              </w:rPr>
              <w:t>Vice President</w:t>
            </w:r>
          </w:p>
        </w:tc>
      </w:tr>
      <w:tr>
        <w:trPr>
          <w:trHeight w:val="401"/>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3540" w:type="dxa"/>
            <w:vAlign w:val="bottom"/>
            <w:gridSpan w:val="6"/>
          </w:tcPr>
          <w:p>
            <w:pPr>
              <w:spacing w:after="0"/>
              <w:rPr>
                <w:sz w:val="20"/>
                <w:szCs w:val="20"/>
                <w:color w:val="auto"/>
              </w:rPr>
            </w:pPr>
            <w:r>
              <w:rPr>
                <w:rFonts w:ascii="Arial" w:cs="Arial" w:eastAsia="Arial" w:hAnsi="Arial"/>
                <w:sz w:val="20"/>
                <w:szCs w:val="20"/>
                <w:color w:val="auto"/>
              </w:rPr>
              <w:t>/s/ Sean Hassett</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400" w:type="dxa"/>
            <w:vAlign w:val="bottom"/>
            <w:gridSpan w:val="5"/>
          </w:tcPr>
          <w:p>
            <w:pPr>
              <w:ind w:left="160"/>
              <w:spacing w:after="0"/>
              <w:rPr>
                <w:sz w:val="20"/>
                <w:szCs w:val="20"/>
                <w:color w:val="auto"/>
              </w:rPr>
            </w:pPr>
            <w:r>
              <w:rPr>
                <w:rFonts w:ascii="Arial" w:cs="Arial" w:eastAsia="Arial" w:hAnsi="Arial"/>
                <w:sz w:val="20"/>
                <w:szCs w:val="20"/>
                <w:color w:val="auto"/>
              </w:rPr>
              <w:t>Sean Hassett</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400" w:type="dxa"/>
            <w:vAlign w:val="bottom"/>
            <w:gridSpan w:val="5"/>
          </w:tcPr>
          <w:p>
            <w:pPr>
              <w:ind w:left="40"/>
              <w:spacing w:after="0"/>
              <w:rPr>
                <w:sz w:val="20"/>
                <w:szCs w:val="20"/>
                <w:color w:val="auto"/>
              </w:rPr>
            </w:pPr>
            <w:r>
              <w:rPr>
                <w:rFonts w:ascii="Arial" w:cs="Arial" w:eastAsia="Arial" w:hAnsi="Arial"/>
                <w:sz w:val="20"/>
                <w:szCs w:val="20"/>
                <w:color w:val="auto"/>
              </w:rPr>
              <w:t>Director</w:t>
            </w:r>
          </w:p>
        </w:tc>
      </w:tr>
    </w:tbl>
    <w:p>
      <w:pPr>
        <w:spacing w:after="0" w:line="19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SOCIETE GENERALE,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Kimberly A. Metzger</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Kimberly A. Metzger</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THE BANK OF TOKYO-MITSUBISHI UFJ, LTD. ,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Victor Pierzchalski</w:t>
      </w:r>
    </w:p>
    <w:p>
      <w:pPr>
        <w:spacing w:after="0" w:line="15" w:lineRule="exact"/>
        <w:rPr>
          <w:sz w:val="20"/>
          <w:szCs w:val="20"/>
          <w:color w:val="auto"/>
        </w:rPr>
      </w:pP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Victor Pierzchalski</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U.S. BANK NATIONAL ASSOCIATION,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Jerrod J. Clements</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Jerrod J. Clements</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41" w:lineRule="exact"/>
        <w:rPr>
          <w:sz w:val="20"/>
          <w:szCs w:val="20"/>
          <w:color w:val="auto"/>
        </w:rPr>
      </w:pPr>
    </w:p>
    <w:p>
      <w:pPr>
        <w:ind w:right="7479" w:firstLine="8"/>
        <w:spacing w:after="0" w:line="273" w:lineRule="auto"/>
        <w:tabs>
          <w:tab w:leader="none" w:pos="84" w:val="left"/>
        </w:tabs>
        <w:numPr>
          <w:ilvl w:val="0"/>
          <w:numId w:val="197"/>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0219"/>
          </w:cols>
          <w:pgMar w:left="240" w:top="879" w:right="1440" w:bottom="1440" w:gutter="0" w:footer="0" w:header="0"/>
        </w:sectPr>
      </w:pPr>
    </w:p>
    <w:bookmarkStart w:id="124" w:name="page125"/>
    <w:bookmarkEnd w:id="124"/>
    <w:p>
      <w:pPr>
        <w:jc w:val="right"/>
        <w:ind w:right="759"/>
        <w:spacing w:after="0"/>
        <w:rPr>
          <w:sz w:val="20"/>
          <w:szCs w:val="20"/>
          <w:color w:val="auto"/>
        </w:rPr>
      </w:pPr>
      <w:r>
        <w:rPr>
          <w:rFonts w:ascii="Arial" w:cs="Arial" w:eastAsia="Arial" w:hAnsi="Arial"/>
          <w:sz w:val="20"/>
          <w:szCs w:val="20"/>
          <w:color w:val="auto"/>
        </w:rPr>
        <w:t>UNICREDIT BANK AG, NEW YORK BRANCH, as Lender</w:t>
      </w:r>
    </w:p>
    <w:p>
      <w:pPr>
        <w:spacing w:after="0" w:line="300"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660" w:type="dxa"/>
            <w:vAlign w:val="bottom"/>
            <w:gridSpan w:val="4"/>
          </w:tcPr>
          <w:p>
            <w:pPr>
              <w:spacing w:after="0"/>
              <w:rPr>
                <w:sz w:val="20"/>
                <w:szCs w:val="20"/>
                <w:color w:val="auto"/>
              </w:rPr>
            </w:pPr>
            <w:r>
              <w:rPr>
                <w:rFonts w:ascii="Arial" w:cs="Arial" w:eastAsia="Arial" w:hAnsi="Arial"/>
                <w:sz w:val="20"/>
                <w:szCs w:val="20"/>
                <w:color w:val="auto"/>
              </w:rPr>
              <w:t>/s/ Betsy Hudson</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1520" w:type="dxa"/>
            <w:vAlign w:val="bottom"/>
            <w:gridSpan w:val="3"/>
          </w:tcPr>
          <w:p>
            <w:pPr>
              <w:ind w:left="160"/>
              <w:spacing w:after="0"/>
              <w:rPr>
                <w:sz w:val="20"/>
                <w:szCs w:val="20"/>
                <w:color w:val="auto"/>
              </w:rPr>
            </w:pPr>
            <w:r>
              <w:rPr>
                <w:rFonts w:ascii="Arial" w:cs="Arial" w:eastAsia="Arial" w:hAnsi="Arial"/>
                <w:sz w:val="20"/>
                <w:szCs w:val="20"/>
                <w:color w:val="auto"/>
              </w:rPr>
              <w:t>Betsy Hudson</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1520" w:type="dxa"/>
            <w:vAlign w:val="bottom"/>
            <w:gridSpan w:val="3"/>
          </w:tcPr>
          <w:p>
            <w:pPr>
              <w:ind w:left="40"/>
              <w:spacing w:after="0"/>
              <w:rPr>
                <w:sz w:val="20"/>
                <w:szCs w:val="20"/>
                <w:color w:val="auto"/>
              </w:rPr>
            </w:pPr>
            <w:r>
              <w:rPr>
                <w:rFonts w:ascii="Arial" w:cs="Arial" w:eastAsia="Arial" w:hAnsi="Arial"/>
                <w:sz w:val="20"/>
                <w:szCs w:val="20"/>
                <w:color w:val="auto"/>
                <w:w w:val="89"/>
              </w:rPr>
              <w:t>Associate Director</w:t>
            </w:r>
          </w:p>
        </w:tc>
      </w:tr>
      <w:tr>
        <w:trPr>
          <w:trHeight w:val="401"/>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/s/ Elaine Tung</w:t>
            </w:r>
          </w:p>
        </w:tc>
        <w:tc>
          <w:tcPr>
            <w:tcW w:w="460" w:type="dxa"/>
            <w:vAlign w:val="bottom"/>
            <w:gridSpan w:val="2"/>
          </w:tcPr>
          <w:p>
            <w:pPr>
              <w:spacing w:after="0"/>
              <w:rPr>
                <w:sz w:val="24"/>
                <w:szCs w:val="24"/>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1520" w:type="dxa"/>
            <w:vAlign w:val="bottom"/>
            <w:gridSpan w:val="3"/>
          </w:tcPr>
          <w:p>
            <w:pPr>
              <w:ind w:left="160"/>
              <w:spacing w:after="0"/>
              <w:rPr>
                <w:sz w:val="20"/>
                <w:szCs w:val="20"/>
                <w:color w:val="auto"/>
              </w:rPr>
            </w:pPr>
            <w:r>
              <w:rPr>
                <w:rFonts w:ascii="Arial" w:cs="Arial" w:eastAsia="Arial" w:hAnsi="Arial"/>
                <w:sz w:val="20"/>
                <w:szCs w:val="20"/>
                <w:color w:val="auto"/>
              </w:rPr>
              <w:t>Elaine Tung</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1520" w:type="dxa"/>
            <w:vAlign w:val="bottom"/>
            <w:gridSpan w:val="3"/>
          </w:tcPr>
          <w:p>
            <w:pPr>
              <w:ind w:left="40"/>
              <w:spacing w:after="0"/>
              <w:rPr>
                <w:sz w:val="20"/>
                <w:szCs w:val="20"/>
                <w:color w:val="auto"/>
              </w:rPr>
            </w:pPr>
            <w:r>
              <w:rPr>
                <w:rFonts w:ascii="Arial" w:cs="Arial" w:eastAsia="Arial" w:hAnsi="Arial"/>
                <w:sz w:val="20"/>
                <w:szCs w:val="20"/>
                <w:color w:val="auto"/>
              </w:rPr>
              <w:t>Director</w:t>
            </w:r>
          </w:p>
        </w:tc>
      </w:tr>
    </w:tbl>
    <w:p>
      <w:pPr>
        <w:spacing w:after="0" w:line="19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BMO HARRIS BANK N.A. ,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Ronald J. Carry</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Ronald J. Carry</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SVP</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CITIZENS BANK, N.A., as Lender</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Darren Wee</w:t>
      </w:r>
    </w:p>
    <w:tbl>
      <w:tblPr>
        <w:tblLayout w:type="fixed"/>
        <w:tblInd w:w="4540" w:type="dxa"/>
        <w:tblCellMar>
          <w:top w:w="0" w:type="dxa"/>
          <w:left w:w="0" w:type="dxa"/>
          <w:bottom w:w="0" w:type="dxa"/>
          <w:right w:w="0" w:type="dxa"/>
        </w:tblCellMar>
      </w:tblPr>
      <w:tr>
        <w:trPr>
          <w:trHeight w:val="229"/>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060" w:type="dxa"/>
            <w:vAlign w:val="bottom"/>
            <w:gridSpan w:val="3"/>
          </w:tcPr>
          <w:p>
            <w:pPr>
              <w:ind w:left="160"/>
              <w:spacing w:after="0"/>
              <w:rPr>
                <w:sz w:val="20"/>
                <w:szCs w:val="20"/>
                <w:color w:val="auto"/>
              </w:rPr>
            </w:pPr>
            <w:r>
              <w:rPr>
                <w:rFonts w:ascii="Arial" w:cs="Arial" w:eastAsia="Arial" w:hAnsi="Arial"/>
                <w:sz w:val="20"/>
                <w:szCs w:val="20"/>
                <w:color w:val="auto"/>
              </w:rPr>
              <w:t>Darren Wee</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060" w:type="dxa"/>
            <w:vAlign w:val="bottom"/>
            <w:gridSpan w:val="3"/>
          </w:tcPr>
          <w:p>
            <w:pPr>
              <w:ind w:left="40"/>
              <w:spacing w:after="0"/>
              <w:rPr>
                <w:sz w:val="20"/>
                <w:szCs w:val="20"/>
                <w:color w:val="auto"/>
              </w:rPr>
            </w:pPr>
            <w:r>
              <w:rPr>
                <w:rFonts w:ascii="Arial" w:cs="Arial" w:eastAsia="Arial" w:hAnsi="Arial"/>
                <w:sz w:val="20"/>
                <w:szCs w:val="20"/>
                <w:color w:val="auto"/>
              </w:rPr>
              <w:t>Senior Vice President</w:t>
            </w:r>
          </w:p>
        </w:tc>
      </w:tr>
      <w:tr>
        <w:trPr>
          <w:trHeight w:val="446"/>
        </w:trPr>
        <w:tc>
          <w:tcPr>
            <w:tcW w:w="3640" w:type="dxa"/>
            <w:vAlign w:val="bottom"/>
            <w:gridSpan w:val="5"/>
          </w:tcPr>
          <w:p>
            <w:pPr>
              <w:spacing w:after="0"/>
              <w:rPr>
                <w:sz w:val="20"/>
                <w:szCs w:val="20"/>
                <w:color w:val="auto"/>
              </w:rPr>
            </w:pPr>
            <w:r>
              <w:rPr>
                <w:rFonts w:ascii="Arial" w:cs="Arial" w:eastAsia="Arial" w:hAnsi="Arial"/>
                <w:sz w:val="20"/>
                <w:szCs w:val="20"/>
                <w:color w:val="auto"/>
                <w:w w:val="94"/>
              </w:rPr>
              <w:t>NORDEA BANK FINLAND PLC, as Lender</w:t>
            </w:r>
          </w:p>
        </w:tc>
      </w:tr>
      <w:tr>
        <w:trPr>
          <w:trHeight w:val="509"/>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3200" w:type="dxa"/>
            <w:vAlign w:val="bottom"/>
            <w:gridSpan w:val="4"/>
          </w:tcPr>
          <w:p>
            <w:pPr>
              <w:spacing w:after="0"/>
              <w:rPr>
                <w:sz w:val="20"/>
                <w:szCs w:val="20"/>
                <w:color w:val="auto"/>
              </w:rPr>
            </w:pPr>
            <w:r>
              <w:rPr>
                <w:rFonts w:ascii="Arial" w:cs="Arial" w:eastAsia="Arial" w:hAnsi="Arial"/>
                <w:sz w:val="20"/>
                <w:szCs w:val="20"/>
                <w:color w:val="auto"/>
              </w:rPr>
              <w:t>/s/ Magnus Asplund</w:t>
            </w:r>
          </w:p>
        </w:tc>
      </w:tr>
      <w:tr>
        <w:trPr>
          <w:trHeight w:val="20"/>
        </w:trPr>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060" w:type="dxa"/>
            <w:vAlign w:val="bottom"/>
            <w:gridSpan w:val="3"/>
          </w:tcPr>
          <w:p>
            <w:pPr>
              <w:ind w:left="160"/>
              <w:spacing w:after="0"/>
              <w:rPr>
                <w:sz w:val="20"/>
                <w:szCs w:val="20"/>
                <w:color w:val="auto"/>
              </w:rPr>
            </w:pPr>
            <w:r>
              <w:rPr>
                <w:rFonts w:ascii="Arial" w:cs="Arial" w:eastAsia="Arial" w:hAnsi="Arial"/>
                <w:sz w:val="20"/>
                <w:szCs w:val="20"/>
                <w:color w:val="auto"/>
              </w:rPr>
              <w:t>Magnus Asplund</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060" w:type="dxa"/>
            <w:vAlign w:val="bottom"/>
            <w:gridSpan w:val="3"/>
          </w:tcPr>
          <w:p>
            <w:pPr>
              <w:ind w:left="40"/>
              <w:spacing w:after="0"/>
              <w:rPr>
                <w:sz w:val="20"/>
                <w:szCs w:val="20"/>
                <w:color w:val="auto"/>
              </w:rPr>
            </w:pPr>
            <w:r>
              <w:rPr>
                <w:rFonts w:ascii="Arial" w:cs="Arial" w:eastAsia="Arial" w:hAnsi="Arial"/>
                <w:sz w:val="20"/>
                <w:szCs w:val="20"/>
                <w:color w:val="auto"/>
              </w:rPr>
              <w:t>Vice President</w:t>
            </w:r>
          </w:p>
        </w:tc>
      </w:tr>
      <w:tr>
        <w:trPr>
          <w:trHeight w:val="401"/>
        </w:trPr>
        <w:tc>
          <w:tcPr>
            <w:tcW w:w="440" w:type="dxa"/>
            <w:vAlign w:val="bottom"/>
          </w:tcPr>
          <w:p>
            <w:pPr>
              <w:spacing w:after="0"/>
              <w:rPr>
                <w:sz w:val="20"/>
                <w:szCs w:val="20"/>
                <w:color w:val="auto"/>
              </w:rPr>
            </w:pPr>
            <w:r>
              <w:rPr>
                <w:rFonts w:ascii="Arial" w:cs="Arial" w:eastAsia="Arial" w:hAnsi="Arial"/>
                <w:sz w:val="20"/>
                <w:szCs w:val="20"/>
                <w:color w:val="auto"/>
              </w:rPr>
              <w:t>By</w:t>
            </w: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5"/>
              </w:rPr>
              <w:t>/s/ Mogens R. Jensen</w:t>
            </w:r>
          </w:p>
        </w:tc>
        <w:tc>
          <w:tcPr>
            <w:tcW w:w="1520" w:type="dxa"/>
            <w:vAlign w:val="bottom"/>
          </w:tcPr>
          <w:p>
            <w:pPr>
              <w:spacing w:after="0"/>
              <w:rPr>
                <w:sz w:val="24"/>
                <w:szCs w:val="24"/>
                <w:color w:val="auto"/>
              </w:rPr>
            </w:pPr>
          </w:p>
        </w:tc>
      </w:tr>
      <w:tr>
        <w:trPr>
          <w:trHeight w:val="233"/>
        </w:trPr>
        <w:tc>
          <w:tcPr>
            <w:tcW w:w="580" w:type="dxa"/>
            <w:vAlign w:val="bottom"/>
            <w:gridSpan w:val="2"/>
          </w:tcPr>
          <w:p>
            <w:pPr>
              <w:spacing w:after="0"/>
              <w:rPr>
                <w:sz w:val="20"/>
                <w:szCs w:val="20"/>
                <w:color w:val="auto"/>
              </w:rPr>
            </w:pPr>
            <w:r>
              <w:rPr>
                <w:rFonts w:ascii="Arial" w:cs="Arial" w:eastAsia="Arial" w:hAnsi="Arial"/>
                <w:sz w:val="20"/>
                <w:szCs w:val="20"/>
                <w:color w:val="auto"/>
                <w:w w:val="94"/>
              </w:rPr>
              <w:t>Name:</w:t>
            </w:r>
          </w:p>
        </w:tc>
        <w:tc>
          <w:tcPr>
            <w:tcW w:w="3060" w:type="dxa"/>
            <w:vAlign w:val="bottom"/>
            <w:gridSpan w:val="3"/>
          </w:tcPr>
          <w:p>
            <w:pPr>
              <w:ind w:left="160"/>
              <w:spacing w:after="0"/>
              <w:rPr>
                <w:sz w:val="20"/>
                <w:szCs w:val="20"/>
                <w:color w:val="auto"/>
              </w:rPr>
            </w:pPr>
            <w:r>
              <w:rPr>
                <w:rFonts w:ascii="Arial" w:cs="Arial" w:eastAsia="Arial" w:hAnsi="Arial"/>
                <w:sz w:val="20"/>
                <w:szCs w:val="20"/>
                <w:color w:val="auto"/>
              </w:rPr>
              <w:t>Mogens R. Jensen</w:t>
            </w:r>
          </w:p>
        </w:tc>
      </w:tr>
      <w:tr>
        <w:trPr>
          <w:trHeight w:val="250"/>
        </w:trPr>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140" w:type="dxa"/>
            <w:vAlign w:val="bottom"/>
          </w:tcPr>
          <w:p>
            <w:pPr>
              <w:spacing w:after="0"/>
              <w:rPr>
                <w:sz w:val="21"/>
                <w:szCs w:val="21"/>
                <w:color w:val="auto"/>
              </w:rPr>
            </w:pPr>
          </w:p>
        </w:tc>
        <w:tc>
          <w:tcPr>
            <w:tcW w:w="3060" w:type="dxa"/>
            <w:vAlign w:val="bottom"/>
            <w:gridSpan w:val="3"/>
          </w:tcPr>
          <w:p>
            <w:pPr>
              <w:ind w:left="40"/>
              <w:spacing w:after="0"/>
              <w:rPr>
                <w:sz w:val="20"/>
                <w:szCs w:val="20"/>
                <w:color w:val="auto"/>
              </w:rPr>
            </w:pPr>
            <w:r>
              <w:rPr>
                <w:rFonts w:ascii="Arial" w:cs="Arial" w:eastAsia="Arial" w:hAnsi="Arial"/>
                <w:sz w:val="20"/>
                <w:szCs w:val="20"/>
                <w:color w:val="auto"/>
              </w:rPr>
              <w:t>Senior Vice President</w:t>
            </w:r>
          </w:p>
        </w:tc>
      </w:tr>
    </w:tbl>
    <w:p>
      <w:pPr>
        <w:spacing w:after="0" w:line="19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SUMITOMO MITSUI BANKING CORPORATION</w:t>
      </w:r>
    </w:p>
    <w:p>
      <w:pPr>
        <w:spacing w:after="0" w:line="324"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James D Weinstein</w:t>
      </w:r>
    </w:p>
    <w:p>
      <w:pPr>
        <w:spacing w:after="0" w:line="15" w:lineRule="exact"/>
        <w:rPr>
          <w:sz w:val="20"/>
          <w:szCs w:val="20"/>
          <w:color w:val="auto"/>
        </w:rPr>
      </w:pPr>
    </w:p>
    <w:p>
      <w:pPr>
        <w:ind w:left="4540"/>
        <w:spacing w:after="0"/>
        <w:tabs>
          <w:tab w:leader="none" w:pos="5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James D Weinstein</w:t>
      </w:r>
    </w:p>
    <w:p>
      <w:pPr>
        <w:ind w:left="4540"/>
        <w:spacing w:after="0"/>
        <w:tabs>
          <w:tab w:leader="none" w:pos="5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7479" w:firstLine="8"/>
        <w:spacing w:after="0" w:line="273" w:lineRule="auto"/>
        <w:tabs>
          <w:tab w:leader="none" w:pos="84" w:val="left"/>
        </w:tabs>
        <w:numPr>
          <w:ilvl w:val="0"/>
          <w:numId w:val="198"/>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0219"/>
          </w:cols>
          <w:pgMar w:left="240" w:top="879"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color w:val="auto"/>
        </w:rPr>
        <w:t>SCHEDULE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MANPOWERGROUP INC.</w:t>
      </w:r>
    </w:p>
    <w:p>
      <w:pPr>
        <w:jc w:val="right"/>
        <w:spacing w:after="0"/>
        <w:rPr>
          <w:sz w:val="20"/>
          <w:szCs w:val="20"/>
          <w:color w:val="auto"/>
        </w:rPr>
      </w:pPr>
      <w:r>
        <w:rPr>
          <w:rFonts w:ascii="Arial" w:cs="Arial" w:eastAsia="Arial" w:hAnsi="Arial"/>
          <w:sz w:val="20"/>
          <w:szCs w:val="20"/>
          <w:color w:val="auto"/>
        </w:rPr>
        <w:t>AMENDED AND RESTATED FIVE YEAR CREDIT AGREEMENT</w:t>
      </w:r>
    </w:p>
    <w:p>
      <w:pPr>
        <w:jc w:val="right"/>
        <w:spacing w:after="0"/>
        <w:rPr>
          <w:sz w:val="20"/>
          <w:szCs w:val="20"/>
          <w:color w:val="auto"/>
        </w:rPr>
      </w:pPr>
      <w:r>
        <w:rPr>
          <w:rFonts w:ascii="Arial" w:cs="Arial" w:eastAsia="Arial" w:hAnsi="Arial"/>
          <w:sz w:val="20"/>
          <w:szCs w:val="20"/>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2" w:type="dxa"/>
        <w:tblCellMar>
          <w:top w:w="0" w:type="dxa"/>
          <w:left w:w="0" w:type="dxa"/>
          <w:bottom w:w="0" w:type="dxa"/>
          <w:right w:w="0" w:type="dxa"/>
        </w:tblCellMar>
      </w:tblPr>
      <w:tr>
        <w:trPr>
          <w:trHeight w:val="230"/>
        </w:trPr>
        <w:tc>
          <w:tcPr>
            <w:tcW w:w="5040" w:type="dxa"/>
            <w:vAlign w:val="bottom"/>
            <w:tcBorders>
              <w:top w:val="single" w:sz="8" w:color="00000A"/>
              <w:left w:val="single" w:sz="8" w:color="00000A"/>
              <w:right w:val="single" w:sz="8" w:color="00000A"/>
            </w:tcBorders>
            <w:gridSpan w:val="3"/>
          </w:tcPr>
          <w:p>
            <w:pPr>
              <w:ind w:left="1600"/>
              <w:spacing w:after="0"/>
              <w:rPr>
                <w:sz w:val="20"/>
                <w:szCs w:val="20"/>
                <w:color w:val="auto"/>
              </w:rPr>
            </w:pPr>
            <w:r>
              <w:rPr>
                <w:rFonts w:ascii="Arial" w:cs="Arial" w:eastAsia="Arial" w:hAnsi="Arial"/>
                <w:sz w:val="20"/>
                <w:szCs w:val="20"/>
                <w:color w:val="auto"/>
              </w:rPr>
              <w:t>Name of Initial Lender</w:t>
            </w:r>
          </w:p>
        </w:tc>
        <w:tc>
          <w:tcPr>
            <w:tcW w:w="3180" w:type="dxa"/>
            <w:vAlign w:val="bottom"/>
            <w:tcBorders>
              <w:top w:val="single" w:sz="8" w:color="00000A"/>
              <w:right w:val="single" w:sz="8" w:color="00000A"/>
            </w:tcBorders>
            <w:gridSpan w:val="3"/>
          </w:tcPr>
          <w:p>
            <w:pPr>
              <w:ind w:left="340"/>
              <w:spacing w:after="0"/>
              <w:rPr>
                <w:sz w:val="20"/>
                <w:szCs w:val="20"/>
                <w:color w:val="auto"/>
              </w:rPr>
            </w:pPr>
            <w:r>
              <w:rPr>
                <w:rFonts w:ascii="Arial" w:cs="Arial" w:eastAsia="Arial" w:hAnsi="Arial"/>
                <w:sz w:val="20"/>
                <w:szCs w:val="20"/>
                <w:color w:val="auto"/>
              </w:rPr>
              <w:t>Revolving Credit Commitment</w:t>
            </w:r>
          </w:p>
        </w:tc>
        <w:tc>
          <w:tcPr>
            <w:tcW w:w="3180" w:type="dxa"/>
            <w:vAlign w:val="bottom"/>
            <w:tcBorders>
              <w:top w:val="single" w:sz="8" w:color="00000A"/>
              <w:right w:val="single" w:sz="8" w:color="00000A"/>
            </w:tcBorders>
            <w:gridSpan w:val="3"/>
          </w:tcPr>
          <w:p>
            <w:pPr>
              <w:ind w:left="420"/>
              <w:spacing w:after="0"/>
              <w:rPr>
                <w:sz w:val="20"/>
                <w:szCs w:val="20"/>
                <w:color w:val="auto"/>
              </w:rPr>
            </w:pPr>
            <w:r>
              <w:rPr>
                <w:rFonts w:ascii="Arial" w:cs="Arial" w:eastAsia="Arial" w:hAnsi="Arial"/>
                <w:sz w:val="20"/>
                <w:szCs w:val="20"/>
                <w:color w:val="auto"/>
              </w:rPr>
              <w:t>Letter of Credit Commitment</w:t>
            </w:r>
          </w:p>
        </w:tc>
      </w:tr>
      <w:tr>
        <w:trPr>
          <w:trHeight w:val="453"/>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top w:val="single" w:sz="8" w:color="auto"/>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top w:val="single" w:sz="8" w:color="auto"/>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top w:val="single" w:sz="8" w:color="auto"/>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Citibank, N.A.</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$60,000,000</w:t>
            </w:r>
          </w:p>
        </w:tc>
        <w:tc>
          <w:tcPr>
            <w:tcW w:w="380" w:type="dxa"/>
            <w:vAlign w:val="bottom"/>
            <w:tcBorders>
              <w:right w:val="single" w:sz="8" w:color="00000A"/>
            </w:tcBorders>
          </w:tcPr>
          <w:p>
            <w:pPr>
              <w:spacing w:after="0"/>
              <w:rPr>
                <w:sz w:val="22"/>
                <w:szCs w:val="22"/>
                <w:color w:val="auto"/>
              </w:rPr>
            </w:pPr>
          </w:p>
        </w:tc>
        <w:tc>
          <w:tcPr>
            <w:tcW w:w="274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$50,000,000</w:t>
            </w: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Barclays Bank PLC</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$60,000,000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BNP Paribas</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$60,000,000</w:t>
            </w:r>
          </w:p>
        </w:tc>
        <w:tc>
          <w:tcPr>
            <w:tcW w:w="380" w:type="dxa"/>
            <w:vAlign w:val="bottom"/>
            <w:tcBorders>
              <w:right w:val="single" w:sz="8" w:color="00000A"/>
            </w:tcBorders>
          </w:tcPr>
          <w:p>
            <w:pPr>
              <w:spacing w:after="0"/>
              <w:rPr>
                <w:sz w:val="22"/>
                <w:szCs w:val="22"/>
                <w:color w:val="auto"/>
              </w:rPr>
            </w:pPr>
          </w:p>
        </w:tc>
        <w:tc>
          <w:tcPr>
            <w:tcW w:w="274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$50,000,000</w:t>
            </w: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JPMorgan Chase Bank, N.A.</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$60,000,000</w:t>
            </w:r>
          </w:p>
        </w:tc>
        <w:tc>
          <w:tcPr>
            <w:tcW w:w="380" w:type="dxa"/>
            <w:vAlign w:val="bottom"/>
            <w:tcBorders>
              <w:right w:val="single" w:sz="8" w:color="00000A"/>
            </w:tcBorders>
          </w:tcPr>
          <w:p>
            <w:pPr>
              <w:spacing w:after="0"/>
              <w:rPr>
                <w:sz w:val="22"/>
                <w:szCs w:val="22"/>
                <w:color w:val="auto"/>
              </w:rPr>
            </w:pPr>
          </w:p>
        </w:tc>
        <w:tc>
          <w:tcPr>
            <w:tcW w:w="274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$50,000,000</w:t>
            </w: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ING Bank N.V., Dublin Branch</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$44,000,000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Societe Generale</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$44,000,000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The Bank of Tokyo-Mitsubishi UFJ, Ltd.</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$44,000,000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U.S. Bank National Association</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$44,000,000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UniCredit Bank AG, New York Branch</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$44,000,000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BMO Harris Bank N.A.</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$35,000,000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Citizens Bank, N.A.</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$35,000,000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Nordea Bank Finland plc</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$35,000,000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Sumitomo Mitsui Banking Corporation</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$35,000,000</w:t>
            </w:r>
          </w:p>
        </w:tc>
        <w:tc>
          <w:tcPr>
            <w:tcW w:w="380" w:type="dxa"/>
            <w:vAlign w:val="bottom"/>
            <w:tcBorders>
              <w:right w:val="single" w:sz="8" w:color="00000A"/>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r>
        <w:trPr>
          <w:trHeight w:val="254"/>
        </w:trPr>
        <w:tc>
          <w:tcPr>
            <w:tcW w:w="504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0"/>
                <w:szCs w:val="20"/>
                <w:color w:val="auto"/>
              </w:rPr>
              <w:t>Total:</w:t>
            </w:r>
          </w:p>
        </w:tc>
        <w:tc>
          <w:tcPr>
            <w:tcW w:w="2800" w:type="dxa"/>
            <w:vAlign w:val="bottom"/>
            <w:gridSpan w:val="2"/>
          </w:tcPr>
          <w:p>
            <w:pPr>
              <w:jc w:val="center"/>
              <w:ind w:left="241"/>
              <w:spacing w:after="0"/>
              <w:rPr>
                <w:sz w:val="20"/>
                <w:szCs w:val="20"/>
                <w:color w:val="auto"/>
              </w:rPr>
            </w:pPr>
            <w:r>
              <w:rPr>
                <w:rFonts w:ascii="Arial" w:cs="Arial" w:eastAsia="Arial" w:hAnsi="Arial"/>
                <w:sz w:val="20"/>
                <w:szCs w:val="20"/>
                <w:color w:val="auto"/>
                <w:w w:val="89"/>
              </w:rPr>
              <w:t>$600,000,000</w:t>
            </w:r>
          </w:p>
        </w:tc>
        <w:tc>
          <w:tcPr>
            <w:tcW w:w="380" w:type="dxa"/>
            <w:vAlign w:val="bottom"/>
            <w:tcBorders>
              <w:right w:val="single" w:sz="8" w:color="00000A"/>
            </w:tcBorders>
          </w:tcPr>
          <w:p>
            <w:pPr>
              <w:spacing w:after="0"/>
              <w:rPr>
                <w:sz w:val="22"/>
                <w:szCs w:val="22"/>
                <w:color w:val="auto"/>
              </w:rPr>
            </w:pPr>
          </w:p>
        </w:tc>
        <w:tc>
          <w:tcPr>
            <w:tcW w:w="2740" w:type="dxa"/>
            <w:vAlign w:val="bottom"/>
            <w:gridSpan w:val="2"/>
          </w:tcPr>
          <w:p>
            <w:pPr>
              <w:jc w:val="center"/>
              <w:ind w:left="321"/>
              <w:spacing w:after="0"/>
              <w:rPr>
                <w:sz w:val="20"/>
                <w:szCs w:val="20"/>
                <w:color w:val="auto"/>
              </w:rPr>
            </w:pPr>
            <w:r>
              <w:rPr>
                <w:rFonts w:ascii="Arial" w:cs="Arial" w:eastAsia="Arial" w:hAnsi="Arial"/>
                <w:sz w:val="20"/>
                <w:szCs w:val="20"/>
                <w:color w:val="auto"/>
                <w:w w:val="88"/>
              </w:rPr>
              <w:t>$150,000,000</w:t>
            </w:r>
          </w:p>
        </w:tc>
        <w:tc>
          <w:tcPr>
            <w:tcW w:w="440" w:type="dxa"/>
            <w:vAlign w:val="bottom"/>
            <w:tcBorders>
              <w:right w:val="single" w:sz="8" w:color="00000A"/>
            </w:tcBorders>
          </w:tcPr>
          <w:p>
            <w:pPr>
              <w:spacing w:after="0"/>
              <w:rPr>
                <w:sz w:val="22"/>
                <w:szCs w:val="22"/>
                <w:color w:val="auto"/>
              </w:rPr>
            </w:pPr>
          </w:p>
        </w:tc>
      </w:tr>
      <w:tr>
        <w:trPr>
          <w:trHeight w:val="428"/>
        </w:trPr>
        <w:tc>
          <w:tcPr>
            <w:tcW w:w="1600" w:type="dxa"/>
            <w:vAlign w:val="bottom"/>
            <w:tcBorders>
              <w:left w:val="single" w:sz="8" w:color="00000A"/>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246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12"/>
          </w:cols>
          <w:pgMar w:left="248" w:top="582"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 w:right="8680" w:firstLine="8"/>
        <w:spacing w:after="0" w:line="273" w:lineRule="auto"/>
        <w:tabs>
          <w:tab w:leader="none" w:pos="76" w:val="left"/>
        </w:tabs>
        <w:numPr>
          <w:ilvl w:val="0"/>
          <w:numId w:val="199"/>
        </w:numPr>
        <w:rPr>
          <w:rFonts w:ascii="Arial" w:cs="Arial" w:eastAsia="Arial" w:hAnsi="Arial"/>
          <w:sz w:val="14"/>
          <w:szCs w:val="14"/>
          <w:color w:val="auto"/>
        </w:rPr>
      </w:pPr>
      <w:r>
        <w:rPr>
          <w:rFonts w:ascii="Arial" w:cs="Arial" w:eastAsia="Arial" w:hAnsi="Arial"/>
          <w:sz w:val="14"/>
          <w:szCs w:val="14"/>
          <w:color w:val="auto"/>
        </w:rPr>
        <w:t>ManpowerGroup Five Year Credit Agreement NYDOCS03/975898.3</w:t>
      </w:r>
    </w:p>
    <w:p>
      <w:pPr>
        <w:sectPr>
          <w:pgSz w:w="11900" w:h="16838" w:orient="portrait"/>
          <w:cols w:equalWidth="0" w:num="1">
            <w:col w:w="11412"/>
          </w:cols>
          <w:pgMar w:left="248" w:top="582"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0"/>
          <w:szCs w:val="20"/>
          <w:color w:val="auto"/>
        </w:rPr>
        <w:t>Schedule 2.04(f)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91"/>
              </w:rPr>
              <w:t>Letters of Credit</w:t>
            </w:r>
          </w:p>
        </w:tc>
      </w:tr>
      <w:tr>
        <w:trPr>
          <w:trHeight w:val="250"/>
        </w:trPr>
        <w:tc>
          <w:tcPr>
            <w:tcW w:w="25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w w:val="86"/>
              </w:rPr>
              <w:t>June 30, 2015</w:t>
            </w:r>
          </w:p>
        </w:tc>
      </w:tr>
      <w:tr>
        <w:trPr>
          <w:trHeight w:val="474"/>
        </w:trPr>
        <w:tc>
          <w:tcPr>
            <w:tcW w:w="2580" w:type="dxa"/>
            <w:vAlign w:val="bottom"/>
          </w:tcPr>
          <w:p>
            <w:pPr>
              <w:spacing w:after="0"/>
              <w:rPr>
                <w:sz w:val="20"/>
                <w:szCs w:val="20"/>
                <w:color w:val="auto"/>
              </w:rPr>
            </w:pPr>
            <w:r>
              <w:rPr>
                <w:rFonts w:ascii="Arial" w:cs="Arial" w:eastAsia="Arial" w:hAnsi="Arial"/>
                <w:sz w:val="22"/>
                <w:szCs w:val="22"/>
                <w:b w:val="1"/>
                <w:bCs w:val="1"/>
                <w:color w:val="1F497D"/>
              </w:rPr>
              <w:t>Issuing/Fronting Bank</w:t>
            </w:r>
          </w:p>
        </w:tc>
        <w:tc>
          <w:tcPr>
            <w:tcW w:w="2140" w:type="dxa"/>
            <w:vAlign w:val="bottom"/>
          </w:tcPr>
          <w:p>
            <w:pPr>
              <w:ind w:left="540"/>
              <w:spacing w:after="0"/>
              <w:rPr>
                <w:sz w:val="20"/>
                <w:szCs w:val="20"/>
                <w:color w:val="auto"/>
              </w:rPr>
            </w:pPr>
            <w:r>
              <w:rPr>
                <w:rFonts w:ascii="Arial" w:cs="Arial" w:eastAsia="Arial" w:hAnsi="Arial"/>
                <w:sz w:val="22"/>
                <w:szCs w:val="22"/>
                <w:b w:val="1"/>
                <w:bCs w:val="1"/>
                <w:color w:val="1F497D"/>
              </w:rPr>
              <w:t>Reference</w:t>
            </w:r>
          </w:p>
        </w:tc>
        <w:tc>
          <w:tcPr>
            <w:tcW w:w="2000" w:type="dxa"/>
            <w:vAlign w:val="bottom"/>
          </w:tcPr>
          <w:p>
            <w:pPr>
              <w:ind w:left="780"/>
              <w:spacing w:after="0"/>
              <w:rPr>
                <w:sz w:val="20"/>
                <w:szCs w:val="20"/>
                <w:color w:val="auto"/>
              </w:rPr>
            </w:pPr>
            <w:r>
              <w:rPr>
                <w:rFonts w:ascii="Arial" w:cs="Arial" w:eastAsia="Arial" w:hAnsi="Arial"/>
                <w:sz w:val="22"/>
                <w:szCs w:val="22"/>
                <w:b w:val="1"/>
                <w:bCs w:val="1"/>
                <w:color w:val="1F497D"/>
              </w:rPr>
              <w:t>Amount</w:t>
            </w:r>
          </w:p>
        </w:tc>
      </w:tr>
      <w:tr>
        <w:trPr>
          <w:trHeight w:val="257"/>
        </w:trPr>
        <w:tc>
          <w:tcPr>
            <w:tcW w:w="2580" w:type="dxa"/>
            <w:vAlign w:val="bottom"/>
          </w:tcPr>
          <w:p>
            <w:pPr>
              <w:spacing w:after="0"/>
              <w:rPr>
                <w:sz w:val="20"/>
                <w:szCs w:val="20"/>
                <w:color w:val="auto"/>
              </w:rPr>
            </w:pPr>
            <w:r>
              <w:rPr>
                <w:rFonts w:ascii="Arial" w:cs="Arial" w:eastAsia="Arial" w:hAnsi="Arial"/>
                <w:sz w:val="22"/>
                <w:szCs w:val="22"/>
                <w:color w:val="1F497D"/>
              </w:rPr>
              <w:t>J.P. Morgan Chase</w:t>
            </w:r>
          </w:p>
        </w:tc>
        <w:tc>
          <w:tcPr>
            <w:tcW w:w="2140" w:type="dxa"/>
            <w:vAlign w:val="bottom"/>
          </w:tcPr>
          <w:p>
            <w:pPr>
              <w:ind w:left="500"/>
              <w:spacing w:after="0"/>
              <w:rPr>
                <w:sz w:val="20"/>
                <w:szCs w:val="20"/>
                <w:color w:val="auto"/>
              </w:rPr>
            </w:pPr>
            <w:r>
              <w:rPr>
                <w:rFonts w:ascii="Arial" w:cs="Arial" w:eastAsia="Arial" w:hAnsi="Arial"/>
                <w:sz w:val="22"/>
                <w:szCs w:val="22"/>
                <w:color w:val="1F497D"/>
              </w:rPr>
              <w:t>S-290526</w:t>
            </w:r>
          </w:p>
        </w:tc>
        <w:tc>
          <w:tcPr>
            <w:tcW w:w="2000" w:type="dxa"/>
            <w:vAlign w:val="bottom"/>
          </w:tcPr>
          <w:p>
            <w:pPr>
              <w:ind w:left="820"/>
              <w:spacing w:after="0"/>
              <w:rPr>
                <w:sz w:val="20"/>
                <w:szCs w:val="20"/>
                <w:color w:val="auto"/>
              </w:rPr>
            </w:pPr>
            <w:r>
              <w:rPr>
                <w:rFonts w:ascii="Arial" w:cs="Arial" w:eastAsia="Arial" w:hAnsi="Arial"/>
                <w:sz w:val="22"/>
                <w:szCs w:val="22"/>
                <w:color w:val="1F497D"/>
                <w:w w:val="87"/>
              </w:rPr>
              <w:t>USD 235,890</w:t>
            </w:r>
          </w:p>
        </w:tc>
      </w:tr>
      <w:tr>
        <w:trPr>
          <w:trHeight w:val="257"/>
        </w:trPr>
        <w:tc>
          <w:tcPr>
            <w:tcW w:w="2580" w:type="dxa"/>
            <w:vAlign w:val="bottom"/>
          </w:tcPr>
          <w:p>
            <w:pPr>
              <w:spacing w:after="0"/>
              <w:rPr>
                <w:sz w:val="20"/>
                <w:szCs w:val="20"/>
                <w:color w:val="auto"/>
              </w:rPr>
            </w:pPr>
            <w:r>
              <w:rPr>
                <w:rFonts w:ascii="Arial" w:cs="Arial" w:eastAsia="Arial" w:hAnsi="Arial"/>
                <w:sz w:val="22"/>
                <w:szCs w:val="22"/>
                <w:color w:val="1F497D"/>
              </w:rPr>
              <w:t>J.P. Morgan Chase</w:t>
            </w:r>
          </w:p>
        </w:tc>
        <w:tc>
          <w:tcPr>
            <w:tcW w:w="2140" w:type="dxa"/>
            <w:vAlign w:val="bottom"/>
          </w:tcPr>
          <w:p>
            <w:pPr>
              <w:ind w:left="500"/>
              <w:spacing w:after="0"/>
              <w:rPr>
                <w:sz w:val="20"/>
                <w:szCs w:val="20"/>
                <w:color w:val="auto"/>
              </w:rPr>
            </w:pPr>
            <w:r>
              <w:rPr>
                <w:rFonts w:ascii="Arial" w:cs="Arial" w:eastAsia="Arial" w:hAnsi="Arial"/>
                <w:sz w:val="22"/>
                <w:szCs w:val="22"/>
                <w:color w:val="1F497D"/>
              </w:rPr>
              <w:t>S-290520</w:t>
            </w:r>
          </w:p>
        </w:tc>
        <w:tc>
          <w:tcPr>
            <w:tcW w:w="2000" w:type="dxa"/>
            <w:vAlign w:val="bottom"/>
          </w:tcPr>
          <w:p>
            <w:pPr>
              <w:ind w:left="820"/>
              <w:spacing w:after="0"/>
              <w:rPr>
                <w:sz w:val="20"/>
                <w:szCs w:val="20"/>
                <w:color w:val="auto"/>
              </w:rPr>
            </w:pPr>
            <w:r>
              <w:rPr>
                <w:rFonts w:ascii="Arial" w:cs="Arial" w:eastAsia="Arial" w:hAnsi="Arial"/>
                <w:sz w:val="22"/>
                <w:szCs w:val="22"/>
                <w:color w:val="1F497D"/>
                <w:w w:val="87"/>
              </w:rPr>
              <w:t>USD 643,000</w:t>
            </w:r>
          </w:p>
        </w:tc>
      </w:tr>
      <w:tr>
        <w:trPr>
          <w:trHeight w:val="275"/>
        </w:trPr>
        <w:tc>
          <w:tcPr>
            <w:tcW w:w="2580" w:type="dxa"/>
            <w:vAlign w:val="bottom"/>
          </w:tcPr>
          <w:p>
            <w:pPr>
              <w:spacing w:after="0"/>
              <w:rPr>
                <w:sz w:val="20"/>
                <w:szCs w:val="20"/>
                <w:color w:val="auto"/>
              </w:rPr>
            </w:pPr>
            <w:r>
              <w:rPr>
                <w:rFonts w:ascii="Arial" w:cs="Arial" w:eastAsia="Arial" w:hAnsi="Arial"/>
                <w:sz w:val="22"/>
                <w:szCs w:val="22"/>
                <w:color w:val="1F497D"/>
              </w:rPr>
              <w:t>J.P. Morgan Chase</w:t>
            </w:r>
          </w:p>
        </w:tc>
        <w:tc>
          <w:tcPr>
            <w:tcW w:w="2140" w:type="dxa"/>
            <w:vAlign w:val="bottom"/>
          </w:tcPr>
          <w:p>
            <w:pPr>
              <w:ind w:left="500"/>
              <w:spacing w:after="0"/>
              <w:rPr>
                <w:sz w:val="20"/>
                <w:szCs w:val="20"/>
                <w:color w:val="auto"/>
              </w:rPr>
            </w:pPr>
            <w:r>
              <w:rPr>
                <w:rFonts w:ascii="Arial" w:cs="Arial" w:eastAsia="Arial" w:hAnsi="Arial"/>
                <w:sz w:val="22"/>
                <w:szCs w:val="22"/>
                <w:color w:val="1F497D"/>
              </w:rPr>
              <w:t>OCOS-704637</w:t>
            </w:r>
          </w:p>
        </w:tc>
        <w:tc>
          <w:tcPr>
            <w:tcW w:w="2000" w:type="dxa"/>
            <w:vAlign w:val="bottom"/>
          </w:tcPr>
          <w:p>
            <w:pPr>
              <w:ind w:left="780"/>
              <w:spacing w:after="0"/>
              <w:rPr>
                <w:sz w:val="20"/>
                <w:szCs w:val="20"/>
                <w:color w:val="auto"/>
              </w:rPr>
            </w:pPr>
            <w:r>
              <w:rPr>
                <w:rFonts w:ascii="Arial" w:cs="Arial" w:eastAsia="Arial" w:hAnsi="Arial"/>
                <w:sz w:val="22"/>
                <w:szCs w:val="22"/>
                <w:color w:val="1F497D"/>
              </w:rPr>
              <w:t>CAD 10,000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680" w:firstLine="8"/>
        <w:spacing w:after="0" w:line="273" w:lineRule="auto"/>
        <w:tabs>
          <w:tab w:leader="none" w:pos="84" w:val="left"/>
        </w:tabs>
        <w:numPr>
          <w:ilvl w:val="0"/>
          <w:numId w:val="200"/>
        </w:numPr>
        <w:rPr>
          <w:rFonts w:ascii="Arial" w:cs="Arial" w:eastAsia="Arial" w:hAnsi="Arial"/>
          <w:sz w:val="14"/>
          <w:szCs w:val="14"/>
          <w:color w:val="auto"/>
        </w:rPr>
      </w:pPr>
      <w:r>
        <w:rPr>
          <w:rFonts w:ascii="Arial" w:cs="Arial" w:eastAsia="Arial" w:hAnsi="Arial"/>
          <w:sz w:val="14"/>
          <w:szCs w:val="14"/>
          <w:color w:val="auto"/>
        </w:rPr>
        <w:t>ManpowerGroup Five Year Credit Agreement NYDOCS03/975898.3</w:t>
      </w:r>
    </w:p>
    <w:p>
      <w:pPr>
        <w:sectPr>
          <w:pgSz w:w="11900" w:h="16838" w:orient="portrait"/>
          <w:cols w:equalWidth="0" w:num="1">
            <w:col w:w="11420"/>
          </w:cols>
          <w:pgMar w:left="240" w:top="582"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color w:val="auto"/>
        </w:rPr>
        <w:t>Schedule 5.02(a)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Liens</w:t>
      </w:r>
    </w:p>
    <w:p>
      <w:pPr>
        <w:spacing w:after="0" w:line="200" w:lineRule="exact"/>
        <w:rPr>
          <w:sz w:val="20"/>
          <w:szCs w:val="20"/>
          <w:color w:val="auto"/>
        </w:rPr>
      </w:pPr>
    </w:p>
    <w:p>
      <w:pPr>
        <w:spacing w:after="0" w:line="259"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Liens otherwise permitted by Section 5.02(a), including financing statements covering leased assets or purchase money security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 ManpowerGroup Five Year Credit Agreement</w:t>
      </w:r>
    </w:p>
    <w:p>
      <w:pPr>
        <w:sectPr>
          <w:pgSz w:w="11900" w:h="16838" w:orient="portrait"/>
          <w:cols w:equalWidth="0" w:num="1">
            <w:col w:w="11420"/>
          </w:cols>
          <w:pgMar w:left="240" w:top="582"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color w:val="auto"/>
        </w:rPr>
        <w:t>EXHIBIT A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REVOLVING CREDIT</w:t>
      </w:r>
    </w:p>
    <w:p>
      <w:pPr>
        <w:jc w:val="right"/>
        <w:spacing w:after="0"/>
        <w:rPr>
          <w:sz w:val="20"/>
          <w:szCs w:val="20"/>
          <w:color w:val="auto"/>
        </w:rPr>
      </w:pPr>
      <w:r>
        <w:rPr>
          <w:rFonts w:ascii="Arial" w:cs="Arial" w:eastAsia="Arial" w:hAnsi="Arial"/>
          <w:sz w:val="20"/>
          <w:szCs w:val="20"/>
          <w:color w:val="auto"/>
        </w:rPr>
        <w:t>PROMISSORY NOTE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2920" w:val="left"/>
        </w:tabs>
        <w:rPr>
          <w:sz w:val="20"/>
          <w:szCs w:val="20"/>
          <w:color w:val="auto"/>
        </w:rPr>
      </w:pPr>
      <w:r>
        <w:rPr>
          <w:rFonts w:ascii="Arial" w:cs="Arial" w:eastAsia="Arial" w:hAnsi="Arial"/>
          <w:sz w:val="20"/>
          <w:szCs w:val="20"/>
          <w:color w:val="auto"/>
        </w:rPr>
        <w:t>U.S.$_______________</w:t>
      </w:r>
      <w:r>
        <w:rPr>
          <w:sz w:val="20"/>
          <w:szCs w:val="20"/>
          <w:color w:val="auto"/>
        </w:rPr>
        <w:tab/>
      </w:r>
      <w:r>
        <w:rPr>
          <w:rFonts w:ascii="Arial" w:cs="Arial" w:eastAsia="Arial" w:hAnsi="Arial"/>
          <w:sz w:val="16"/>
          <w:szCs w:val="16"/>
          <w:color w:val="auto"/>
        </w:rPr>
        <w:t>Dated: _______________, 20__</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FOR VALUE RECEIVED, the undersigned, MANPOWERGROUP INC., a Wisconsin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the order of _________________________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for the account of its Applicable Lending Office</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on the Termination Date (each as defined in the Credit Agreement referred to below) the principal sum of U.S.$[amount of the Lender’s Commitment in figures] or, if less, the aggregate principal amount of the Revolving Credit Advances made by the Lender to the Borrower pursuant to the Amended and Restated Five Year Credit Agreement dated as of September 16, 2015 among the Borrower, the Lender and certain other lenders parties thereto, and Citibank, N.A. as Agent for the Lender and such other lenders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the Termination Date.</w:t>
      </w:r>
    </w:p>
    <w:p>
      <w:pPr>
        <w:spacing w:after="0" w:line="16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8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Both principal and interest in respect of each Revolving Credit Advance (i) in Dollars are payable in lawful money of the United States of America to the Agent at its account maintained at 388 Greenwich Street, New York, New York 10013, in same day funds and</w:t>
      </w:r>
    </w:p>
    <w:p>
      <w:pPr>
        <w:spacing w:after="0" w:line="1" w:lineRule="exact"/>
        <w:rPr>
          <w:sz w:val="20"/>
          <w:szCs w:val="20"/>
          <w:color w:val="auto"/>
        </w:rPr>
      </w:pPr>
    </w:p>
    <w:p>
      <w:pPr>
        <w:jc w:val="both"/>
        <w:ind w:firstLine="8"/>
        <w:spacing w:after="0" w:line="282" w:lineRule="auto"/>
        <w:tabs>
          <w:tab w:leader="none" w:pos="31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any Committed Currency are payable in such currency at the applicable Payment Office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5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This Promissory Note is one of the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Dollar amount first above mentioned, the indebtedness of the Borrower resulting from each such Revolving Credit Advance being evidenced by this Promissory Note, (ii) contains provisions for determining the Dollar Equivalent of Revolving Credit Advances denominated in Committed Currencies and (iii) contains provisions for acceleration of the maturity hereof upon the happening of certain stated events and also for prepayments on account of principal hereof prior to the maturity hereof upon the terms and conditions therein specified.</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MANPOWERGROUP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w:t>
      </w:r>
    </w:p>
    <w:p>
      <w:pPr>
        <w:spacing w:after="0" w:line="16" w:lineRule="exact"/>
        <w:rPr>
          <w:sz w:val="20"/>
          <w:szCs w:val="20"/>
          <w:color w:val="auto"/>
        </w:rPr>
      </w:pPr>
    </w:p>
    <w:p>
      <w:pPr>
        <w:ind w:left="5980" w:hanging="309"/>
        <w:spacing w:after="0"/>
        <w:tabs>
          <w:tab w:leader="none" w:pos="598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 ManpowerGroup Five Year Credit Agreement</w:t>
      </w:r>
    </w:p>
    <w:p>
      <w:pPr>
        <w:sectPr>
          <w:pgSz w:w="11900" w:h="16838" w:orient="portrait"/>
          <w:cols w:equalWidth="0" w:num="1">
            <w:col w:w="11420"/>
          </w:cols>
          <w:pgMar w:left="240" w:top="582" w:right="23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20"/>
          <w:szCs w:val="20"/>
          <w:color w:val="auto"/>
        </w:rPr>
        <w:t>ADVANCES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2280" w:type="dxa"/>
            <w:vAlign w:val="bottom"/>
            <w:tcBorders>
              <w:top w:val="single" w:sz="8" w:color="auto"/>
              <w:right w:val="single" w:sz="8" w:color="auto"/>
            </w:tcBorders>
          </w:tcPr>
          <w:p>
            <w:pPr>
              <w:spacing w:after="0"/>
              <w:rPr>
                <w:sz w:val="21"/>
                <w:szCs w:val="21"/>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Amount of</w:t>
            </w:r>
          </w:p>
        </w:tc>
        <w:tc>
          <w:tcPr>
            <w:tcW w:w="2280" w:type="dxa"/>
            <w:vAlign w:val="bottom"/>
            <w:tcBorders>
              <w:top w:val="single" w:sz="8" w:color="auto"/>
              <w:right w:val="single" w:sz="8" w:color="auto"/>
            </w:tcBorders>
          </w:tcPr>
          <w:p>
            <w:pPr>
              <w:spacing w:after="0"/>
              <w:rPr>
                <w:sz w:val="21"/>
                <w:szCs w:val="21"/>
                <w:color w:val="auto"/>
              </w:rPr>
            </w:pPr>
          </w:p>
        </w:tc>
        <w:tc>
          <w:tcPr>
            <w:tcW w:w="2280" w:type="dxa"/>
            <w:vAlign w:val="bottom"/>
            <w:tcBorders>
              <w:top w:val="single" w:sz="8" w:color="auto"/>
              <w:right w:val="single" w:sz="8" w:color="auto"/>
            </w:tcBorders>
          </w:tcPr>
          <w:p>
            <w:pPr>
              <w:spacing w:after="0"/>
              <w:rPr>
                <w:sz w:val="21"/>
                <w:szCs w:val="21"/>
                <w:color w:val="auto"/>
              </w:rPr>
            </w:pPr>
          </w:p>
        </w:tc>
      </w:tr>
      <w:tr>
        <w:trPr>
          <w:trHeight w:val="230"/>
        </w:trPr>
        <w:tc>
          <w:tcPr>
            <w:tcW w:w="232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20"/>
                <w:szCs w:val="20"/>
                <w:b w:val="1"/>
                <w:bCs w:val="1"/>
                <w:color w:val="auto"/>
              </w:rPr>
              <w:t>Date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Amount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Principal Paid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Unpaid Principal</w:t>
            </w:r>
          </w:p>
        </w:tc>
        <w:tc>
          <w:tcPr>
            <w:tcW w:w="2280" w:type="dxa"/>
            <w:vAlign w:val="bottom"/>
            <w:tcBorders>
              <w:right w:val="single" w:sz="8" w:color="auto"/>
            </w:tcBorders>
          </w:tcPr>
          <w:p>
            <w:pPr>
              <w:ind w:left="760"/>
              <w:spacing w:after="0"/>
              <w:rPr>
                <w:sz w:val="20"/>
                <w:szCs w:val="20"/>
                <w:color w:val="auto"/>
              </w:rPr>
            </w:pPr>
            <w:r>
              <w:rPr>
                <w:rFonts w:ascii="Arial" w:cs="Arial" w:eastAsia="Arial" w:hAnsi="Arial"/>
                <w:sz w:val="20"/>
                <w:szCs w:val="20"/>
                <w:b w:val="1"/>
                <w:bCs w:val="1"/>
                <w:color w:val="auto"/>
              </w:rPr>
              <w:t>Notation</w:t>
            </w:r>
          </w:p>
        </w:tc>
      </w:tr>
      <w:tr>
        <w:trPr>
          <w:trHeight w:val="256"/>
        </w:trPr>
        <w:tc>
          <w:tcPr>
            <w:tcW w:w="232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Advance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or Prepaid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Balance</w:t>
            </w:r>
          </w:p>
        </w:tc>
        <w:tc>
          <w:tcPr>
            <w:tcW w:w="2280" w:type="dxa"/>
            <w:vAlign w:val="bottom"/>
            <w:tcBorders>
              <w:right w:val="single" w:sz="8" w:color="auto"/>
            </w:tcBorders>
          </w:tcPr>
          <w:p>
            <w:pPr>
              <w:ind w:left="740"/>
              <w:spacing w:after="0"/>
              <w:rPr>
                <w:sz w:val="20"/>
                <w:szCs w:val="20"/>
                <w:color w:val="auto"/>
              </w:rPr>
            </w:pPr>
            <w:r>
              <w:rPr>
                <w:rFonts w:ascii="Arial" w:cs="Arial" w:eastAsia="Arial" w:hAnsi="Arial"/>
                <w:sz w:val="20"/>
                <w:szCs w:val="20"/>
                <w:b w:val="1"/>
                <w:bCs w:val="1"/>
                <w:color w:val="auto"/>
              </w:rPr>
              <w:t>Made By</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700" w:firstLine="8"/>
        <w:spacing w:after="0" w:line="273" w:lineRule="auto"/>
        <w:tabs>
          <w:tab w:leader="none" w:pos="84" w:val="left"/>
        </w:tabs>
        <w:numPr>
          <w:ilvl w:val="0"/>
          <w:numId w:val="203"/>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40"/>
          </w:cols>
          <w:pgMar w:left="240" w:top="879" w:right="21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color w:val="auto"/>
        </w:rPr>
        <w:t>EXHIBIT B - FORM OF NOTICE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BORROWING</w:t>
      </w:r>
    </w:p>
    <w:p>
      <w:pPr>
        <w:spacing w:after="0"/>
        <w:rPr>
          <w:sz w:val="20"/>
          <w:szCs w:val="20"/>
          <w:color w:val="auto"/>
        </w:rPr>
      </w:pPr>
      <w:r>
        <w:rPr>
          <w:rFonts w:ascii="Arial" w:cs="Arial" w:eastAsia="Arial" w:hAnsi="Arial"/>
          <w:sz w:val="20"/>
          <w:szCs w:val="20"/>
          <w:color w:val="auto"/>
        </w:rPr>
        <w:t>Citibank, N.A., as Agent</w:t>
      </w:r>
    </w:p>
    <w:p>
      <w:pPr>
        <w:spacing w:after="0"/>
        <w:rPr>
          <w:sz w:val="20"/>
          <w:szCs w:val="20"/>
          <w:color w:val="auto"/>
        </w:rPr>
      </w:pPr>
      <w:r>
        <w:rPr>
          <w:rFonts w:ascii="Arial" w:cs="Arial" w:eastAsia="Arial" w:hAnsi="Arial"/>
          <w:sz w:val="20"/>
          <w:szCs w:val="20"/>
          <w:color w:val="auto"/>
        </w:rPr>
        <w:t>for the Lender Parties party</w:t>
      </w:r>
    </w:p>
    <w:p>
      <w:pPr>
        <w:spacing w:after="0"/>
        <w:rPr>
          <w:sz w:val="20"/>
          <w:szCs w:val="20"/>
          <w:color w:val="auto"/>
        </w:rPr>
      </w:pPr>
      <w:r>
        <w:rPr>
          <w:rFonts w:ascii="Arial" w:cs="Arial" w:eastAsia="Arial" w:hAnsi="Arial"/>
          <w:sz w:val="20"/>
          <w:szCs w:val="20"/>
          <w:color w:val="auto"/>
        </w:rPr>
        <w:t>to the Credit Agreement</w:t>
      </w:r>
    </w:p>
    <w:p>
      <w:pPr>
        <w:spacing w:after="0"/>
        <w:rPr>
          <w:sz w:val="20"/>
          <w:szCs w:val="20"/>
          <w:color w:val="auto"/>
        </w:rPr>
      </w:pPr>
      <w:r>
        <w:rPr>
          <w:rFonts w:ascii="Arial" w:cs="Arial" w:eastAsia="Arial" w:hAnsi="Arial"/>
          <w:sz w:val="20"/>
          <w:szCs w:val="20"/>
          <w:color w:val="auto"/>
        </w:rPr>
        <w:t>referred to below</w:t>
      </w:r>
    </w:p>
    <w:p>
      <w:pPr>
        <w:spacing w:after="0"/>
        <w:rPr>
          <w:sz w:val="20"/>
          <w:szCs w:val="20"/>
          <w:color w:val="auto"/>
        </w:rPr>
      </w:pPr>
      <w:r>
        <w:rPr>
          <w:rFonts w:ascii="Arial" w:cs="Arial" w:eastAsia="Arial" w:hAnsi="Arial"/>
          <w:sz w:val="20"/>
          <w:szCs w:val="20"/>
          <w:color w:val="auto"/>
        </w:rPr>
        <w:t>1615 Brett Road, Building #3</w:t>
      </w:r>
    </w:p>
    <w:p>
      <w:pPr>
        <w:spacing w:after="0"/>
        <w:rPr>
          <w:sz w:val="20"/>
          <w:szCs w:val="20"/>
          <w:color w:val="auto"/>
        </w:rPr>
      </w:pPr>
      <w:r>
        <w:rPr>
          <w:rFonts w:ascii="Arial" w:cs="Arial" w:eastAsia="Arial" w:hAnsi="Arial"/>
          <w:sz w:val="20"/>
          <w:szCs w:val="20"/>
          <w:color w:val="auto"/>
        </w:rPr>
        <w:t>New Castle, Delaware 19720</w:t>
      </w:r>
    </w:p>
    <w:p>
      <w:pPr>
        <w:ind w:left="45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Bank Loan Syndications Department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ManpowerGroup Inc., refers to the Amended and Restated Five Year Credit Agreement, dated as of September 16, 2015 (as amended or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the terms defined therein being used herein as therein defined), among the undersigned, certain Lender Parties thereto and Citibank,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20"/>
          <w:szCs w:val="20"/>
          <w:u w:val="single" w:color="auto"/>
          <w:color w:val="auto"/>
        </w:rPr>
        <w:t>Proposed Borrowing</w:t>
      </w:r>
      <w:r>
        <w:rPr>
          <w:rFonts w:ascii="Arial" w:cs="Arial" w:eastAsia="Arial" w:hAnsi="Arial"/>
          <w:sz w:val="20"/>
          <w:szCs w:val="20"/>
          <w:color w:val="auto"/>
        </w:rPr>
        <w:t>”) as required by Section 2.02(a) of the Credit Agreement:</w:t>
      </w:r>
    </w:p>
    <w:p>
      <w:pPr>
        <w:spacing w:after="0" w:line="197" w:lineRule="exact"/>
        <w:rPr>
          <w:sz w:val="20"/>
          <w:szCs w:val="20"/>
          <w:color w:val="auto"/>
        </w:rPr>
      </w:pPr>
    </w:p>
    <w:p>
      <w:pPr>
        <w:ind w:left="1680" w:hanging="375"/>
        <w:spacing w:after="0"/>
        <w:tabs>
          <w:tab w:leader="none" w:pos="168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Business Day of the Proposed Borrowing is _______________, 20__.</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Type of Advances comprising the Proposed Borrowing is [Base Rate Advances] [Eurocurrency Rate Advances].</w:t>
      </w:r>
    </w:p>
    <w:p>
      <w:pPr>
        <w:spacing w:after="0" w:line="238" w:lineRule="exact"/>
        <w:rPr>
          <w:rFonts w:ascii="Arial" w:cs="Arial" w:eastAsia="Arial" w:hAnsi="Arial"/>
          <w:sz w:val="18"/>
          <w:szCs w:val="18"/>
          <w:color w:val="auto"/>
        </w:rPr>
      </w:pPr>
    </w:p>
    <w:p>
      <w:pPr>
        <w:ind w:left="660" w:firstLine="645"/>
        <w:spacing w:after="0" w:line="260" w:lineRule="auto"/>
        <w:tabs>
          <w:tab w:leader="none" w:pos="1857"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aggregate amount of the Proposed Borrowing is [$_______________][for a Borrowing in a Committed Currency, list currency and amount of Borrowing].</w:t>
      </w:r>
    </w:p>
    <w:p>
      <w:pPr>
        <w:sectPr>
          <w:pgSz w:w="11900" w:h="16838" w:orient="portrait"/>
          <w:cols w:equalWidth="0" w:num="1">
            <w:col w:w="11420"/>
          </w:cols>
          <w:pgMar w:left="240" w:top="582" w:right="239" w:bottom="1440" w:gutter="0" w:footer="0" w:header="0"/>
        </w:sectPr>
      </w:pP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[(iv)</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month[s].]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initial Interest Period for each Eurocurrency Rate Advance made as part of the Proposed Borrowing is _____</w:t>
      </w:r>
    </w:p>
    <w:p>
      <w:pPr>
        <w:spacing w:after="0" w:line="468" w:lineRule="exact"/>
        <w:rPr>
          <w:sz w:val="20"/>
          <w:szCs w:val="20"/>
          <w:color w:val="auto"/>
        </w:rPr>
      </w:pPr>
    </w:p>
    <w:p>
      <w:pPr>
        <w:sectPr>
          <w:pgSz w:w="11900" w:h="16838" w:orient="portrait"/>
          <w:cols w:equalWidth="0" w:num="2">
            <w:col w:w="1660" w:space="300"/>
            <w:col w:w="9460"/>
          </w:cols>
          <w:pgMar w:left="240" w:top="582" w:right="2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Proposed Borrowing:</w:t>
      </w:r>
    </w:p>
    <w:p>
      <w:pPr>
        <w:spacing w:after="0" w:line="200" w:lineRule="exact"/>
        <w:rPr>
          <w:sz w:val="20"/>
          <w:szCs w:val="20"/>
          <w:color w:val="auto"/>
        </w:rPr>
      </w:pPr>
    </w:p>
    <w:p>
      <w:pPr>
        <w:jc w:val="both"/>
        <w:ind w:left="660" w:firstLine="645"/>
        <w:spacing w:after="0" w:line="269" w:lineRule="auto"/>
        <w:tabs>
          <w:tab w:leader="none" w:pos="1786"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 4.01 of the Credit Agreement (except the representations set forth in the last sentence of subsection (e) thereof and in subsection (f)(i) thereof) are correct, before and after giving effect to the Proposed Borrowing and to the application of the proceeds therefrom, as though made on and as of such date; and</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100" w:hanging="92"/>
        <w:spacing w:after="0"/>
        <w:tabs>
          <w:tab w:leader="none" w:pos="10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ectPr>
          <w:pgSz w:w="11900" w:h="16838" w:orient="portrait"/>
          <w:cols w:equalWidth="0" w:num="1">
            <w:col w:w="11420"/>
          </w:cols>
          <w:pgMar w:left="240" w:top="582" w:right="239" w:bottom="1440" w:gutter="0" w:footer="0" w:header="0"/>
          <w:type w:val="continuous"/>
        </w:sectPr>
      </w:pPr>
    </w:p>
    <w:bookmarkStart w:id="131" w:name="page132"/>
    <w:bookmarkEnd w:id="131"/>
    <w:p>
      <w:pPr>
        <w:ind w:left="660" w:firstLine="645"/>
        <w:spacing w:after="0" w:line="260" w:lineRule="auto"/>
        <w:tabs>
          <w:tab w:leader="none" w:pos="182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no event has occurred and is continuing, or would result from such Proposed Borrowing or from the application of the proceeds therefrom, that constitutes a Default.</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MANPOWERGROUP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4" w:lineRule="exact"/>
        <w:rPr>
          <w:sz w:val="20"/>
          <w:szCs w:val="20"/>
          <w:color w:val="auto"/>
        </w:rPr>
      </w:pPr>
    </w:p>
    <w:p>
      <w:pPr>
        <w:ind w:right="8680" w:firstLine="8"/>
        <w:spacing w:after="0" w:line="273" w:lineRule="auto"/>
        <w:tabs>
          <w:tab w:leader="none" w:pos="84" w:val="left"/>
        </w:tabs>
        <w:numPr>
          <w:ilvl w:val="0"/>
          <w:numId w:val="207"/>
        </w:numPr>
        <w:rPr>
          <w:rFonts w:ascii="Arial" w:cs="Arial" w:eastAsia="Arial" w:hAnsi="Arial"/>
          <w:sz w:val="14"/>
          <w:szCs w:val="14"/>
          <w:color w:val="auto"/>
        </w:rPr>
      </w:pPr>
      <w:r>
        <w:rPr>
          <w:rFonts w:ascii="Arial" w:cs="Arial" w:eastAsia="Arial" w:hAnsi="Arial"/>
          <w:sz w:val="14"/>
          <w:szCs w:val="14"/>
          <w:color w:val="auto"/>
        </w:rPr>
        <w:t>ManpowerGroup Five Year Credit Agreement NYDOCS01/1628313.3B</w:t>
      </w:r>
    </w:p>
    <w:p>
      <w:pPr>
        <w:sectPr>
          <w:pgSz w:w="11900" w:h="16838" w:orient="portrait"/>
          <w:cols w:equalWidth="0" w:num="1">
            <w:col w:w="11420"/>
          </w:cols>
          <w:pgMar w:left="240" w:top="879" w:right="239" w:bottom="1440" w:gutter="0" w:footer="0" w:header="0"/>
        </w:sectPr>
      </w:pPr>
    </w:p>
    <w:bookmarkStart w:id="132" w:name="page133"/>
    <w:bookmarkEnd w:id="132"/>
    <w:p>
      <w:pPr>
        <w:ind w:left="7940"/>
        <w:spacing w:after="0"/>
        <w:rPr>
          <w:sz w:val="20"/>
          <w:szCs w:val="20"/>
          <w:color w:val="auto"/>
        </w:rPr>
      </w:pPr>
      <w:r>
        <w:rPr>
          <w:rFonts w:ascii="Arial" w:cs="Arial" w:eastAsia="Arial" w:hAnsi="Arial"/>
          <w:sz w:val="19"/>
          <w:szCs w:val="19"/>
          <w:color w:val="auto"/>
        </w:rPr>
        <w:t>CUSIP Number:___________________</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C - FORM OF</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[the][each]</w:t>
      </w:r>
      <w:r>
        <w:rPr>
          <w:rFonts w:ascii="Arial" w:cs="Arial" w:eastAsia="Arial" w:hAnsi="Arial"/>
          <w:sz w:val="24"/>
          <w:szCs w:val="24"/>
          <w:color w:val="auto"/>
          <w:vertAlign w:val="superscript"/>
        </w:rPr>
        <w:t>11</w:t>
      </w:r>
      <w:r>
        <w:rPr>
          <w:rFonts w:ascii="Arial" w:cs="Arial" w:eastAsia="Arial" w:hAnsi="Arial"/>
          <w:sz w:val="19"/>
          <w:szCs w:val="19"/>
          <w:color w:val="auto"/>
        </w:rPr>
        <w:t xml:space="preserve"> Assignor identified in item 1 below ([the][each,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[the][each]</w:t>
      </w:r>
      <w:r>
        <w:rPr>
          <w:rFonts w:ascii="Arial" w:cs="Arial" w:eastAsia="Arial" w:hAnsi="Arial"/>
          <w:sz w:val="24"/>
          <w:szCs w:val="24"/>
          <w:color w:val="auto"/>
          <w:vertAlign w:val="superscript"/>
        </w:rPr>
        <w:t>12</w:t>
      </w:r>
      <w:r>
        <w:rPr>
          <w:rFonts w:ascii="Arial" w:cs="Arial" w:eastAsia="Arial" w:hAnsi="Arial"/>
          <w:sz w:val="19"/>
          <w:szCs w:val="19"/>
          <w:color w:val="auto"/>
        </w:rPr>
        <w:t xml:space="preserve"> Assignee identified in item 2 below ([the][each, an] “</w:t>
      </w:r>
      <w:r>
        <w:rPr>
          <w:rFonts w:ascii="Arial" w:cs="Arial" w:eastAsia="Arial" w:hAnsi="Arial"/>
          <w:sz w:val="19"/>
          <w:szCs w:val="19"/>
          <w:u w:val="single" w:color="auto"/>
          <w:color w:val="auto"/>
        </w:rPr>
        <w:t>Assignee</w:t>
      </w:r>
      <w:r>
        <w:rPr>
          <w:rFonts w:ascii="Arial" w:cs="Arial" w:eastAsia="Arial" w:hAnsi="Arial"/>
          <w:sz w:val="19"/>
          <w:szCs w:val="19"/>
          <w:color w:val="auto"/>
        </w:rPr>
        <w:t>”). [It is understood and agreed that the rights and obligations of [the Assignors][the Assignees]</w:t>
      </w:r>
      <w:r>
        <w:rPr>
          <w:rFonts w:ascii="Arial" w:cs="Arial" w:eastAsia="Arial" w:hAnsi="Arial"/>
          <w:sz w:val="24"/>
          <w:szCs w:val="24"/>
          <w:color w:val="auto"/>
          <w:vertAlign w:val="superscript"/>
        </w:rPr>
        <w:t>13</w:t>
      </w:r>
      <w:r>
        <w:rPr>
          <w:rFonts w:ascii="Arial" w:cs="Arial" w:eastAsia="Arial" w:hAnsi="Arial"/>
          <w:sz w:val="19"/>
          <w:szCs w:val="19"/>
          <w:color w:val="auto"/>
        </w:rPr>
        <w:t xml:space="preserve"> hereunder are several and not joint.]</w:t>
      </w:r>
      <w:r>
        <w:rPr>
          <w:rFonts w:ascii="Arial" w:cs="Arial" w:eastAsia="Arial" w:hAnsi="Arial"/>
          <w:sz w:val="24"/>
          <w:szCs w:val="24"/>
          <w:color w:val="auto"/>
          <w:vertAlign w:val="superscript"/>
        </w:rPr>
        <w:t>14</w:t>
      </w:r>
      <w:r>
        <w:rPr>
          <w:rFonts w:ascii="Arial" w:cs="Arial" w:eastAsia="Arial" w:hAnsi="Arial"/>
          <w:sz w:val="19"/>
          <w:szCs w:val="19"/>
          <w:color w:val="auto"/>
        </w:rPr>
        <w:t xml:space="preserve"> Capitalized terms used but not defined herein shall have the meanings given to them in the Credit Agreement identified below (as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21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 [any] Assignor and, except as expressly provided in this Assignment and Assumption, without representation or warranty by [the][any] Assignor.</w:t>
      </w:r>
    </w:p>
    <w:p>
      <w:pPr>
        <w:spacing w:after="0" w:line="200" w:lineRule="exact"/>
        <w:rPr>
          <w:sz w:val="20"/>
          <w:szCs w:val="20"/>
          <w:color w:val="auto"/>
        </w:rPr>
      </w:pPr>
    </w:p>
    <w:p>
      <w:pPr>
        <w:spacing w:after="0" w:line="223" w:lineRule="exact"/>
        <w:rPr>
          <w:sz w:val="20"/>
          <w:szCs w:val="20"/>
          <w:color w:val="auto"/>
        </w:rPr>
      </w:pPr>
    </w:p>
    <w:p>
      <w:pPr>
        <w:spacing w:after="0"/>
        <w:tabs>
          <w:tab w:leader="none" w:pos="320" w:val="left"/>
          <w:tab w:leader="none" w:pos="1700" w:val="left"/>
        </w:tabs>
        <w:rPr>
          <w:sz w:val="20"/>
          <w:szCs w:val="20"/>
          <w:color w:val="auto"/>
        </w:rPr>
      </w:pPr>
      <w:r>
        <w:rPr>
          <w:rFonts w:ascii="Arial" w:cs="Arial" w:eastAsia="Arial" w:hAnsi="Arial"/>
          <w:sz w:val="20"/>
          <w:szCs w:val="20"/>
          <w:color w:val="auto"/>
        </w:rPr>
        <w:t>1.</w:t>
        <w:tab/>
        <w:t>Assignor[s]:</w:t>
      </w:r>
      <w:r>
        <w:rPr>
          <w:sz w:val="20"/>
          <w:szCs w:val="20"/>
          <w:color w:val="auto"/>
        </w:rPr>
        <w:tab/>
      </w:r>
      <w:r>
        <w:rPr>
          <w:rFonts w:ascii="Arial" w:cs="Arial" w:eastAsia="Arial" w:hAnsi="Arial"/>
          <w:sz w:val="16"/>
          <w:szCs w:val="16"/>
          <w:color w:val="auto"/>
        </w:rPr>
        <w:t>________________________________</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[Assignor [is] [is not] a Defaulting Lender]</w:t>
      </w:r>
    </w:p>
    <w:p>
      <w:pPr>
        <w:spacing w:after="0" w:line="213"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2.Assignee[s]:</w:t>
      </w:r>
      <w:r>
        <w:rPr>
          <w:sz w:val="20"/>
          <w:szCs w:val="20"/>
          <w:color w:val="auto"/>
        </w:rPr>
        <w:tab/>
      </w:r>
      <w:r>
        <w:rPr>
          <w:rFonts w:ascii="Arial" w:cs="Arial" w:eastAsia="Arial" w:hAnsi="Arial"/>
          <w:sz w:val="16"/>
          <w:szCs w:val="16"/>
          <w:color w:val="auto"/>
        </w:rPr>
        <w:t>______________________________</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[for each Assignee, indicate [Affiliate][Approved Fund] of [</w:t>
      </w:r>
      <w:r>
        <w:rPr>
          <w:rFonts w:ascii="Arial" w:cs="Arial" w:eastAsia="Arial" w:hAnsi="Arial"/>
          <w:sz w:val="20"/>
          <w:szCs w:val="20"/>
          <w:i w:val="1"/>
          <w:iCs w:val="1"/>
          <w:color w:val="auto"/>
        </w:rPr>
        <w:t>identify Lender</w:t>
      </w: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color w:val="auto"/>
        </w:rPr>
        <w:t>3.Borrower(s):</w:t>
      </w:r>
      <w:r>
        <w:rPr>
          <w:sz w:val="20"/>
          <w:szCs w:val="20"/>
          <w:color w:val="auto"/>
        </w:rPr>
        <w:tab/>
      </w:r>
      <w:r>
        <w:rPr>
          <w:rFonts w:ascii="Arial" w:cs="Arial" w:eastAsia="Arial" w:hAnsi="Arial"/>
          <w:sz w:val="18"/>
          <w:szCs w:val="18"/>
          <w:color w:val="auto"/>
        </w:rPr>
        <w:t>ManpowerGroup Inc.</w:t>
      </w:r>
    </w:p>
    <w:p>
      <w:pPr>
        <w:spacing w:after="0" w:line="229" w:lineRule="exact"/>
        <w:rPr>
          <w:sz w:val="20"/>
          <w:szCs w:val="20"/>
          <w:color w:val="auto"/>
        </w:rPr>
      </w:pPr>
    </w:p>
    <w:p>
      <w:pPr>
        <w:spacing w:after="0"/>
        <w:tabs>
          <w:tab w:leader="none" w:pos="2120" w:val="left"/>
        </w:tabs>
        <w:rPr>
          <w:sz w:val="20"/>
          <w:szCs w:val="20"/>
          <w:color w:val="auto"/>
        </w:rPr>
      </w:pPr>
      <w:r>
        <w:rPr>
          <w:rFonts w:ascii="Arial" w:cs="Arial" w:eastAsia="Arial" w:hAnsi="Arial"/>
          <w:sz w:val="20"/>
          <w:szCs w:val="20"/>
          <w:color w:val="auto"/>
        </w:rPr>
        <w:t>4.Administrative Agent:</w:t>
      </w:r>
      <w:r>
        <w:rPr>
          <w:sz w:val="20"/>
          <w:szCs w:val="20"/>
          <w:color w:val="auto"/>
        </w:rPr>
        <w:tab/>
      </w:r>
      <w:r>
        <w:rPr>
          <w:rFonts w:ascii="Arial" w:cs="Arial" w:eastAsia="Arial" w:hAnsi="Arial"/>
          <w:sz w:val="18"/>
          <w:szCs w:val="18"/>
          <w:color w:val="auto"/>
        </w:rPr>
        <w:t>Citibank, N.A., as the administrative agent under the Credit Agreement</w:t>
      </w:r>
    </w:p>
    <w:p>
      <w:pPr>
        <w:sectPr>
          <w:pgSz w:w="11900" w:h="16838" w:orient="portrait"/>
          <w:cols w:equalWidth="0" w:num="1">
            <w:col w:w="11420"/>
          </w:cols>
          <w:pgMar w:left="240" w:top="645" w:right="23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22"/>
          <w:szCs w:val="22"/>
          <w:color w:val="auto"/>
        </w:rPr>
        <w:t>-2-</w:t>
      </w:r>
    </w:p>
    <w:p>
      <w:pPr>
        <w:spacing w:after="0" w:line="346" w:lineRule="exact"/>
        <w:rPr>
          <w:sz w:val="20"/>
          <w:szCs w:val="20"/>
          <w:color w:val="auto"/>
        </w:rPr>
      </w:pPr>
    </w:p>
    <w:p>
      <w:pPr>
        <w:jc w:val="both"/>
        <w:ind w:left="2040" w:right="20" w:hanging="2741"/>
        <w:spacing w:after="0" w:line="250" w:lineRule="auto"/>
        <w:tabs>
          <w:tab w:leader="none" w:pos="2020" w:val="left"/>
        </w:tabs>
        <w:rPr>
          <w:sz w:val="20"/>
          <w:szCs w:val="20"/>
          <w:color w:val="auto"/>
        </w:rPr>
      </w:pPr>
      <w:r>
        <w:rPr>
          <w:rFonts w:ascii="Arial" w:cs="Arial" w:eastAsia="Arial" w:hAnsi="Arial"/>
          <w:sz w:val="20"/>
          <w:szCs w:val="20"/>
          <w:color w:val="auto"/>
        </w:rPr>
        <w:t>5.Credit Agreement:</w:t>
      </w:r>
      <w:r>
        <w:rPr>
          <w:sz w:val="20"/>
          <w:szCs w:val="20"/>
          <w:color w:val="auto"/>
        </w:rPr>
        <w:tab/>
      </w:r>
      <w:r>
        <w:rPr>
          <w:rFonts w:ascii="Arial" w:cs="Arial" w:eastAsia="Arial" w:hAnsi="Arial"/>
          <w:sz w:val="20"/>
          <w:szCs w:val="20"/>
          <w:color w:val="auto"/>
        </w:rPr>
        <w:t>The $600,000,000 Amended and Restated Five Year Credit Agreement dated as of September 16, 2015 among ManpowerGroup Inc., the Lenders parties thereto, Citibank, N.A., as Administrative Agent, and the other agents parties thereto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6.Assigned Interest[s]: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0" w:type="dxa"/>
            <w:vAlign w:val="bottom"/>
            <w:tcBorders>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8"/>
              </w:rPr>
              <w:t>Aggregate Amount of</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Amount of</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Percentage Assigned</w:t>
            </w:r>
          </w:p>
        </w:tc>
        <w:tc>
          <w:tcPr>
            <w:tcW w:w="1360" w:type="dxa"/>
            <w:vAlign w:val="bottom"/>
            <w:tcBorders>
              <w:top w:val="single" w:sz="8" w:color="auto"/>
              <w:right w:val="single" w:sz="8" w:color="auto"/>
            </w:tcBorders>
          </w:tcPr>
          <w:p>
            <w:pPr>
              <w:spacing w:after="0"/>
              <w:rPr>
                <w:sz w:val="24"/>
                <w:szCs w:val="24"/>
                <w:color w:val="auto"/>
              </w:rPr>
            </w:pPr>
          </w:p>
        </w:tc>
      </w:tr>
      <w:tr>
        <w:trPr>
          <w:trHeight w:val="230"/>
        </w:trPr>
        <w:tc>
          <w:tcPr>
            <w:tcW w:w="1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Facility</w:t>
            </w:r>
          </w:p>
        </w:tc>
        <w:tc>
          <w:tcPr>
            <w:tcW w:w="20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Commitment /Advances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Commitment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of Commitment/</w:t>
            </w:r>
          </w:p>
        </w:tc>
        <w:tc>
          <w:tcPr>
            <w:tcW w:w="1360" w:type="dxa"/>
            <w:vAlign w:val="bottom"/>
            <w:tcBorders>
              <w:right w:val="single" w:sz="8" w:color="auto"/>
            </w:tcBorders>
          </w:tcPr>
          <w:p>
            <w:pPr>
              <w:spacing w:after="0"/>
              <w:rPr>
                <w:sz w:val="19"/>
                <w:szCs w:val="19"/>
                <w:color w:val="auto"/>
              </w:rPr>
            </w:pPr>
          </w:p>
        </w:tc>
      </w:tr>
      <w:tr>
        <w:trPr>
          <w:trHeight w:val="300"/>
        </w:trPr>
        <w:tc>
          <w:tcPr>
            <w:tcW w:w="100" w:type="dxa"/>
            <w:vAlign w:val="bottom"/>
            <w:tcBorders>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Assignor[s]</w:t>
            </w:r>
            <w:r>
              <w:rPr>
                <w:rFonts w:ascii="Arial" w:cs="Arial" w:eastAsia="Arial" w:hAnsi="Arial"/>
                <w:sz w:val="25"/>
                <w:szCs w:val="25"/>
                <w:color w:val="auto"/>
                <w:vertAlign w:val="superscript"/>
              </w:rPr>
              <w:t>15</w:t>
            </w: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6"/>
              </w:rPr>
              <w:t>Assignee[s]</w:t>
            </w:r>
            <w:r>
              <w:rPr>
                <w:rFonts w:ascii="Arial" w:cs="Arial" w:eastAsia="Arial" w:hAnsi="Arial"/>
                <w:sz w:val="25"/>
                <w:szCs w:val="25"/>
                <w:color w:val="auto"/>
                <w:w w:val="96"/>
                <w:vertAlign w:val="superscript"/>
              </w:rPr>
              <w:t>16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Assigned</w:t>
            </w:r>
            <w:r>
              <w:rPr>
                <w:rFonts w:ascii="Arial" w:cs="Arial" w:eastAsia="Arial" w:hAnsi="Arial"/>
                <w:sz w:val="25"/>
                <w:szCs w:val="25"/>
                <w:color w:val="auto"/>
                <w:w w:val="85"/>
                <w:vertAlign w:val="superscript"/>
              </w:rPr>
              <w:t>17</w:t>
            </w:r>
          </w:p>
        </w:tc>
        <w:tc>
          <w:tcPr>
            <w:tcW w:w="20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20"/>
                <w:szCs w:val="20"/>
                <w:color w:val="auto"/>
              </w:rPr>
              <w:t>for all Lenders</w:t>
            </w:r>
            <w:r>
              <w:rPr>
                <w:rFonts w:ascii="Arial" w:cs="Arial" w:eastAsia="Arial" w:hAnsi="Arial"/>
                <w:sz w:val="25"/>
                <w:szCs w:val="25"/>
                <w:color w:val="auto"/>
                <w:vertAlign w:val="superscript"/>
              </w:rPr>
              <w:t>18</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/Advances Assigned</w:t>
            </w:r>
            <w:r>
              <w:rPr>
                <w:rFonts w:ascii="Arial" w:cs="Arial" w:eastAsia="Arial" w:hAnsi="Arial"/>
                <w:sz w:val="25"/>
                <w:szCs w:val="25"/>
                <w:color w:val="auto"/>
                <w:w w:val="89"/>
                <w:vertAlign w:val="superscript"/>
              </w:rPr>
              <w:t>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Advances</w:t>
            </w:r>
            <w:r>
              <w:rPr>
                <w:rFonts w:ascii="Arial" w:cs="Arial" w:eastAsia="Arial" w:hAnsi="Arial"/>
                <w:sz w:val="25"/>
                <w:szCs w:val="25"/>
                <w:color w:val="auto"/>
                <w:w w:val="84"/>
                <w:vertAlign w:val="superscript"/>
              </w:rPr>
              <w:t>19</w:t>
            </w:r>
          </w:p>
        </w:tc>
        <w:tc>
          <w:tcPr>
            <w:tcW w:w="1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2"/>
              </w:rPr>
              <w:t>CUSIP Number</w:t>
            </w:r>
          </w:p>
        </w:tc>
      </w:tr>
      <w:tr>
        <w:trPr>
          <w:trHeight w:val="254"/>
        </w:trPr>
        <w:tc>
          <w:tcPr>
            <w:tcW w:w="1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89"/>
              </w:rPr>
              <w: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spacing w:after="0"/>
              <w:rPr>
                <w:sz w:val="22"/>
                <w:szCs w:val="22"/>
                <w:color w:val="auto"/>
              </w:rPr>
            </w:pPr>
          </w:p>
        </w:tc>
      </w:tr>
      <w:tr>
        <w:trPr>
          <w:trHeight w:val="50"/>
        </w:trPr>
        <w:tc>
          <w:tcPr>
            <w:tcW w:w="100" w:type="dxa"/>
            <w:vAlign w:val="bottom"/>
            <w:tcBorders>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89"/>
              </w:rPr>
              <w: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spacing w:after="0"/>
              <w:rPr>
                <w:sz w:val="22"/>
                <w:szCs w:val="22"/>
                <w:color w:val="auto"/>
              </w:rPr>
            </w:pPr>
          </w:p>
        </w:tc>
      </w:tr>
      <w:tr>
        <w:trPr>
          <w:trHeight w:val="50"/>
        </w:trPr>
        <w:tc>
          <w:tcPr>
            <w:tcW w:w="100" w:type="dxa"/>
            <w:vAlign w:val="bottom"/>
            <w:tcBorders>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w w:val="89"/>
              </w:rPr>
              <w: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spacing w:after="0"/>
              <w:rPr>
                <w:sz w:val="22"/>
                <w:szCs w:val="22"/>
                <w:color w:val="auto"/>
              </w:rPr>
            </w:pPr>
          </w:p>
        </w:tc>
      </w:tr>
      <w:tr>
        <w:trPr>
          <w:trHeight w:val="50"/>
        </w:trPr>
        <w:tc>
          <w:tcPr>
            <w:tcW w:w="100" w:type="dxa"/>
            <w:vAlign w:val="bottom"/>
            <w:tcBorders>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538"/>
        </w:trPr>
        <w:tc>
          <w:tcPr>
            <w:tcW w:w="1700" w:type="dxa"/>
            <w:vAlign w:val="bottom"/>
            <w:gridSpan w:val="2"/>
          </w:tcPr>
          <w:p>
            <w:pPr>
              <w:spacing w:after="0"/>
              <w:rPr>
                <w:sz w:val="20"/>
                <w:szCs w:val="20"/>
                <w:color w:val="auto"/>
              </w:rPr>
            </w:pPr>
            <w:r>
              <w:rPr>
                <w:rFonts w:ascii="Arial" w:cs="Arial" w:eastAsia="Arial" w:hAnsi="Arial"/>
                <w:sz w:val="20"/>
                <w:szCs w:val="20"/>
                <w:color w:val="auto"/>
              </w:rPr>
              <w:t>[7.  Trade Date:</w:t>
            </w:r>
          </w:p>
        </w:tc>
        <w:tc>
          <w:tcPr>
            <w:tcW w:w="2620" w:type="dxa"/>
            <w:vAlign w:val="bottom"/>
            <w:gridSpan w:val="2"/>
          </w:tcPr>
          <w:p>
            <w:pPr>
              <w:jc w:val="right"/>
              <w:ind w:right="901"/>
              <w:spacing w:after="0"/>
              <w:rPr>
                <w:sz w:val="20"/>
                <w:szCs w:val="20"/>
                <w:color w:val="auto"/>
              </w:rPr>
            </w:pPr>
            <w:r>
              <w:rPr>
                <w:rFonts w:ascii="Arial" w:cs="Arial" w:eastAsia="Arial" w:hAnsi="Arial"/>
                <w:sz w:val="20"/>
                <w:szCs w:val="20"/>
                <w:color w:val="auto"/>
                <w:w w:val="88"/>
              </w:rPr>
              <w:t>______________]</w:t>
            </w:r>
            <w:r>
              <w:rPr>
                <w:rFonts w:ascii="Arial" w:cs="Arial" w:eastAsia="Arial" w:hAnsi="Arial"/>
                <w:sz w:val="25"/>
                <w:szCs w:val="25"/>
                <w:color w:val="auto"/>
                <w:w w:val="88"/>
                <w:vertAlign w:val="superscript"/>
              </w:rPr>
              <w:t>20</w:t>
            </w:r>
          </w:p>
        </w:tc>
        <w:tc>
          <w:tcPr>
            <w:tcW w:w="2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ind w:left="900"/>
              <w:spacing w:after="0"/>
              <w:rPr>
                <w:sz w:val="20"/>
                <w:szCs w:val="20"/>
                <w:color w:val="auto"/>
              </w:rPr>
            </w:pPr>
            <w:r>
              <w:rPr>
                <w:rFonts w:ascii="Arial" w:cs="Arial" w:eastAsia="Arial" w:hAnsi="Arial"/>
                <w:sz w:val="20"/>
                <w:szCs w:val="20"/>
                <w:color w:val="auto"/>
                <w:w w:val="96"/>
              </w:rPr>
              <w:t>[Page break]</w:t>
            </w:r>
          </w:p>
        </w:tc>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131" w:right="21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ASSIGNOR[S]</w:t>
      </w:r>
      <w:r>
        <w:rPr>
          <w:rFonts w:ascii="Arial" w:cs="Arial" w:eastAsia="Arial" w:hAnsi="Arial"/>
          <w:sz w:val="25"/>
          <w:szCs w:val="25"/>
          <w:color w:val="auto"/>
          <w:vertAlign w:val="superscript"/>
        </w:rPr>
        <w:t>21</w:t>
      </w:r>
    </w:p>
    <w:p>
      <w:pPr>
        <w:ind w:left="454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ASSIGNEE[S]</w:t>
      </w:r>
      <w:r>
        <w:rPr>
          <w:rFonts w:ascii="Arial" w:cs="Arial" w:eastAsia="Arial" w:hAnsi="Arial"/>
          <w:sz w:val="25"/>
          <w:szCs w:val="25"/>
          <w:color w:val="auto"/>
          <w:vertAlign w:val="superscript"/>
        </w:rPr>
        <w:t>22</w:t>
      </w:r>
    </w:p>
    <w:p>
      <w:pPr>
        <w:ind w:left="454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23</w:t>
      </w:r>
      <w:r>
        <w:rPr>
          <w:rFonts w:ascii="Arial" w:cs="Arial" w:eastAsia="Arial" w:hAnsi="Arial"/>
          <w:sz w:val="20"/>
          <w:szCs w:val="20"/>
          <w:color w:val="auto"/>
        </w:rPr>
        <w:t xml:space="preserve"> Accepted: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[NAME OF ADMINISTRATIVE AGENT],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24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[NAME OF RELEVANT PARTY]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00"/>
          </w:cols>
          <w:pgMar w:left="240" w:top="132" w:right="2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9019"/>
          </w:cols>
          <w:pgMar w:left="1440" w:top="132"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color w:val="auto"/>
        </w:rPr>
        <w:t>-5-</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ANNEX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MANPOWERGROUP INC. Amended and Restated Five Year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3" w:lineRule="exact"/>
        <w:rPr>
          <w:sz w:val="20"/>
          <w:szCs w:val="20"/>
          <w:color w:val="auto"/>
        </w:rPr>
      </w:pPr>
    </w:p>
    <w:p>
      <w:pPr>
        <w:ind w:left="1660" w:hanging="355"/>
        <w:spacing w:after="0"/>
        <w:tabs>
          <w:tab w:leader="none" w:pos="1660"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2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Assignor[s]</w:t>
      </w:r>
      <w:r>
        <w:rPr>
          <w:rFonts w:ascii="Arial" w:cs="Arial" w:eastAsia="Arial" w:hAnsi="Arial"/>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Borrower, any of its Subsidiaries or Affiliates or any other Person obligated in respect of the Credit Agreement, or (iv) the performance or observance by the Borrower, any of its Subsidiaries or Affiliates or any other Person of any of their respective obligations under the Credit Agreement.</w:t>
      </w:r>
    </w:p>
    <w:p>
      <w:pPr>
        <w:spacing w:after="0" w:line="183"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Assignee[s]</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8.07(b)(iii), (v) and (vi) of the Credit Agreement (subject to such consents, if any, as may be required under Section 8.07(b)(iii)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5.01(h)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organized under the laws of a jurisdiction outside of the United States,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400" w:lineRule="exact"/>
        <w:rPr>
          <w:sz w:val="20"/>
          <w:szCs w:val="20"/>
          <w:color w:val="auto"/>
        </w:rPr>
      </w:pPr>
    </w:p>
    <w:p>
      <w:pPr>
        <w:jc w:val="both"/>
        <w:ind w:firstLine="1305"/>
        <w:spacing w:after="0" w:line="250" w:lineRule="auto"/>
        <w:tabs>
          <w:tab w:leader="none" w:pos="1683"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 the</w:t>
      </w:r>
    </w:p>
    <w:p>
      <w:pPr>
        <w:sectPr>
          <w:pgSz w:w="11900" w:h="16838" w:orient="portrait"/>
          <w:cols w:equalWidth="0" w:num="1">
            <w:col w:w="11420"/>
          </w:cols>
          <w:pgMar w:left="240" w:top="132"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color w:val="auto"/>
        </w:rPr>
        <w:t>-6-</w:t>
      </w:r>
    </w:p>
    <w:p>
      <w:pPr>
        <w:spacing w:after="0" w:line="3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Date. The Assignor[s] and the Assignee[s] shall make all appropriate adjustments in payments by the Administrative Agent for periods prior to the Effective Date or with respect to the making of this assignment directly between themselves. Notwithstanding the foregoing, the Administrative Agent shall make all payments of interest, fees or other amounts paid or payable in kind from and after the Effective Date to [the][the relevant] Assignee.</w:t>
      </w:r>
    </w:p>
    <w:p>
      <w:pPr>
        <w:spacing w:after="0" w:line="205" w:lineRule="exact"/>
        <w:rPr>
          <w:sz w:val="20"/>
          <w:szCs w:val="20"/>
          <w:color w:val="auto"/>
        </w:rPr>
      </w:pPr>
    </w:p>
    <w:p>
      <w:pPr>
        <w:jc w:val="both"/>
        <w:ind w:firstLine="1305"/>
        <w:spacing w:after="0" w:line="260" w:lineRule="auto"/>
        <w:tabs>
          <w:tab w:leader="none" w:pos="1656"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13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color w:val="auto"/>
        </w:rPr>
        <w:t>-1-</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OPINION OF COUNSEL</w:t>
      </w:r>
    </w:p>
    <w:p>
      <w:pPr>
        <w:jc w:val="right"/>
        <w:spacing w:after="0"/>
        <w:rPr>
          <w:sz w:val="20"/>
          <w:szCs w:val="20"/>
          <w:color w:val="auto"/>
        </w:rPr>
      </w:pPr>
      <w:r>
        <w:rPr>
          <w:rFonts w:ascii="Arial" w:cs="Arial" w:eastAsia="Arial" w:hAnsi="Arial"/>
          <w:sz w:val="20"/>
          <w:szCs w:val="20"/>
          <w:color w:val="auto"/>
        </w:rPr>
        <w:t>FOR THE BORROWER</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Each of the parties to the Amended and Restated Five Year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Credit Agreement dated as of</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September 16, 2015 (the “Credit Agreement”)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and among ManpowerGroup Inc., the banks,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financial institutions and other institutional lenders</w:t>
      </w:r>
    </w:p>
    <w:p>
      <w:pPr>
        <w:spacing w:after="0" w:line="4"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22"/>
          <w:szCs w:val="22"/>
          <w:color w:val="auto"/>
        </w:rPr>
        <w:t>listed on the signature</w:t>
      </w:r>
      <w:r>
        <w:rPr>
          <w:sz w:val="20"/>
          <w:szCs w:val="20"/>
          <w:color w:val="auto"/>
        </w:rPr>
        <w:tab/>
      </w:r>
      <w:r>
        <w:rPr>
          <w:rFonts w:ascii="Arial" w:cs="Arial" w:eastAsia="Arial" w:hAnsi="Arial"/>
          <w:sz w:val="19"/>
          <w:szCs w:val="19"/>
          <w:color w:val="auto"/>
        </w:rPr>
        <w:t>pages thereof as lenders (the “Initial Lenders”),</w:t>
      </w:r>
    </w:p>
    <w:p>
      <w:pPr>
        <w:spacing w:after="0" w:line="4" w:lineRule="exact"/>
        <w:rPr>
          <w:sz w:val="20"/>
          <w:szCs w:val="20"/>
          <w:color w:val="auto"/>
        </w:rPr>
      </w:pPr>
    </w:p>
    <w:p>
      <w:pPr>
        <w:ind w:left="660" w:right="380"/>
        <w:spacing w:after="0" w:line="243" w:lineRule="auto"/>
        <w:rPr>
          <w:sz w:val="20"/>
          <w:szCs w:val="20"/>
          <w:color w:val="auto"/>
        </w:rPr>
      </w:pPr>
      <w:r>
        <w:rPr>
          <w:rFonts w:ascii="Arial" w:cs="Arial" w:eastAsia="Arial" w:hAnsi="Arial"/>
          <w:sz w:val="22"/>
          <w:szCs w:val="22"/>
          <w:color w:val="auto"/>
        </w:rPr>
        <w:t>the banks listed on the signature pages thereof as issuing banks (the “Initial Issuing Banks”, and together with the Initial Lenders, the “Initial Lender Parties”)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Citibank, N.A., as agent for the Lender Parties (the “Agent”).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Ladies and Gentlemen:</w:t>
      </w:r>
    </w:p>
    <w:p>
      <w:pPr>
        <w:spacing w:after="0" w:line="260"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We have acted as counsel for ManpowerGroup Inc. (the “Borrower”) in connection with the execution and delivery by the Borrower of the Credit Agreement and the Notes dated September 16, 2015 executed by Borrower in favor of each Lender which has requested a Note.</w:t>
      </w:r>
    </w:p>
    <w:p>
      <w:pPr>
        <w:spacing w:after="0" w:line="186" w:lineRule="exact"/>
        <w:rPr>
          <w:sz w:val="20"/>
          <w:szCs w:val="20"/>
          <w:color w:val="auto"/>
        </w:rPr>
      </w:pPr>
    </w:p>
    <w:p>
      <w:pPr>
        <w:ind w:right="80" w:firstLine="648"/>
        <w:spacing w:after="0" w:line="312" w:lineRule="auto"/>
        <w:rPr>
          <w:sz w:val="20"/>
          <w:szCs w:val="20"/>
          <w:color w:val="auto"/>
        </w:rPr>
      </w:pPr>
      <w:r>
        <w:rPr>
          <w:rFonts w:ascii="Arial" w:cs="Arial" w:eastAsia="Arial" w:hAnsi="Arial"/>
          <w:sz w:val="19"/>
          <w:szCs w:val="19"/>
          <w:color w:val="auto"/>
        </w:rPr>
        <w:t>This opinion is provided to you at the request of the Borrower pursuant to Section 3.01(h)(iv) of the Credit Agreement. The Credit Agreement, together with the Notes, are sometimes referred to herein collectively as the “Transaction Documents.” Except as otherwise indicated herein, capitalized terms in this opinion are used as defined in the Credit Agreement.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counsel for the Borrower, we have examined:</w:t>
      </w:r>
    </w:p>
    <w:p>
      <w:pPr>
        <w:spacing w:after="0" w:line="220" w:lineRule="exact"/>
        <w:rPr>
          <w:sz w:val="20"/>
          <w:szCs w:val="20"/>
          <w:color w:val="auto"/>
        </w:rPr>
      </w:pPr>
    </w:p>
    <w:p>
      <w:pPr>
        <w:ind w:left="1300" w:hanging="644"/>
        <w:spacing w:after="0"/>
        <w:tabs>
          <w:tab w:leader="none" w:pos="13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Transaction Documents.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documents furnished by the Borrower pursuant to Article III of the Credit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Amended and Restated Articles of Incorporation of the Borrower and all amendments thereto.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Amended and Restated By-Laws of the Borrower and all amendments thereto.</w:t>
      </w:r>
    </w:p>
    <w:p>
      <w:pPr>
        <w:spacing w:after="0" w:line="219" w:lineRule="exact"/>
        <w:rPr>
          <w:rFonts w:ascii="Arial" w:cs="Arial" w:eastAsia="Arial" w:hAnsi="Arial"/>
          <w:sz w:val="22"/>
          <w:szCs w:val="22"/>
          <w:color w:val="auto"/>
        </w:rPr>
      </w:pPr>
    </w:p>
    <w:p>
      <w:pPr>
        <w:ind w:left="1300" w:right="460" w:hanging="644"/>
        <w:spacing w:after="0" w:line="343" w:lineRule="auto"/>
        <w:tabs>
          <w:tab w:leader="none" w:pos="130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 certificate of existence from the Department of Financial Institutions of Wisconsin, dated __________, 2015, attesting to the continued corporate existence and status of the Borrower in that state (the “Status Certificate”).</w:t>
      </w:r>
    </w:p>
    <w:p>
      <w:pPr>
        <w:spacing w:after="0" w:line="337" w:lineRule="exact"/>
        <w:rPr>
          <w:rFonts w:ascii="Arial" w:cs="Arial" w:eastAsia="Arial" w:hAnsi="Arial"/>
          <w:sz w:val="19"/>
          <w:szCs w:val="19"/>
          <w:color w:val="auto"/>
        </w:rPr>
      </w:pPr>
    </w:p>
    <w:p>
      <w:pPr>
        <w:ind w:left="100" w:hanging="92"/>
        <w:spacing w:after="0"/>
        <w:tabs>
          <w:tab w:leader="none" w:pos="10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ManpowerGroup Five Year Credit Agreement</w:t>
      </w:r>
    </w:p>
    <w:p>
      <w:pPr>
        <w:sectPr>
          <w:pgSz w:w="11900" w:h="16838" w:orient="portrait"/>
          <w:cols w:equalWidth="0" w:num="1">
            <w:col w:w="11420"/>
          </w:cols>
          <w:pgMar w:left="240" w:top="131"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22"/>
          <w:szCs w:val="22"/>
          <w:color w:val="auto"/>
        </w:rPr>
        <w:t>-2-</w:t>
      </w:r>
    </w:p>
    <w:p>
      <w:pPr>
        <w:spacing w:after="0" w:line="35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We have also examined the originals, or copies certified to our satisfaction, of such other corporate records of the Borrower, and certificates of officers of the Borrower, as we have deemed necessary as a basis for the opinions hereinafter expressed. We have not undertaken independently to verify the information contained in any such materials, and we have assumed the authenticity of all materials submitted to us as originals and the conformity to authenticated original materials of all materials submitted to us as certified or conformed or as photocopies.</w:t>
      </w:r>
    </w:p>
    <w:p>
      <w:pPr>
        <w:spacing w:after="0" w:line="192" w:lineRule="exact"/>
        <w:rPr>
          <w:sz w:val="20"/>
          <w:szCs w:val="20"/>
          <w:color w:val="auto"/>
        </w:rPr>
      </w:pPr>
    </w:p>
    <w:p>
      <w:pPr>
        <w:ind w:right="1000" w:firstLine="648"/>
        <w:spacing w:after="0" w:line="263" w:lineRule="auto"/>
        <w:rPr>
          <w:sz w:val="20"/>
          <w:szCs w:val="20"/>
          <w:color w:val="auto"/>
        </w:rPr>
      </w:pPr>
      <w:r>
        <w:rPr>
          <w:rFonts w:ascii="Arial" w:cs="Arial" w:eastAsia="Arial" w:hAnsi="Arial"/>
          <w:sz w:val="22"/>
          <w:szCs w:val="22"/>
          <w:color w:val="auto"/>
        </w:rPr>
        <w:t>In connection with the rendering of this opinion, we have, with your permission, assumed, without investigation, verification or inquiry:</w:t>
      </w:r>
    </w:p>
    <w:p>
      <w:pPr>
        <w:spacing w:after="0" w:line="175" w:lineRule="exact"/>
        <w:rPr>
          <w:sz w:val="20"/>
          <w:szCs w:val="20"/>
          <w:color w:val="auto"/>
        </w:rPr>
      </w:pPr>
    </w:p>
    <w:p>
      <w:pPr>
        <w:ind w:right="180" w:firstLine="656"/>
        <w:spacing w:after="0" w:line="253" w:lineRule="auto"/>
        <w:tabs>
          <w:tab w:leader="none" w:pos="101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That the Agent and the Lenders (the Agent and the Lenders are hereinafter collectively referred to as the “Banks”) are each a corporation or association duly incorporated or organized, validly existing and in good standing under the laws of its jurisdiction of incorporation or organization;</w:t>
      </w:r>
    </w:p>
    <w:p>
      <w:pPr>
        <w:spacing w:after="0" w:line="185" w:lineRule="exact"/>
        <w:rPr>
          <w:rFonts w:ascii="Arial" w:cs="Arial" w:eastAsia="Arial" w:hAnsi="Arial"/>
          <w:sz w:val="22"/>
          <w:szCs w:val="22"/>
          <w:color w:val="auto"/>
        </w:rPr>
      </w:pPr>
    </w:p>
    <w:p>
      <w:pPr>
        <w:ind w:right="200" w:firstLine="656"/>
        <w:spacing w:after="0" w:line="312" w:lineRule="auto"/>
        <w:tabs>
          <w:tab w:leader="none" w:pos="102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That each of the Banks has the necessary power, authority and right to enter into, execute and deliver, and to perform, observe and be bound by its obligations under the Transaction Documents; that the transactions therein contemplated have been duly authorized by the Banks and that the Transaction Documents constitute the valid and binding obligations of the Banks;</w:t>
      </w:r>
    </w:p>
    <w:p>
      <w:pPr>
        <w:spacing w:after="0" w:line="133" w:lineRule="exact"/>
        <w:rPr>
          <w:rFonts w:ascii="Arial" w:cs="Arial" w:eastAsia="Arial" w:hAnsi="Arial"/>
          <w:sz w:val="19"/>
          <w:szCs w:val="19"/>
          <w:color w:val="auto"/>
        </w:rPr>
      </w:pPr>
    </w:p>
    <w:p>
      <w:pPr>
        <w:ind w:left="1020" w:hanging="364"/>
        <w:spacing w:after="0"/>
        <w:tabs>
          <w:tab w:leader="none" w:pos="10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That the Transaction Documents have been duly executed and delivered by the Banks;</w:t>
      </w:r>
    </w:p>
    <w:p>
      <w:pPr>
        <w:spacing w:after="0" w:line="219" w:lineRule="exact"/>
        <w:rPr>
          <w:rFonts w:ascii="Arial" w:cs="Arial" w:eastAsia="Arial" w:hAnsi="Arial"/>
          <w:sz w:val="22"/>
          <w:szCs w:val="22"/>
          <w:color w:val="auto"/>
        </w:rPr>
      </w:pPr>
    </w:p>
    <w:p>
      <w:pPr>
        <w:ind w:right="100" w:firstLine="656"/>
        <w:spacing w:after="0" w:line="247" w:lineRule="auto"/>
        <w:tabs>
          <w:tab w:leader="none" w:pos="102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That there are no oral or written agreements or understandings or course of prior dealing among the parties that would limit, expand or otherwise modify the respective rights and obligations of the parties, as set forth in the Transaction Documents, or that would have an effect on the opinions expressed herein; all material terms and conditions of the relevant transaction and the relationship among the Borrower and the Banks for purposes of the relevant transaction are correctly and completely reflected in the Transaction Documents and there has been no waiver of any of the provisions of the Transaction Documents by actions or conduct of the parties or otherwise; and</w:t>
      </w:r>
    </w:p>
    <w:p>
      <w:pPr>
        <w:spacing w:after="0" w:line="193" w:lineRule="exact"/>
        <w:rPr>
          <w:rFonts w:ascii="Arial" w:cs="Arial" w:eastAsia="Arial" w:hAnsi="Arial"/>
          <w:sz w:val="22"/>
          <w:szCs w:val="22"/>
          <w:color w:val="auto"/>
        </w:rPr>
      </w:pPr>
    </w:p>
    <w:p>
      <w:pPr>
        <w:ind w:right="20" w:firstLine="656"/>
        <w:spacing w:after="0" w:line="250" w:lineRule="auto"/>
        <w:tabs>
          <w:tab w:leader="none" w:pos="101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That all natural persons who are signatories to the Transaction Documents were legally competent at the time of execution; all signatures on the Transaction Documents and other documents reviewed by us are genuine, accurate and complete, each such document that is original is authentic and each such document that is a copy is accurate and complete and conforms to an authentic original.</w:t>
      </w:r>
    </w:p>
    <w:p>
      <w:pPr>
        <w:spacing w:after="0" w:line="188"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Based upon the foregoing, but subject to the assumptions, qualifications and limitations contained herein, we render to you our opinion as follows:</w:t>
      </w:r>
    </w:p>
    <w:p>
      <w:pPr>
        <w:spacing w:after="0" w:line="175" w:lineRule="exact"/>
        <w:rPr>
          <w:sz w:val="20"/>
          <w:szCs w:val="20"/>
          <w:color w:val="auto"/>
        </w:rPr>
      </w:pPr>
    </w:p>
    <w:p>
      <w:pPr>
        <w:jc w:val="both"/>
        <w:ind w:right="120" w:firstLine="656"/>
        <w:spacing w:after="0" w:line="312" w:lineRule="auto"/>
        <w:tabs>
          <w:tab w:leader="none" w:pos="102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Borrower is a corporation validly existing under the laws of the State of Wisconsin and, based solely on the Status Certificate, is in active status, meaning that as of __________, 2015, it has filed its most recent required annual report and has not filed Articles of Dissolution with the Department of Financial Institutions of the State of Wisconsin.</w:t>
      </w:r>
    </w:p>
    <w:p>
      <w:pPr>
        <w:sectPr>
          <w:pgSz w:w="11900" w:h="16838" w:orient="portrait"/>
          <w:cols w:equalWidth="0" w:num="1">
            <w:col w:w="11400"/>
          </w:cols>
          <w:pgMar w:left="240" w:top="132" w:right="2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color w:val="auto"/>
        </w:rPr>
        <w:t>-3-</w:t>
      </w:r>
    </w:p>
    <w:p>
      <w:pPr>
        <w:spacing w:after="0" w:line="355" w:lineRule="exact"/>
        <w:rPr>
          <w:sz w:val="20"/>
          <w:szCs w:val="20"/>
          <w:color w:val="auto"/>
        </w:rPr>
      </w:pPr>
    </w:p>
    <w:p>
      <w:pPr>
        <w:ind w:left="-20" w:right="400" w:firstLine="656"/>
        <w:spacing w:after="0" w:line="253" w:lineRule="auto"/>
        <w:tabs>
          <w:tab w:leader="none" w:pos="100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execution, delivery and performance by the Borrower of the Transaction Documents are within the Borrower’s corporate powers, have been duly authorized by all necessary corporate action by the Borrower and do not require any further approval of its shareholders or directors.</w:t>
      </w:r>
    </w:p>
    <w:p>
      <w:pPr>
        <w:spacing w:after="0" w:line="185" w:lineRule="exact"/>
        <w:rPr>
          <w:rFonts w:ascii="Arial" w:cs="Arial" w:eastAsia="Arial" w:hAnsi="Arial"/>
          <w:sz w:val="22"/>
          <w:szCs w:val="22"/>
          <w:color w:val="auto"/>
        </w:rPr>
      </w:pPr>
    </w:p>
    <w:p>
      <w:pPr>
        <w:ind w:left="-20" w:right="580" w:firstLine="656"/>
        <w:spacing w:after="0" w:line="263" w:lineRule="auto"/>
        <w:tabs>
          <w:tab w:leader="none" w:pos="100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Transaction Documents are the legal, valid and binding obligations of the Borrower, enforceable against it in accordance with their respective terms.</w:t>
      </w:r>
    </w:p>
    <w:p>
      <w:pPr>
        <w:spacing w:after="0" w:line="174" w:lineRule="exact"/>
        <w:rPr>
          <w:rFonts w:ascii="Arial" w:cs="Arial" w:eastAsia="Arial" w:hAnsi="Arial"/>
          <w:sz w:val="22"/>
          <w:szCs w:val="22"/>
          <w:color w:val="auto"/>
        </w:rPr>
      </w:pPr>
    </w:p>
    <w:p>
      <w:pPr>
        <w:ind w:left="-20" w:firstLine="656"/>
        <w:spacing w:after="0" w:line="290" w:lineRule="auto"/>
        <w:tabs>
          <w:tab w:leader="none" w:pos="1003"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execution and delivery of, and performance by the Borrower of its obligations under the Transaction Documents do not: (a) constitute a breach or violation of the Amended and Restated Articles of Incorporation or Amended and Restated By-Laws of the Borrower or any amendments thereto which are effective as of the date of this opinion; (b) as to payment obligations (including those arising upon acceleration) only, result in a violation of any applicable law, statute or regulation of the United States or the State of Wisconsin; (c) result in a violation of any judgment, order, writ, injunction, decree, determination or award of which we have knowledge; (d) constitute an event of default under or result in a breach or violation of any instrument to which the Borrower is a party that is listed as a material agreement in the Officer’s Certificate attached hereto (a “Material Contract”), or (e) result in the creation of any lien, charge or encumbrance on any property or assets of the Borrower pursuant to a Material Contract.</w:t>
      </w:r>
    </w:p>
    <w:p>
      <w:pPr>
        <w:spacing w:after="0" w:line="156" w:lineRule="exact"/>
        <w:rPr>
          <w:rFonts w:ascii="Arial" w:cs="Arial" w:eastAsia="Arial" w:hAnsi="Arial"/>
          <w:sz w:val="19"/>
          <w:szCs w:val="19"/>
          <w:color w:val="auto"/>
        </w:rPr>
      </w:pPr>
    </w:p>
    <w:p>
      <w:pPr>
        <w:ind w:left="-20" w:right="160" w:firstLine="656"/>
        <w:spacing w:after="0" w:line="263" w:lineRule="auto"/>
        <w:tabs>
          <w:tab w:leader="none" w:pos="1006" w:val="left"/>
        </w:tabs>
        <w:numPr>
          <w:ilvl w:val="0"/>
          <w:numId w:val="214"/>
        </w:numPr>
        <w:rPr>
          <w:rFonts w:ascii="Arial" w:cs="Arial" w:eastAsia="Arial" w:hAnsi="Arial"/>
          <w:sz w:val="21"/>
          <w:szCs w:val="21"/>
          <w:color w:val="auto"/>
        </w:rPr>
      </w:pPr>
      <w:r>
        <w:rPr>
          <w:rFonts w:ascii="Arial" w:cs="Arial" w:eastAsia="Arial" w:hAnsi="Arial"/>
          <w:sz w:val="21"/>
          <w:szCs w:val="21"/>
          <w:color w:val="auto"/>
        </w:rPr>
        <w:t>No authorization, consent, approval or other action by, and no notice to or filing with any governmental authority or regulatory body is required to be obtained or made by the Borrower to authorize, or is required in connection with the execution and delivery or performance of its respective payment obligations under the Transaction Documents, except (a) such as have been duly obtained or made and are in full force and effect; and (b) such as may be required by orders, decrees, and the like that are specifically applicable to the Borrower and of which we have no knowledge.</w:t>
      </w:r>
    </w:p>
    <w:p>
      <w:pPr>
        <w:spacing w:after="0" w:line="175" w:lineRule="exact"/>
        <w:rPr>
          <w:rFonts w:ascii="Arial" w:cs="Arial" w:eastAsia="Arial" w:hAnsi="Arial"/>
          <w:sz w:val="21"/>
          <w:szCs w:val="21"/>
          <w:color w:val="auto"/>
        </w:rPr>
      </w:pPr>
    </w:p>
    <w:p>
      <w:pPr>
        <w:ind w:left="-20" w:right="660" w:firstLine="656"/>
        <w:spacing w:after="0" w:line="263" w:lineRule="auto"/>
        <w:tabs>
          <w:tab w:leader="none" w:pos="100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To our knowledge, the Borrower is not a party to any litigation or administrative proceeding which relates to the execution, delivery or performance of the Transaction Documents.</w:t>
      </w:r>
    </w:p>
    <w:p>
      <w:pPr>
        <w:spacing w:after="0" w:line="174" w:lineRule="exact"/>
        <w:rPr>
          <w:rFonts w:ascii="Arial" w:cs="Arial" w:eastAsia="Arial" w:hAnsi="Arial"/>
          <w:sz w:val="22"/>
          <w:szCs w:val="22"/>
          <w:color w:val="auto"/>
        </w:rPr>
      </w:pPr>
    </w:p>
    <w:p>
      <w:pPr>
        <w:ind w:left="-20" w:right="100" w:firstLine="656"/>
        <w:spacing w:after="0" w:line="261" w:lineRule="auto"/>
        <w:tabs>
          <w:tab w:leader="none" w:pos="995"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Although there is no controlling precedent on point, assuming that (i) the State of New York has a substantial relationship to the parties and the transaction contemplated by the Transaction Documents, (ii) there is a reasonable basis for the parties' choice of law and (iii) the application of New York law would not be contrary to important public policies of the state whose law would be applicable if the parties' choice of law provision were disregarded, we believe the courts of the State of Wisconsin would enforce the provisions of the Transaction Documents stipulating that the validity, construction and enforceability thereof will be governed by the laws of the State of New York.</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All of our foregoing opinions are, however, further subject to the following assumptions and qualifications.</w:t>
      </w:r>
    </w:p>
    <w:p>
      <w:pPr>
        <w:spacing w:after="0" w:line="220"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Our enforceability opinion is limited by:</w:t>
      </w:r>
    </w:p>
    <w:p>
      <w:pPr>
        <w:sectPr>
          <w:pgSz w:w="11900" w:h="16838" w:orient="portrait"/>
          <w:cols w:equalWidth="0" w:num="1">
            <w:col w:w="11380"/>
          </w:cols>
          <w:pgMar w:left="260" w:top="132"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color w:val="auto"/>
        </w:rPr>
        <w:t>-4-</w:t>
      </w:r>
    </w:p>
    <w:p>
      <w:pPr>
        <w:spacing w:after="0" w:line="355" w:lineRule="exact"/>
        <w:rPr>
          <w:sz w:val="20"/>
          <w:szCs w:val="20"/>
          <w:color w:val="auto"/>
        </w:rPr>
      </w:pPr>
    </w:p>
    <w:p>
      <w:pPr>
        <w:ind w:left="1300" w:right="120" w:firstLine="653"/>
        <w:spacing w:after="0" w:line="253" w:lineRule="auto"/>
        <w:tabs>
          <w:tab w:leader="none" w:pos="2356" w:val="left"/>
        </w:tabs>
        <w:numPr>
          <w:ilvl w:val="2"/>
          <w:numId w:val="215"/>
        </w:numPr>
        <w:rPr>
          <w:rFonts w:ascii="Arial" w:cs="Arial" w:eastAsia="Arial" w:hAnsi="Arial"/>
          <w:sz w:val="22"/>
          <w:szCs w:val="22"/>
          <w:color w:val="auto"/>
        </w:rPr>
      </w:pPr>
      <w:r>
        <w:rPr>
          <w:rFonts w:ascii="Arial" w:cs="Arial" w:eastAsia="Arial" w:hAnsi="Arial"/>
          <w:sz w:val="22"/>
          <w:szCs w:val="22"/>
          <w:color w:val="auto"/>
        </w:rPr>
        <w:t>Applicable bankruptcy, receivership, reorganization, insolvency, moratorium, fraudulent conveyance or transfer, and other laws and judicially developed doctrines related thereto now or hereafter in effect relating to or affecting creditors’ rights and remedies generally;</w:t>
      </w:r>
    </w:p>
    <w:p>
      <w:pPr>
        <w:spacing w:after="0" w:line="185" w:lineRule="exact"/>
        <w:rPr>
          <w:rFonts w:ascii="Arial" w:cs="Arial" w:eastAsia="Arial" w:hAnsi="Arial"/>
          <w:sz w:val="22"/>
          <w:szCs w:val="22"/>
          <w:color w:val="auto"/>
        </w:rPr>
      </w:pPr>
    </w:p>
    <w:p>
      <w:pPr>
        <w:ind w:left="1300" w:right="240" w:firstLine="653"/>
        <w:spacing w:after="0" w:line="343" w:lineRule="auto"/>
        <w:tabs>
          <w:tab w:leader="none" w:pos="2428" w:val="left"/>
        </w:tabs>
        <w:numPr>
          <w:ilvl w:val="2"/>
          <w:numId w:val="215"/>
        </w:numPr>
        <w:rPr>
          <w:rFonts w:ascii="Arial" w:cs="Arial" w:eastAsia="Arial" w:hAnsi="Arial"/>
          <w:sz w:val="19"/>
          <w:szCs w:val="19"/>
          <w:color w:val="auto"/>
        </w:rPr>
      </w:pPr>
      <w:r>
        <w:rPr>
          <w:rFonts w:ascii="Arial" w:cs="Arial" w:eastAsia="Arial" w:hAnsi="Arial"/>
          <w:sz w:val="19"/>
          <w:szCs w:val="19"/>
          <w:color w:val="auto"/>
        </w:rPr>
        <w:t>General principles of equity, regardless of whether such enforcement is considered in a proceeding in equity or at law, and by the availability of specific performance, injunctive relief and other equitable remedies;</w:t>
      </w:r>
    </w:p>
    <w:p>
      <w:pPr>
        <w:spacing w:after="0" w:line="104" w:lineRule="exact"/>
        <w:rPr>
          <w:rFonts w:ascii="Arial" w:cs="Arial" w:eastAsia="Arial" w:hAnsi="Arial"/>
          <w:sz w:val="19"/>
          <w:szCs w:val="19"/>
          <w:color w:val="auto"/>
        </w:rPr>
      </w:pPr>
    </w:p>
    <w:p>
      <w:pPr>
        <w:ind w:left="1300" w:firstLine="653"/>
        <w:spacing w:after="0" w:line="294" w:lineRule="auto"/>
        <w:tabs>
          <w:tab w:leader="none" w:pos="2484" w:val="left"/>
        </w:tabs>
        <w:numPr>
          <w:ilvl w:val="2"/>
          <w:numId w:val="215"/>
        </w:numPr>
        <w:rPr>
          <w:rFonts w:ascii="Arial" w:cs="Arial" w:eastAsia="Arial" w:hAnsi="Arial"/>
          <w:sz w:val="19"/>
          <w:szCs w:val="19"/>
          <w:color w:val="auto"/>
        </w:rPr>
      </w:pPr>
      <w:r>
        <w:rPr>
          <w:rFonts w:ascii="Arial" w:cs="Arial" w:eastAsia="Arial" w:hAnsi="Arial"/>
          <w:sz w:val="19"/>
          <w:szCs w:val="19"/>
          <w:color w:val="auto"/>
        </w:rPr>
        <w:t>The possibility that certain rights, remedies, indemnities, exculpation provisions, waivers and other provisions of the Transaction Documents may not be enforceable; nevertheless, such unenforceability will not render the Transaction Documents invalid as a whole or preclude: (a) judicial enforcement of the obligation of the Borrower to repay the principal, together with interest thereon (to the extent not deemed a penalty), as provided in the Transaction Documents; or (b) acceleration of the obligation of Borrower to repay such principal, together with such interest, upon a material default in a material provision of the Transaction Documents; and</w:t>
      </w:r>
    </w:p>
    <w:p>
      <w:pPr>
        <w:spacing w:after="0" w:line="149" w:lineRule="exact"/>
        <w:rPr>
          <w:rFonts w:ascii="Arial" w:cs="Arial" w:eastAsia="Arial" w:hAnsi="Arial"/>
          <w:sz w:val="19"/>
          <w:szCs w:val="19"/>
          <w:color w:val="auto"/>
        </w:rPr>
      </w:pPr>
    </w:p>
    <w:p>
      <w:pPr>
        <w:ind w:left="1300" w:right="80" w:firstLine="653"/>
        <w:spacing w:after="0" w:line="263" w:lineRule="auto"/>
        <w:tabs>
          <w:tab w:leader="none" w:pos="2472" w:val="left"/>
        </w:tabs>
        <w:numPr>
          <w:ilvl w:val="2"/>
          <w:numId w:val="215"/>
        </w:numPr>
        <w:rPr>
          <w:rFonts w:ascii="Arial" w:cs="Arial" w:eastAsia="Arial" w:hAnsi="Arial"/>
          <w:sz w:val="22"/>
          <w:szCs w:val="22"/>
          <w:color w:val="auto"/>
        </w:rPr>
      </w:pPr>
      <w:r>
        <w:rPr>
          <w:rFonts w:ascii="Arial" w:cs="Arial" w:eastAsia="Arial" w:hAnsi="Arial"/>
          <w:sz w:val="22"/>
          <w:szCs w:val="22"/>
          <w:color w:val="auto"/>
        </w:rPr>
        <w:t>The requirement that the enforcing party act in a commercially reasonable manner and in good faith in exercising its rights under the Transaction Documents.</w:t>
      </w:r>
    </w:p>
    <w:p>
      <w:pPr>
        <w:spacing w:after="0" w:line="174" w:lineRule="exact"/>
        <w:rPr>
          <w:rFonts w:ascii="Arial" w:cs="Arial" w:eastAsia="Arial" w:hAnsi="Arial"/>
          <w:sz w:val="22"/>
          <w:szCs w:val="22"/>
          <w:color w:val="auto"/>
        </w:rPr>
      </w:pPr>
    </w:p>
    <w:p>
      <w:pPr>
        <w:ind w:left="660" w:right="200" w:firstLine="645"/>
        <w:spacing w:after="0" w:line="291" w:lineRule="auto"/>
        <w:tabs>
          <w:tab w:leader="none" w:pos="1719" w:val="left"/>
        </w:tabs>
        <w:numPr>
          <w:ilvl w:val="1"/>
          <w:numId w:val="216"/>
        </w:numPr>
        <w:rPr>
          <w:rFonts w:ascii="Arial" w:cs="Arial" w:eastAsia="Arial" w:hAnsi="Arial"/>
          <w:sz w:val="19"/>
          <w:szCs w:val="19"/>
          <w:color w:val="auto"/>
        </w:rPr>
      </w:pPr>
      <w:r>
        <w:rPr>
          <w:rFonts w:ascii="Arial" w:cs="Arial" w:eastAsia="Arial" w:hAnsi="Arial"/>
          <w:sz w:val="19"/>
          <w:szCs w:val="19"/>
          <w:color w:val="auto"/>
        </w:rPr>
        <w:t>Wherever we indicate that our opinion is based on our knowledge or the like, our opinion is, with your permission, based solely on (i) the representations and warranties of the Borrower set forth in the Transaction Documents;</w:t>
      </w:r>
    </w:p>
    <w:p>
      <w:pPr>
        <w:spacing w:after="0" w:line="1" w:lineRule="exact"/>
        <w:rPr>
          <w:rFonts w:ascii="Arial" w:cs="Arial" w:eastAsia="Arial" w:hAnsi="Arial"/>
          <w:sz w:val="19"/>
          <w:szCs w:val="19"/>
          <w:color w:val="auto"/>
        </w:rPr>
      </w:pPr>
    </w:p>
    <w:p>
      <w:pPr>
        <w:ind w:left="660" w:right="180" w:hanging="4"/>
        <w:spacing w:after="0" w:line="295" w:lineRule="auto"/>
        <w:tabs>
          <w:tab w:leader="none" w:pos="97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 current conscious awareness of facts or other information of the attorneys currently with this firm who have represented the Borrower in connection with the transactions contemplated in the Transaction Documents and of any other attorneys presently in our firm whom we have determined are likely, in the course of representing the Borrower or its Subsidiaries, to have knowledge of the matters covered by this opinion; and (iii) the Officer’s Certificate attached hereto.</w:t>
      </w:r>
    </w:p>
    <w:p>
      <w:pPr>
        <w:spacing w:after="0" w:line="150" w:lineRule="exact"/>
        <w:rPr>
          <w:rFonts w:ascii="Arial" w:cs="Arial" w:eastAsia="Arial" w:hAnsi="Arial"/>
          <w:sz w:val="19"/>
          <w:szCs w:val="19"/>
          <w:color w:val="auto"/>
        </w:rPr>
      </w:pPr>
    </w:p>
    <w:p>
      <w:pPr>
        <w:ind w:left="660" w:right="200" w:firstLine="645"/>
        <w:spacing w:after="0" w:line="253" w:lineRule="auto"/>
        <w:tabs>
          <w:tab w:leader="none" w:pos="1719" w:val="left"/>
        </w:tabs>
        <w:numPr>
          <w:ilvl w:val="1"/>
          <w:numId w:val="217"/>
        </w:numPr>
        <w:rPr>
          <w:rFonts w:ascii="Arial" w:cs="Arial" w:eastAsia="Arial" w:hAnsi="Arial"/>
          <w:sz w:val="22"/>
          <w:szCs w:val="22"/>
          <w:color w:val="auto"/>
        </w:rPr>
      </w:pPr>
      <w:r>
        <w:rPr>
          <w:rFonts w:ascii="Arial" w:cs="Arial" w:eastAsia="Arial" w:hAnsi="Arial"/>
          <w:sz w:val="22"/>
          <w:szCs w:val="22"/>
          <w:color w:val="auto"/>
        </w:rPr>
        <w:t>We have not examined the records of the Banks or the Borrower, or any court or any public, quasi-public, private or other office in any jurisdiction, or the files of our firm, and our opinion is subject to matters that an examination of such records would reveal.</w:t>
      </w:r>
    </w:p>
    <w:p>
      <w:pPr>
        <w:spacing w:after="0" w:line="186"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22"/>
          <w:szCs w:val="22"/>
          <w:color w:val="auto"/>
        </w:rPr>
        <w:t>Our opinion is limited to the laws of the United States and the laws of the State of Wisconsin in effect on the date hereof as they presently apply, and we express no opinion herein as to the laws of any other jurisdiction. The Credit Agreement provides that it is to be governed by and construed in accordance with the laws of the State of New York. We do not purport to be experts on, or generally familiar with or qualified to express legal conclusions based upon the laws of New York, and we express no opinion as to the laws thereof. In giving this opinion, we have assumed that the provisions of the Transaction Documents comply with New York law.</w:t>
      </w:r>
    </w:p>
    <w:p>
      <w:pPr>
        <w:sectPr>
          <w:pgSz w:w="11900" w:h="16838" w:orient="portrait"/>
          <w:cols w:equalWidth="0" w:num="1">
            <w:col w:w="11420"/>
          </w:cols>
          <w:pgMar w:left="240" w:top="132" w:right="23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22"/>
          <w:szCs w:val="22"/>
          <w:color w:val="auto"/>
        </w:rPr>
        <w:t>-5-</w:t>
      </w:r>
    </w:p>
    <w:p>
      <w:pPr>
        <w:spacing w:after="0" w:line="355"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Assuming that the Transaction Documents were governed by the internal laws of Wisconsin (without regard to choice of law principles thereunder), our opinion is as set forth herein.</w:t>
      </w:r>
    </w:p>
    <w:p>
      <w:pPr>
        <w:spacing w:after="0" w:line="215"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We express no opinion as to (i) Section 2.16 of the Credit Agreement insofar as it provides that any Lender purchasing a participation from another Lender pursuant thereto may exercise set-off or similar rights with respect to such participation, and (ii) the effect of the law of any jurisdiction other than the State of Wisconsin wherein any Lender may be located or wherein enforcement of the Credit Agreement or the Notes may be sought that limits the rate of interest legally chargeable or collectible.</w:t>
      </w:r>
    </w:p>
    <w:p>
      <w:pPr>
        <w:spacing w:after="0" w:line="183"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This opinion is given as of the date hereof, it is intended to apply only to those facts and circumstances which exist as of the date hereof, and we assume no obligation or responsibility to update or supplement this opinion to reflect any facts or circumstances which may hereafter come to our attention, any changes in laws which may hereafter occur, or to inform the addressees of any change in circumstances occurring after the date of this opinion which would alter the opinion rendered herein.</w:t>
      </w:r>
    </w:p>
    <w:p>
      <w:pPr>
        <w:spacing w:after="0" w:line="183"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This opinion is limited to the matters set forth herein, and no opinion may be inferred or is implied beyond the matters expressly contained herein. This opinion is solely for the purposes of providing information and assistance to you in connection with the Transaction Documents. It is not intended to be quoted or otherwise referred to, nor is it to be filed with or furnished to or relied upon, by any other person, firm or corporation for any purpose without our prior written consent, provided that a copy of this opinion may be furnished or quoted (i) to your independent auditors, (ii) to regulatory authorities having jurisdiction over you, (iii) as otherwise compelled by legal process, and (iv) to any Person that becomes a Lender in accordance with the provisions of the Credit Agreement. Any such Lender may rely on the opinion expressed above as if this opinion letter were addressed and delivered to such Lender on the date hereof. Accordingly, any Lender relying on this opinion letter at any time other than the date hereof should seek advice of its counsel as to the proper application of this opinion letter at such time.</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GODFREY &amp; KAHN, S.C.</w:t>
      </w:r>
    </w:p>
    <w:sectPr>
      <w:pgSz w:w="11900" w:h="16838" w:orient="portrait"/>
      <w:cols w:equalWidth="0" w:num="1">
        <w:col w:w="11380"/>
      </w:cols>
      <w:pgMar w:left="240" w:top="13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o"/>
      <w:numFmt w:val="bullet"/>
      <w:start w:val="1"/>
    </w:lvl>
  </w:abstractNum>
  <w:abstractNum w:abstractNumId="1">
    <w:nsid w:val="97E1B4E"/>
    <w:multiLevelType w:val="hybridMultilevel"/>
    <w:lvl w:ilvl="0">
      <w:lvlJc w:val="left"/>
      <w:lvlText w:val="%1."/>
      <w:numFmt w:val="decimal"/>
      <w:start w:val="1"/>
    </w:lvl>
  </w:abstractNum>
  <w:abstractNum w:abstractNumId="2">
    <w:nsid w:val="51088277"/>
    <w:multiLevelType w:val="hybridMultilevel"/>
    <w:lvl w:ilvl="0">
      <w:lvlJc w:val="left"/>
      <w:lvlText w:val="%1."/>
      <w:numFmt w:val="decimal"/>
      <w:start w:val="3"/>
    </w:lvl>
  </w:abstractNum>
  <w:abstractNum w:abstractNumId="3">
    <w:nsid w:val="1CA0C5FA"/>
    <w:multiLevelType w:val="hybridMultilevel"/>
    <w:lvl w:ilvl="0">
      <w:lvlJc w:val="left"/>
      <w:lvlText w:val="%1."/>
      <w:numFmt w:val="decimal"/>
      <w:start w:val="4"/>
    </w:lvl>
    <w:lvl w:ilvl="1">
      <w:lvlJc w:val="left"/>
      <w:lvlText w:val="(%2)"/>
      <w:numFmt w:val="lowerLetter"/>
      <w:start w:val="1"/>
    </w:lvl>
  </w:abstractNum>
  <w:abstractNum w:abstractNumId="4">
    <w:nsid w:val="53584BCB"/>
    <w:multiLevelType w:val="hybridMultilevel"/>
    <w:lvl w:ilvl="0">
      <w:lvlJc w:val="left"/>
      <w:lvlText w:val="%1"/>
      <w:numFmt w:val="decimal"/>
      <w:start w:val="1"/>
    </w:lvl>
    <w:lvl w:ilvl="1">
      <w:lvlJc w:val="left"/>
      <w:lvlText w:val="(%2)"/>
      <w:numFmt w:val="lowerLetter"/>
      <w:start w:val="3"/>
    </w:lvl>
  </w:abstractNum>
  <w:abstractNum w:abstractNumId="5">
    <w:nsid w:val="415E286C"/>
    <w:multiLevelType w:val="hybridMultilevel"/>
    <w:lvl w:ilvl="0">
      <w:lvlJc w:val="left"/>
      <w:lvlText w:val="%1."/>
      <w:numFmt w:val="decimal"/>
      <w:start w:val="6"/>
    </w:lvl>
    <w:lvl w:ilvl="1">
      <w:lvlJc w:val="left"/>
      <w:lvlText w:val="(%2)"/>
      <w:numFmt w:val="lowerLetter"/>
      <w:start w:val="1"/>
    </w:lvl>
  </w:abstractNum>
  <w:abstractNum w:abstractNumId="6">
    <w:nsid w:val="7C58FD05"/>
    <w:multiLevelType w:val="hybridMultilevel"/>
    <w:lvl w:ilvl="0">
      <w:lvlJc w:val="left"/>
      <w:lvlText w:val="(%1)"/>
      <w:numFmt w:val="lowerLetter"/>
      <w:start w:val="1"/>
    </w:lvl>
  </w:abstractNum>
  <w:abstractNum w:abstractNumId="7">
    <w:nsid w:val="23D86AAC"/>
    <w:multiLevelType w:val="hybridMultilevel"/>
    <w:lvl w:ilvl="0">
      <w:lvlJc w:val="left"/>
      <w:lvlText w:val="(%1)"/>
      <w:numFmt w:val="lowerRoman"/>
      <w:start w:val="1"/>
    </w:lvl>
    <w:lvl w:ilvl="1">
      <w:lvlJc w:val="left"/>
      <w:lvlText w:val="(%2)"/>
      <w:numFmt w:val="upperLetter"/>
      <w:start w:val="1"/>
    </w:lvl>
  </w:abstractNum>
  <w:abstractNum w:abstractNumId="8">
    <w:nsid w:val="45E6D486"/>
    <w:multiLevelType w:val="hybridMultilevel"/>
    <w:lvl w:ilvl="0">
      <w:lvlJc w:val="left"/>
      <w:lvlText w:val="(%1)"/>
      <w:numFmt w:val="upperLetter"/>
      <w:start w:val="2"/>
    </w:lvl>
  </w:abstractNum>
  <w:abstractNum w:abstractNumId="9">
    <w:nsid w:val="5C10FE21"/>
    <w:multiLevelType w:val="hybridMultilevel"/>
    <w:lvl w:ilvl="0">
      <w:lvlJc w:val="left"/>
      <w:lvlText w:val="(%1)"/>
      <w:numFmt w:val="lowerLetter"/>
      <w:start w:val="1"/>
    </w:lvl>
  </w:abstractNum>
  <w:abstractNum w:abstractNumId="10">
    <w:nsid w:val="E7FFA2B"/>
    <w:multiLevelType w:val="hybridMultilevel"/>
    <w:lvl w:ilvl="0">
      <w:lvlJc w:val="left"/>
      <w:lvlText w:val="%1."/>
      <w:numFmt w:val="decimal"/>
      <w:start w:val="8"/>
    </w:lvl>
  </w:abstractNum>
  <w:abstractNum w:abstractNumId="11">
    <w:nsid w:val="3C5991AA"/>
    <w:multiLevelType w:val="hybridMultilevel"/>
    <w:lvl w:ilvl="0">
      <w:lvlJc w:val="left"/>
      <w:lvlText w:val="(%1)"/>
      <w:numFmt w:val="lowerLetter"/>
      <w:start w:val="3"/>
    </w:lvl>
  </w:abstractNum>
  <w:abstractNum w:abstractNumId="12">
    <w:nsid w:val="4BD8591A"/>
    <w:multiLevelType w:val="hybridMultilevel"/>
    <w:lvl w:ilvl="0">
      <w:lvlJc w:val="left"/>
      <w:lvlText w:val="(%1)"/>
      <w:numFmt w:val="lowerLetter"/>
      <w:start w:val="4"/>
    </w:lvl>
  </w:abstractNum>
  <w:abstractNum w:abstractNumId="13">
    <w:nsid w:val="78DF6A55"/>
    <w:multiLevelType w:val="hybridMultilevel"/>
    <w:lvl w:ilvl="0">
      <w:lvlJc w:val="left"/>
      <w:lvlText w:val="%1."/>
      <w:numFmt w:val="decimal"/>
      <w:start w:val="9"/>
    </w:lvl>
  </w:abstractNum>
  <w:abstractNum w:abstractNumId="14">
    <w:nsid w:val="39B7AAA2"/>
    <w:multiLevelType w:val="hybridMultilevel"/>
    <w:lvl w:ilvl="0">
      <w:lvlJc w:val="left"/>
      <w:lvlText w:val="%1."/>
      <w:numFmt w:val="decimal"/>
      <w:start w:val="11"/>
    </w:lvl>
  </w:abstractNum>
  <w:abstractNum w:abstractNumId="15">
    <w:nsid w:val="2B0D8DBE"/>
    <w:multiLevelType w:val="hybridMultilevel"/>
    <w:lvl w:ilvl="0">
      <w:lvlJc w:val="left"/>
      <w:lvlText w:val="%1."/>
      <w:numFmt w:val="decimal"/>
      <w:start w:val="12"/>
    </w:lvl>
    <w:lvl w:ilvl="1">
      <w:lvlJc w:val="left"/>
      <w:lvlText w:val="(%2)"/>
      <w:numFmt w:val="lowerLetter"/>
      <w:start w:val="1"/>
    </w:lvl>
  </w:abstractNum>
  <w:abstractNum w:abstractNumId="16">
    <w:nsid w:val="6C80EC70"/>
    <w:multiLevelType w:val="hybridMultilevel"/>
    <w:lvl w:ilvl="0">
      <w:lvlJc w:val="left"/>
      <w:lvlText w:val="%1"/>
      <w:numFmt w:val="decimal"/>
      <w:start w:val="1"/>
    </w:lvl>
    <w:lvl w:ilvl="1">
      <w:lvlJc w:val="left"/>
      <w:lvlText w:val="(%2)"/>
      <w:numFmt w:val="lowerLetter"/>
      <w:start w:val="4"/>
    </w:lvl>
  </w:abstractNum>
  <w:abstractNum w:abstractNumId="17">
    <w:nsid w:val="379E21B5"/>
    <w:multiLevelType w:val="hybridMultilevel"/>
    <w:lvl w:ilvl="0">
      <w:lvlJc w:val="left"/>
      <w:lvlText w:val="%1."/>
      <w:numFmt w:val="decimal"/>
      <w:start w:val="13"/>
    </w:lvl>
    <w:lvl w:ilvl="1">
      <w:lvlJc w:val="left"/>
      <w:lvlText w:val="%2"/>
      <w:numFmt w:val="lowerLetter"/>
      <w:start w:val="1"/>
    </w:lvl>
  </w:abstractNum>
  <w:abstractNum w:abstractNumId="18">
    <w:nsid w:val="69E373"/>
    <w:multiLevelType w:val="hybridMultilevel"/>
    <w:lvl w:ilvl="0">
      <w:lvlJc w:val="left"/>
      <w:lvlText w:val="%1."/>
      <w:numFmt w:val="decimal"/>
      <w:start w:val="15"/>
    </w:lvl>
  </w:abstractNum>
  <w:abstractNum w:abstractNumId="19">
    <w:nsid w:val="2C27173B"/>
    <w:multiLevelType w:val="hybridMultilevel"/>
    <w:lvl w:ilvl="0">
      <w:lvlJc w:val="left"/>
      <w:lvlText w:val="(%1)"/>
      <w:numFmt w:val="lowerLetter"/>
      <w:start w:val="1"/>
    </w:lvl>
  </w:abstractNum>
  <w:abstractNum w:abstractNumId="20">
    <w:nsid w:val="4C9B0904"/>
    <w:multiLevelType w:val="hybridMultilevel"/>
    <w:lvl w:ilvl="0">
      <w:lvlJc w:val="left"/>
      <w:lvlText w:val="%1."/>
      <w:numFmt w:val="decimal"/>
      <w:start w:val="19"/>
    </w:lvl>
  </w:abstractNum>
  <w:abstractNum w:abstractNumId="21">
    <w:nsid w:val="6AA7B75C"/>
    <w:multiLevelType w:val="hybridMultilevel"/>
    <w:lvl w:ilvl="0">
      <w:lvlJc w:val="left"/>
      <w:lvlText w:val="%1."/>
      <w:numFmt w:val="decimal"/>
      <w:start w:val="21"/>
    </w:lvl>
  </w:abstractNum>
  <w:abstractNum w:abstractNumId="22">
    <w:nsid w:val="1DF029D3"/>
    <w:multiLevelType w:val="hybridMultilevel"/>
    <w:lvl w:ilvl="0">
      <w:lvlJc w:val="left"/>
      <w:lvlText w:val="(%1)"/>
      <w:numFmt w:val="lowerLetter"/>
      <w:start w:val="1"/>
    </w:lvl>
  </w:abstractNum>
  <w:abstractNum w:abstractNumId="23">
    <w:nsid w:val="5675FF36"/>
    <w:multiLevelType w:val="hybridMultilevel"/>
    <w:lvl w:ilvl="0">
      <w:lvlJc w:val="left"/>
      <w:lvlText w:val="(%1)"/>
      <w:numFmt w:val="lowerRoman"/>
      <w:start w:val="1"/>
    </w:lvl>
  </w:abstractNum>
  <w:abstractNum w:abstractNumId="24">
    <w:nsid w:val="3DD15094"/>
    <w:multiLevelType w:val="hybridMultilevel"/>
    <w:lvl w:ilvl="0">
      <w:lvlJc w:val="left"/>
      <w:lvlText w:val="(%1)"/>
      <w:numFmt w:val="lowerLetter"/>
      <w:start w:val="1"/>
    </w:lvl>
    <w:lvl w:ilvl="1">
      <w:lvlJc w:val="left"/>
      <w:lvlText w:val="(%2)"/>
      <w:numFmt w:val="lowerRoman"/>
      <w:start w:val="1"/>
    </w:lvl>
  </w:abstractNum>
  <w:abstractNum w:abstractNumId="25">
    <w:nsid w:val="3DB012B3"/>
    <w:multiLevelType w:val="hybridMultilevel"/>
    <w:lvl w:ilvl="0">
      <w:lvlJc w:val="left"/>
      <w:lvlText w:val="%1."/>
      <w:numFmt w:val="decimal"/>
      <w:start w:val="23"/>
    </w:lvl>
    <w:lvl w:ilvl="1">
      <w:lvlJc w:val="left"/>
      <w:lvlText w:val="(%2)"/>
      <w:numFmt w:val="lowerRoman"/>
      <w:start w:val="2"/>
    </w:lvl>
  </w:abstractNum>
  <w:abstractNum w:abstractNumId="26">
    <w:nsid w:val="2708C9AF"/>
    <w:multiLevelType w:val="hybridMultilevel"/>
    <w:lvl w:ilvl="0">
      <w:lvlJc w:val="left"/>
      <w:lvlText w:val="(%1)"/>
      <w:numFmt w:val="upperLetter"/>
      <w:start w:val="1"/>
    </w:lvl>
  </w:abstractNum>
  <w:abstractNum w:abstractNumId="27">
    <w:nsid w:val="5B25ACE2"/>
    <w:multiLevelType w:val="hybridMultilevel"/>
    <w:lvl w:ilvl="0">
      <w:lvlJc w:val="left"/>
      <w:lvlText w:val="%1."/>
      <w:numFmt w:val="decimal"/>
      <w:start w:val="1"/>
    </w:lvl>
  </w:abstractNum>
  <w:abstractNum w:abstractNumId="28">
    <w:nsid w:val="175DFCF0"/>
    <w:multiLevelType w:val="hybridMultilevel"/>
    <w:lvl w:ilvl="0">
      <w:lvlJc w:val="left"/>
      <w:lvlText w:val="%1."/>
      <w:numFmt w:val="decimal"/>
      <w:start w:val="2"/>
    </w:lvl>
  </w:abstractNum>
  <w:abstractNum w:abstractNumId="29">
    <w:nsid w:val="4F97E3E4"/>
    <w:multiLevelType w:val="hybridMultilevel"/>
    <w:lvl w:ilvl="0">
      <w:lvlJc w:val="left"/>
      <w:lvlText w:val="%1."/>
      <w:numFmt w:val="decimal"/>
      <w:start w:val="3"/>
    </w:lvl>
  </w:abstractNum>
  <w:abstractNum w:abstractNumId="30">
    <w:nsid w:val="53B0A9E"/>
    <w:multiLevelType w:val="hybridMultilevel"/>
    <w:lvl w:ilvl="0">
      <w:lvlJc w:val="left"/>
      <w:lvlText w:val="%1."/>
      <w:numFmt w:val="decimal"/>
      <w:start w:val="4"/>
    </w:lvl>
  </w:abstractNum>
  <w:abstractNum w:abstractNumId="31">
    <w:nsid w:val="34FD6B4F"/>
    <w:multiLevelType w:val="hybridMultilevel"/>
    <w:lvl w:ilvl="0">
      <w:lvlJc w:val="left"/>
      <w:lvlText w:val="(%1)"/>
      <w:numFmt w:val="lowerLetter"/>
      <w:start w:val="1"/>
    </w:lvl>
  </w:abstractNum>
  <w:abstractNum w:abstractNumId="32">
    <w:nsid w:val="5915FF32"/>
    <w:multiLevelType w:val="hybridMultilevel"/>
    <w:lvl w:ilvl="0">
      <w:lvlJc w:val="left"/>
      <w:lvlText w:val="%1."/>
      <w:numFmt w:val="decimal"/>
      <w:start w:val="9"/>
    </w:lvl>
  </w:abstractNum>
  <w:abstractNum w:abstractNumId="33">
    <w:nsid w:val="56438D15"/>
    <w:multiLevelType w:val="hybridMultilevel"/>
    <w:lvl w:ilvl="0">
      <w:lvlJc w:val="left"/>
      <w:lvlText w:val="(%1)"/>
      <w:numFmt w:val="lowerLetter"/>
      <w:start w:val="1"/>
    </w:lvl>
  </w:abstractNum>
  <w:abstractNum w:abstractNumId="34">
    <w:nsid w:val="519E3149"/>
    <w:multiLevelType w:val="hybridMultilevel"/>
    <w:lvl w:ilvl="0">
      <w:lvlJc w:val="left"/>
      <w:lvlText w:val="%1."/>
      <w:numFmt w:val="decimal"/>
      <w:start w:val="10"/>
    </w:lvl>
  </w:abstractNum>
  <w:abstractNum w:abstractNumId="35">
    <w:nsid w:val="2C6E4AFD"/>
    <w:multiLevelType w:val="hybridMultilevel"/>
    <w:lvl w:ilvl="0">
      <w:lvlJc w:val="left"/>
      <w:lvlText w:val="(%1)"/>
      <w:numFmt w:val="lowerLetter"/>
      <w:start w:val="1"/>
    </w:lvl>
  </w:abstractNum>
  <w:abstractNum w:abstractNumId="36">
    <w:nsid w:val="17A1B582"/>
    <w:multiLevelType w:val="hybridMultilevel"/>
    <w:lvl w:ilvl="0">
      <w:lvlJc w:val="left"/>
      <w:lvlText w:val="%1."/>
      <w:numFmt w:val="decimal"/>
      <w:start w:val="11"/>
    </w:lvl>
  </w:abstractNum>
  <w:abstractNum w:abstractNumId="37">
    <w:nsid w:val="4DF72E4E"/>
    <w:multiLevelType w:val="hybridMultilevel"/>
    <w:lvl w:ilvl="0">
      <w:lvlJc w:val="left"/>
      <w:lvlText w:val="%1."/>
      <w:numFmt w:val="decimal"/>
      <w:start w:val="12"/>
    </w:lvl>
  </w:abstractNum>
  <w:abstractNum w:abstractNumId="38">
    <w:nsid w:val="5046B5A9"/>
    <w:multiLevelType w:val="hybridMultilevel"/>
    <w:lvl w:ilvl="0">
      <w:lvlJc w:val="left"/>
      <w:lvlText w:val="%1."/>
      <w:numFmt w:val="decimal"/>
      <w:start w:val="15"/>
    </w:lvl>
  </w:abstractNum>
  <w:abstractNum w:abstractNumId="39">
    <w:nsid w:val="5D888A08"/>
    <w:multiLevelType w:val="hybridMultilevel"/>
    <w:lvl w:ilvl="0">
      <w:lvlJc w:val="left"/>
      <w:lvlText w:val="%1."/>
      <w:numFmt w:val="decimal"/>
      <w:start w:val="18"/>
    </w:lvl>
  </w:abstractNum>
  <w:abstractNum w:abstractNumId="40">
    <w:nsid w:val="2A082C70"/>
    <w:multiLevelType w:val="hybridMultilevel"/>
    <w:lvl w:ilvl="0">
      <w:lvlJc w:val="left"/>
      <w:lvlText w:val="☐"/>
      <w:numFmt w:val="bullet"/>
      <w:start w:val="1"/>
    </w:lvl>
  </w:abstractNum>
  <w:abstractNum w:abstractNumId="41">
    <w:nsid w:val="5EC6AFD4"/>
    <w:multiLevelType w:val="hybridMultilevel"/>
    <w:lvl w:ilvl="0">
      <w:lvlJc w:val="left"/>
      <w:lvlText w:val="%1."/>
      <w:numFmt w:val="decimal"/>
      <w:start w:val="1"/>
    </w:lvl>
  </w:abstractNum>
  <w:abstractNum w:abstractNumId="42">
    <w:nsid w:val="19E21BB2"/>
    <w:multiLevelType w:val="hybridMultilevel"/>
    <w:lvl w:ilvl="0">
      <w:lvlJc w:val="left"/>
      <w:lvlText w:val="%1."/>
      <w:numFmt w:val="decimal"/>
      <w:start w:val="1"/>
    </w:lvl>
    <w:lvl w:ilvl="1">
      <w:lvlJc w:val="left"/>
      <w:lvlText w:val="(%2)"/>
      <w:numFmt w:val="lowerLetter"/>
      <w:start w:val="1"/>
    </w:lvl>
  </w:abstractNum>
  <w:abstractNum w:abstractNumId="43">
    <w:nsid w:val="75E0858A"/>
    <w:multiLevelType w:val="hybridMultilevel"/>
    <w:lvl w:ilvl="0">
      <w:lvlJc w:val="left"/>
      <w:lvlText w:val="(%1)"/>
      <w:numFmt w:val="lowerLetter"/>
      <w:start w:val="1"/>
    </w:lvl>
  </w:abstractNum>
  <w:abstractNum w:abstractNumId="44">
    <w:nsid w:val="57A61A29"/>
    <w:multiLevelType w:val="hybridMultilevel"/>
    <w:lvl w:ilvl="0">
      <w:lvlJc w:val="left"/>
      <w:lvlText w:val="(%1)"/>
      <w:numFmt w:val="lowerLetter"/>
      <w:start w:val="2"/>
    </w:lvl>
  </w:abstractNum>
  <w:abstractNum w:abstractNumId="45">
    <w:nsid w:val="5399C654"/>
    <w:multiLevelType w:val="hybridMultilevel"/>
    <w:lvl w:ilvl="0">
      <w:lvlJc w:val="left"/>
      <w:lvlText w:val="(%1)"/>
      <w:numFmt w:val="lowerLetter"/>
      <w:start w:val="1"/>
    </w:lvl>
  </w:abstractNum>
  <w:abstractNum w:abstractNumId="46">
    <w:nsid w:val="20EE1348"/>
    <w:multiLevelType w:val="hybridMultilevel"/>
    <w:lvl w:ilvl="0">
      <w:lvlJc w:val="left"/>
      <w:lvlText w:val="(%1)"/>
      <w:numFmt w:val="lowerRoman"/>
      <w:start w:val="1"/>
    </w:lvl>
  </w:abstractNum>
  <w:abstractNum w:abstractNumId="47">
    <w:nsid w:val="4427069A"/>
    <w:multiLevelType w:val="hybridMultilevel"/>
    <w:lvl w:ilvl="0">
      <w:lvlJc w:val="left"/>
      <w:lvlText w:val="(%1)"/>
      <w:numFmt w:val="lowerLetter"/>
      <w:start w:val="1"/>
    </w:lvl>
  </w:abstractNum>
  <w:abstractNum w:abstractNumId="48">
    <w:nsid w:val="B37E80A"/>
    <w:multiLevelType w:val="hybridMultilevel"/>
    <w:lvl w:ilvl="0">
      <w:lvlJc w:val="left"/>
      <w:lvlText w:val="%1."/>
      <w:numFmt w:val="decimal"/>
      <w:start w:val="2"/>
    </w:lvl>
  </w:abstractNum>
  <w:abstractNum w:abstractNumId="49">
    <w:nsid w:val="2157F6B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0">
    <w:nsid w:val="704E1DD5"/>
    <w:multiLevelType w:val="hybridMultilevel"/>
    <w:lvl w:ilvl="0">
      <w:lvlJc w:val="left"/>
      <w:lvlText w:val="%1."/>
      <w:numFmt w:val="decimal"/>
      <w:start w:val="12"/>
    </w:lvl>
    <w:lvl w:ilvl="1">
      <w:lvlJc w:val="left"/>
      <w:lvlText w:val="(%2)"/>
      <w:numFmt w:val="lowerLetter"/>
      <w:start w:val="6"/>
    </w:lvl>
  </w:abstractNum>
  <w:abstractNum w:abstractNumId="51">
    <w:nsid w:val="57D2F10E"/>
    <w:multiLevelType w:val="hybridMultilevel"/>
    <w:lvl w:ilvl="0">
      <w:lvlJc w:val="left"/>
      <w:lvlText w:val="%1."/>
      <w:numFmt w:val="decimal"/>
      <w:start w:val="13"/>
    </w:lvl>
    <w:lvl w:ilvl="1">
      <w:lvlJc w:val="left"/>
      <w:lvlText w:val="(%2)"/>
      <w:numFmt w:val="lowerLetter"/>
      <w:start w:val="1"/>
    </w:lvl>
  </w:abstractNum>
  <w:abstractNum w:abstractNumId="52">
    <w:nsid w:val="BFFAE18"/>
    <w:multiLevelType w:val="hybridMultilevel"/>
    <w:lvl w:ilvl="0">
      <w:lvlJc w:val="left"/>
      <w:lvlText w:val="%1."/>
      <w:numFmt w:val="decimal"/>
      <w:start w:val="16"/>
    </w:lvl>
    <w:lvl w:ilvl="1">
      <w:lvlJc w:val="left"/>
      <w:lvlText w:val="(%2)"/>
      <w:numFmt w:val="lowerLetter"/>
      <w:start w:val="1"/>
    </w:lvl>
  </w:abstractNum>
  <w:abstractNum w:abstractNumId="53">
    <w:nsid w:val="E3E47A8"/>
    <w:multiLevelType w:val="hybridMultilevel"/>
    <w:lvl w:ilvl="0">
      <w:lvlJc w:val="left"/>
      <w:lvlText w:val="%1."/>
      <w:numFmt w:val="decimal"/>
      <w:start w:val="17"/>
    </w:lvl>
    <w:lvl w:ilvl="1">
      <w:lvlJc w:val="left"/>
      <w:lvlText w:val="(%2)"/>
      <w:numFmt w:val="lowerLetter"/>
      <w:start w:val="1"/>
    </w:lvl>
  </w:abstractNum>
  <w:abstractNum w:abstractNumId="54">
    <w:nsid w:val="2E48F044"/>
    <w:multiLevelType w:val="hybridMultilevel"/>
    <w:lvl w:ilvl="0">
      <w:lvlJc w:val="left"/>
      <w:lvlText w:val="%1"/>
      <w:numFmt w:val="decimal"/>
      <w:start w:val="1"/>
    </w:lvl>
    <w:lvl w:ilvl="1">
      <w:lvlJc w:val="left"/>
      <w:lvlText w:val="(%2)"/>
      <w:numFmt w:val="lowerLetter"/>
      <w:start w:val="6"/>
    </w:lvl>
  </w:abstractNum>
  <w:abstractNum w:abstractNumId="55">
    <w:nsid w:val="49D0FEAC"/>
    <w:multiLevelType w:val="hybridMultilevel"/>
    <w:lvl w:ilvl="0">
      <w:lvlJc w:val="left"/>
      <w:lvlText w:val="%1."/>
      <w:numFmt w:val="decimal"/>
      <w:start w:val="19"/>
    </w:lvl>
    <w:lvl w:ilvl="1">
      <w:lvlJc w:val="left"/>
      <w:lvlText w:val="%2"/>
      <w:numFmt w:val="lowerLetter"/>
      <w:start w:val="1"/>
    </w:lvl>
  </w:abstractNum>
  <w:abstractNum w:abstractNumId="56">
    <w:nsid w:val="4BEE5A5B"/>
    <w:multiLevelType w:val="hybridMultilevel"/>
    <w:lvl w:ilvl="0">
      <w:lvlJc w:val="left"/>
      <w:lvlText w:val="-"/>
      <w:numFmt w:val="bullet"/>
      <w:start w:val="1"/>
    </w:lvl>
  </w:abstractNum>
  <w:abstractNum w:abstractNumId="57">
    <w:nsid w:val="5551B9F3"/>
    <w:multiLevelType w:val="hybridMultilevel"/>
    <w:lvl w:ilvl="0">
      <w:lvlJc w:val="left"/>
      <w:lvlText w:val="-"/>
      <w:numFmt w:val="bullet"/>
      <w:start w:val="1"/>
    </w:lvl>
  </w:abstractNum>
  <w:abstractNum w:abstractNumId="58">
    <w:nsid w:val="24F6AB8E"/>
    <w:multiLevelType w:val="hybridMultilevel"/>
    <w:lvl w:ilvl="0">
      <w:lvlJc w:val="left"/>
      <w:lvlText w:val="-"/>
      <w:numFmt w:val="bullet"/>
      <w:start w:val="1"/>
    </w:lvl>
  </w:abstractNum>
  <w:abstractNum w:abstractNumId="59">
    <w:nsid w:val="634C574C"/>
    <w:multiLevelType w:val="hybridMultilevel"/>
    <w:lvl w:ilvl="0">
      <w:lvlJc w:val="left"/>
      <w:lvlText w:val="-"/>
      <w:numFmt w:val="bullet"/>
      <w:start w:val="1"/>
    </w:lvl>
  </w:abstractNum>
  <w:abstractNum w:abstractNumId="60">
    <w:nsid w:val="24E99DD7"/>
    <w:multiLevelType w:val="hybridMultilevel"/>
    <w:lvl w:ilvl="0">
      <w:lvlJc w:val="left"/>
      <w:lvlText w:val="-"/>
      <w:numFmt w:val="bullet"/>
      <w:start w:val="1"/>
    </w:lvl>
  </w:abstractNum>
  <w:abstractNum w:abstractNumId="61">
    <w:nsid w:val="2A31B62D"/>
    <w:multiLevelType w:val="hybridMultilevel"/>
    <w:lvl w:ilvl="0">
      <w:lvlJc w:val="left"/>
      <w:lvlText w:val="(%1)"/>
      <w:numFmt w:val="lowerLetter"/>
      <w:start w:val="1"/>
    </w:lvl>
  </w:abstractNum>
  <w:abstractNum w:abstractNumId="62">
    <w:nsid w:val="1849C29B"/>
    <w:multiLevelType w:val="hybridMultilevel"/>
    <w:lvl w:ilvl="0">
      <w:lvlJc w:val="left"/>
      <w:lvlText w:val="(%1)"/>
      <w:numFmt w:val="lowerLetter"/>
      <w:start w:val="2"/>
    </w:lvl>
  </w:abstractNum>
  <w:abstractNum w:abstractNumId="63">
    <w:nsid w:val="7DFF9D09"/>
    <w:multiLevelType w:val="hybridMultilevel"/>
    <w:lvl w:ilvl="0">
      <w:lvlJc w:val="left"/>
      <w:lvlText w:val="-"/>
      <w:numFmt w:val="bullet"/>
      <w:start w:val="1"/>
    </w:lvl>
  </w:abstractNum>
  <w:abstractNum w:abstractNumId="64">
    <w:nsid w:val="754342"/>
    <w:multiLevelType w:val="hybridMultilevel"/>
    <w:lvl w:ilvl="0">
      <w:lvlJc w:val="left"/>
      <w:lvlText w:val="-"/>
      <w:numFmt w:val="bullet"/>
      <w:start w:val="1"/>
    </w:lvl>
  </w:abstractNum>
  <w:abstractNum w:abstractNumId="65">
    <w:nsid w:val="69E7F3E5"/>
    <w:multiLevelType w:val="hybridMultilevel"/>
    <w:lvl w:ilvl="0">
      <w:lvlJc w:val="left"/>
      <w:lvlText w:val="-"/>
      <w:numFmt w:val="bullet"/>
      <w:start w:val="1"/>
    </w:lvl>
  </w:abstractNum>
  <w:abstractNum w:abstractNumId="66">
    <w:nsid w:val="2A6DE806"/>
    <w:multiLevelType w:val="hybridMultilevel"/>
    <w:lvl w:ilvl="0">
      <w:lvlJc w:val="left"/>
      <w:lvlText w:val="(%1)"/>
      <w:numFmt w:val="lowerRoman"/>
      <w:start w:val="3"/>
    </w:lvl>
  </w:abstractNum>
  <w:abstractNum w:abstractNumId="67">
    <w:nsid w:val="1816F8C4"/>
    <w:multiLevelType w:val="hybridMultilevel"/>
    <w:lvl w:ilvl="0">
      <w:lvlJc w:val="left"/>
      <w:lvlText w:val="-"/>
      <w:numFmt w:val="bullet"/>
      <w:start w:val="1"/>
    </w:lvl>
  </w:abstractNum>
  <w:abstractNum w:abstractNumId="68">
    <w:nsid w:val="37DF2233"/>
    <w:multiLevelType w:val="hybridMultilevel"/>
    <w:lvl w:ilvl="0">
      <w:lvlJc w:val="left"/>
      <w:lvlText w:val="-"/>
      <w:numFmt w:val="bullet"/>
      <w:start w:val="1"/>
    </w:lvl>
  </w:abstractNum>
  <w:abstractNum w:abstractNumId="69">
    <w:nsid w:val="7AB49DAF"/>
    <w:multiLevelType w:val="hybridMultilevel"/>
    <w:lvl w:ilvl="0">
      <w:lvlJc w:val="left"/>
      <w:lvlText w:val="-"/>
      <w:numFmt w:val="bullet"/>
      <w:start w:val="1"/>
    </w:lvl>
  </w:abstractNum>
  <w:abstractNum w:abstractNumId="70">
    <w:nsid w:val="759F82CD"/>
    <w:multiLevelType w:val="hybridMultilevel"/>
    <w:lvl w:ilvl="0">
      <w:lvlJc w:val="left"/>
      <w:lvlText w:val="-"/>
      <w:numFmt w:val="bullet"/>
      <w:start w:val="1"/>
    </w:lvl>
  </w:abstractNum>
  <w:abstractNum w:abstractNumId="71">
    <w:nsid w:val="61E74EA3"/>
    <w:multiLevelType w:val="hybridMultilevel"/>
    <w:lvl w:ilvl="0">
      <w:lvlJc w:val="left"/>
      <w:lvlText w:val="(%1)"/>
      <w:numFmt w:val="lowerRoman"/>
      <w:start w:val="2"/>
    </w:lvl>
  </w:abstractNum>
  <w:abstractNum w:abstractNumId="72">
    <w:nsid w:val="597B4D84"/>
    <w:multiLevelType w:val="hybridMultilevel"/>
    <w:lvl w:ilvl="0">
      <w:lvlJc w:val="left"/>
      <w:lvlText w:val="-"/>
      <w:numFmt w:val="bullet"/>
      <w:start w:val="1"/>
    </w:lvl>
    <w:lvl w:ilvl="1">
      <w:lvlJc w:val="left"/>
      <w:lvlText w:val="(%2)"/>
      <w:numFmt w:val="lowerLetter"/>
      <w:start w:val="1"/>
    </w:lvl>
  </w:abstractNum>
  <w:abstractNum w:abstractNumId="73">
    <w:nsid w:val="F819E7F"/>
    <w:multiLevelType w:val="hybridMultilevel"/>
    <w:lvl w:ilvl="0">
      <w:lvlJc w:val="left"/>
      <w:lvlText w:val="(%1)"/>
      <w:numFmt w:val="lowerLetter"/>
      <w:start w:val="2"/>
    </w:lvl>
  </w:abstractNum>
  <w:abstractNum w:abstractNumId="74">
    <w:nsid w:val="57C7D42D"/>
    <w:multiLevelType w:val="hybridMultilevel"/>
    <w:lvl w:ilvl="0">
      <w:lvlJc w:val="left"/>
      <w:lvlText w:val="-"/>
      <w:numFmt w:val="bullet"/>
      <w:start w:val="1"/>
    </w:lvl>
  </w:abstractNum>
  <w:abstractNum w:abstractNumId="75">
    <w:nsid w:val="312167AD"/>
    <w:multiLevelType w:val="hybridMultilevel"/>
    <w:lvl w:ilvl="0">
      <w:lvlJc w:val="left"/>
      <w:lvlText w:val="-"/>
      <w:numFmt w:val="bullet"/>
      <w:start w:val="1"/>
    </w:lvl>
  </w:abstractNum>
  <w:abstractNum w:abstractNumId="76">
    <w:nsid w:val="631B64D4"/>
    <w:multiLevelType w:val="hybridMultilevel"/>
    <w:lvl w:ilvl="0">
      <w:lvlJc w:val="left"/>
      <w:lvlText w:val="-"/>
      <w:numFmt w:val="bullet"/>
      <w:start w:val="1"/>
    </w:lvl>
  </w:abstractNum>
  <w:abstractNum w:abstractNumId="77">
    <w:nsid w:val="78B5E776"/>
    <w:multiLevelType w:val="hybridMultilevel"/>
    <w:lvl w:ilvl="0">
      <w:lvlJc w:val="left"/>
      <w:lvlText w:val="(%1)"/>
      <w:numFmt w:val="lowerLetter"/>
      <w:start w:val="1"/>
    </w:lvl>
  </w:abstractNum>
  <w:abstractNum w:abstractNumId="78">
    <w:nsid w:val="75486E47"/>
    <w:multiLevelType w:val="hybridMultilevel"/>
    <w:lvl w:ilvl="0">
      <w:lvlJc w:val="left"/>
      <w:lvlText w:val="-"/>
      <w:numFmt w:val="bullet"/>
      <w:start w:val="1"/>
    </w:lvl>
  </w:abstractNum>
  <w:abstractNum w:abstractNumId="79">
    <w:nsid w:val="6E534CDE"/>
    <w:multiLevelType w:val="hybridMultilevel"/>
    <w:lvl w:ilvl="0">
      <w:lvlJc w:val="left"/>
      <w:lvlText w:val="(%1)"/>
      <w:numFmt w:val="lowerLetter"/>
      <w:start w:val="1"/>
    </w:lvl>
  </w:abstractNum>
  <w:abstractNum w:abstractNumId="80">
    <w:nsid w:val="1A0DDE32"/>
    <w:multiLevelType w:val="hybridMultilevel"/>
    <w:lvl w:ilvl="0">
      <w:lvlJc w:val="left"/>
      <w:lvlText w:val="-"/>
      <w:numFmt w:val="bullet"/>
      <w:start w:val="1"/>
    </w:lvl>
    <w:lvl w:ilvl="1">
      <w:lvlJc w:val="left"/>
      <w:lvlText w:val="(%2)"/>
      <w:numFmt w:val="lowerLetter"/>
      <w:start w:val="3"/>
    </w:lvl>
  </w:abstractNum>
  <w:abstractNum w:abstractNumId="81">
    <w:nsid w:val="65968C1C"/>
    <w:multiLevelType w:val="hybridMultilevel"/>
    <w:lvl w:ilvl="0">
      <w:lvlJc w:val="left"/>
      <w:lvlText w:val="(%1)"/>
      <w:numFmt w:val="lowerLetter"/>
      <w:start w:val="2"/>
    </w:lvl>
  </w:abstractNum>
  <w:abstractNum w:abstractNumId="82">
    <w:nsid w:val="46263DEC"/>
    <w:multiLevelType w:val="hybridMultilevel"/>
    <w:lvl w:ilvl="0">
      <w:lvlJc w:val="left"/>
      <w:lvlText w:val="-"/>
      <w:numFmt w:val="bullet"/>
      <w:start w:val="1"/>
    </w:lvl>
    <w:lvl w:ilvl="1">
      <w:lvlJc w:val="left"/>
      <w:lvlText w:val="(%2)"/>
      <w:numFmt w:val="lowerLetter"/>
      <w:start w:val="2"/>
    </w:lvl>
  </w:abstractNum>
  <w:abstractNum w:abstractNumId="83">
    <w:nsid w:val="260D8C4A"/>
    <w:multiLevelType w:val="hybridMultilevel"/>
    <w:lvl w:ilvl="0">
      <w:lvlJc w:val="left"/>
      <w:lvlText w:val="(%1)"/>
      <w:numFmt w:val="lowerLetter"/>
      <w:start w:val="24"/>
    </w:lvl>
    <w:lvl w:ilvl="1">
      <w:lvlJc w:val="left"/>
      <w:lvlText w:val="(%2)"/>
      <w:numFmt w:val="lowerLetter"/>
      <w:start w:val="2"/>
    </w:lvl>
  </w:abstractNum>
  <w:abstractNum w:abstractNumId="84">
    <w:nsid w:val="73D4D3C4"/>
    <w:multiLevelType w:val="hybridMultilevel"/>
    <w:lvl w:ilvl="0">
      <w:lvlJc w:val="left"/>
      <w:lvlText w:val="-"/>
      <w:numFmt w:val="bullet"/>
      <w:start w:val="1"/>
    </w:lvl>
  </w:abstractNum>
  <w:abstractNum w:abstractNumId="85">
    <w:nsid w:val="746F2E30"/>
    <w:multiLevelType w:val="hybridMultilevel"/>
    <w:lvl w:ilvl="0">
      <w:lvlJc w:val="left"/>
      <w:lvlText w:val="(%1)"/>
      <w:numFmt w:val="lowerLetter"/>
      <w:start w:val="3"/>
    </w:lvl>
  </w:abstractNum>
  <w:abstractNum w:abstractNumId="86">
    <w:nsid w:val="6FDE8AF6"/>
    <w:multiLevelType w:val="hybridMultilevel"/>
    <w:lvl w:ilvl="0">
      <w:lvlJc w:val="left"/>
      <w:lvlText w:val="(%1)"/>
      <w:numFmt w:val="lowerLetter"/>
      <w:start w:val="1"/>
    </w:lvl>
  </w:abstractNum>
  <w:abstractNum w:abstractNumId="87">
    <w:nsid w:val="3FC32E20"/>
    <w:multiLevelType w:val="hybridMultilevel"/>
    <w:lvl w:ilvl="0">
      <w:lvlJc w:val="left"/>
      <w:lvlText w:val="-"/>
      <w:numFmt w:val="bullet"/>
      <w:start w:val="1"/>
    </w:lvl>
  </w:abstractNum>
  <w:abstractNum w:abstractNumId="88">
    <w:nsid w:val="49C0E823"/>
    <w:multiLevelType w:val="hybridMultilevel"/>
    <w:lvl w:ilvl="0">
      <w:lvlJc w:val="left"/>
      <w:lvlText w:val="(%1)"/>
      <w:numFmt w:val="lowerLetter"/>
      <w:start w:val="2"/>
    </w:lvl>
  </w:abstractNum>
  <w:abstractNum w:abstractNumId="89">
    <w:nsid w:val="14D53685"/>
    <w:multiLevelType w:val="hybridMultilevel"/>
    <w:lvl w:ilvl="0">
      <w:lvlJc w:val="left"/>
      <w:lvlText w:val="-"/>
      <w:numFmt w:val="bullet"/>
      <w:start w:val="1"/>
    </w:lvl>
  </w:abstractNum>
  <w:abstractNum w:abstractNumId="90">
    <w:nsid w:val="230F856C"/>
    <w:multiLevelType w:val="hybridMultilevel"/>
    <w:lvl w:ilvl="0">
      <w:lvlJc w:val="left"/>
      <w:lvlText w:val="(%1)"/>
      <w:numFmt w:val="lowerLetter"/>
      <w:start w:val="5"/>
    </w:lvl>
  </w:abstractNum>
  <w:abstractNum w:abstractNumId="91">
    <w:nsid w:val="6EAA85FB"/>
    <w:multiLevelType w:val="hybridMultilevel"/>
    <w:lvl w:ilvl="0">
      <w:lvlJc w:val="left"/>
      <w:lvlText w:val="-"/>
      <w:numFmt w:val="bullet"/>
      <w:start w:val="1"/>
    </w:lvl>
    <w:lvl w:ilvl="1">
      <w:lvlJc w:val="left"/>
      <w:lvlText w:val="(%2)"/>
      <w:numFmt w:val="lowerLetter"/>
      <w:start w:val="2"/>
    </w:lvl>
  </w:abstractNum>
  <w:abstractNum w:abstractNumId="92">
    <w:nsid w:val="3F06ECB2"/>
    <w:multiLevelType w:val="hybridMultilevel"/>
    <w:lvl w:ilvl="0">
      <w:lvlJc w:val="left"/>
      <w:lvlText w:val="(%1)"/>
      <w:numFmt w:val="lowerRoman"/>
      <w:start w:val="2"/>
    </w:lvl>
  </w:abstractNum>
  <w:abstractNum w:abstractNumId="93">
    <w:nsid w:val="3B594807"/>
    <w:multiLevelType w:val="hybridMultilevel"/>
    <w:lvl w:ilvl="0">
      <w:lvlJc w:val="left"/>
      <w:lvlText w:val="(%1)"/>
      <w:numFmt w:val="lowerLetter"/>
      <w:start w:val="3"/>
    </w:lvl>
  </w:abstractNum>
  <w:abstractNum w:abstractNumId="94">
    <w:nsid w:val="6CAA2304"/>
    <w:multiLevelType w:val="hybridMultilevel"/>
    <w:lvl w:ilvl="0">
      <w:lvlJc w:val="left"/>
      <w:lvlText w:val="(%1)"/>
      <w:numFmt w:val="lowerLetter"/>
      <w:start w:val="2"/>
    </w:lvl>
  </w:abstractNum>
  <w:abstractNum w:abstractNumId="95">
    <w:nsid w:val="3F7C2FF4"/>
    <w:multiLevelType w:val="hybridMultilevel"/>
    <w:lvl w:ilvl="0">
      <w:lvlJc w:val="left"/>
      <w:lvlText w:val="(%1)"/>
      <w:numFmt w:val="lowerRoman"/>
      <w:start w:val="2"/>
    </w:lvl>
  </w:abstractNum>
  <w:abstractNum w:abstractNumId="96">
    <w:nsid w:val="25413BEC"/>
    <w:multiLevelType w:val="hybridMultilevel"/>
    <w:lvl w:ilvl="0">
      <w:lvlJc w:val="left"/>
      <w:lvlText w:val="(%1)"/>
      <w:numFmt w:val="upperLetter"/>
      <w:start w:val="1"/>
    </w:lvl>
  </w:abstractNum>
  <w:abstractNum w:abstractNumId="97">
    <w:nsid w:val="17180B0B"/>
    <w:multiLevelType w:val="hybridMultilevel"/>
    <w:lvl w:ilvl="0">
      <w:lvlJc w:val="left"/>
      <w:lvlText w:val="-"/>
      <w:numFmt w:val="bullet"/>
      <w:start w:val="1"/>
    </w:lvl>
  </w:abstractNum>
  <w:abstractNum w:abstractNumId="98">
    <w:nsid w:val="579328B9"/>
    <w:multiLevelType w:val="hybridMultilevel"/>
    <w:lvl w:ilvl="0">
      <w:lvlJc w:val="left"/>
      <w:lvlText w:val="(%1)"/>
      <w:numFmt w:val="upperLetter"/>
      <w:start w:val="4"/>
    </w:lvl>
  </w:abstractNum>
  <w:abstractNum w:abstractNumId="99">
    <w:nsid w:val="5D205E20"/>
    <w:multiLevelType w:val="hybridMultilevel"/>
    <w:lvl w:ilvl="0">
      <w:lvlJc w:val="left"/>
      <w:lvlText w:val="(%1)"/>
      <w:numFmt w:val="lowerRoman"/>
      <w:start w:val="1"/>
    </w:lvl>
  </w:abstractNum>
  <w:abstractNum w:abstractNumId="100">
    <w:nsid w:val="11CCA8BA"/>
    <w:multiLevelType w:val="hybridMultilevel"/>
    <w:lvl w:ilvl="0">
      <w:lvlJc w:val="left"/>
      <w:lvlText w:val="-"/>
      <w:numFmt w:val="bullet"/>
      <w:start w:val="1"/>
    </w:lvl>
    <w:lvl w:ilvl="1">
      <w:lvlJc w:val="left"/>
      <w:lvlText w:val="(%2)"/>
      <w:numFmt w:val="lowerLetter"/>
      <w:start w:val="2"/>
    </w:lvl>
  </w:abstractNum>
  <w:abstractNum w:abstractNumId="101">
    <w:nsid w:val="4D32AB86"/>
    <w:multiLevelType w:val="hybridMultilevel"/>
    <w:lvl w:ilvl="0">
      <w:lvlJc w:val="left"/>
      <w:lvlText w:val="%1"/>
      <w:numFmt w:val="lowerLetter"/>
      <w:start w:val="1"/>
    </w:lvl>
    <w:lvl w:ilvl="1">
      <w:lvlJc w:val="left"/>
      <w:lvlText w:val="(%2)"/>
      <w:numFmt w:val="lowerLetter"/>
      <w:start w:val="2"/>
    </w:lvl>
  </w:abstractNum>
  <w:abstractNum w:abstractNumId="102">
    <w:nsid w:val="3F07ACC3"/>
    <w:multiLevelType w:val="hybridMultilevel"/>
    <w:lvl w:ilvl="0">
      <w:lvlJc w:val="left"/>
      <w:lvlText w:val="(%1)"/>
      <w:numFmt w:val="lowerLetter"/>
      <w:start w:val="25"/>
    </w:lvl>
    <w:lvl w:ilvl="1">
      <w:lvlJc w:val="left"/>
      <w:lvlText w:val="(%2)"/>
      <w:numFmt w:val="lowerLetter"/>
      <w:start w:val="3"/>
    </w:lvl>
  </w:abstractNum>
  <w:abstractNum w:abstractNumId="103">
    <w:nsid w:val="6B47F63E"/>
    <w:multiLevelType w:val="hybridMultilevel"/>
    <w:lvl w:ilvl="0">
      <w:lvlJc w:val="left"/>
      <w:lvlText w:val="-"/>
      <w:numFmt w:val="bullet"/>
      <w:start w:val="1"/>
    </w:lvl>
  </w:abstractNum>
  <w:abstractNum w:abstractNumId="104">
    <w:nsid w:val="5CB44A05"/>
    <w:multiLevelType w:val="hybridMultilevel"/>
    <w:lvl w:ilvl="0">
      <w:lvlJc w:val="left"/>
      <w:lvlText w:val="%1"/>
      <w:numFmt w:val="upperLetter"/>
      <w:start w:val="1"/>
    </w:lvl>
    <w:lvl w:ilvl="1">
      <w:lvlJc w:val="left"/>
      <w:lvlText w:val="(%2)"/>
      <w:numFmt w:val="lowerRoman"/>
      <w:start w:val="1"/>
    </w:lvl>
  </w:abstractNum>
  <w:abstractNum w:abstractNumId="105">
    <w:nsid w:val="16CF80F1"/>
    <w:multiLevelType w:val="hybridMultilevel"/>
    <w:lvl w:ilvl="0">
      <w:lvlJc w:val="left"/>
      <w:lvlText w:val="(%1)"/>
      <w:numFmt w:val="upperLetter"/>
      <w:start w:val="2"/>
    </w:lvl>
    <w:lvl w:ilvl="1">
      <w:lvlJc w:val="left"/>
      <w:lvlText w:val="(%2)"/>
      <w:numFmt w:val="lowerRoman"/>
      <w:start w:val="3"/>
    </w:lvl>
  </w:abstractNum>
  <w:abstractNum w:abstractNumId="106">
    <w:nsid w:val="1C695DEC"/>
    <w:multiLevelType w:val="hybridMultilevel"/>
    <w:lvl w:ilvl="0">
      <w:lvlJc w:val="left"/>
      <w:lvlText w:val="(%1)"/>
      <w:numFmt w:val="lowerRoman"/>
      <w:start w:val="2"/>
    </w:lvl>
  </w:abstractNum>
  <w:abstractNum w:abstractNumId="107">
    <w:nsid w:val="3FCFAED9"/>
    <w:multiLevelType w:val="hybridMultilevel"/>
    <w:lvl w:ilvl="0">
      <w:lvlJc w:val="left"/>
      <w:lvlText w:val="-"/>
      <w:numFmt w:val="bullet"/>
      <w:start w:val="1"/>
    </w:lvl>
  </w:abstractNum>
  <w:abstractNum w:abstractNumId="108">
    <w:nsid w:val="F856867"/>
    <w:multiLevelType w:val="hybridMultilevel"/>
    <w:lvl w:ilvl="0">
      <w:lvlJc w:val="left"/>
      <w:lvlText w:val="(%1)"/>
      <w:numFmt w:val="lowerLetter"/>
      <w:start w:val="2"/>
    </w:lvl>
  </w:abstractNum>
  <w:abstractNum w:abstractNumId="109">
    <w:nsid w:val="11B1CC33"/>
    <w:multiLevelType w:val="hybridMultilevel"/>
    <w:lvl w:ilvl="0">
      <w:lvlJc w:val="left"/>
      <w:lvlText w:val="(%1)"/>
      <w:numFmt w:val="lowerRoman"/>
      <w:start w:val="2"/>
    </w:lvl>
  </w:abstractNum>
  <w:abstractNum w:abstractNumId="110">
    <w:nsid w:val="2E22FBB7"/>
    <w:multiLevelType w:val="hybridMultilevel"/>
    <w:lvl w:ilvl="0">
      <w:lvlJc w:val="left"/>
      <w:lvlText w:val="-"/>
      <w:numFmt w:val="bullet"/>
      <w:start w:val="1"/>
    </w:lvl>
    <w:lvl w:ilvl="1">
      <w:lvlJc w:val="left"/>
      <w:lvlText w:val="(%2)"/>
      <w:numFmt w:val="lowerLetter"/>
      <w:start w:val="2"/>
    </w:lvl>
  </w:abstractNum>
  <w:abstractNum w:abstractNumId="111">
    <w:nsid w:val="29934699"/>
    <w:multiLevelType w:val="hybridMultilevel"/>
    <w:lvl w:ilvl="0">
      <w:lvlJc w:val="left"/>
      <w:lvlText w:val="(%1)"/>
      <w:numFmt w:val="lowerLetter"/>
      <w:start w:val="3"/>
    </w:lvl>
  </w:abstractNum>
  <w:abstractNum w:abstractNumId="112">
    <w:nsid w:val="77485850"/>
    <w:multiLevelType w:val="hybridMultilevel"/>
    <w:lvl w:ilvl="0">
      <w:lvlJc w:val="left"/>
      <w:lvlText w:val="-"/>
      <w:numFmt w:val="bullet"/>
      <w:start w:val="1"/>
    </w:lvl>
  </w:abstractNum>
  <w:abstractNum w:abstractNumId="113">
    <w:nsid w:val="744939A3"/>
    <w:multiLevelType w:val="hybridMultilevel"/>
    <w:lvl w:ilvl="0">
      <w:lvlJc w:val="left"/>
      <w:lvlText w:val="(%1)"/>
      <w:numFmt w:val="lowerLetter"/>
      <w:start w:val="2"/>
    </w:lvl>
  </w:abstractNum>
  <w:abstractNum w:abstractNumId="114">
    <w:nsid w:val="4FA0D2E3"/>
    <w:multiLevelType w:val="hybridMultilevel"/>
    <w:lvl w:ilvl="0">
      <w:lvlJc w:val="left"/>
      <w:lvlText w:val="-"/>
      <w:numFmt w:val="bullet"/>
      <w:start w:val="1"/>
    </w:lvl>
  </w:abstractNum>
  <w:abstractNum w:abstractNumId="115">
    <w:nsid w:val="6B1D2C14"/>
    <w:multiLevelType w:val="hybridMultilevel"/>
    <w:lvl w:ilvl="0">
      <w:lvlJc w:val="left"/>
      <w:lvlText w:val="(%1)"/>
      <w:numFmt w:val="lowerLetter"/>
      <w:start w:val="35"/>
    </w:lvl>
    <w:lvl w:ilvl="1">
      <w:lvlJc w:val="left"/>
      <w:lvlText w:val="(%2)"/>
      <w:numFmt w:val="lowerLetter"/>
      <w:start w:val="2"/>
    </w:lvl>
  </w:abstractNum>
  <w:abstractNum w:abstractNumId="116">
    <w:nsid w:val="68B867D3"/>
    <w:multiLevelType w:val="hybridMultilevel"/>
    <w:lvl w:ilvl="0">
      <w:lvlJc w:val="left"/>
      <w:lvlText w:val="-"/>
      <w:numFmt w:val="bullet"/>
      <w:start w:val="1"/>
    </w:lvl>
  </w:abstractNum>
  <w:abstractNum w:abstractNumId="117">
    <w:nsid w:val="3F7F5DD9"/>
    <w:multiLevelType w:val="hybridMultilevel"/>
    <w:lvl w:ilvl="0">
      <w:lvlJc w:val="left"/>
      <w:lvlText w:val="(%1)"/>
      <w:numFmt w:val="lowerLetter"/>
      <w:start w:val="4"/>
    </w:lvl>
  </w:abstractNum>
  <w:abstractNum w:abstractNumId="118">
    <w:nsid w:val="2AE05A34"/>
    <w:multiLevelType w:val="hybridMultilevel"/>
    <w:lvl w:ilvl="0">
      <w:lvlJc w:val="left"/>
      <w:lvlText w:val="-"/>
      <w:numFmt w:val="bullet"/>
      <w:start w:val="1"/>
    </w:lvl>
    <w:lvl w:ilvl="1">
      <w:lvlJc w:val="left"/>
      <w:lvlText w:val="(%2)"/>
      <w:numFmt w:val="lowerRoman"/>
      <w:start w:val="2"/>
    </w:lvl>
  </w:abstractNum>
  <w:abstractNum w:abstractNumId="119">
    <w:nsid w:val="32794FF7"/>
    <w:multiLevelType w:val="hybridMultilevel"/>
    <w:lvl w:ilvl="0">
      <w:lvlJc w:val="left"/>
      <w:lvlText w:val="(%1)"/>
      <w:numFmt w:val="lowerLetter"/>
      <w:start w:val="6"/>
    </w:lvl>
  </w:abstractNum>
  <w:abstractNum w:abstractNumId="120">
    <w:nsid w:val="5454945E"/>
    <w:multiLevelType w:val="hybridMultilevel"/>
    <w:lvl w:ilvl="0">
      <w:lvlJc w:val="left"/>
      <w:lvlText w:val="(%1)"/>
      <w:numFmt w:val="lowerRoman"/>
      <w:start w:val="1"/>
    </w:lvl>
  </w:abstractNum>
  <w:abstractNum w:abstractNumId="121">
    <w:nsid w:val="4DEFDFA0"/>
    <w:multiLevelType w:val="hybridMultilevel"/>
    <w:lvl w:ilvl="0">
      <w:lvlJc w:val="left"/>
      <w:lvlText w:val="-"/>
      <w:numFmt w:val="bullet"/>
      <w:start w:val="1"/>
    </w:lvl>
  </w:abstractNum>
  <w:abstractNum w:abstractNumId="122">
    <w:nsid w:val="2123D5F2"/>
    <w:multiLevelType w:val="hybridMultilevel"/>
    <w:lvl w:ilvl="0">
      <w:lvlJc w:val="left"/>
      <w:lvlText w:val="(%1)"/>
      <w:numFmt w:val="lowerLetter"/>
      <w:start w:val="2"/>
    </w:lvl>
  </w:abstractNum>
  <w:abstractNum w:abstractNumId="123">
    <w:nsid w:val="135B8110"/>
    <w:multiLevelType w:val="hybridMultilevel"/>
    <w:lvl w:ilvl="0">
      <w:lvlJc w:val="left"/>
      <w:lvlText w:val="-"/>
      <w:numFmt w:val="bullet"/>
      <w:start w:val="1"/>
    </w:lvl>
  </w:abstractNum>
  <w:abstractNum w:abstractNumId="124">
    <w:nsid w:val="94927A8"/>
    <w:multiLevelType w:val="hybridMultilevel"/>
    <w:lvl w:ilvl="0">
      <w:lvlJc w:val="left"/>
      <w:lvlText w:val="(%1)"/>
      <w:numFmt w:val="lowerLetter"/>
      <w:start w:val="2"/>
    </w:lvl>
  </w:abstractNum>
  <w:abstractNum w:abstractNumId="125">
    <w:nsid w:val="DCDF8F6"/>
    <w:multiLevelType w:val="hybridMultilevel"/>
    <w:lvl w:ilvl="0">
      <w:lvlJc w:val="left"/>
      <w:lvlText w:val="-"/>
      <w:numFmt w:val="bullet"/>
      <w:start w:val="1"/>
    </w:lvl>
    <w:lvl w:ilvl="1">
      <w:lvlJc w:val="left"/>
      <w:lvlText w:val="(%2)"/>
      <w:numFmt w:val="lowerRoman"/>
      <w:start w:val="1"/>
    </w:lvl>
  </w:abstractNum>
  <w:abstractNum w:abstractNumId="126">
    <w:nsid w:val="52D7B105"/>
    <w:multiLevelType w:val="hybridMultilevel"/>
    <w:lvl w:ilvl="0">
      <w:lvlJc w:val="left"/>
      <w:lvlText w:val="(%1)"/>
      <w:numFmt w:val="lowerRoman"/>
      <w:start w:val="2"/>
    </w:lvl>
  </w:abstractNum>
  <w:abstractNum w:abstractNumId="127">
    <w:nsid w:val="2E8A6394"/>
    <w:multiLevelType w:val="hybridMultilevel"/>
    <w:lvl w:ilvl="0">
      <w:lvlJc w:val="left"/>
      <w:lvlText w:val="%1"/>
      <w:numFmt w:val="upperLetter"/>
      <w:start w:val="1"/>
    </w:lvl>
    <w:lvl w:ilvl="1">
      <w:lvlJc w:val="left"/>
      <w:lvlText w:val="(%2)"/>
      <w:numFmt w:val="lowerRoman"/>
      <w:start w:val="1"/>
    </w:lvl>
  </w:abstractNum>
  <w:abstractNum w:abstractNumId="128">
    <w:nsid w:val="24E60401"/>
    <w:multiLevelType w:val="hybridMultilevel"/>
    <w:lvl w:ilvl="0">
      <w:lvlJc w:val="left"/>
      <w:lvlText w:val="(%1)"/>
      <w:numFmt w:val="upperLetter"/>
      <w:start w:val="1"/>
    </w:lvl>
    <w:lvl w:ilvl="1">
      <w:lvlJc w:val="left"/>
      <w:lvlText w:val="(%2)"/>
      <w:numFmt w:val="lowerRoman"/>
      <w:start w:val="2"/>
    </w:lvl>
  </w:abstractNum>
  <w:abstractNum w:abstractNumId="129">
    <w:nsid w:val="2A6AD9BE"/>
    <w:multiLevelType w:val="hybridMultilevel"/>
    <w:lvl w:ilvl="0">
      <w:lvlJc w:val="left"/>
      <w:lvlText w:val="-"/>
      <w:numFmt w:val="bullet"/>
      <w:start w:val="1"/>
    </w:lvl>
  </w:abstractNum>
  <w:abstractNum w:abstractNumId="130">
    <w:nsid w:val="BAAC1B4"/>
    <w:multiLevelType w:val="hybridMultilevel"/>
    <w:lvl w:ilvl="0">
      <w:lvlJc w:val="left"/>
      <w:lvlText w:val="(%1)"/>
      <w:numFmt w:val="lowerLetter"/>
      <w:start w:val="2"/>
    </w:lvl>
  </w:abstractNum>
  <w:abstractNum w:abstractNumId="131">
    <w:nsid w:val="36B2ACBC"/>
    <w:multiLevelType w:val="hybridMultilevel"/>
    <w:lvl w:ilvl="0">
      <w:lvlJc w:val="left"/>
      <w:lvlText w:val="-"/>
      <w:numFmt w:val="bullet"/>
      <w:start w:val="1"/>
    </w:lvl>
  </w:abstractNum>
  <w:abstractNum w:abstractNumId="132">
    <w:nsid w:val="779D8544"/>
    <w:multiLevelType w:val="hybridMultilevel"/>
    <w:lvl w:ilvl="0">
      <w:lvlJc w:val="left"/>
      <w:lvlText w:val="(%1)"/>
      <w:numFmt w:val="lowerLetter"/>
      <w:start w:val="1"/>
    </w:lvl>
  </w:abstractNum>
  <w:abstractNum w:abstractNumId="133">
    <w:nsid w:val="4AB26E78"/>
    <w:multiLevelType w:val="hybridMultilevel"/>
    <w:lvl w:ilvl="0">
      <w:lvlJc w:val="left"/>
      <w:lvlText w:val="(%1)"/>
      <w:numFmt w:val="lowerLetter"/>
      <w:start w:val="1"/>
    </w:lvl>
  </w:abstractNum>
  <w:abstractNum w:abstractNumId="134">
    <w:nsid w:val="21FAA2FA"/>
    <w:multiLevelType w:val="hybridMultilevel"/>
    <w:lvl w:ilvl="0">
      <w:lvlJc w:val="left"/>
      <w:lvlText w:val="-"/>
      <w:numFmt w:val="bullet"/>
      <w:start w:val="1"/>
    </w:lvl>
  </w:abstractNum>
  <w:abstractNum w:abstractNumId="135">
    <w:nsid w:val="5451CF49"/>
    <w:multiLevelType w:val="hybridMultilevel"/>
    <w:lvl w:ilvl="0">
      <w:lvlJc w:val="left"/>
      <w:lvlText w:val="(%1)"/>
      <w:numFmt w:val="lowerLetter"/>
      <w:start w:val="4"/>
    </w:lvl>
  </w:abstractNum>
  <w:abstractNum w:abstractNumId="136">
    <w:nsid w:val="6181EF69"/>
    <w:multiLevelType w:val="hybridMultilevel"/>
    <w:lvl w:ilvl="0">
      <w:lvlJc w:val="left"/>
      <w:lvlText w:val="(%1)"/>
      <w:numFmt w:val="lowerLetter"/>
      <w:start w:val="24"/>
    </w:lvl>
  </w:abstractNum>
  <w:abstractNum w:abstractNumId="137">
    <w:nsid w:val="3E6400E6"/>
    <w:multiLevelType w:val="hybridMultilevel"/>
    <w:lvl w:ilvl="0">
      <w:lvlJc w:val="left"/>
      <w:lvlText w:val="(%1)"/>
      <w:numFmt w:val="lowerLetter"/>
      <w:start w:val="1"/>
    </w:lvl>
  </w:abstractNum>
  <w:abstractNum w:abstractNumId="138">
    <w:nsid w:val="14217E23"/>
    <w:multiLevelType w:val="hybridMultilevel"/>
    <w:lvl w:ilvl="0">
      <w:lvlJc w:val="left"/>
      <w:lvlText w:val="-"/>
      <w:numFmt w:val="bullet"/>
      <w:start w:val="1"/>
    </w:lvl>
  </w:abstractNum>
  <w:abstractNum w:abstractNumId="139">
    <w:nsid w:val="710757D0"/>
    <w:multiLevelType w:val="hybridMultilevel"/>
    <w:lvl w:ilvl="0">
      <w:lvlJc w:val="left"/>
      <w:lvlText w:val="(%1)"/>
      <w:numFmt w:val="lowerLetter"/>
      <w:start w:val="4"/>
    </w:lvl>
    <w:lvl w:ilvl="1">
      <w:lvlJc w:val="left"/>
      <w:lvlText w:val="(%2)"/>
      <w:numFmt w:val="lowerRoman"/>
      <w:start w:val="1"/>
    </w:lvl>
  </w:abstractNum>
  <w:abstractNum w:abstractNumId="140">
    <w:nsid w:val="5015CD1A"/>
    <w:multiLevelType w:val="hybridMultilevel"/>
    <w:lvl w:ilvl="0">
      <w:lvlJc w:val="left"/>
      <w:lvlText w:val="-"/>
      <w:numFmt w:val="bullet"/>
      <w:start w:val="1"/>
    </w:lvl>
  </w:abstractNum>
  <w:abstractNum w:abstractNumId="141">
    <w:nsid w:val="424479DA"/>
    <w:multiLevelType w:val="hybridMultilevel"/>
    <w:lvl w:ilvl="0">
      <w:lvlJc w:val="left"/>
      <w:lvlText w:val="(%1)"/>
      <w:numFmt w:val="lowerRoman"/>
      <w:start w:val="1"/>
    </w:lvl>
  </w:abstractNum>
  <w:abstractNum w:abstractNumId="142">
    <w:nsid w:val="1A9A9E69"/>
    <w:multiLevelType w:val="hybridMultilevel"/>
    <w:lvl w:ilvl="0">
      <w:lvlJc w:val="left"/>
      <w:lvlText w:val="-"/>
      <w:numFmt w:val="bullet"/>
      <w:start w:val="1"/>
    </w:lvl>
    <w:lvl w:ilvl="1">
      <w:lvlJc w:val="left"/>
      <w:lvlText w:val="(%2)"/>
      <w:numFmt w:val="lowerLetter"/>
      <w:start w:val="1"/>
    </w:lvl>
  </w:abstractNum>
  <w:abstractNum w:abstractNumId="143">
    <w:nsid w:val="475E256A"/>
    <w:multiLevelType w:val="hybridMultilevel"/>
    <w:lvl w:ilvl="0">
      <w:lvlJc w:val="left"/>
      <w:lvlText w:val="(%1)"/>
      <w:numFmt w:val="lowerLetter"/>
      <w:start w:val="2"/>
    </w:lvl>
  </w:abstractNum>
  <w:abstractNum w:abstractNumId="144">
    <w:nsid w:val="368DB37E"/>
    <w:multiLevelType w:val="hybridMultilevel"/>
    <w:lvl w:ilvl="0">
      <w:lvlJc w:val="left"/>
      <w:lvlText w:val="-"/>
      <w:numFmt w:val="bullet"/>
      <w:start w:val="1"/>
    </w:lvl>
  </w:abstractNum>
  <w:abstractNum w:abstractNumId="145">
    <w:nsid w:val="6A3B714C"/>
    <w:multiLevelType w:val="hybridMultilevel"/>
    <w:lvl w:ilvl="0">
      <w:lvlJc w:val="left"/>
      <w:lvlText w:val="%1"/>
      <w:numFmt w:val="lowerLetter"/>
      <w:start w:val="1"/>
    </w:lvl>
    <w:lvl w:ilvl="1">
      <w:lvlJc w:val="left"/>
      <w:lvlText w:val="(%2)"/>
      <w:numFmt w:val="lowerLetter"/>
      <w:start w:val="9"/>
    </w:lvl>
  </w:abstractNum>
  <w:abstractNum w:abstractNumId="146">
    <w:nsid w:val="327B517E"/>
    <w:multiLevelType w:val="hybridMultilevel"/>
    <w:lvl w:ilvl="0">
      <w:lvlJc w:val="left"/>
      <w:lvlText w:val="(%1)"/>
      <w:numFmt w:val="lowerLetter"/>
      <w:start w:val="35"/>
    </w:lvl>
    <w:lvl w:ilvl="1">
      <w:lvlJc w:val="left"/>
      <w:lvlText w:val="(%2)"/>
      <w:numFmt w:val="lowerLetter"/>
      <w:start w:val="11"/>
    </w:lvl>
  </w:abstractNum>
  <w:abstractNum w:abstractNumId="147">
    <w:nsid w:val="1F461B51"/>
    <w:multiLevelType w:val="hybridMultilevel"/>
    <w:lvl w:ilvl="0">
      <w:lvlJc w:val="left"/>
      <w:lvlText w:val="-"/>
      <w:numFmt w:val="bullet"/>
      <w:start w:val="1"/>
    </w:lvl>
    <w:lvl w:ilvl="1">
      <w:lvlJc w:val="left"/>
      <w:lvlText w:val="(%2)"/>
      <w:numFmt w:val="lowerLetter"/>
      <w:start w:val="1"/>
    </w:lvl>
  </w:abstractNum>
  <w:abstractNum w:abstractNumId="148">
    <w:nsid w:val="29BACF25"/>
    <w:multiLevelType w:val="hybridMultilevel"/>
    <w:lvl w:ilvl="0">
      <w:lvlJc w:val="left"/>
      <w:lvlText w:val="(%1)"/>
      <w:numFmt w:val="lowerLetter"/>
      <w:start w:val="2"/>
    </w:lvl>
    <w:lvl w:ilvl="1">
      <w:lvlJc w:val="left"/>
      <w:lvlText w:val="(%2)"/>
      <w:numFmt w:val="lowerLetter"/>
      <w:start w:val="9"/>
    </w:lvl>
  </w:abstractNum>
  <w:abstractNum w:abstractNumId="149">
    <w:nsid w:val="5D5BABB3"/>
    <w:multiLevelType w:val="hybridMultilevel"/>
    <w:lvl w:ilvl="0">
      <w:lvlJc w:val="left"/>
      <w:lvlText w:val="-"/>
      <w:numFmt w:val="bullet"/>
      <w:start w:val="1"/>
    </w:lvl>
  </w:abstractNum>
  <w:abstractNum w:abstractNumId="150">
    <w:nsid w:val="51BF6B48"/>
    <w:multiLevelType w:val="hybridMultilevel"/>
    <w:lvl w:ilvl="0">
      <w:lvlJc w:val="left"/>
      <w:lvlText w:val="(%1)"/>
      <w:numFmt w:val="lowerRoman"/>
      <w:start w:val="2"/>
    </w:lvl>
  </w:abstractNum>
  <w:abstractNum w:abstractNumId="151">
    <w:nsid w:val="7E0F6384"/>
    <w:multiLevelType w:val="hybridMultilevel"/>
    <w:lvl w:ilvl="0">
      <w:lvlJc w:val="left"/>
      <w:lvlText w:val="-"/>
      <w:numFmt w:val="bullet"/>
      <w:start w:val="1"/>
    </w:lvl>
  </w:abstractNum>
  <w:abstractNum w:abstractNumId="152">
    <w:nsid w:val="2B4B8B5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53">
    <w:nsid w:val="72E3413A"/>
    <w:multiLevelType w:val="hybridMultilevel"/>
    <w:lvl w:ilvl="0">
      <w:lvlJc w:val="left"/>
      <w:lvlText w:val="(%1)"/>
      <w:numFmt w:val="lowerLetter"/>
      <w:start w:val="2"/>
    </w:lvl>
    <w:lvl w:ilvl="1">
      <w:lvlJc w:val="left"/>
      <w:lvlText w:val="(%2)"/>
      <w:numFmt w:val="lowerRoman"/>
      <w:start w:val="1"/>
    </w:lvl>
  </w:abstractNum>
  <w:abstractNum w:abstractNumId="154">
    <w:nsid w:val="116AE494"/>
    <w:multiLevelType w:val="hybridMultilevel"/>
    <w:lvl w:ilvl="0">
      <w:lvlJc w:val="left"/>
      <w:lvlText w:val="-"/>
      <w:numFmt w:val="bullet"/>
      <w:start w:val="1"/>
    </w:lvl>
  </w:abstractNum>
  <w:abstractNum w:abstractNumId="155">
    <w:nsid w:val="3494B2FB"/>
    <w:multiLevelType w:val="hybridMultilevel"/>
    <w:lvl w:ilvl="0">
      <w:lvlJc w:val="left"/>
      <w:lvlText w:val="(%1)"/>
      <w:numFmt w:val="lowerLetter"/>
      <w:start w:val="5"/>
    </w:lvl>
    <w:lvl w:ilvl="1">
      <w:lvlJc w:val="left"/>
      <w:lvlText w:val="(%2)"/>
      <w:numFmt w:val="lowerRoman"/>
      <w:start w:val="1"/>
    </w:lvl>
  </w:abstractNum>
  <w:abstractNum w:abstractNumId="156">
    <w:nsid w:val="B13A31"/>
    <w:multiLevelType w:val="hybridMultilevel"/>
    <w:lvl w:ilvl="0">
      <w:lvlJc w:val="left"/>
      <w:lvlText w:val="(%1)"/>
      <w:numFmt w:val="lowerLetter"/>
      <w:start w:val="1"/>
    </w:lvl>
  </w:abstractNum>
  <w:abstractNum w:abstractNumId="157">
    <w:nsid w:val="64429599"/>
    <w:multiLevelType w:val="hybridMultilevel"/>
    <w:lvl w:ilvl="0">
      <w:lvlJc w:val="left"/>
      <w:lvlText w:val="-"/>
      <w:numFmt w:val="bullet"/>
      <w:start w:val="1"/>
    </w:lvl>
  </w:abstractNum>
  <w:abstractNum w:abstractNumId="158">
    <w:nsid w:val="631F1690"/>
    <w:multiLevelType w:val="hybridMultilevel"/>
    <w:lvl w:ilvl="0">
      <w:lvlJc w:val="left"/>
      <w:lvlText w:val="(%1)"/>
      <w:numFmt w:val="lowerLetter"/>
      <w:start w:val="1"/>
    </w:lvl>
  </w:abstractNum>
  <w:abstractNum w:abstractNumId="159">
    <w:nsid w:val="25973E32"/>
    <w:multiLevelType w:val="hybridMultilevel"/>
    <w:lvl w:ilvl="0">
      <w:lvlJc w:val="left"/>
      <w:lvlText w:val="-"/>
      <w:numFmt w:val="bullet"/>
      <w:start w:val="1"/>
    </w:lvl>
  </w:abstractNum>
  <w:abstractNum w:abstractNumId="160">
    <w:nsid w:val="EAD6F57"/>
    <w:multiLevelType w:val="hybridMultilevel"/>
    <w:lvl w:ilvl="0">
      <w:lvlJc w:val="left"/>
      <w:lvlText w:val="(%1)"/>
      <w:numFmt w:val="lowerLetter"/>
      <w:start w:val="6"/>
    </w:lvl>
  </w:abstractNum>
  <w:abstractNum w:abstractNumId="161">
    <w:nsid w:val="6EC9D844"/>
    <w:multiLevelType w:val="hybridMultilevel"/>
    <w:lvl w:ilvl="0">
      <w:lvlJc w:val="left"/>
      <w:lvlText w:val="(%1)"/>
      <w:numFmt w:val="lowerRoman"/>
      <w:start w:val="2"/>
    </w:lvl>
  </w:abstractNum>
  <w:abstractNum w:abstractNumId="162">
    <w:nsid w:val="5C49EAEE"/>
    <w:multiLevelType w:val="hybridMultilevel"/>
    <w:lvl w:ilvl="0">
      <w:lvlJc w:val="left"/>
      <w:lvlText w:val="-"/>
      <w:numFmt w:val="bullet"/>
      <w:start w:val="1"/>
    </w:lvl>
  </w:abstractNum>
  <w:abstractNum w:abstractNumId="163">
    <w:nsid w:val="64AF49B"/>
    <w:multiLevelType w:val="hybridMultilevel"/>
    <w:lvl w:ilvl="0">
      <w:lvlJc w:val="left"/>
      <w:lvlText w:val="(%1)"/>
      <w:numFmt w:val="lowerLetter"/>
      <w:start w:val="2"/>
    </w:lvl>
  </w:abstractNum>
  <w:abstractNum w:abstractNumId="164">
    <w:nsid w:val="397C46BC"/>
    <w:multiLevelType w:val="hybridMultilevel"/>
    <w:lvl w:ilvl="0">
      <w:lvlJc w:val="left"/>
      <w:lvlText w:val="-"/>
      <w:numFmt w:val="bullet"/>
      <w:start w:val="1"/>
    </w:lvl>
  </w:abstractNum>
  <w:abstractNum w:abstractNumId="165">
    <w:nsid w:val="7E448DE9"/>
    <w:multiLevelType w:val="hybridMultilevel"/>
    <w:lvl w:ilvl="0">
      <w:lvlJc w:val="left"/>
      <w:lvlText w:val="%1"/>
      <w:numFmt w:val="lowerLetter"/>
      <w:start w:val="1"/>
    </w:lvl>
    <w:lvl w:ilvl="1">
      <w:lvlJc w:val="left"/>
      <w:lvlText w:val="(%2)"/>
      <w:numFmt w:val="lowerRoman"/>
      <w:start w:val="1"/>
    </w:lvl>
  </w:abstractNum>
  <w:abstractNum w:abstractNumId="166">
    <w:nsid w:val="5A9CC3E5"/>
    <w:multiLevelType w:val="hybridMultilevel"/>
    <w:lvl w:ilvl="0">
      <w:lvlJc w:val="left"/>
      <w:lvlText w:val="(%1)"/>
      <w:numFmt w:val="lowerLetter"/>
      <w:start w:val="2"/>
    </w:lvl>
    <w:lvl w:ilvl="1">
      <w:lvlJc w:val="left"/>
      <w:lvlText w:val="%2"/>
      <w:numFmt w:val="lowerRoman"/>
      <w:start w:val="1"/>
    </w:lvl>
  </w:abstractNum>
  <w:abstractNum w:abstractNumId="167">
    <w:nsid w:val="1AFE3625"/>
    <w:multiLevelType w:val="hybridMultilevel"/>
    <w:lvl w:ilvl="0">
      <w:lvlJc w:val="left"/>
      <w:lvlText w:val="-"/>
      <w:numFmt w:val="bullet"/>
      <w:start w:val="1"/>
    </w:lvl>
  </w:abstractNum>
  <w:abstractNum w:abstractNumId="168">
    <w:nsid w:val="3CA88ECF"/>
    <w:multiLevelType w:val="hybridMultilevel"/>
    <w:lvl w:ilvl="0">
      <w:lvlJc w:val="left"/>
      <w:lvlText w:val="(%1)"/>
      <w:numFmt w:val="lowerLetter"/>
      <w:start w:val="2"/>
    </w:lvl>
  </w:abstractNum>
  <w:abstractNum w:abstractNumId="169">
    <w:nsid w:val="6EBE4208"/>
    <w:multiLevelType w:val="hybridMultilevel"/>
    <w:lvl w:ilvl="0">
      <w:lvlJc w:val="left"/>
      <w:lvlText w:val="-"/>
      <w:numFmt w:val="bullet"/>
      <w:start w:val="1"/>
    </w:lvl>
  </w:abstractNum>
  <w:abstractNum w:abstractNumId="170">
    <w:nsid w:val="C058DF5"/>
    <w:multiLevelType w:val="hybridMultilevel"/>
    <w:lvl w:ilvl="0">
      <w:lvlJc w:val="left"/>
      <w:lvlText w:val="(%1)"/>
      <w:numFmt w:val="lowerLetter"/>
      <w:start w:val="2"/>
    </w:lvl>
  </w:abstractNum>
  <w:abstractNum w:abstractNumId="171">
    <w:nsid w:val="CBE5BE9"/>
    <w:multiLevelType w:val="hybridMultilevel"/>
    <w:lvl w:ilvl="0">
      <w:lvlJc w:val="left"/>
      <w:lvlText w:val="-"/>
      <w:numFmt w:val="bullet"/>
      <w:start w:val="1"/>
    </w:lvl>
  </w:abstractNum>
  <w:abstractNum w:abstractNumId="172">
    <w:nsid w:val="3102BBE2"/>
    <w:multiLevelType w:val="hybridMultilevel"/>
    <w:lvl w:ilvl="0">
      <w:lvlJc w:val="left"/>
      <w:lvlText w:val="-"/>
      <w:numFmt w:val="bullet"/>
      <w:start w:val="1"/>
    </w:lvl>
  </w:abstractNum>
  <w:abstractNum w:abstractNumId="173">
    <w:nsid w:val="26A02C5E"/>
    <w:multiLevelType w:val="hybridMultilevel"/>
    <w:lvl w:ilvl="0">
      <w:lvlJc w:val="left"/>
      <w:lvlText w:val="(%1)"/>
      <w:numFmt w:val="lowerRoman"/>
      <w:start w:val="1"/>
    </w:lvl>
  </w:abstractNum>
  <w:abstractNum w:abstractNumId="174">
    <w:nsid w:val="541C8153"/>
    <w:multiLevelType w:val="hybridMultilevel"/>
    <w:lvl w:ilvl="0">
      <w:lvlJc w:val="left"/>
      <w:lvlText w:val="(%1)"/>
      <w:numFmt w:val="lowerLetter"/>
      <w:start w:val="2"/>
    </w:lvl>
  </w:abstractNum>
  <w:abstractNum w:abstractNumId="175">
    <w:nsid w:val="67906F60"/>
    <w:multiLevelType w:val="hybridMultilevel"/>
    <w:lvl w:ilvl="0">
      <w:lvlJc w:val="left"/>
      <w:lvlText w:val="(%1)"/>
      <w:numFmt w:val="lowerLetter"/>
      <w:start w:val="3"/>
    </w:lvl>
    <w:lvl w:ilvl="1">
      <w:lvlJc w:val="left"/>
      <w:lvlText w:val="(%2)"/>
      <w:numFmt w:val="lowerLetter"/>
      <w:start w:val="9"/>
    </w:lvl>
  </w:abstractNum>
  <w:abstractNum w:abstractNumId="176">
    <w:nsid w:val="10DB9DAA"/>
    <w:multiLevelType w:val="hybridMultilevel"/>
    <w:lvl w:ilvl="0">
      <w:lvlJc w:val="left"/>
      <w:lvlText w:val="-"/>
      <w:numFmt w:val="bullet"/>
      <w:start w:val="1"/>
    </w:lvl>
  </w:abstractNum>
  <w:abstractNum w:abstractNumId="177">
    <w:nsid w:val="697D2D2"/>
    <w:multiLevelType w:val="hybridMultilevel"/>
    <w:lvl w:ilvl="0">
      <w:lvlJc w:val="left"/>
      <w:lvlText w:val="(%1)"/>
      <w:numFmt w:val="lowerRoman"/>
      <w:start w:val="2"/>
    </w:lvl>
  </w:abstractNum>
  <w:abstractNum w:abstractNumId="178">
    <w:nsid w:val="6D68AB2"/>
    <w:multiLevelType w:val="hybridMultilevel"/>
    <w:lvl w:ilvl="0">
      <w:lvlJc w:val="left"/>
      <w:lvlText w:val="-"/>
      <w:numFmt w:val="bullet"/>
      <w:start w:val="1"/>
    </w:lvl>
    <w:lvl w:ilvl="1">
      <w:lvlJc w:val="left"/>
      <w:lvlText w:val="(%2)"/>
      <w:numFmt w:val="lowerLetter"/>
      <w:start w:val="2"/>
    </w:lvl>
  </w:abstractNum>
  <w:abstractNum w:abstractNumId="179">
    <w:nsid w:val="3A966CD0"/>
    <w:multiLevelType w:val="hybridMultilevel"/>
    <w:lvl w:ilvl="0">
      <w:lvlJc w:val="left"/>
      <w:lvlText w:val="(%1)"/>
      <w:numFmt w:val="lowerLetter"/>
      <w:start w:val="3"/>
    </w:lvl>
  </w:abstractNum>
  <w:abstractNum w:abstractNumId="180">
    <w:nsid w:val="63F37E85"/>
    <w:multiLevelType w:val="hybridMultilevel"/>
    <w:lvl w:ilvl="0">
      <w:lvlJc w:val="left"/>
      <w:lvlText w:val="-"/>
      <w:numFmt w:val="bullet"/>
      <w:start w:val="1"/>
    </w:lvl>
  </w:abstractNum>
  <w:abstractNum w:abstractNumId="181">
    <w:nsid w:val="5895F5FA"/>
    <w:multiLevelType w:val="hybridMultilevel"/>
    <w:lvl w:ilvl="0">
      <w:lvlJc w:val="left"/>
      <w:lvlText w:val="(%1)"/>
      <w:numFmt w:val="lowerLetter"/>
      <w:start w:val="61"/>
    </w:lvl>
    <w:lvl w:ilvl="1">
      <w:lvlJc w:val="left"/>
      <w:lvlText w:val="(%2)"/>
      <w:numFmt w:val="lowerLetter"/>
      <w:start w:val="2"/>
    </w:lvl>
  </w:abstractNum>
  <w:abstractNum w:abstractNumId="182">
    <w:nsid w:val="38A5D054"/>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183">
    <w:nsid w:val="F3F09D8"/>
    <w:multiLevelType w:val="hybridMultilevel"/>
    <w:lvl w:ilvl="0">
      <w:lvlJc w:val="left"/>
      <w:lvlText w:val="(%1)"/>
      <w:numFmt w:val="lowerRoman"/>
      <w:start w:val="2"/>
    </w:lvl>
    <w:lvl w:ilvl="1">
      <w:lvlJc w:val="left"/>
      <w:lvlText w:val="(%2)"/>
      <w:numFmt w:val="upperLetter"/>
      <w:start w:val="1"/>
    </w:lvl>
  </w:abstractNum>
  <w:abstractNum w:abstractNumId="184">
    <w:nsid w:val="4B793735"/>
    <w:multiLevelType w:val="hybridMultilevel"/>
    <w:lvl w:ilvl="0">
      <w:lvlJc w:val="left"/>
      <w:lvlText w:val="-"/>
      <w:numFmt w:val="bullet"/>
      <w:start w:val="1"/>
    </w:lvl>
  </w:abstractNum>
  <w:abstractNum w:abstractNumId="185">
    <w:nsid w:val="4A10B4E8"/>
    <w:multiLevelType w:val="hybridMultilevel"/>
    <w:lvl w:ilvl="0">
      <w:lvlJc w:val="left"/>
      <w:lvlText w:val="(%1)"/>
      <w:numFmt w:val="lowerLetter"/>
      <w:start w:val="3"/>
    </w:lvl>
  </w:abstractNum>
  <w:abstractNum w:abstractNumId="186">
    <w:nsid w:val="43D3BCD4"/>
    <w:multiLevelType w:val="hybridMultilevel"/>
    <w:lvl w:ilvl="0">
      <w:lvlJc w:val="left"/>
      <w:lvlText w:val="-"/>
      <w:numFmt w:val="bullet"/>
      <w:start w:val="1"/>
    </w:lvl>
  </w:abstractNum>
  <w:abstractNum w:abstractNumId="187">
    <w:nsid w:val="4C2A7166"/>
    <w:multiLevelType w:val="hybridMultilevel"/>
    <w:lvl w:ilvl="0">
      <w:lvlJc w:val="left"/>
      <w:lvlText w:val="(%1)"/>
      <w:numFmt w:val="lowerLetter"/>
      <w:start w:val="5"/>
    </w:lvl>
  </w:abstractNum>
  <w:abstractNum w:abstractNumId="188">
    <w:nsid w:val="2E534A82"/>
    <w:multiLevelType w:val="hybridMultilevel"/>
    <w:lvl w:ilvl="0">
      <w:lvlJc w:val="left"/>
      <w:lvlText w:val="(%1)"/>
      <w:numFmt w:val="lowerLetter"/>
      <w:start w:val="10"/>
    </w:lvl>
  </w:abstractNum>
  <w:abstractNum w:abstractNumId="189">
    <w:nsid w:val="26F2D364"/>
    <w:multiLevelType w:val="hybridMultilevel"/>
    <w:lvl w:ilvl="0">
      <w:lvlJc w:val="left"/>
      <w:lvlText w:val="-"/>
      <w:numFmt w:val="bullet"/>
      <w:start w:val="1"/>
    </w:lvl>
  </w:abstractNum>
  <w:abstractNum w:abstractNumId="190">
    <w:nsid w:val="71C1AF98"/>
    <w:multiLevelType w:val="hybridMultilevel"/>
    <w:lvl w:ilvl="0">
      <w:lvlJc w:val="left"/>
      <w:lvlText w:val="(%1)"/>
      <w:numFmt w:val="lowerLetter"/>
      <w:start w:val="2"/>
    </w:lvl>
  </w:abstractNum>
  <w:abstractNum w:abstractNumId="191">
    <w:nsid w:val="3D00B9D9"/>
    <w:multiLevelType w:val="hybridMultilevel"/>
    <w:lvl w:ilvl="0">
      <w:lvlJc w:val="left"/>
      <w:lvlText w:val="-"/>
      <w:numFmt w:val="bullet"/>
      <w:start w:val="1"/>
    </w:lvl>
  </w:abstractNum>
  <w:abstractNum w:abstractNumId="192">
    <w:nsid w:val="15BCABA8"/>
    <w:multiLevelType w:val="hybridMultilevel"/>
    <w:lvl w:ilvl="0">
      <w:lvlJc w:val="left"/>
      <w:lvlText w:val="(%1)"/>
      <w:numFmt w:val="lowerLetter"/>
      <w:start w:val="2"/>
    </w:lvl>
  </w:abstractNum>
  <w:abstractNum w:abstractNumId="193">
    <w:nsid w:val="4E0B9A87"/>
    <w:multiLevelType w:val="hybridMultilevel"/>
    <w:lvl w:ilvl="0">
      <w:lvlJc w:val="left"/>
      <w:lvlText w:val="-"/>
      <w:numFmt w:val="bullet"/>
      <w:start w:val="1"/>
    </w:lvl>
  </w:abstractNum>
  <w:abstractNum w:abstractNumId="194">
    <w:nsid w:val="434BAE75"/>
    <w:multiLevelType w:val="hybridMultilevel"/>
    <w:lvl w:ilvl="0">
      <w:lvlJc w:val="left"/>
      <w:lvlText w:val="-"/>
      <w:numFmt w:val="bullet"/>
      <w:start w:val="1"/>
    </w:lvl>
  </w:abstractNum>
  <w:abstractNum w:abstractNumId="195">
    <w:nsid w:val="4F38F265"/>
    <w:multiLevelType w:val="hybridMultilevel"/>
    <w:lvl w:ilvl="0">
      <w:lvlJc w:val="left"/>
      <w:lvlText w:val="-"/>
      <w:numFmt w:val="bullet"/>
      <w:start w:val="1"/>
    </w:lvl>
  </w:abstractNum>
  <w:abstractNum w:abstractNumId="196">
    <w:nsid w:val="4C502870"/>
    <w:multiLevelType w:val="hybridMultilevel"/>
    <w:lvl w:ilvl="0">
      <w:lvlJc w:val="left"/>
      <w:lvlText w:val="-"/>
      <w:numFmt w:val="bullet"/>
      <w:start w:val="1"/>
    </w:lvl>
  </w:abstractNum>
  <w:abstractNum w:abstractNumId="197">
    <w:nsid w:val="1DE8725A"/>
    <w:multiLevelType w:val="hybridMultilevel"/>
    <w:lvl w:ilvl="0">
      <w:lvlJc w:val="left"/>
      <w:lvlText w:val="-"/>
      <w:numFmt w:val="bullet"/>
      <w:start w:val="1"/>
    </w:lvl>
  </w:abstractNum>
  <w:abstractNum w:abstractNumId="198">
    <w:nsid w:val="6A37288A"/>
    <w:multiLevelType w:val="hybridMultilevel"/>
    <w:lvl w:ilvl="0">
      <w:lvlJc w:val="left"/>
      <w:lvlText w:val="-"/>
      <w:numFmt w:val="bullet"/>
      <w:start w:val="1"/>
    </w:lvl>
  </w:abstractNum>
  <w:abstractNum w:abstractNumId="199">
    <w:nsid w:val="8F8B73F"/>
    <w:multiLevelType w:val="hybridMultilevel"/>
    <w:lvl w:ilvl="0">
      <w:lvlJc w:val="left"/>
      <w:lvlText w:val="-"/>
      <w:numFmt w:val="bullet"/>
      <w:start w:val="1"/>
    </w:lvl>
  </w:abstractNum>
  <w:abstractNum w:abstractNumId="200">
    <w:nsid w:val="CA6B462"/>
    <w:multiLevelType w:val="hybridMultilevel"/>
    <w:lvl w:ilvl="0">
      <w:lvlJc w:val="left"/>
      <w:lvlText w:val="(%1)"/>
      <w:numFmt w:val="lowerRoman"/>
      <w:start w:val="2"/>
    </w:lvl>
  </w:abstractNum>
  <w:abstractNum w:abstractNumId="201">
    <w:nsid w:val="763CB680"/>
    <w:multiLevelType w:val="hybridMultilevel"/>
    <w:lvl w:ilvl="0">
      <w:lvlJc w:val="left"/>
      <w:lvlText w:val="`"/>
      <w:numFmt w:val="bullet"/>
      <w:start w:val="1"/>
    </w:lvl>
  </w:abstractNum>
  <w:abstractNum w:abstractNumId="202">
    <w:nsid w:val="15B71329"/>
    <w:multiLevelType w:val="hybridMultilevel"/>
    <w:lvl w:ilvl="0">
      <w:lvlJc w:val="left"/>
      <w:lvlText w:val="-"/>
      <w:numFmt w:val="bullet"/>
      <w:start w:val="1"/>
    </w:lvl>
  </w:abstractNum>
  <w:abstractNum w:abstractNumId="203">
    <w:nsid w:val="3DA97044"/>
    <w:multiLevelType w:val="hybridMultilevel"/>
    <w:lvl w:ilvl="0">
      <w:lvlJc w:val="left"/>
      <w:lvlText w:val="(%1)"/>
      <w:numFmt w:val="lowerRoman"/>
      <w:start w:val="1"/>
    </w:lvl>
  </w:abstractNum>
  <w:abstractNum w:abstractNumId="204">
    <w:nsid w:val="1CDCE2DE"/>
    <w:multiLevelType w:val="hybridMultilevel"/>
    <w:lvl w:ilvl="0">
      <w:lvlJc w:val="left"/>
      <w:lvlText w:val="-"/>
      <w:numFmt w:val="bullet"/>
      <w:start w:val="1"/>
    </w:lvl>
    <w:lvl w:ilvl="1">
      <w:lvlJc w:val="left"/>
      <w:lvlText w:val="(%2)"/>
      <w:numFmt w:val="upperLetter"/>
      <w:start w:val="1"/>
    </w:lvl>
  </w:abstractNum>
  <w:abstractNum w:abstractNumId="205">
    <w:nsid w:val="69D3947C"/>
    <w:multiLevelType w:val="hybridMultilevel"/>
    <w:lvl w:ilvl="0">
      <w:lvlJc w:val="left"/>
      <w:lvlText w:val="(%1)"/>
      <w:numFmt w:val="upperLetter"/>
      <w:start w:val="2"/>
    </w:lvl>
  </w:abstractNum>
  <w:abstractNum w:abstractNumId="206">
    <w:nsid w:val="2539DFA5"/>
    <w:multiLevelType w:val="hybridMultilevel"/>
    <w:lvl w:ilvl="0">
      <w:lvlJc w:val="left"/>
      <w:lvlText w:val="-"/>
      <w:numFmt w:val="bullet"/>
      <w:start w:val="1"/>
    </w:lvl>
  </w:abstractNum>
  <w:abstractNum w:abstractNumId="207">
    <w:nsid w:val="2DB88089"/>
    <w:multiLevelType w:val="hybridMultilevel"/>
    <w:lvl w:ilvl="0">
      <w:lvlJc w:val="left"/>
      <w:lvlText w:val="%1."/>
      <w:numFmt w:val="decimal"/>
      <w:start w:val="1"/>
    </w:lvl>
  </w:abstractNum>
  <w:abstractNum w:abstractNumId="208">
    <w:nsid w:val="706B674E"/>
    <w:multiLevelType w:val="hybridMultilevel"/>
    <w:lvl w:ilvl="0">
      <w:lvlJc w:val="left"/>
      <w:lvlText w:val="%1."/>
      <w:numFmt w:val="decimal"/>
      <w:start w:val="2"/>
    </w:lvl>
  </w:abstractNum>
  <w:abstractNum w:abstractNumId="209">
    <w:nsid w:val="2C106A57"/>
    <w:multiLevelType w:val="hybridMultilevel"/>
    <w:lvl w:ilvl="0">
      <w:lvlJc w:val="left"/>
      <w:lvlText w:val="%1."/>
      <w:numFmt w:val="decimal"/>
      <w:start w:val="3"/>
    </w:lvl>
  </w:abstractNum>
  <w:abstractNum w:abstractNumId="210">
    <w:nsid w:val="684EED59"/>
    <w:multiLevelType w:val="hybridMultilevel"/>
    <w:lvl w:ilvl="0">
      <w:lvlJc w:val="left"/>
      <w:lvlText w:val="-"/>
      <w:numFmt w:val="bullet"/>
      <w:start w:val="1"/>
    </w:lvl>
    <w:lvl w:ilvl="1">
      <w:lvlJc w:val="left"/>
      <w:lvlText w:val="(%2)"/>
      <w:numFmt w:val="decimal"/>
      <w:start w:val="2"/>
    </w:lvl>
  </w:abstractNum>
  <w:abstractNum w:abstractNumId="211">
    <w:nsid w:val="545EE5D3"/>
    <w:multiLevelType w:val="hybridMultilevel"/>
    <w:lvl w:ilvl="0">
      <w:lvlJc w:val="left"/>
      <w:lvlText w:val="%1."/>
      <w:numFmt w:val="lowerLetter"/>
      <w:start w:val="1"/>
    </w:lvl>
  </w:abstractNum>
  <w:abstractNum w:abstractNumId="212">
    <w:nsid w:val="4A66051"/>
    <w:multiLevelType w:val="hybridMultilevel"/>
    <w:lvl w:ilvl="0">
      <w:lvlJc w:val="left"/>
      <w:lvlText w:val="%1."/>
      <w:numFmt w:val="decimal"/>
      <w:start w:val="1"/>
    </w:lvl>
  </w:abstractNum>
  <w:abstractNum w:abstractNumId="213">
    <w:nsid w:val="20F4BDAD"/>
    <w:multiLevelType w:val="hybridMultilevel"/>
    <w:lvl w:ilvl="0">
      <w:lvlJc w:val="left"/>
      <w:lvlText w:val="%1."/>
      <w:numFmt w:val="decimal"/>
      <w:start w:val="2"/>
    </w:lvl>
  </w:abstractNum>
  <w:abstractNum w:abstractNumId="214">
    <w:nsid w:val="639DEFAC"/>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15">
    <w:nsid w:val="501F9786"/>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1"/>
    </w:lvl>
  </w:abstractNum>
  <w:abstractNum w:abstractNumId="216">
    <w:nsid w:val="6B057295"/>
    <w:multiLevelType w:val="hybridMultilevel"/>
    <w:lvl w:ilvl="0">
      <w:lvlJc w:val="left"/>
      <w:lvlText w:val="(%1)"/>
      <w:numFmt w:val="lowerRoman"/>
      <w:start w:val="2"/>
    </w:lvl>
    <w:lvl w:ilvl="1">
      <w:lvlJc w:val="left"/>
      <w:lvlText w:val="%2."/>
      <w:numFmt w:val="upp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2019-12-06T05:18:21Z</dcterms:created>
  <dcterms:modified xsi:type="dcterms:W3CDTF">2019-12-06T05:18:21Z</dcterms:modified>
</cp:coreProperties>
</file>