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9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3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4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color w:val="auto"/>
        </w:rPr>
        <w:t>Date of Report (Date of earliest event reported): July 19, 2019</w:t>
      </w:r>
    </w:p>
    <w:p>
      <w:pPr>
        <w:spacing w:after="0" w:line="11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8"/>
          <w:szCs w:val="38"/>
          <w:b w:val="1"/>
          <w:bCs w:val="1"/>
          <w:color w:val="auto"/>
        </w:rPr>
        <w:t>MANPOWERGROUP INC.</w:t>
      </w:r>
    </w:p>
    <w:p>
      <w:pPr>
        <w:spacing w:after="0" w:line="5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0" w:lineRule="exact"/>
        <w:rPr>
          <w:sz w:val="24"/>
          <w:szCs w:val="24"/>
          <w:color w:val="auto"/>
        </w:rPr>
      </w:pPr>
    </w:p>
    <w:tbl>
      <w:tblPr>
        <w:tblLayout w:type="fixed"/>
        <w:tblInd w:w="4" w:type="dxa"/>
        <w:tblCellMar>
          <w:top w:w="0" w:type="dxa"/>
          <w:left w:w="0" w:type="dxa"/>
          <w:bottom w:w="0" w:type="dxa"/>
          <w:right w:w="0" w:type="dxa"/>
        </w:tblCellMar>
      </w:tblPr>
      <w:tr>
        <w:trPr>
          <w:trHeight w:val="215"/>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Wisconsin</w:t>
            </w:r>
          </w:p>
        </w:tc>
        <w:tc>
          <w:tcPr>
            <w:tcW w:w="2940" w:type="dxa"/>
            <w:vAlign w:val="bottom"/>
            <w:tcBorders>
              <w:bottom w:val="single" w:sz="8" w:color="auto"/>
            </w:tcBorders>
          </w:tcPr>
          <w:p>
            <w:pPr>
              <w:jc w:val="right"/>
              <w:ind w:right="1220"/>
              <w:spacing w:after="0"/>
              <w:rPr>
                <w:sz w:val="20"/>
                <w:szCs w:val="20"/>
                <w:color w:val="auto"/>
              </w:rPr>
            </w:pPr>
            <w:r>
              <w:rPr>
                <w:rFonts w:ascii="Times New Roman" w:cs="Times New Roman" w:eastAsia="Times New Roman" w:hAnsi="Times New Roman"/>
                <w:sz w:val="16"/>
                <w:szCs w:val="16"/>
                <w:b w:val="1"/>
                <w:bCs w:val="1"/>
                <w:color w:val="auto"/>
              </w:rPr>
              <w:t>1-10686</w:t>
            </w:r>
          </w:p>
        </w:tc>
        <w:tc>
          <w:tcPr>
            <w:tcW w:w="3880" w:type="dxa"/>
            <w:vAlign w:val="bottom"/>
            <w:tcBorders>
              <w:bottom w:val="single" w:sz="8" w:color="auto"/>
            </w:tcBorders>
          </w:tcPr>
          <w:p>
            <w:pPr>
              <w:jc w:val="right"/>
              <w:ind w:right="1540"/>
              <w:spacing w:after="0"/>
              <w:rPr>
                <w:sz w:val="20"/>
                <w:szCs w:val="20"/>
                <w:color w:val="auto"/>
              </w:rPr>
            </w:pPr>
            <w:r>
              <w:rPr>
                <w:rFonts w:ascii="Times New Roman" w:cs="Times New Roman" w:eastAsia="Times New Roman" w:hAnsi="Times New Roman"/>
                <w:sz w:val="16"/>
                <w:szCs w:val="16"/>
                <w:b w:val="1"/>
                <w:bCs w:val="1"/>
                <w:color w:val="auto"/>
              </w:rPr>
              <w:t>39-1672779</w:t>
            </w:r>
          </w:p>
        </w:tc>
      </w:tr>
      <w:tr>
        <w:trPr>
          <w:trHeight w:val="211"/>
        </w:trPr>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w:t>
            </w:r>
          </w:p>
        </w:tc>
        <w:tc>
          <w:tcPr>
            <w:tcW w:w="294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(Commission File Number)</w:t>
            </w:r>
          </w:p>
        </w:tc>
        <w:tc>
          <w:tcPr>
            <w:tcW w:w="388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287"/>
        </w:trPr>
        <w:tc>
          <w:tcPr>
            <w:tcW w:w="4620" w:type="dxa"/>
            <w:vAlign w:val="bottom"/>
          </w:tcPr>
          <w:p>
            <w:pPr>
              <w:jc w:val="center"/>
              <w:ind w:left="1020"/>
              <w:spacing w:after="0"/>
              <w:rPr>
                <w:sz w:val="20"/>
                <w:szCs w:val="20"/>
                <w:color w:val="auto"/>
              </w:rPr>
            </w:pPr>
            <w:r>
              <w:rPr>
                <w:rFonts w:ascii="Times New Roman" w:cs="Times New Roman" w:eastAsia="Times New Roman" w:hAnsi="Times New Roman"/>
                <w:sz w:val="16"/>
                <w:szCs w:val="16"/>
                <w:b w:val="1"/>
                <w:bCs w:val="1"/>
                <w:color w:val="auto"/>
              </w:rPr>
              <w:t>100 Manpower Place</w:t>
            </w:r>
          </w:p>
        </w:tc>
        <w:tc>
          <w:tcPr>
            <w:tcW w:w="29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15"/>
        </w:trPr>
        <w:tc>
          <w:tcPr>
            <w:tcW w:w="4620" w:type="dxa"/>
            <w:vAlign w:val="bottom"/>
            <w:tcBorders>
              <w:bottom w:val="single" w:sz="8" w:color="auto"/>
            </w:tcBorders>
          </w:tcPr>
          <w:p>
            <w:pPr>
              <w:jc w:val="center"/>
              <w:ind w:left="1000"/>
              <w:spacing w:after="0"/>
              <w:rPr>
                <w:sz w:val="20"/>
                <w:szCs w:val="20"/>
                <w:color w:val="auto"/>
              </w:rPr>
            </w:pPr>
            <w:r>
              <w:rPr>
                <w:rFonts w:ascii="Times New Roman" w:cs="Times New Roman" w:eastAsia="Times New Roman" w:hAnsi="Times New Roman"/>
                <w:sz w:val="16"/>
                <w:szCs w:val="16"/>
                <w:b w:val="1"/>
                <w:bCs w:val="1"/>
                <w:color w:val="auto"/>
              </w:rPr>
              <w:t>Milwaukee, Wisconsin</w:t>
            </w:r>
          </w:p>
        </w:tc>
        <w:tc>
          <w:tcPr>
            <w:tcW w:w="29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jc w:val="right"/>
              <w:ind w:right="2580"/>
              <w:spacing w:after="0"/>
              <w:rPr>
                <w:sz w:val="20"/>
                <w:szCs w:val="20"/>
                <w:color w:val="auto"/>
              </w:rPr>
            </w:pPr>
            <w:r>
              <w:rPr>
                <w:rFonts w:ascii="Times New Roman" w:cs="Times New Roman" w:eastAsia="Times New Roman" w:hAnsi="Times New Roman"/>
                <w:sz w:val="16"/>
                <w:szCs w:val="16"/>
                <w:b w:val="1"/>
                <w:bCs w:val="1"/>
                <w:color w:val="auto"/>
              </w:rPr>
              <w:t>53212</w:t>
            </w:r>
          </w:p>
        </w:tc>
      </w:tr>
      <w:tr>
        <w:trPr>
          <w:trHeight w:val="211"/>
        </w:trPr>
        <w:tc>
          <w:tcPr>
            <w:tcW w:w="4620" w:type="dxa"/>
            <w:vAlign w:val="bottom"/>
          </w:tcPr>
          <w:p>
            <w:pPr>
              <w:jc w:val="center"/>
              <w:ind w:left="102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w:t>
            </w:r>
          </w:p>
        </w:tc>
        <w:tc>
          <w:tcPr>
            <w:tcW w:w="2940" w:type="dxa"/>
            <w:vAlign w:val="bottom"/>
          </w:tcPr>
          <w:p>
            <w:pPr>
              <w:spacing w:after="0"/>
              <w:rPr>
                <w:sz w:val="18"/>
                <w:szCs w:val="18"/>
                <w:color w:val="auto"/>
              </w:rPr>
            </w:pPr>
          </w:p>
        </w:tc>
        <w:tc>
          <w:tcPr>
            <w:tcW w:w="3880" w:type="dxa"/>
            <w:vAlign w:val="bottom"/>
          </w:tcPr>
          <w:p>
            <w:pPr>
              <w:jc w:val="center"/>
              <w:ind w:right="1780"/>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97" w:lineRule="exact"/>
        <w:rPr>
          <w:sz w:val="24"/>
          <w:szCs w:val="24"/>
          <w:color w:val="auto"/>
        </w:rPr>
      </w:pPr>
    </w:p>
    <w:p>
      <w:pPr>
        <w:ind w:left="3524"/>
        <w:spacing w:after="0"/>
        <w:rPr>
          <w:sz w:val="20"/>
          <w:szCs w:val="20"/>
          <w:color w:val="auto"/>
        </w:rPr>
      </w:pPr>
      <w:r>
        <w:rPr>
          <w:rFonts w:ascii="Times New Roman" w:cs="Times New Roman" w:eastAsia="Times New Roman" w:hAnsi="Times New Roman"/>
          <w:sz w:val="16"/>
          <w:szCs w:val="16"/>
          <w:color w:val="auto"/>
        </w:rPr>
        <w:t>Registrant's telephone number, including area code: (414) 961-1000</w:t>
      </w:r>
    </w:p>
    <w:p>
      <w:pPr>
        <w:spacing w:after="0" w:line="140" w:lineRule="exact"/>
        <w:rPr>
          <w:sz w:val="24"/>
          <w:szCs w:val="24"/>
          <w:color w:val="auto"/>
        </w:rPr>
      </w:pPr>
    </w:p>
    <w:p>
      <w:pPr>
        <w:ind w:left="3724"/>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4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04" w:lineRule="exact"/>
        <w:rPr>
          <w:rFonts w:ascii="MS PGothic" w:cs="MS PGothic" w:eastAsia="MS PGothic" w:hAnsi="MS PGothic"/>
          <w:sz w:val="16"/>
          <w:szCs w:val="16"/>
          <w:color w:val="auto"/>
        </w:rPr>
      </w:pPr>
    </w:p>
    <w:p>
      <w:pPr>
        <w:ind w:left="424" w:hanging="424"/>
        <w:spacing w:after="0"/>
        <w:tabs>
          <w:tab w:leader="none" w:pos="42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04" w:lineRule="exact"/>
        <w:rPr>
          <w:rFonts w:ascii="MS PGothic" w:cs="MS PGothic" w:eastAsia="MS PGothic" w:hAnsi="MS PGothic"/>
          <w:sz w:val="16"/>
          <w:szCs w:val="16"/>
          <w:color w:val="auto"/>
        </w:rPr>
      </w:pPr>
    </w:p>
    <w:p>
      <w:pPr>
        <w:ind w:left="424" w:hanging="424"/>
        <w:spacing w:after="0"/>
        <w:tabs>
          <w:tab w:leader="none" w:pos="42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04" w:lineRule="exact"/>
        <w:rPr>
          <w:rFonts w:ascii="MS PGothic" w:cs="MS PGothic" w:eastAsia="MS PGothic" w:hAnsi="MS PGothic"/>
          <w:sz w:val="16"/>
          <w:szCs w:val="16"/>
          <w:color w:val="auto"/>
        </w:rPr>
      </w:pPr>
    </w:p>
    <w:p>
      <w:pPr>
        <w:ind w:left="424" w:hanging="424"/>
        <w:spacing w:after="0"/>
        <w:tabs>
          <w:tab w:leader="none" w:pos="42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0"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8"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6" w:lineRule="exact"/>
        <w:rPr>
          <w:sz w:val="24"/>
          <w:szCs w:val="24"/>
          <w:color w:val="auto"/>
        </w:rPr>
      </w:pPr>
    </w:p>
    <w:p>
      <w:pPr>
        <w:ind w:left="4" w:right="34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7" w:lineRule="exact"/>
        <w:rPr>
          <w:sz w:val="24"/>
          <w:szCs w:val="24"/>
          <w:color w:val="auto"/>
        </w:rPr>
      </w:pPr>
    </w:p>
    <w:tbl>
      <w:tblPr>
        <w:tblLayout w:type="fixed"/>
        <w:tblInd w:w="14" w:type="dxa"/>
        <w:tblCellMar>
          <w:top w:w="0" w:type="dxa"/>
          <w:left w:w="0" w:type="dxa"/>
          <w:bottom w:w="0" w:type="dxa"/>
          <w:right w:w="0" w:type="dxa"/>
        </w:tblCellMar>
      </w:tblPr>
      <w:tr>
        <w:trPr>
          <w:trHeight w:val="240"/>
        </w:trPr>
        <w:tc>
          <w:tcPr>
            <w:tcW w:w="3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20" w:type="dxa"/>
            <w:vAlign w:val="bottom"/>
          </w:tcPr>
          <w:p>
            <w:pPr>
              <w:spacing w:after="0"/>
              <w:rPr>
                <w:sz w:val="20"/>
                <w:szCs w:val="20"/>
                <w:color w:val="auto"/>
              </w:rPr>
            </w:pPr>
          </w:p>
        </w:tc>
      </w:tr>
      <w:tr>
        <w:trPr>
          <w:trHeight w:val="220"/>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Stock, $.01 par value</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MAN</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New York Stock Exchange</w:t>
            </w:r>
          </w:p>
        </w:tc>
        <w:tc>
          <w:tcPr>
            <w:tcW w:w="20" w:type="dxa"/>
            <w:vAlign w:val="bottom"/>
          </w:tcPr>
          <w:p>
            <w:pPr>
              <w:spacing w:after="0"/>
              <w:rPr>
                <w:sz w:val="19"/>
                <w:szCs w:val="19"/>
                <w:color w:val="auto"/>
              </w:rPr>
            </w:pPr>
          </w:p>
        </w:tc>
      </w:tr>
      <w:tr>
        <w:trPr>
          <w:trHeight w:val="284"/>
        </w:trPr>
        <w:tc>
          <w:tcPr>
            <w:tcW w:w="38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7256780</wp:posOffset>
            </wp:positionH>
            <wp:positionV relativeFrom="paragraph">
              <wp:posOffset>-27305</wp:posOffset>
            </wp:positionV>
            <wp:extent cx="3302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4"/>
          </w:cols>
          <w:pgMar w:left="236" w:top="193" w:right="1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24"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6"/>
          <w:szCs w:val="16"/>
          <w:i w:val="1"/>
          <w:iCs w:val="1"/>
          <w:color w:val="auto"/>
        </w:rPr>
        <w:t>The information in this Item 2.02, including exhibit 99.1 attached herto,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6"/>
          <w:szCs w:val="16"/>
          <w:color w:val="auto"/>
        </w:rPr>
        <w:t>On July 19, 2019 we issued a press release announcing our results of operations for the three and six months ended June 30, 2019. A copy of the press release is attached hereto as Exhibit 99.1 and is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0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auto"/>
            </w:tcBorders>
          </w:tcPr>
          <w:p>
            <w:pPr>
              <w:spacing w:after="0" w:line="156" w:lineRule="exact"/>
              <w:rPr>
                <w:rFonts w:ascii="Times New Roman" w:cs="Times New Roman" w:eastAsia="Times New Roman" w:hAnsi="Times New Roman"/>
                <w:sz w:val="16"/>
                <w:szCs w:val="16"/>
                <w:color w:val="0000EE"/>
                <w:w w:val="85"/>
              </w:rPr>
            </w:pPr>
            <w:hyperlink w:anchor="page4">
              <w:r>
                <w:rPr>
                  <w:rFonts w:ascii="Times New Roman" w:cs="Times New Roman" w:eastAsia="Times New Roman" w:hAnsi="Times New Roman"/>
                  <w:sz w:val="16"/>
                  <w:szCs w:val="16"/>
                  <w:color w:val="0000EE"/>
                  <w:w w:val="85"/>
                </w:rPr>
                <w:t>99.</w:t>
              </w:r>
              <w:r>
                <w:rPr>
                  <w:rFonts w:ascii="Times New Roman" w:cs="Times New Roman" w:eastAsia="Times New Roman" w:hAnsi="Times New Roman"/>
                  <w:sz w:val="16"/>
                  <w:szCs w:val="16"/>
                  <w:u w:val="single" w:color="auto"/>
                  <w:color w:val="0000EE"/>
                  <w:w w:val="85"/>
                </w:rPr>
                <w:t>1</w:t>
              </w:r>
            </w:hyperlink>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60" w:type="dxa"/>
            <w:vAlign w:val="bottom"/>
            <w:tcBorders>
              <w:top w:val="single" w:sz="8" w:color="auto"/>
            </w:tcBorders>
            <w:gridSpan w:val="3"/>
          </w:tcPr>
          <w:p>
            <w:pPr>
              <w:spacing w:after="0" w:line="156" w:lineRule="exact"/>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Press Release dated July 19, 2019</w:t>
              </w:r>
            </w:hyperlink>
          </w:p>
        </w:tc>
        <w:tc>
          <w:tcPr>
            <w:tcW w:w="20" w:type="dxa"/>
            <w:vAlign w:val="bottom"/>
          </w:tcPr>
          <w:p>
            <w:pPr>
              <w:spacing w:after="0"/>
              <w:rPr>
                <w:sz w:val="13"/>
                <w:szCs w:val="13"/>
                <w:color w:val="auto"/>
              </w:rPr>
            </w:pPr>
          </w:p>
        </w:tc>
      </w:tr>
      <w:tr>
        <w:trPr>
          <w:trHeight w:val="20"/>
        </w:trPr>
        <w:tc>
          <w:tcPr>
            <w:tcW w:w="28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0"/>
        </w:trPr>
        <w:tc>
          <w:tcPr>
            <w:tcW w:w="280" w:type="dxa"/>
            <w:vAlign w:val="bottom"/>
            <w:gridSpan w:val="2"/>
          </w:tcPr>
          <w:p>
            <w:pPr>
              <w:spacing w:after="0"/>
              <w:rPr>
                <w:rFonts w:ascii="Times New Roman" w:cs="Times New Roman" w:eastAsia="Times New Roman" w:hAnsi="Times New Roman"/>
                <w:sz w:val="16"/>
                <w:szCs w:val="16"/>
                <w:color w:val="0000EE"/>
                <w:w w:val="92"/>
              </w:rPr>
            </w:pPr>
            <w:hyperlink w:anchor="page13">
              <w:r>
                <w:rPr>
                  <w:rFonts w:ascii="Times New Roman" w:cs="Times New Roman" w:eastAsia="Times New Roman" w:hAnsi="Times New Roman"/>
                  <w:sz w:val="16"/>
                  <w:szCs w:val="16"/>
                  <w:color w:val="0000EE"/>
                  <w:w w:val="92"/>
                </w:rPr>
                <w:t>99.</w:t>
              </w:r>
              <w:r>
                <w:rPr>
                  <w:rFonts w:ascii="Times New Roman" w:cs="Times New Roman" w:eastAsia="Times New Roman" w:hAnsi="Times New Roman"/>
                  <w:sz w:val="16"/>
                  <w:szCs w:val="16"/>
                  <w:u w:val="single" w:color="auto"/>
                  <w:color w:val="0000EE"/>
                  <w:w w:val="92"/>
                </w:rPr>
                <w:t>2</w:t>
              </w:r>
            </w:hyperlink>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60" w:type="dxa"/>
            <w:vAlign w:val="bottom"/>
            <w:gridSpan w:val="3"/>
          </w:tcPr>
          <w:p>
            <w:pPr>
              <w:spacing w:after="0"/>
              <w:rPr>
                <w:rFonts w:ascii="Times New Roman" w:cs="Times New Roman" w:eastAsia="Times New Roman" w:hAnsi="Times New Roman"/>
                <w:sz w:val="16"/>
                <w:szCs w:val="16"/>
                <w:color w:val="0000EE"/>
              </w:rPr>
            </w:pPr>
            <w:hyperlink w:anchor="page13">
              <w:r>
                <w:rPr>
                  <w:rFonts w:ascii="Times New Roman" w:cs="Times New Roman" w:eastAsia="Times New Roman" w:hAnsi="Times New Roman"/>
                  <w:sz w:val="16"/>
                  <w:szCs w:val="16"/>
                  <w:color w:val="0000EE"/>
                </w:rPr>
                <w:t>Presentation materials for July 19, 2019 Conference Call</w:t>
              </w:r>
            </w:hyperlink>
          </w:p>
        </w:tc>
        <w:tc>
          <w:tcPr>
            <w:tcW w:w="20" w:type="dxa"/>
            <w:vAlign w:val="bottom"/>
          </w:tcPr>
          <w:p>
            <w:pPr>
              <w:spacing w:after="0"/>
              <w:rPr>
                <w:sz w:val="19"/>
                <w:szCs w:val="19"/>
                <w:color w:val="auto"/>
              </w:rPr>
            </w:pPr>
          </w:p>
        </w:tc>
      </w:tr>
      <w:tr>
        <w:trPr>
          <w:trHeight w:val="753"/>
        </w:trPr>
        <w:tc>
          <w:tcPr>
            <w:tcW w:w="20" w:type="dxa"/>
            <w:vAlign w:val="bottom"/>
            <w:tcBorders>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60" w:type="dxa"/>
            <w:vAlign w:val="bottom"/>
            <w:tcBorders>
              <w:top w:val="single" w:sz="8" w:color="0000EE"/>
              <w:bottom w:val="single" w:sz="8" w:color="9A9A9A"/>
            </w:tcBorders>
          </w:tcPr>
          <w:p>
            <w:pPr>
              <w:spacing w:after="0"/>
              <w:rPr>
                <w:sz w:val="24"/>
                <w:szCs w:val="24"/>
                <w:color w:val="auto"/>
              </w:rPr>
            </w:pPr>
          </w:p>
        </w:tc>
        <w:tc>
          <w:tcPr>
            <w:tcW w:w="1480" w:type="dxa"/>
            <w:vAlign w:val="bottom"/>
            <w:tcBorders>
              <w:top w:val="single" w:sz="8" w:color="0000EE"/>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2" w:lineRule="exact"/>
        <w:rPr>
          <w:sz w:val="20"/>
          <w:szCs w:val="20"/>
          <w:color w:val="auto"/>
        </w:rPr>
      </w:pPr>
    </w:p>
    <w:p>
      <w:pPr>
        <w:ind w:right="20" w:firstLine="853"/>
        <w:spacing w:after="0" w:line="282"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6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MANPOWERGROUP INC.</w:t>
            </w:r>
          </w:p>
        </w:tc>
      </w:tr>
      <w:tr>
        <w:trPr>
          <w:trHeight w:val="384"/>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Dated:July 19, 2019</w:t>
            </w:r>
          </w:p>
        </w:tc>
        <w:tc>
          <w:tcPr>
            <w:tcW w:w="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By:</w:t>
            </w:r>
          </w:p>
        </w:tc>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/s/ John T. McGinnis</w:t>
            </w:r>
          </w:p>
        </w:tc>
      </w:tr>
      <w:tr>
        <w:trPr>
          <w:trHeight w:val="168"/>
        </w:trPr>
        <w:tc>
          <w:tcPr>
            <w:tcW w:w="740" w:type="dxa"/>
            <w:vAlign w:val="bottom"/>
          </w:tcPr>
          <w:p>
            <w:pPr>
              <w:spacing w:after="0"/>
              <w:rPr>
                <w:sz w:val="14"/>
                <w:szCs w:val="14"/>
                <w:color w:val="auto"/>
              </w:rPr>
            </w:pPr>
          </w:p>
        </w:tc>
        <w:tc>
          <w:tcPr>
            <w:tcW w:w="4660" w:type="dxa"/>
            <w:vAlign w:val="bottom"/>
            <w:tcBorders>
              <w:top w:val="single" w:sz="8" w:color="auto"/>
            </w:tcBorders>
          </w:tcPr>
          <w:p>
            <w:pPr>
              <w:spacing w:after="0"/>
              <w:rPr>
                <w:sz w:val="14"/>
                <w:szCs w:val="14"/>
                <w:color w:val="auto"/>
              </w:rPr>
            </w:pPr>
          </w:p>
        </w:tc>
        <w:tc>
          <w:tcPr>
            <w:tcW w:w="900" w:type="dxa"/>
            <w:vAlign w:val="bottom"/>
          </w:tcPr>
          <w:p>
            <w:pPr>
              <w:ind w:left="140"/>
              <w:spacing w:after="0" w:line="168" w:lineRule="exact"/>
              <w:rPr>
                <w:sz w:val="20"/>
                <w:szCs w:val="20"/>
                <w:color w:val="auto"/>
              </w:rPr>
            </w:pPr>
            <w:r>
              <w:rPr>
                <w:rFonts w:ascii="Times New Roman" w:cs="Times New Roman" w:eastAsia="Times New Roman" w:hAnsi="Times New Roman"/>
                <w:sz w:val="16"/>
                <w:szCs w:val="16"/>
                <w:color w:val="auto"/>
              </w:rPr>
              <w:t>Name:</w:t>
            </w:r>
          </w:p>
        </w:tc>
        <w:tc>
          <w:tcPr>
            <w:tcW w:w="514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6"/>
                <w:szCs w:val="16"/>
                <w:color w:val="auto"/>
              </w:rPr>
              <w:t>John T. McGinnis</w:t>
            </w:r>
          </w:p>
        </w:tc>
      </w:tr>
      <w:tr>
        <w:trPr>
          <w:trHeight w:val="192"/>
        </w:trPr>
        <w:tc>
          <w:tcPr>
            <w:tcW w:w="7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and</w:t>
            </w:r>
          </w:p>
        </w:tc>
      </w:tr>
      <w:tr>
        <w:trPr>
          <w:trHeight w:val="209"/>
        </w:trPr>
        <w:tc>
          <w:tcPr>
            <w:tcW w:w="7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bl>
    <w:p>
      <w:pPr>
        <w:sectPr>
          <w:pgSz w:w="11900" w:h="16838" w:orient="portrait"/>
          <w:cols w:equalWidth="0" w:num="1">
            <w:col w:w="11440"/>
          </w:cols>
          <w:pgMar w:left="240" w:top="121" w:right="2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5436235</wp:posOffset>
            </wp:positionH>
            <wp:positionV relativeFrom="paragraph">
              <wp:posOffset>169545</wp:posOffset>
            </wp:positionV>
            <wp:extent cx="1357630" cy="732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57630" cy="732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0"/>
        <w:spacing w:after="0"/>
        <w:tabs>
          <w:tab w:leader="none" w:pos="696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5"/>
          <w:szCs w:val="15"/>
          <w:b w:val="1"/>
          <w:bCs w:val="1"/>
          <w:color w:val="auto"/>
        </w:rPr>
        <w:t>Contact:</w:t>
      </w:r>
    </w:p>
    <w:p>
      <w:pPr>
        <w:spacing w:after="0" w:line="238"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Jack McGinnis</w:t>
      </w:r>
    </w:p>
    <w:p>
      <w:pPr>
        <w:spacing w:after="0" w:line="31"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+1.414.906.7977</w:t>
      </w:r>
    </w:p>
    <w:p>
      <w:pPr>
        <w:spacing w:after="0" w:line="18" w:lineRule="exact"/>
        <w:rPr>
          <w:sz w:val="20"/>
          <w:szCs w:val="20"/>
          <w:color w:val="auto"/>
        </w:rPr>
      </w:pPr>
    </w:p>
    <w:p>
      <w:pPr>
        <w:ind w:left="6740"/>
        <w:spacing w:after="0"/>
        <w:rPr>
          <w:sz w:val="20"/>
          <w:szCs w:val="20"/>
          <w:color w:val="auto"/>
        </w:rPr>
      </w:pPr>
      <w:r>
        <w:rPr>
          <w:rFonts w:ascii="Arial" w:cs="Arial" w:eastAsia="Arial" w:hAnsi="Arial"/>
          <w:sz w:val="16"/>
          <w:szCs w:val="16"/>
          <w:u w:val="single" w:color="auto"/>
          <w:color w:val="0000FF"/>
        </w:rPr>
        <w:t>jack.mcginnis@manpowergroup.com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ManpowerGroup Reports 2</w:t>
      </w:r>
      <w:r>
        <w:rPr>
          <w:rFonts w:ascii="Arial" w:cs="Arial" w:eastAsia="Arial" w:hAnsi="Arial"/>
          <w:sz w:val="16"/>
          <w:szCs w:val="16"/>
          <w:b w:val="1"/>
          <w:bCs w:val="1"/>
          <w:color w:val="auto"/>
        </w:rPr>
        <w:t>nd</w:t>
      </w:r>
      <w:r>
        <w:rPr>
          <w:rFonts w:ascii="Arial" w:cs="Arial" w:eastAsia="Arial" w:hAnsi="Arial"/>
          <w:sz w:val="19"/>
          <w:szCs w:val="19"/>
          <w:b w:val="1"/>
          <w:bCs w:val="1"/>
          <w:color w:val="auto"/>
        </w:rPr>
        <w:t xml:space="preserve"> Quarter 2019 Results</w:t>
      </w:r>
    </w:p>
    <w:p>
      <w:pPr>
        <w:spacing w:after="0" w:line="221" w:lineRule="exact"/>
        <w:rPr>
          <w:sz w:val="20"/>
          <w:szCs w:val="20"/>
          <w:color w:val="auto"/>
        </w:rPr>
      </w:pPr>
    </w:p>
    <w:p>
      <w:pPr>
        <w:ind w:left="580" w:hanging="392"/>
        <w:spacing w:after="0"/>
        <w:tabs>
          <w:tab w:leader="none" w:pos="5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Revenue trend in second quarter consistent with first quarter on organic constant currency basis</w:t>
      </w:r>
    </w:p>
    <w:p>
      <w:pPr>
        <w:spacing w:after="0" w:line="18" w:lineRule="exact"/>
        <w:rPr>
          <w:rFonts w:ascii="Times New Roman" w:cs="Times New Roman" w:eastAsia="Times New Roman" w:hAnsi="Times New Roman"/>
          <w:sz w:val="18"/>
          <w:szCs w:val="18"/>
          <w:color w:val="auto"/>
        </w:rPr>
      </w:pPr>
    </w:p>
    <w:p>
      <w:pPr>
        <w:ind w:left="580" w:hanging="392"/>
        <w:spacing w:after="0" w:line="235" w:lineRule="auto"/>
        <w:tabs>
          <w:tab w:leader="none" w:pos="5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Completed acquisition of Switzerland Manpower franchise in April 2019 resulting in a non-cash accounting gain of $80 million</w:t>
      </w:r>
    </w:p>
    <w:p>
      <w:pPr>
        <w:ind w:left="580" w:right="800" w:hanging="392"/>
        <w:spacing w:after="0" w:line="222" w:lineRule="auto"/>
        <w:tabs>
          <w:tab w:leader="none" w:pos="5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Greater China JV completed Hong Kong public offering in July 2019, proceeds to be invested into the business for further growth; ManpowerGroup remains largest shareholder</w:t>
      </w:r>
    </w:p>
    <w:p>
      <w:pPr>
        <w:ind w:left="580" w:hanging="392"/>
        <w:spacing w:after="0" w:line="235" w:lineRule="auto"/>
        <w:tabs>
          <w:tab w:leader="none" w:pos="5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Non-cash goodwill impairment charge of $64 million in the second quarter</w:t>
      </w:r>
    </w:p>
    <w:p>
      <w:pPr>
        <w:ind w:left="580" w:hanging="392"/>
        <w:spacing w:after="0"/>
        <w:tabs>
          <w:tab w:leader="none" w:pos="5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Overall constant currency organic revenue trend anticipated to improve into the third quarter</w:t>
      </w:r>
    </w:p>
    <w:p>
      <w:pPr>
        <w:spacing w:after="0" w:line="4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Financial Overview:</w:t>
      </w:r>
    </w:p>
    <w:p>
      <w:pPr>
        <w:spacing w:after="0" w:line="182"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b w:val="1"/>
          <w:bCs w:val="1"/>
          <w:color w:val="auto"/>
        </w:rPr>
        <w:t xml:space="preserve">MILWAUKEE, July 19, 2019 -- </w:t>
      </w:r>
      <w:r>
        <w:rPr>
          <w:rFonts w:ascii="Arial" w:cs="Arial" w:eastAsia="Arial" w:hAnsi="Arial"/>
          <w:sz w:val="18"/>
          <w:szCs w:val="18"/>
          <w:color w:val="auto"/>
        </w:rPr>
        <w:t>ManpowerGroup (NYSE: MAN) today reported net earnings of $2.11 per diluted share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2019 compared to $2.17 per diluted share in the prior year period. Net earnings in the quarter were $127.3 million compared to $143.4 million a year earlier. Revenues for the second quarter were $5.4 billion, a 5% decline from the prior year period.</w:t>
      </w:r>
    </w:p>
    <w:p>
      <w:pPr>
        <w:jc w:val="both"/>
        <w:ind w:right="20" w:firstLine="676"/>
        <w:spacing w:after="0" w:line="222" w:lineRule="auto"/>
        <w:rPr>
          <w:sz w:val="20"/>
          <w:szCs w:val="20"/>
          <w:color w:val="auto"/>
        </w:rPr>
      </w:pPr>
      <w:r>
        <w:rPr>
          <w:rFonts w:ascii="Arial" w:cs="Arial" w:eastAsia="Arial" w:hAnsi="Arial"/>
          <w:sz w:val="18"/>
          <w:szCs w:val="18"/>
          <w:color w:val="auto"/>
        </w:rPr>
        <w:t>The current year quarter included special items consisting of a non-cash accounting gain of $80 million related to the purchase of our remaining interest in the Switzerland Manpower business, which increased earnings per share by $1.32, and a goodwill impairment charge and related tax and other costs of $76 million, which decreased earnings per share by $1.26.</w:t>
      </w:r>
    </w:p>
    <w:p>
      <w:pPr>
        <w:spacing w:after="0" w:line="2" w:lineRule="exact"/>
        <w:rPr>
          <w:sz w:val="20"/>
          <w:szCs w:val="20"/>
          <w:color w:val="auto"/>
        </w:rPr>
      </w:pPr>
    </w:p>
    <w:p>
      <w:pPr>
        <w:jc w:val="both"/>
        <w:ind w:firstLine="791"/>
        <w:spacing w:after="0" w:line="222" w:lineRule="auto"/>
        <w:rPr>
          <w:sz w:val="20"/>
          <w:szCs w:val="20"/>
          <w:color w:val="auto"/>
        </w:rPr>
      </w:pPr>
      <w:r>
        <w:rPr>
          <w:rFonts w:ascii="Arial" w:cs="Arial" w:eastAsia="Arial" w:hAnsi="Arial"/>
          <w:sz w:val="18"/>
          <w:szCs w:val="18"/>
          <w:color w:val="auto"/>
        </w:rPr>
        <w:t>Financial results in the quarter were also impacted by the stronger U.S. dollar relative to foreign currencies compared to the prior year period. On a constant currency basis, revenues were flat. On a constant currency basis, net earnings per diluted share increased 1% and decreased 8%, excluding the impact of the special items and restructuring charges in the prior year. Earnings per share in the quarter were negatively impacted 8 cents by changes in foreign currencies compared to the prior year, or 11 cents excluding the special items.</w:t>
      </w:r>
    </w:p>
    <w:p>
      <w:pPr>
        <w:spacing w:after="0" w:line="3" w:lineRule="exact"/>
        <w:rPr>
          <w:sz w:val="20"/>
          <w:szCs w:val="20"/>
          <w:color w:val="auto"/>
        </w:rPr>
      </w:pPr>
    </w:p>
    <w:p>
      <w:pPr>
        <w:jc w:val="both"/>
        <w:ind w:right="20" w:firstLine="804"/>
        <w:spacing w:after="0" w:line="236" w:lineRule="auto"/>
        <w:rPr>
          <w:sz w:val="20"/>
          <w:szCs w:val="20"/>
          <w:color w:val="auto"/>
        </w:rPr>
      </w:pPr>
      <w:r>
        <w:rPr>
          <w:rFonts w:ascii="Arial" w:cs="Arial" w:eastAsia="Arial" w:hAnsi="Arial"/>
          <w:sz w:val="18"/>
          <w:szCs w:val="18"/>
          <w:color w:val="auto"/>
        </w:rPr>
        <w:t>Jonas Prising, ManpowerGroup Chairman &amp; CEO, said, “We delivered solid results in the second quarter, reflecting the significant variations we are seeing across global labor markets. We are 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280035</wp:posOffset>
            </wp:positionV>
            <wp:extent cx="730250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313" w:right="219" w:bottom="1440" w:gutter="0" w:footer="0" w:header="0"/>
        </w:sectPr>
      </w:pPr>
    </w:p>
    <w:bookmarkStart w:id="4" w:name="page5"/>
    <w:bookmarkEnd w:id="4"/>
    <w:p>
      <w:pPr>
        <w:jc w:val="both"/>
        <w:spacing w:after="0" w:line="231" w:lineRule="auto"/>
        <w:rPr>
          <w:sz w:val="20"/>
          <w:szCs w:val="20"/>
          <w:color w:val="auto"/>
        </w:rPr>
      </w:pPr>
      <w:r>
        <w:rPr>
          <w:rFonts w:ascii="Arial" w:cs="Arial" w:eastAsia="Arial" w:hAnsi="Arial"/>
          <w:sz w:val="18"/>
          <w:szCs w:val="18"/>
          <w:color w:val="auto"/>
        </w:rPr>
        <w:t>operational and strategic progress and continue to invest in technology for every stage of the HR value chain as this remains core to everything we do today and in the future. As skills shortages continue to be felt by many employers, demand for our extensive portfolio of workforce solutions and services across our global footprint continues to provide us with opportunities for profitable growth in many markets.”</w:t>
      </w:r>
    </w:p>
    <w:p>
      <w:pPr>
        <w:spacing w:after="0" w:line="1" w:lineRule="exact"/>
        <w:rPr>
          <w:sz w:val="20"/>
          <w:szCs w:val="20"/>
          <w:color w:val="auto"/>
        </w:rPr>
      </w:pPr>
    </w:p>
    <w:p>
      <w:pPr>
        <w:jc w:val="both"/>
        <w:ind w:right="20" w:firstLine="804"/>
        <w:spacing w:after="0" w:line="235" w:lineRule="auto"/>
        <w:rPr>
          <w:sz w:val="20"/>
          <w:szCs w:val="20"/>
          <w:color w:val="auto"/>
        </w:rPr>
      </w:pPr>
      <w:r>
        <w:rPr>
          <w:rFonts w:ascii="Arial" w:cs="Arial" w:eastAsia="Arial" w:hAnsi="Arial"/>
          <w:sz w:val="17"/>
          <w:szCs w:val="17"/>
          <w:color w:val="auto"/>
        </w:rPr>
        <w:t>“We anticipate diluted earnings per share in the third quarter will be between $1.88 and $1.96, which includes an estimated unfavorable currency impact of 4 cents and an estimated unfavorable impact from the expected French corporate tax rate change for 2019 of 5 cents.”</w:t>
      </w:r>
    </w:p>
    <w:p>
      <w:pPr>
        <w:spacing w:after="0" w:line="2" w:lineRule="exact"/>
        <w:rPr>
          <w:sz w:val="20"/>
          <w:szCs w:val="20"/>
          <w:color w:val="auto"/>
        </w:rPr>
      </w:pPr>
    </w:p>
    <w:p>
      <w:pPr>
        <w:jc w:val="both"/>
        <w:ind w:firstLine="852"/>
        <w:spacing w:after="0" w:line="222" w:lineRule="auto"/>
        <w:rPr>
          <w:sz w:val="20"/>
          <w:szCs w:val="20"/>
          <w:color w:val="auto"/>
        </w:rPr>
      </w:pPr>
      <w:r>
        <w:rPr>
          <w:rFonts w:ascii="Arial" w:cs="Arial" w:eastAsia="Arial" w:hAnsi="Arial"/>
          <w:sz w:val="18"/>
          <w:szCs w:val="18"/>
          <w:color w:val="auto"/>
        </w:rPr>
        <w:t>On July 10, 2019, our joint venture in Greater China, ManpowerGroup Greater China Limited, successfully completed its initial public offering on the Hong Kong Stock Exchange which will result in the deconsolidation of the business. During the quarter we recorded $60 million of goodwill impairment and a discrete tax charge of $10 million related to our Germany business and a charge of $6 million for goodwill impairment and additional costs related to our New Zealand business.</w:t>
      </w:r>
    </w:p>
    <w:p>
      <w:pPr>
        <w:spacing w:after="0" w:line="3" w:lineRule="exact"/>
        <w:rPr>
          <w:sz w:val="20"/>
          <w:szCs w:val="20"/>
          <w:color w:val="auto"/>
        </w:rPr>
      </w:pPr>
    </w:p>
    <w:p>
      <w:pPr>
        <w:jc w:val="both"/>
        <w:ind w:right="20" w:firstLine="804"/>
        <w:spacing w:after="0" w:line="222" w:lineRule="auto"/>
        <w:rPr>
          <w:sz w:val="20"/>
          <w:szCs w:val="20"/>
          <w:color w:val="auto"/>
        </w:rPr>
      </w:pPr>
      <w:r>
        <w:rPr>
          <w:rFonts w:ascii="Arial" w:cs="Arial" w:eastAsia="Arial" w:hAnsi="Arial"/>
          <w:sz w:val="18"/>
          <w:szCs w:val="18"/>
          <w:color w:val="auto"/>
        </w:rPr>
        <w:t>Net earnings for the six months ended June 30, 2019 were $180.8 million, or $ 2.98 per diluted share compared to net earnings of $240.4 million, or $3.62 per diluted share in the prior year. The year to date period included special items and restructuring costs which reduced earnings per share by 46 cents. The prior year-to-date period included restructuring costs which reduced earnings per share by 45 cents. Revenues for the six-month period were $10.4 billion, a decrease of 7% from the prior year or a decrease of 1% in constant currency. Earnings per share for the six-month period were negatively impacted 15 cents by changes in foreign currencies compared to the prior year, or 23 cents excluding the special items and restructuring costs.</w:t>
      </w:r>
    </w:p>
    <w:p>
      <w:pPr>
        <w:spacing w:after="0" w:line="4" w:lineRule="exact"/>
        <w:rPr>
          <w:sz w:val="20"/>
          <w:szCs w:val="20"/>
          <w:color w:val="auto"/>
        </w:rPr>
      </w:pPr>
    </w:p>
    <w:p>
      <w:pPr>
        <w:jc w:val="both"/>
        <w:ind w:firstLine="790"/>
        <w:spacing w:after="0" w:line="231" w:lineRule="auto"/>
        <w:rPr>
          <w:sz w:val="20"/>
          <w:szCs w:val="20"/>
          <w:color w:val="auto"/>
        </w:rPr>
      </w:pPr>
      <w:r>
        <w:rPr>
          <w:rFonts w:ascii="Arial" w:cs="Arial" w:eastAsia="Arial" w:hAnsi="Arial"/>
          <w:sz w:val="18"/>
          <w:szCs w:val="18"/>
          <w:color w:val="auto"/>
        </w:rPr>
        <w:t xml:space="preserve">In conjunction with its second quarter earnings release, ManpowerGroup will broadcast its conference call live over the Internet on July 19, 2019 at 7:30 a.m. CDT (8:30 a.m. EDT). Interested parties are invited to listen to the webcast and view the presentation by logging on to </w:t>
      </w:r>
      <w:r>
        <w:rPr>
          <w:rFonts w:ascii="Arial" w:cs="Arial" w:eastAsia="Arial" w:hAnsi="Arial"/>
          <w:sz w:val="18"/>
          <w:szCs w:val="18"/>
          <w:u w:val="single" w:color="auto"/>
          <w:color w:val="0000FF"/>
        </w:rPr>
        <w:t>http://investor.manpowergroup.com/</w:t>
      </w:r>
      <w:r>
        <w:rPr>
          <w:rFonts w:ascii="Arial" w:cs="Arial" w:eastAsia="Arial" w:hAnsi="Arial"/>
          <w:sz w:val="18"/>
          <w:szCs w:val="18"/>
          <w:color w:val="0000FF"/>
        </w:rPr>
        <w:t xml:space="preserve"> </w:t>
      </w:r>
      <w:r>
        <w:rPr>
          <w:rFonts w:ascii="Arial" w:cs="Arial" w:eastAsia="Arial" w:hAnsi="Arial"/>
          <w:sz w:val="18"/>
          <w:szCs w:val="18"/>
          <w:color w:val="000000"/>
        </w:rPr>
        <w:t>in the section titled “Investor Relations.”</w:t>
      </w:r>
    </w:p>
    <w:p>
      <w:pPr>
        <w:spacing w:after="0" w:line="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Supplemental financial information referenced in the conference call can be found at </w:t>
      </w:r>
      <w:r>
        <w:rPr>
          <w:rFonts w:ascii="Arial" w:cs="Arial" w:eastAsia="Arial" w:hAnsi="Arial"/>
          <w:sz w:val="18"/>
          <w:szCs w:val="18"/>
          <w:u w:val="single" w:color="auto"/>
          <w:color w:val="0000FF"/>
        </w:rPr>
        <w:t>http://investor.manpowergroup.com/</w:t>
      </w:r>
      <w:r>
        <w:rPr>
          <w:rFonts w:ascii="Arial" w:cs="Arial" w:eastAsia="Arial" w:hAnsi="Arial"/>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214"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Right Management® and ManpowerGroup® Solutions – creates substantially more value for candidates and clients across 80 countries and territories and has done so for 70 years. In 2019, ManpowerGroup was named one of the World's Most Ethical Companies for the tenth year and one of Fortune's Most Admired Companies for the seventeenth year, confirming our position as the most trusted and admired brand in the industry. See how ManpowerGroup is powering the future of work: </w:t>
      </w:r>
      <w:r>
        <w:rPr>
          <w:rFonts w:ascii="Arial" w:cs="Arial" w:eastAsia="Arial" w:hAnsi="Arial"/>
          <w:sz w:val="16"/>
          <w:szCs w:val="16"/>
          <w:u w:val="single" w:color="auto"/>
          <w:color w:val="0000FF"/>
        </w:rPr>
        <w:t>www.manpowergroup.com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529590</wp:posOffset>
            </wp:positionV>
            <wp:extent cx="730250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306" w:right="2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Forward-Looking Statements</w:t>
      </w:r>
    </w:p>
    <w:p>
      <w:pPr>
        <w:spacing w:after="0" w:line="8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This news release contains statements, including earnings projections, predictions about revenue trends and the effect of restructuring actions,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2018, which information is incorporated herein by reference.</w:t>
      </w:r>
    </w:p>
    <w:p>
      <w:pPr>
        <w:spacing w:after="0" w:line="27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425450</wp:posOffset>
            </wp:positionV>
            <wp:extent cx="730250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369" w:right="219" w:bottom="1440" w:gutter="0" w:footer="0" w:header="0"/>
        </w:sectPr>
      </w:pPr>
    </w:p>
    <w:bookmarkStart w:id="6" w:name="page7"/>
    <w:bookmarkEnd w:id="6"/>
    <w:p>
      <w:pPr>
        <w:jc w:val="center"/>
        <w:ind w:right="-3"/>
        <w:spacing w:after="0"/>
        <w:rPr>
          <w:sz w:val="20"/>
          <w:szCs w:val="20"/>
          <w:color w:val="auto"/>
        </w:rPr>
      </w:pPr>
      <w:r>
        <w:rPr>
          <w:rFonts w:ascii="Times New Roman" w:cs="Times New Roman" w:eastAsia="Times New Roman" w:hAnsi="Times New Roman"/>
          <w:sz w:val="22"/>
          <w:szCs w:val="22"/>
          <w:color w:val="auto"/>
        </w:rPr>
        <w:t>ManpowerGroup</w:t>
      </w:r>
    </w:p>
    <w:p>
      <w:pPr>
        <w:spacing w:after="0" w:line="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Results of Operations</w:t>
      </w:r>
    </w:p>
    <w:p>
      <w:pPr>
        <w:spacing w:after="0" w:line="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(In millions, except per share data)</w:t>
      </w:r>
    </w:p>
    <w:p>
      <w:pPr>
        <w:spacing w:after="0" w:line="188" w:lineRule="exact"/>
        <w:rPr>
          <w:sz w:val="20"/>
          <w:szCs w:val="20"/>
          <w:color w:val="auto"/>
        </w:rPr>
      </w:pPr>
    </w:p>
    <w:tbl>
      <w:tblPr>
        <w:tblLayout w:type="fixed"/>
        <w:tblInd w:w="4" w:type="dxa"/>
        <w:tblCellMar>
          <w:top w:w="0" w:type="dxa"/>
          <w:left w:w="0" w:type="dxa"/>
          <w:bottom w:w="0" w:type="dxa"/>
          <w:right w:w="0" w:type="dxa"/>
        </w:tblCellMar>
      </w:tblPr>
      <w:tr>
        <w:trPr>
          <w:trHeight w:val="211"/>
        </w:trPr>
        <w:tc>
          <w:tcPr>
            <w:tcW w:w="42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center"/>
              <w:ind w:left="360"/>
              <w:spacing w:after="0"/>
              <w:rPr>
                <w:sz w:val="20"/>
                <w:szCs w:val="20"/>
                <w:color w:val="auto"/>
              </w:rPr>
            </w:pPr>
            <w:r>
              <w:rPr>
                <w:rFonts w:ascii="Times New Roman" w:cs="Times New Roman" w:eastAsia="Times New Roman" w:hAnsi="Times New Roman"/>
                <w:sz w:val="16"/>
                <w:szCs w:val="16"/>
                <w:b w:val="1"/>
                <w:bCs w:val="1"/>
                <w:color w:val="auto"/>
                <w:w w:val="99"/>
              </w:rPr>
              <w:t>Three Months Ended June 30</w:t>
            </w:r>
          </w:p>
        </w:tc>
        <w:tc>
          <w:tcPr>
            <w:tcW w:w="10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left="3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60" w:type="dxa"/>
            <w:vAlign w:val="bottom"/>
          </w:tcPr>
          <w:p>
            <w:pPr>
              <w:spacing w:after="0"/>
              <w:rPr>
                <w:sz w:val="16"/>
                <w:szCs w:val="16"/>
                <w:color w:val="auto"/>
              </w:rPr>
            </w:pPr>
          </w:p>
        </w:tc>
        <w:tc>
          <w:tcPr>
            <w:tcW w:w="1360" w:type="dxa"/>
            <w:vAlign w:val="bottom"/>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211"/>
        </w:trPr>
        <w:tc>
          <w:tcPr>
            <w:tcW w:w="42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left="300"/>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0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6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color w:val="auto"/>
              </w:rPr>
              <w:t>(Unaudited)</w:t>
            </w: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 (a)</w:t>
            </w:r>
          </w:p>
        </w:tc>
        <w:tc>
          <w:tcPr>
            <w:tcW w:w="980" w:type="dxa"/>
            <w:vAlign w:val="bottom"/>
            <w:shd w:val="clear" w:color="auto" w:fill="CFF0FC"/>
          </w:tcPr>
          <w:p>
            <w:pPr>
              <w:jc w:val="right"/>
              <w:ind w:right="8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5,373.1</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8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5,656.9</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60"/>
              <w:spacing w:after="0"/>
              <w:rPr>
                <w:sz w:val="20"/>
                <w:szCs w:val="20"/>
                <w:color w:val="auto"/>
              </w:rPr>
            </w:pPr>
            <w:r>
              <w:rPr>
                <w:rFonts w:ascii="Times New Roman" w:cs="Times New Roman" w:eastAsia="Times New Roman" w:hAnsi="Times New Roman"/>
                <w:sz w:val="16"/>
                <w:szCs w:val="16"/>
                <w:color w:val="auto"/>
              </w:rPr>
              <w:t>-5.0%</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4"/>
        </w:trPr>
        <w:tc>
          <w:tcPr>
            <w:tcW w:w="4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Cost of services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4,502.7</w:t>
            </w:r>
          </w:p>
        </w:tc>
        <w:tc>
          <w:tcPr>
            <w:tcW w:w="16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4,734.2</w:t>
            </w:r>
          </w:p>
        </w:tc>
        <w:tc>
          <w:tcPr>
            <w:tcW w:w="16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c>
          <w:tcPr>
            <w:tcW w:w="1060" w:type="dxa"/>
            <w:vAlign w:val="bottom"/>
            <w:tcBorders>
              <w:bottom w:val="single" w:sz="8" w:color="CFF0FC"/>
            </w:tcBorders>
          </w:tcPr>
          <w:p>
            <w:pPr>
              <w:jc w:val="right"/>
              <w:ind w:right="460"/>
              <w:spacing w:after="0"/>
              <w:rPr>
                <w:sz w:val="20"/>
                <w:szCs w:val="20"/>
                <w:color w:val="auto"/>
              </w:rPr>
            </w:pPr>
            <w:r>
              <w:rPr>
                <w:rFonts w:ascii="Times New Roman" w:cs="Times New Roman" w:eastAsia="Times New Roman" w:hAnsi="Times New Roman"/>
                <w:sz w:val="16"/>
                <w:szCs w:val="16"/>
                <w:color w:val="auto"/>
              </w:rPr>
              <w:t>-4.9%</w:t>
            </w:r>
          </w:p>
        </w:tc>
        <w:tc>
          <w:tcPr>
            <w:tcW w:w="13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196"/>
        </w:trPr>
        <w:tc>
          <w:tcPr>
            <w:tcW w:w="4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9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870.4</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922.7</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60"/>
              <w:spacing w:after="0"/>
              <w:rPr>
                <w:sz w:val="20"/>
                <w:szCs w:val="20"/>
                <w:color w:val="auto"/>
              </w:rPr>
            </w:pPr>
            <w:r>
              <w:rPr>
                <w:rFonts w:ascii="Times New Roman" w:cs="Times New Roman" w:eastAsia="Times New Roman" w:hAnsi="Times New Roman"/>
                <w:sz w:val="16"/>
                <w:szCs w:val="16"/>
                <w:color w:val="auto"/>
              </w:rPr>
              <w:t>-5.7%</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88"/>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excluding impairment charge</w:t>
            </w:r>
          </w:p>
        </w:tc>
        <w:tc>
          <w:tcPr>
            <w:tcW w:w="980" w:type="dxa"/>
            <w:vAlign w:val="bottom"/>
          </w:tcPr>
          <w:p>
            <w:pPr>
              <w:spacing w:after="0"/>
              <w:rPr>
                <w:sz w:val="18"/>
                <w:szCs w:val="18"/>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675.6</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714.4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rPr>
              <w:t>-5.4%</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4"/>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 impairment charge (b)</w:t>
            </w:r>
          </w:p>
        </w:tc>
        <w:tc>
          <w:tcPr>
            <w:tcW w:w="9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64.0</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960" w:type="dxa"/>
            <w:vAlign w:val="bottom"/>
            <w:gridSpan w:val="3"/>
            <w:shd w:val="clear" w:color="auto" w:fill="CFF0FC"/>
          </w:tcPr>
          <w:p>
            <w:pPr>
              <w:jc w:val="right"/>
              <w:ind w:right="13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9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739.6</w:t>
            </w:r>
          </w:p>
        </w:tc>
        <w:tc>
          <w:tcPr>
            <w:tcW w:w="1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714.4</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rPr>
              <w:t>3.6%</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4"/>
        </w:trPr>
        <w:tc>
          <w:tcPr>
            <w:tcW w:w="4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Operating profit</w:t>
            </w:r>
          </w:p>
        </w:tc>
        <w:tc>
          <w:tcPr>
            <w:tcW w:w="9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130.8</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208.3</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60"/>
              <w:spacing w:after="0"/>
              <w:rPr>
                <w:sz w:val="20"/>
                <w:szCs w:val="20"/>
                <w:color w:val="auto"/>
              </w:rPr>
            </w:pPr>
            <w:r>
              <w:rPr>
                <w:rFonts w:ascii="Times New Roman" w:cs="Times New Roman" w:eastAsia="Times New Roman" w:hAnsi="Times New Roman"/>
                <w:sz w:val="16"/>
                <w:szCs w:val="16"/>
                <w:color w:val="auto"/>
              </w:rPr>
              <w:t>-37.2%</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04"/>
        </w:trPr>
        <w:tc>
          <w:tcPr>
            <w:tcW w:w="4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Interest and other expenses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6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10.5</w:t>
            </w:r>
          </w:p>
        </w:tc>
        <w:tc>
          <w:tcPr>
            <w:tcW w:w="16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c>
          <w:tcPr>
            <w:tcW w:w="1060" w:type="dxa"/>
            <w:vAlign w:val="bottom"/>
            <w:tcBorders>
              <w:bottom w:val="single" w:sz="8" w:color="CFF0FC"/>
            </w:tcBorders>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9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201.0</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197.8</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60"/>
              <w:spacing w:after="0"/>
              <w:rPr>
                <w:sz w:val="20"/>
                <w:szCs w:val="20"/>
                <w:color w:val="auto"/>
              </w:rPr>
            </w:pPr>
            <w:r>
              <w:rPr>
                <w:rFonts w:ascii="Times New Roman" w:cs="Times New Roman" w:eastAsia="Times New Roman" w:hAnsi="Times New Roman"/>
                <w:sz w:val="16"/>
                <w:szCs w:val="16"/>
                <w:color w:val="auto"/>
              </w:rPr>
              <w:t>1.6%</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4"/>
        </w:trPr>
        <w:tc>
          <w:tcPr>
            <w:tcW w:w="4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73.7</w:t>
            </w:r>
          </w:p>
        </w:tc>
        <w:tc>
          <w:tcPr>
            <w:tcW w:w="16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54.4</w:t>
            </w:r>
          </w:p>
        </w:tc>
        <w:tc>
          <w:tcPr>
            <w:tcW w:w="16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c>
          <w:tcPr>
            <w:tcW w:w="1060" w:type="dxa"/>
            <w:vAlign w:val="bottom"/>
            <w:tcBorders>
              <w:bottom w:val="single" w:sz="8" w:color="CFF0FC"/>
            </w:tcBorders>
          </w:tcPr>
          <w:p>
            <w:pPr>
              <w:jc w:val="right"/>
              <w:ind w:right="460"/>
              <w:spacing w:after="0"/>
              <w:rPr>
                <w:sz w:val="20"/>
                <w:szCs w:val="20"/>
                <w:color w:val="auto"/>
              </w:rPr>
            </w:pPr>
            <w:r>
              <w:rPr>
                <w:rFonts w:ascii="Times New Roman" w:cs="Times New Roman" w:eastAsia="Times New Roman" w:hAnsi="Times New Roman"/>
                <w:sz w:val="16"/>
                <w:szCs w:val="16"/>
                <w:color w:val="auto"/>
              </w:rPr>
              <w:t>35.6%</w:t>
            </w:r>
          </w:p>
        </w:tc>
        <w:tc>
          <w:tcPr>
            <w:tcW w:w="13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Net earnings</w:t>
            </w:r>
          </w:p>
        </w:tc>
        <w:tc>
          <w:tcPr>
            <w:tcW w:w="980" w:type="dxa"/>
            <w:vAlign w:val="bottom"/>
            <w:tcBorders>
              <w:bottom w:val="single" w:sz="8" w:color="auto"/>
            </w:tcBorders>
            <w:shd w:val="clear" w:color="auto" w:fill="CFF0FC"/>
          </w:tcPr>
          <w:p>
            <w:pPr>
              <w:jc w:val="right"/>
              <w:ind w:right="8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127.3</w:t>
            </w: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8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143.4</w:t>
            </w:r>
          </w:p>
        </w:tc>
        <w:tc>
          <w:tcPr>
            <w:tcW w:w="16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ind w:right="460"/>
              <w:spacing w:after="0"/>
              <w:rPr>
                <w:sz w:val="20"/>
                <w:szCs w:val="20"/>
                <w:color w:val="auto"/>
              </w:rPr>
            </w:pPr>
            <w:r>
              <w:rPr>
                <w:rFonts w:ascii="Times New Roman" w:cs="Times New Roman" w:eastAsia="Times New Roman" w:hAnsi="Times New Roman"/>
                <w:sz w:val="16"/>
                <w:szCs w:val="16"/>
                <w:color w:val="auto"/>
              </w:rPr>
              <w:t>-11.3%</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earnings per share - basic</w:t>
            </w: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vMerge w:val="restart"/>
          </w:tcPr>
          <w:p>
            <w:pPr>
              <w:jc w:val="right"/>
              <w:ind w:right="460"/>
              <w:spacing w:after="0"/>
              <w:rPr>
                <w:sz w:val="20"/>
                <w:szCs w:val="20"/>
                <w:color w:val="auto"/>
              </w:rPr>
            </w:pPr>
            <w:r>
              <w:rPr>
                <w:rFonts w:ascii="Times New Roman" w:cs="Times New Roman" w:eastAsia="Times New Roman" w:hAnsi="Times New Roman"/>
                <w:sz w:val="16"/>
                <w:szCs w:val="16"/>
                <w:color w:val="auto"/>
              </w:rPr>
              <w:t>-2.8%</w:t>
            </w: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80" w:type="dxa"/>
            <w:vAlign w:val="bottom"/>
            <w:tcBorders>
              <w:bottom w:val="single" w:sz="8" w:color="CFF0FC"/>
            </w:tcBorders>
            <w:vMerge w:val="continue"/>
          </w:tcPr>
          <w:p>
            <w:pPr>
              <w:spacing w:after="0"/>
              <w:rPr>
                <w:sz w:val="19"/>
                <w:szCs w:val="19"/>
                <w:color w:val="auto"/>
              </w:rPr>
            </w:pPr>
          </w:p>
        </w:tc>
        <w:tc>
          <w:tcPr>
            <w:tcW w:w="980" w:type="dxa"/>
            <w:vAlign w:val="bottom"/>
            <w:tcBorders>
              <w:bottom w:val="single" w:sz="8" w:color="auto"/>
            </w:tcBorders>
          </w:tcPr>
          <w:p>
            <w:pPr>
              <w:jc w:val="right"/>
              <w:ind w:right="820"/>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2.12</w:t>
            </w:r>
          </w:p>
        </w:tc>
        <w:tc>
          <w:tcPr>
            <w:tcW w:w="1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820"/>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2.18</w:t>
            </w:r>
          </w:p>
        </w:tc>
        <w:tc>
          <w:tcPr>
            <w:tcW w:w="16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vMerge w:val="continue"/>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28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earnings per share - diluted</w:t>
            </w:r>
          </w:p>
        </w:tc>
        <w:tc>
          <w:tcPr>
            <w:tcW w:w="980" w:type="dxa"/>
            <w:vAlign w:val="bottom"/>
            <w:tcBorders>
              <w:bottom w:val="single" w:sz="8" w:color="auto"/>
            </w:tcBorders>
            <w:shd w:val="clear" w:color="auto" w:fill="CFF0FC"/>
          </w:tcPr>
          <w:p>
            <w:pPr>
              <w:jc w:val="right"/>
              <w:ind w:right="820"/>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2.11</w:t>
            </w:r>
          </w:p>
        </w:tc>
        <w:tc>
          <w:tcPr>
            <w:tcW w:w="16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820"/>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2.17</w:t>
            </w:r>
          </w:p>
        </w:tc>
        <w:tc>
          <w:tcPr>
            <w:tcW w:w="16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CFF0FC"/>
            </w:tcBorders>
            <w:shd w:val="clear" w:color="auto" w:fill="CFF0FC"/>
          </w:tcPr>
          <w:p>
            <w:pPr>
              <w:jc w:val="right"/>
              <w:ind w:right="460"/>
              <w:spacing w:after="0" w:line="181" w:lineRule="exact"/>
              <w:rPr>
                <w:sz w:val="20"/>
                <w:szCs w:val="20"/>
                <w:color w:val="auto"/>
              </w:rPr>
            </w:pPr>
            <w:r>
              <w:rPr>
                <w:rFonts w:ascii="Times New Roman" w:cs="Times New Roman" w:eastAsia="Times New Roman" w:hAnsi="Times New Roman"/>
                <w:sz w:val="16"/>
                <w:szCs w:val="16"/>
                <w:color w:val="auto"/>
              </w:rPr>
              <w:t>-2.8%</w:t>
            </w:r>
          </w:p>
        </w:tc>
        <w:tc>
          <w:tcPr>
            <w:tcW w:w="1360" w:type="dxa"/>
            <w:vAlign w:val="bottom"/>
            <w:tcBorders>
              <w:bottom w:val="single" w:sz="8" w:color="CFF0FC"/>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 average shares - basic</w:t>
            </w: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vMerge w:val="restart"/>
          </w:tcPr>
          <w:p>
            <w:pPr>
              <w:jc w:val="right"/>
              <w:ind w:right="460"/>
              <w:spacing w:after="0"/>
              <w:rPr>
                <w:sz w:val="20"/>
                <w:szCs w:val="20"/>
                <w:color w:val="auto"/>
              </w:rPr>
            </w:pPr>
            <w:r>
              <w:rPr>
                <w:rFonts w:ascii="Times New Roman" w:cs="Times New Roman" w:eastAsia="Times New Roman" w:hAnsi="Times New Roman"/>
                <w:sz w:val="16"/>
                <w:szCs w:val="16"/>
                <w:color w:val="auto"/>
              </w:rPr>
              <w:t>-8.7%</w:t>
            </w: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80" w:type="dxa"/>
            <w:vAlign w:val="bottom"/>
            <w:tcBorders>
              <w:bottom w:val="single" w:sz="8" w:color="CFF0FC"/>
            </w:tcBorders>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60.0</w:t>
            </w:r>
          </w:p>
        </w:tc>
        <w:tc>
          <w:tcPr>
            <w:tcW w:w="1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65.7</w:t>
            </w:r>
          </w:p>
        </w:tc>
        <w:tc>
          <w:tcPr>
            <w:tcW w:w="16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vMerge w:val="continue"/>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28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Weighted average shares - diluted</w:t>
            </w:r>
          </w:p>
        </w:tc>
        <w:tc>
          <w:tcPr>
            <w:tcW w:w="98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60.4</w:t>
            </w:r>
          </w:p>
        </w:tc>
        <w:tc>
          <w:tcPr>
            <w:tcW w:w="16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66.1</w:t>
            </w:r>
          </w:p>
        </w:tc>
        <w:tc>
          <w:tcPr>
            <w:tcW w:w="16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CFF0FC"/>
            </w:tcBorders>
            <w:shd w:val="clear" w:color="auto" w:fill="CFF0FC"/>
          </w:tcPr>
          <w:p>
            <w:pPr>
              <w:jc w:val="right"/>
              <w:ind w:right="460"/>
              <w:spacing w:after="0" w:line="181" w:lineRule="exact"/>
              <w:rPr>
                <w:sz w:val="20"/>
                <w:szCs w:val="20"/>
                <w:color w:val="auto"/>
              </w:rPr>
            </w:pPr>
            <w:r>
              <w:rPr>
                <w:rFonts w:ascii="Times New Roman" w:cs="Times New Roman" w:eastAsia="Times New Roman" w:hAnsi="Times New Roman"/>
                <w:sz w:val="16"/>
                <w:szCs w:val="16"/>
                <w:color w:val="auto"/>
              </w:rPr>
              <w:t>-8.8%</w:t>
            </w:r>
          </w:p>
        </w:tc>
        <w:tc>
          <w:tcPr>
            <w:tcW w:w="13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4" w:right="60" w:hanging="4"/>
        <w:spacing w:after="0" w:line="266" w:lineRule="auto"/>
        <w:tabs>
          <w:tab w:leader="none" w:pos="26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services include fees received from our franchise offices of $4.1 million and $6.2 million for the three months ended June 30, 2019 and 2018, respectively. These fees are primarily based on revenues generated by the franchise offices, which were $163.2 million and $273.9 million for the three months ended June 30, 2019 and 2018, respectively.</w:t>
      </w:r>
    </w:p>
    <w:p>
      <w:pPr>
        <w:spacing w:after="0" w:line="217" w:lineRule="exact"/>
        <w:rPr>
          <w:rFonts w:ascii="Times New Roman" w:cs="Times New Roman" w:eastAsia="Times New Roman" w:hAnsi="Times New Roman"/>
          <w:sz w:val="16"/>
          <w:szCs w:val="16"/>
          <w:color w:val="auto"/>
        </w:rPr>
      </w:pPr>
    </w:p>
    <w:p>
      <w:pPr>
        <w:ind w:left="264" w:hanging="264"/>
        <w:spacing w:after="0"/>
        <w:tabs>
          <w:tab w:leader="none" w:pos="26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impairment charge for the three months ended June 30, 2019 relates to our investments in Germany and New Zealand.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307975</wp:posOffset>
            </wp:positionV>
            <wp:extent cx="730250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310" w:right="219" w:bottom="1440" w:gutter="0" w:footer="0" w:header="0"/>
        </w:sectPr>
      </w:pPr>
    </w:p>
    <w:bookmarkStart w:id="7" w:name="page8"/>
    <w:bookmarkEnd w:id="7"/>
    <w:p>
      <w:pPr>
        <w:jc w:val="center"/>
        <w:ind w:right="16"/>
        <w:spacing w:after="0"/>
        <w:rPr>
          <w:sz w:val="20"/>
          <w:szCs w:val="20"/>
          <w:color w:val="auto"/>
        </w:rPr>
      </w:pPr>
      <w:r>
        <w:rPr>
          <w:rFonts w:ascii="Times New Roman" w:cs="Times New Roman" w:eastAsia="Times New Roman" w:hAnsi="Times New Roman"/>
          <w:sz w:val="22"/>
          <w:szCs w:val="22"/>
          <w:color w:val="auto"/>
        </w:rPr>
        <w:t>ManpowerGroup</w:t>
      </w:r>
    </w:p>
    <w:p>
      <w:pPr>
        <w:spacing w:after="0" w:line="52"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6"/>
          <w:szCs w:val="16"/>
          <w:color w:val="auto"/>
        </w:rPr>
        <w:t>Operating Unit Results</w:t>
      </w:r>
    </w:p>
    <w:p>
      <w:pPr>
        <w:spacing w:after="0" w:line="2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3"/>
          <w:szCs w:val="13"/>
          <w:color w:val="auto"/>
        </w:rPr>
        <w:t>(In millions)</w:t>
      </w:r>
    </w:p>
    <w:p>
      <w:pPr>
        <w:spacing w:after="0" w:line="188" w:lineRule="exact"/>
        <w:rPr>
          <w:sz w:val="20"/>
          <w:szCs w:val="20"/>
          <w:color w:val="auto"/>
        </w:rPr>
      </w:pPr>
    </w:p>
    <w:tbl>
      <w:tblPr>
        <w:tblLayout w:type="fixed"/>
        <w:tblInd w:w="4" w:type="dxa"/>
        <w:tblCellMar>
          <w:top w:w="0" w:type="dxa"/>
          <w:left w:w="0" w:type="dxa"/>
          <w:bottom w:w="0" w:type="dxa"/>
          <w:right w:w="0" w:type="dxa"/>
        </w:tblCellMar>
      </w:tblPr>
      <w:tr>
        <w:trPr>
          <w:trHeight w:val="211"/>
        </w:trPr>
        <w:tc>
          <w:tcPr>
            <w:tcW w:w="3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Three Months Ended June 30</w:t>
            </w:r>
          </w:p>
        </w:tc>
        <w:tc>
          <w:tcPr>
            <w:tcW w:w="1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480" w:type="dxa"/>
            <w:vAlign w:val="bottom"/>
            <w:tcBorders>
              <w:bottom w:val="single" w:sz="8" w:color="auto"/>
            </w:tcBorders>
          </w:tcPr>
          <w:p>
            <w:pPr>
              <w:spacing w:after="0"/>
              <w:rPr>
                <w:sz w:val="17"/>
                <w:szCs w:val="17"/>
                <w:color w:val="auto"/>
              </w:rPr>
            </w:pPr>
          </w:p>
        </w:tc>
      </w:tr>
      <w:tr>
        <w:trPr>
          <w:trHeight w:val="190"/>
        </w:trPr>
        <w:tc>
          <w:tcPr>
            <w:tcW w:w="3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left="3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120" w:type="dxa"/>
            <w:vAlign w:val="bottom"/>
          </w:tcPr>
          <w:p>
            <w:pPr>
              <w:spacing w:after="0"/>
              <w:rPr>
                <w:sz w:val="16"/>
                <w:szCs w:val="16"/>
                <w:color w:val="auto"/>
              </w:rPr>
            </w:pPr>
          </w:p>
        </w:tc>
        <w:tc>
          <w:tcPr>
            <w:tcW w:w="1480" w:type="dxa"/>
            <w:vAlign w:val="bottom"/>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Constant</w:t>
            </w:r>
          </w:p>
        </w:tc>
      </w:tr>
      <w:tr>
        <w:trPr>
          <w:trHeight w:val="211"/>
        </w:trPr>
        <w:tc>
          <w:tcPr>
            <w:tcW w:w="3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2018</w:t>
            </w: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340"/>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Currency</w:t>
            </w:r>
          </w:p>
        </w:tc>
      </w:tr>
      <w:tr>
        <w:trPr>
          <w:trHeight w:val="196"/>
        </w:trPr>
        <w:tc>
          <w:tcPr>
            <w:tcW w:w="3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0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color w:val="auto"/>
              </w:rPr>
              <w:t>(Unaudited)</w:t>
            </w:r>
          </w:p>
        </w:tc>
        <w:tc>
          <w:tcPr>
            <w:tcW w:w="1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4"/>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w:t>
            </w: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4"/>
        </w:trPr>
        <w:tc>
          <w:tcPr>
            <w:tcW w:w="3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Americas:</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4"/>
        </w:trPr>
        <w:tc>
          <w:tcPr>
            <w:tcW w:w="37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United States (a)</w:t>
            </w:r>
          </w:p>
        </w:tc>
        <w:tc>
          <w:tcPr>
            <w:tcW w:w="36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630.9</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640.5</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-1.5%</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4"/>
        </w:trPr>
        <w:tc>
          <w:tcPr>
            <w:tcW w:w="3740" w:type="dxa"/>
            <w:vAlign w:val="bottom"/>
            <w:tcBorders>
              <w:bottom w:val="single" w:sz="8" w:color="CFF0FC"/>
            </w:tcBorders>
          </w:tcPr>
          <w:p>
            <w:pPr>
              <w:ind w:left="440"/>
              <w:spacing w:after="0"/>
              <w:rPr>
                <w:sz w:val="20"/>
                <w:szCs w:val="20"/>
                <w:color w:val="auto"/>
              </w:rPr>
            </w:pPr>
            <w:r>
              <w:rPr>
                <w:rFonts w:ascii="Times New Roman" w:cs="Times New Roman" w:eastAsia="Times New Roman" w:hAnsi="Times New Roman"/>
                <w:sz w:val="16"/>
                <w:szCs w:val="16"/>
                <w:color w:val="auto"/>
              </w:rPr>
              <w:t>Other Americas</w:t>
            </w: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412.5</w:t>
            </w:r>
          </w:p>
        </w:tc>
        <w:tc>
          <w:tcPr>
            <w:tcW w:w="18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412.0</w:t>
            </w:r>
          </w:p>
        </w:tc>
        <w:tc>
          <w:tcPr>
            <w:tcW w:w="180" w:type="dxa"/>
            <w:vAlign w:val="bottom"/>
            <w:tcBorders>
              <w:bottom w:val="single" w:sz="8" w:color="CFF0FC"/>
            </w:tcBorders>
          </w:tcPr>
          <w:p>
            <w:pPr>
              <w:spacing w:after="0"/>
              <w:rPr>
                <w:sz w:val="17"/>
                <w:szCs w:val="17"/>
                <w:color w:val="auto"/>
              </w:rPr>
            </w:pPr>
          </w:p>
        </w:tc>
        <w:tc>
          <w:tcPr>
            <w:tcW w:w="1220" w:type="dxa"/>
            <w:vAlign w:val="bottom"/>
            <w:tcBorders>
              <w:bottom w:val="single" w:sz="8" w:color="CFF0FC"/>
            </w:tcBorders>
          </w:tcPr>
          <w:p>
            <w:pPr>
              <w:spacing w:after="0"/>
              <w:rPr>
                <w:sz w:val="17"/>
                <w:szCs w:val="17"/>
                <w:color w:val="auto"/>
              </w:rPr>
            </w:pPr>
          </w:p>
        </w:tc>
        <w:tc>
          <w:tcPr>
            <w:tcW w:w="1120" w:type="dxa"/>
            <w:vAlign w:val="bottom"/>
            <w:tcBorders>
              <w:bottom w:val="single" w:sz="8" w:color="CFF0FC"/>
            </w:tcBorders>
          </w:tcPr>
          <w:p>
            <w:pPr>
              <w:jc w:val="right"/>
              <w:ind w:right="480"/>
              <w:spacing w:after="0"/>
              <w:rPr>
                <w:sz w:val="20"/>
                <w:szCs w:val="20"/>
                <w:color w:val="auto"/>
              </w:rPr>
            </w:pPr>
            <w:r>
              <w:rPr>
                <w:rFonts w:ascii="Times New Roman" w:cs="Times New Roman" w:eastAsia="Times New Roman" w:hAnsi="Times New Roman"/>
                <w:sz w:val="16"/>
                <w:szCs w:val="16"/>
                <w:color w:val="auto"/>
              </w:rPr>
              <w:t>0.1%</w:t>
            </w:r>
          </w:p>
        </w:tc>
        <w:tc>
          <w:tcPr>
            <w:tcW w:w="14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196"/>
        </w:trPr>
        <w:tc>
          <w:tcPr>
            <w:tcW w:w="374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1,043.4</w:t>
            </w:r>
          </w:p>
        </w:tc>
        <w:tc>
          <w:tcPr>
            <w:tcW w:w="18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1,052.5</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-0.9%</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96"/>
        </w:trPr>
        <w:tc>
          <w:tcPr>
            <w:tcW w:w="3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Southern Europe:</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4"/>
        </w:trPr>
        <w:tc>
          <w:tcPr>
            <w:tcW w:w="37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France</w:t>
            </w: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1,420.2</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1,512.5</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-6.1%</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4"/>
        </w:trPr>
        <w:tc>
          <w:tcPr>
            <w:tcW w:w="37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Italy</w:t>
            </w:r>
          </w:p>
        </w:tc>
        <w:tc>
          <w:tcPr>
            <w:tcW w:w="36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394.0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443.0</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rPr>
              <w:t>-11.1%</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4"/>
        </w:trPr>
        <w:tc>
          <w:tcPr>
            <w:tcW w:w="37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Other Southern Europe</w:t>
            </w:r>
          </w:p>
        </w:tc>
        <w:tc>
          <w:tcPr>
            <w:tcW w:w="3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573.0</w:t>
            </w:r>
          </w:p>
        </w:tc>
        <w:tc>
          <w:tcPr>
            <w:tcW w:w="18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478.5</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19.7%</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196"/>
        </w:trPr>
        <w:tc>
          <w:tcPr>
            <w:tcW w:w="374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2,387.2</w:t>
            </w:r>
          </w:p>
        </w:tc>
        <w:tc>
          <w:tcPr>
            <w:tcW w:w="18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2,434.0</w:t>
            </w:r>
          </w:p>
        </w:tc>
        <w:tc>
          <w:tcPr>
            <w:tcW w:w="180" w:type="dxa"/>
            <w:vAlign w:val="bottom"/>
            <w:tcBorders>
              <w:bottom w:val="single" w:sz="8" w:color="CFF0FC"/>
            </w:tcBorders>
          </w:tcPr>
          <w:p>
            <w:pPr>
              <w:spacing w:after="0"/>
              <w:rPr>
                <w:sz w:val="17"/>
                <w:szCs w:val="17"/>
                <w:color w:val="auto"/>
              </w:rPr>
            </w:pPr>
          </w:p>
        </w:tc>
        <w:tc>
          <w:tcPr>
            <w:tcW w:w="1220" w:type="dxa"/>
            <w:vAlign w:val="bottom"/>
            <w:tcBorders>
              <w:bottom w:val="single" w:sz="8" w:color="CFF0FC"/>
            </w:tcBorders>
          </w:tcPr>
          <w:p>
            <w:pPr>
              <w:spacing w:after="0"/>
              <w:rPr>
                <w:sz w:val="17"/>
                <w:szCs w:val="17"/>
                <w:color w:val="auto"/>
              </w:rPr>
            </w:pPr>
          </w:p>
        </w:tc>
        <w:tc>
          <w:tcPr>
            <w:tcW w:w="1120" w:type="dxa"/>
            <w:vAlign w:val="bottom"/>
            <w:tcBorders>
              <w:bottom w:val="single" w:sz="8" w:color="CFF0FC"/>
            </w:tcBorders>
          </w:tcPr>
          <w:p>
            <w:pPr>
              <w:jc w:val="right"/>
              <w:ind w:right="480"/>
              <w:spacing w:after="0"/>
              <w:rPr>
                <w:sz w:val="20"/>
                <w:szCs w:val="20"/>
                <w:color w:val="auto"/>
              </w:rPr>
            </w:pPr>
            <w:r>
              <w:rPr>
                <w:rFonts w:ascii="Times New Roman" w:cs="Times New Roman" w:eastAsia="Times New Roman" w:hAnsi="Times New Roman"/>
                <w:sz w:val="16"/>
                <w:szCs w:val="16"/>
                <w:color w:val="auto"/>
              </w:rPr>
              <w:t>-1.9%</w:t>
            </w:r>
          </w:p>
        </w:tc>
        <w:tc>
          <w:tcPr>
            <w:tcW w:w="14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196"/>
        </w:trPr>
        <w:tc>
          <w:tcPr>
            <w:tcW w:w="3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Northern Europe</w:t>
            </w: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1,183.2</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1,393.2</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-15.1%</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04"/>
        </w:trPr>
        <w:tc>
          <w:tcPr>
            <w:tcW w:w="3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APME</w:t>
            </w:r>
          </w:p>
        </w:tc>
        <w:tc>
          <w:tcPr>
            <w:tcW w:w="36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708.9</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724.8</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rPr>
              <w:t>-2.2%</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4"/>
        </w:trPr>
        <w:tc>
          <w:tcPr>
            <w:tcW w:w="3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Right Management</w:t>
            </w:r>
          </w:p>
        </w:tc>
        <w:tc>
          <w:tcPr>
            <w:tcW w:w="3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50.4</w:t>
            </w:r>
          </w:p>
        </w:tc>
        <w:tc>
          <w:tcPr>
            <w:tcW w:w="18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52.4</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-3.9%</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36"/>
        </w:trPr>
        <w:tc>
          <w:tcPr>
            <w:tcW w:w="374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5,373.1</w:t>
            </w:r>
          </w:p>
        </w:tc>
        <w:tc>
          <w:tcPr>
            <w:tcW w:w="18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5,656.9</w:t>
            </w:r>
          </w:p>
        </w:tc>
        <w:tc>
          <w:tcPr>
            <w:tcW w:w="18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tcPr>
          <w:p>
            <w:pPr>
              <w:spacing w:after="0"/>
              <w:rPr>
                <w:sz w:val="20"/>
                <w:szCs w:val="20"/>
                <w:color w:val="auto"/>
              </w:rPr>
            </w:pPr>
          </w:p>
        </w:tc>
        <w:tc>
          <w:tcPr>
            <w:tcW w:w="1120" w:type="dxa"/>
            <w:vAlign w:val="bottom"/>
            <w:tcBorders>
              <w:bottom w:val="single" w:sz="8" w:color="CFF0FC"/>
            </w:tcBorders>
          </w:tcPr>
          <w:p>
            <w:pPr>
              <w:jc w:val="right"/>
              <w:ind w:right="480"/>
              <w:spacing w:after="0"/>
              <w:rPr>
                <w:sz w:val="20"/>
                <w:szCs w:val="20"/>
                <w:color w:val="auto"/>
              </w:rPr>
            </w:pPr>
            <w:r>
              <w:rPr>
                <w:rFonts w:ascii="Times New Roman" w:cs="Times New Roman" w:eastAsia="Times New Roman" w:hAnsi="Times New Roman"/>
                <w:sz w:val="16"/>
                <w:szCs w:val="16"/>
                <w:color w:val="auto"/>
              </w:rPr>
              <w:t>-5.0%</w:t>
            </w:r>
          </w:p>
        </w:tc>
        <w:tc>
          <w:tcPr>
            <w:tcW w:w="14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180"/>
        </w:trPr>
        <w:tc>
          <w:tcPr>
            <w:tcW w:w="37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Operating Unit Profit:</w:t>
            </w:r>
          </w:p>
        </w:tc>
        <w:tc>
          <w:tcPr>
            <w:tcW w:w="3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204"/>
        </w:trPr>
        <w:tc>
          <w:tcPr>
            <w:tcW w:w="3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Americas:</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4"/>
        </w:trPr>
        <w:tc>
          <w:tcPr>
            <w:tcW w:w="37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United States</w:t>
            </w:r>
          </w:p>
        </w:tc>
        <w:tc>
          <w:tcPr>
            <w:tcW w:w="36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32.2</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38.2</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-15.6%</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04"/>
        </w:trPr>
        <w:tc>
          <w:tcPr>
            <w:tcW w:w="3740" w:type="dxa"/>
            <w:vAlign w:val="bottom"/>
            <w:tcBorders>
              <w:bottom w:val="single" w:sz="8" w:color="CFF0FC"/>
            </w:tcBorders>
          </w:tcPr>
          <w:p>
            <w:pPr>
              <w:ind w:left="440"/>
              <w:spacing w:after="0"/>
              <w:rPr>
                <w:sz w:val="20"/>
                <w:szCs w:val="20"/>
                <w:color w:val="auto"/>
              </w:rPr>
            </w:pPr>
            <w:r>
              <w:rPr>
                <w:rFonts w:ascii="Times New Roman" w:cs="Times New Roman" w:eastAsia="Times New Roman" w:hAnsi="Times New Roman"/>
                <w:sz w:val="16"/>
                <w:szCs w:val="16"/>
                <w:color w:val="auto"/>
              </w:rPr>
              <w:t>Other Americas</w:t>
            </w: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17.3</w:t>
            </w:r>
          </w:p>
        </w:tc>
        <w:tc>
          <w:tcPr>
            <w:tcW w:w="18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18.5</w:t>
            </w:r>
          </w:p>
        </w:tc>
        <w:tc>
          <w:tcPr>
            <w:tcW w:w="180" w:type="dxa"/>
            <w:vAlign w:val="bottom"/>
            <w:tcBorders>
              <w:bottom w:val="single" w:sz="8" w:color="CFF0FC"/>
            </w:tcBorders>
          </w:tcPr>
          <w:p>
            <w:pPr>
              <w:spacing w:after="0"/>
              <w:rPr>
                <w:sz w:val="17"/>
                <w:szCs w:val="17"/>
                <w:color w:val="auto"/>
              </w:rPr>
            </w:pPr>
          </w:p>
        </w:tc>
        <w:tc>
          <w:tcPr>
            <w:tcW w:w="1220" w:type="dxa"/>
            <w:vAlign w:val="bottom"/>
            <w:tcBorders>
              <w:bottom w:val="single" w:sz="8" w:color="CFF0FC"/>
            </w:tcBorders>
          </w:tcPr>
          <w:p>
            <w:pPr>
              <w:spacing w:after="0"/>
              <w:rPr>
                <w:sz w:val="17"/>
                <w:szCs w:val="17"/>
                <w:color w:val="auto"/>
              </w:rPr>
            </w:pPr>
          </w:p>
        </w:tc>
        <w:tc>
          <w:tcPr>
            <w:tcW w:w="1120" w:type="dxa"/>
            <w:vAlign w:val="bottom"/>
            <w:tcBorders>
              <w:bottom w:val="single" w:sz="8" w:color="CFF0FC"/>
            </w:tcBorders>
          </w:tcPr>
          <w:p>
            <w:pPr>
              <w:jc w:val="right"/>
              <w:ind w:right="480"/>
              <w:spacing w:after="0"/>
              <w:rPr>
                <w:sz w:val="20"/>
                <w:szCs w:val="20"/>
                <w:color w:val="auto"/>
              </w:rPr>
            </w:pPr>
            <w:r>
              <w:rPr>
                <w:rFonts w:ascii="Times New Roman" w:cs="Times New Roman" w:eastAsia="Times New Roman" w:hAnsi="Times New Roman"/>
                <w:sz w:val="16"/>
                <w:szCs w:val="16"/>
                <w:color w:val="auto"/>
              </w:rPr>
              <w:t>-7.0%</w:t>
            </w:r>
          </w:p>
        </w:tc>
        <w:tc>
          <w:tcPr>
            <w:tcW w:w="14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196"/>
        </w:trPr>
        <w:tc>
          <w:tcPr>
            <w:tcW w:w="374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49.5</w:t>
            </w:r>
          </w:p>
        </w:tc>
        <w:tc>
          <w:tcPr>
            <w:tcW w:w="18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56.7</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-12.8%</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196"/>
        </w:trPr>
        <w:tc>
          <w:tcPr>
            <w:tcW w:w="3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Southern Europe:</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4"/>
        </w:trPr>
        <w:tc>
          <w:tcPr>
            <w:tcW w:w="37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France</w:t>
            </w: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75.7</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73.0</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3.6%</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04"/>
        </w:trPr>
        <w:tc>
          <w:tcPr>
            <w:tcW w:w="37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Italy</w:t>
            </w:r>
          </w:p>
        </w:tc>
        <w:tc>
          <w:tcPr>
            <w:tcW w:w="36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29.8</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31.9</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rPr>
              <w:t>-6.7%</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4"/>
        </w:trPr>
        <w:tc>
          <w:tcPr>
            <w:tcW w:w="37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Other Southern Europe</w:t>
            </w:r>
          </w:p>
        </w:tc>
        <w:tc>
          <w:tcPr>
            <w:tcW w:w="3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18.0</w:t>
            </w:r>
          </w:p>
        </w:tc>
        <w:tc>
          <w:tcPr>
            <w:tcW w:w="18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16.8</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7.6%</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196"/>
        </w:trPr>
        <w:tc>
          <w:tcPr>
            <w:tcW w:w="374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123.5</w:t>
            </w:r>
          </w:p>
        </w:tc>
        <w:tc>
          <w:tcPr>
            <w:tcW w:w="18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121.7</w:t>
            </w:r>
          </w:p>
        </w:tc>
        <w:tc>
          <w:tcPr>
            <w:tcW w:w="180" w:type="dxa"/>
            <w:vAlign w:val="bottom"/>
            <w:tcBorders>
              <w:bottom w:val="single" w:sz="8" w:color="CFF0FC"/>
            </w:tcBorders>
          </w:tcPr>
          <w:p>
            <w:pPr>
              <w:spacing w:after="0"/>
              <w:rPr>
                <w:sz w:val="17"/>
                <w:szCs w:val="17"/>
                <w:color w:val="auto"/>
              </w:rPr>
            </w:pPr>
          </w:p>
        </w:tc>
        <w:tc>
          <w:tcPr>
            <w:tcW w:w="1220" w:type="dxa"/>
            <w:vAlign w:val="bottom"/>
            <w:tcBorders>
              <w:bottom w:val="single" w:sz="8" w:color="CFF0FC"/>
            </w:tcBorders>
          </w:tcPr>
          <w:p>
            <w:pPr>
              <w:spacing w:after="0"/>
              <w:rPr>
                <w:sz w:val="17"/>
                <w:szCs w:val="17"/>
                <w:color w:val="auto"/>
              </w:rPr>
            </w:pPr>
          </w:p>
        </w:tc>
        <w:tc>
          <w:tcPr>
            <w:tcW w:w="1120" w:type="dxa"/>
            <w:vAlign w:val="bottom"/>
            <w:tcBorders>
              <w:bottom w:val="single" w:sz="8" w:color="CFF0FC"/>
            </w:tcBorders>
          </w:tcPr>
          <w:p>
            <w:pPr>
              <w:jc w:val="right"/>
              <w:ind w:right="480"/>
              <w:spacing w:after="0"/>
              <w:rPr>
                <w:sz w:val="20"/>
                <w:szCs w:val="20"/>
                <w:color w:val="auto"/>
              </w:rPr>
            </w:pPr>
            <w:r>
              <w:rPr>
                <w:rFonts w:ascii="Times New Roman" w:cs="Times New Roman" w:eastAsia="Times New Roman" w:hAnsi="Times New Roman"/>
                <w:sz w:val="16"/>
                <w:szCs w:val="16"/>
                <w:color w:val="auto"/>
              </w:rPr>
              <w:t>1.5%</w:t>
            </w:r>
          </w:p>
        </w:tc>
        <w:tc>
          <w:tcPr>
            <w:tcW w:w="14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196"/>
        </w:trPr>
        <w:tc>
          <w:tcPr>
            <w:tcW w:w="3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Northern Europe</w:t>
            </w: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24.3</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24.7</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-1.6%</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04"/>
        </w:trPr>
        <w:tc>
          <w:tcPr>
            <w:tcW w:w="3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APME</w:t>
            </w:r>
          </w:p>
        </w:tc>
        <w:tc>
          <w:tcPr>
            <w:tcW w:w="36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28.1</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29.2</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rPr>
              <w:t>-4.1%</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4"/>
        </w:trPr>
        <w:tc>
          <w:tcPr>
            <w:tcW w:w="3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Right Management</w:t>
            </w:r>
          </w:p>
        </w:tc>
        <w:tc>
          <w:tcPr>
            <w:tcW w:w="3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w:t>
            </w:r>
          </w:p>
        </w:tc>
        <w:tc>
          <w:tcPr>
            <w:tcW w:w="18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10.5</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-13.5%</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196"/>
        </w:trPr>
        <w:tc>
          <w:tcPr>
            <w:tcW w:w="3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234.4</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242.8</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4"/>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expenses</w:t>
            </w: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4"/>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Goodwill impairment charge</w:t>
            </w: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00" w:type="dxa"/>
            <w:vAlign w:val="bottom"/>
            <w:gridSpan w:val="3"/>
          </w:tcPr>
          <w:p>
            <w:pPr>
              <w:jc w:val="right"/>
              <w:ind w:right="1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4"/>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3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8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196"/>
        </w:trPr>
        <w:tc>
          <w:tcPr>
            <w:tcW w:w="3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profit</w:t>
            </w:r>
          </w:p>
        </w:tc>
        <w:tc>
          <w:tcPr>
            <w:tcW w:w="36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130.8</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208.3</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rPr>
              <w:t>-37.2%</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04"/>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and other expenses (b)</w:t>
            </w:r>
          </w:p>
        </w:tc>
        <w:tc>
          <w:tcPr>
            <w:tcW w:w="3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70.2</w:t>
            </w:r>
          </w:p>
        </w:tc>
        <w:tc>
          <w:tcPr>
            <w:tcW w:w="18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196"/>
        </w:trPr>
        <w:tc>
          <w:tcPr>
            <w:tcW w:w="3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3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201.0</w:t>
            </w: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197.8</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3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12" w:lineRule="exact"/>
        <w:rPr>
          <w:sz w:val="20"/>
          <w:szCs w:val="20"/>
          <w:color w:val="auto"/>
        </w:rPr>
      </w:pPr>
    </w:p>
    <w:p>
      <w:pPr>
        <w:ind w:left="4" w:right="100" w:hanging="4"/>
        <w:spacing w:after="0" w:line="266" w:lineRule="auto"/>
        <w:tabs>
          <w:tab w:leader="none" w:pos="26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States, revenues from services include fees received from our franchise offices of $3.7 million and $3.9 million for the three months ended June 30, 2019 and 2018, respectively. These fees are primarily based on revenues generated by the franchise offices, which were $154.3 million and $166.7 million for the three months ended June 30, 2019 and 2018, respectively.</w:t>
      </w:r>
    </w:p>
    <w:p>
      <w:pPr>
        <w:ind w:left="264" w:hanging="264"/>
        <w:spacing w:after="0"/>
        <w:tabs>
          <w:tab w:leader="none" w:pos="26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interest and other expenses were:</w:t>
      </w:r>
    </w:p>
    <w:p>
      <w:pPr>
        <w:spacing w:after="0" w:line="25"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778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8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ind w:right="9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11.2</w:t>
            </w:r>
          </w:p>
        </w:tc>
        <w:tc>
          <w:tcPr>
            <w:tcW w:w="1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exchange gain</w:t>
            </w: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Miscellaneous income, net (c)</w:t>
            </w:r>
          </w:p>
        </w:tc>
        <w:tc>
          <w:tcPr>
            <w:tcW w:w="80" w:type="dxa"/>
            <w:vAlign w:val="bottom"/>
            <w:tcBorders>
              <w:bottom w:val="single" w:sz="8" w:color="CFF0FC"/>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 Includes an $80.0 million gain related to our acquisition of the remaining controlling interest in our Swiss franchise.</w:t>
            </w: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5"/>
        </w:trPr>
        <w:tc>
          <w:tcPr>
            <w:tcW w:w="7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7256780</wp:posOffset>
            </wp:positionH>
            <wp:positionV relativeFrom="paragraph">
              <wp:posOffset>-27305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4"/>
          </w:cols>
          <w:pgMar w:left="236" w:top="310" w:right="199" w:bottom="1440" w:gutter="0" w:footer="0" w:header="0"/>
        </w:sectPr>
      </w:pPr>
    </w:p>
    <w:bookmarkStart w:id="8" w:name="page9"/>
    <w:bookmarkEnd w:id="8"/>
    <w:tbl>
      <w:tblPr>
        <w:tblLayout w:type="fixed"/>
        <w:tblInd w:w="4" w:type="dxa"/>
        <w:tblCellMar>
          <w:top w:w="0" w:type="dxa"/>
          <w:left w:w="0" w:type="dxa"/>
          <w:bottom w:w="0" w:type="dxa"/>
          <w:right w:w="0" w:type="dxa"/>
        </w:tblCellMar>
      </w:tblPr>
      <w:tr>
        <w:trPr>
          <w:trHeight w:val="211"/>
        </w:trPr>
        <w:tc>
          <w:tcPr>
            <w:tcW w:w="42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center"/>
              <w:ind w:left="3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left="3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60" w:type="dxa"/>
            <w:vAlign w:val="bottom"/>
          </w:tcPr>
          <w:p>
            <w:pPr>
              <w:spacing w:after="0"/>
              <w:rPr>
                <w:sz w:val="16"/>
                <w:szCs w:val="16"/>
                <w:color w:val="auto"/>
              </w:rPr>
            </w:pPr>
          </w:p>
        </w:tc>
        <w:tc>
          <w:tcPr>
            <w:tcW w:w="1360" w:type="dxa"/>
            <w:vAlign w:val="bottom"/>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211"/>
        </w:trPr>
        <w:tc>
          <w:tcPr>
            <w:tcW w:w="42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left="300"/>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0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color w:val="auto"/>
              </w:rPr>
              <w:t>(Unaudited)</w:t>
            </w: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 (a)</w:t>
            </w:r>
          </w:p>
        </w:tc>
        <w:tc>
          <w:tcPr>
            <w:tcW w:w="94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99"/>
              </w:rPr>
              <w:t>10,418.0</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99"/>
              </w:rPr>
              <w:t>11,179.3</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60"/>
              <w:spacing w:after="0"/>
              <w:rPr>
                <w:sz w:val="20"/>
                <w:szCs w:val="20"/>
                <w:color w:val="auto"/>
              </w:rPr>
            </w:pPr>
            <w:r>
              <w:rPr>
                <w:rFonts w:ascii="Times New Roman" w:cs="Times New Roman" w:eastAsia="Times New Roman" w:hAnsi="Times New Roman"/>
                <w:sz w:val="16"/>
                <w:szCs w:val="16"/>
                <w:color w:val="auto"/>
              </w:rPr>
              <w:t>-6.8%</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4"/>
        </w:trPr>
        <w:tc>
          <w:tcPr>
            <w:tcW w:w="4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Cost of services</w:t>
            </w:r>
          </w:p>
        </w:tc>
        <w:tc>
          <w:tcPr>
            <w:tcW w:w="9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8,742.8</w:t>
            </w:r>
          </w:p>
        </w:tc>
        <w:tc>
          <w:tcPr>
            <w:tcW w:w="16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9,371.2</w:t>
            </w:r>
          </w:p>
        </w:tc>
        <w:tc>
          <w:tcPr>
            <w:tcW w:w="16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c>
          <w:tcPr>
            <w:tcW w:w="1060" w:type="dxa"/>
            <w:vAlign w:val="bottom"/>
            <w:tcBorders>
              <w:bottom w:val="single" w:sz="8" w:color="CFF0FC"/>
            </w:tcBorders>
          </w:tcPr>
          <w:p>
            <w:pPr>
              <w:jc w:val="right"/>
              <w:ind w:right="460"/>
              <w:spacing w:after="0"/>
              <w:rPr>
                <w:sz w:val="20"/>
                <w:szCs w:val="20"/>
                <w:color w:val="auto"/>
              </w:rPr>
            </w:pPr>
            <w:r>
              <w:rPr>
                <w:rFonts w:ascii="Times New Roman" w:cs="Times New Roman" w:eastAsia="Times New Roman" w:hAnsi="Times New Roman"/>
                <w:sz w:val="16"/>
                <w:szCs w:val="16"/>
                <w:color w:val="auto"/>
              </w:rPr>
              <w:t>-6.7%</w:t>
            </w:r>
          </w:p>
        </w:tc>
        <w:tc>
          <w:tcPr>
            <w:tcW w:w="13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6"/>
        </w:trPr>
        <w:tc>
          <w:tcPr>
            <w:tcW w:w="4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9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1,675.2</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1,808.1</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60"/>
              <w:spacing w:after="0"/>
              <w:rPr>
                <w:sz w:val="20"/>
                <w:szCs w:val="20"/>
                <w:color w:val="auto"/>
              </w:rPr>
            </w:pPr>
            <w:r>
              <w:rPr>
                <w:rFonts w:ascii="Times New Roman" w:cs="Times New Roman" w:eastAsia="Times New Roman" w:hAnsi="Times New Roman"/>
                <w:sz w:val="16"/>
                <w:szCs w:val="16"/>
                <w:color w:val="auto"/>
              </w:rPr>
              <w:t>-7.3%</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88"/>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excluding impairment charge</w:t>
            </w:r>
          </w:p>
        </w:tc>
        <w:tc>
          <w:tcPr>
            <w:tcW w:w="94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1,374.9</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1,446.0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rPr>
              <w:t>-4.9%</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4"/>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 impairment charge (b)</w:t>
            </w:r>
          </w:p>
        </w:tc>
        <w:tc>
          <w:tcPr>
            <w:tcW w:w="9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64.0</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0" w:type="dxa"/>
            <w:vAlign w:val="bottom"/>
            <w:gridSpan w:val="3"/>
            <w:shd w:val="clear" w:color="auto" w:fill="CFF0FC"/>
          </w:tcPr>
          <w:p>
            <w:pPr>
              <w:jc w:val="right"/>
              <w:ind w:right="13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9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1,438.9</w:t>
            </w:r>
          </w:p>
        </w:tc>
        <w:tc>
          <w:tcPr>
            <w:tcW w:w="16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1,446.0</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rPr>
              <w:t>-0.5%</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4"/>
        </w:trPr>
        <w:tc>
          <w:tcPr>
            <w:tcW w:w="4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Operating profit</w:t>
            </w:r>
          </w:p>
        </w:tc>
        <w:tc>
          <w:tcPr>
            <w:tcW w:w="9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236.3</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362.1</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60"/>
              <w:spacing w:after="0"/>
              <w:rPr>
                <w:sz w:val="20"/>
                <w:szCs w:val="20"/>
                <w:color w:val="auto"/>
              </w:rPr>
            </w:pPr>
            <w:r>
              <w:rPr>
                <w:rFonts w:ascii="Times New Roman" w:cs="Times New Roman" w:eastAsia="Times New Roman" w:hAnsi="Times New Roman"/>
                <w:sz w:val="16"/>
                <w:szCs w:val="16"/>
                <w:color w:val="auto"/>
              </w:rPr>
              <w:t>-34.8%</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04"/>
        </w:trPr>
        <w:tc>
          <w:tcPr>
            <w:tcW w:w="4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Interest and other expenses</w:t>
            </w:r>
          </w:p>
        </w:tc>
        <w:tc>
          <w:tcPr>
            <w:tcW w:w="9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6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26.6</w:t>
            </w:r>
          </w:p>
        </w:tc>
        <w:tc>
          <w:tcPr>
            <w:tcW w:w="16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c>
          <w:tcPr>
            <w:tcW w:w="1060" w:type="dxa"/>
            <w:vAlign w:val="bottom"/>
            <w:tcBorders>
              <w:bottom w:val="single" w:sz="8" w:color="CFF0FC"/>
            </w:tcBorders>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9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294.6</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335.5</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60"/>
              <w:spacing w:after="0"/>
              <w:rPr>
                <w:sz w:val="20"/>
                <w:szCs w:val="20"/>
                <w:color w:val="auto"/>
              </w:rPr>
            </w:pPr>
            <w:r>
              <w:rPr>
                <w:rFonts w:ascii="Times New Roman" w:cs="Times New Roman" w:eastAsia="Times New Roman" w:hAnsi="Times New Roman"/>
                <w:sz w:val="16"/>
                <w:szCs w:val="16"/>
                <w:color w:val="auto"/>
              </w:rPr>
              <w:t>-12.2%</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4"/>
        </w:trPr>
        <w:tc>
          <w:tcPr>
            <w:tcW w:w="4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113.8</w:t>
            </w:r>
          </w:p>
        </w:tc>
        <w:tc>
          <w:tcPr>
            <w:tcW w:w="16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95.1</w:t>
            </w:r>
          </w:p>
        </w:tc>
        <w:tc>
          <w:tcPr>
            <w:tcW w:w="16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c>
          <w:tcPr>
            <w:tcW w:w="1060" w:type="dxa"/>
            <w:vAlign w:val="bottom"/>
            <w:tcBorders>
              <w:bottom w:val="single" w:sz="8" w:color="CFF0FC"/>
            </w:tcBorders>
          </w:tcPr>
          <w:p>
            <w:pPr>
              <w:jc w:val="right"/>
              <w:ind w:right="460"/>
              <w:spacing w:after="0"/>
              <w:rPr>
                <w:sz w:val="20"/>
                <w:szCs w:val="20"/>
                <w:color w:val="auto"/>
              </w:rPr>
            </w:pPr>
            <w:r>
              <w:rPr>
                <w:rFonts w:ascii="Times New Roman" w:cs="Times New Roman" w:eastAsia="Times New Roman" w:hAnsi="Times New Roman"/>
                <w:sz w:val="16"/>
                <w:szCs w:val="16"/>
                <w:color w:val="auto"/>
              </w:rPr>
              <w:t>19.8%</w:t>
            </w:r>
          </w:p>
        </w:tc>
        <w:tc>
          <w:tcPr>
            <w:tcW w:w="13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Net earnings</w:t>
            </w:r>
          </w:p>
        </w:tc>
        <w:tc>
          <w:tcPr>
            <w:tcW w:w="940" w:type="dxa"/>
            <w:vAlign w:val="bottom"/>
            <w:tcBorders>
              <w:bottom w:val="single" w:sz="8" w:color="auto"/>
            </w:tcBorders>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180.8</w:t>
            </w:r>
          </w:p>
        </w:tc>
        <w:tc>
          <w:tcPr>
            <w:tcW w:w="1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240.4</w:t>
            </w:r>
          </w:p>
        </w:tc>
        <w:tc>
          <w:tcPr>
            <w:tcW w:w="16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ind w:right="460"/>
              <w:spacing w:after="0"/>
              <w:rPr>
                <w:sz w:val="20"/>
                <w:szCs w:val="20"/>
                <w:color w:val="auto"/>
              </w:rPr>
            </w:pPr>
            <w:r>
              <w:rPr>
                <w:rFonts w:ascii="Times New Roman" w:cs="Times New Roman" w:eastAsia="Times New Roman" w:hAnsi="Times New Roman"/>
                <w:sz w:val="16"/>
                <w:szCs w:val="16"/>
                <w:color w:val="auto"/>
              </w:rPr>
              <w:t>-24.8%</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earnings per share - basic</w:t>
            </w: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vMerge w:val="restart"/>
          </w:tcPr>
          <w:p>
            <w:pPr>
              <w:jc w:val="right"/>
              <w:ind w:right="460"/>
              <w:spacing w:after="0"/>
              <w:rPr>
                <w:sz w:val="20"/>
                <w:szCs w:val="20"/>
                <w:color w:val="auto"/>
              </w:rPr>
            </w:pPr>
            <w:r>
              <w:rPr>
                <w:rFonts w:ascii="Times New Roman" w:cs="Times New Roman" w:eastAsia="Times New Roman" w:hAnsi="Times New Roman"/>
                <w:sz w:val="16"/>
                <w:szCs w:val="16"/>
                <w:color w:val="auto"/>
              </w:rPr>
              <w:t>-17.8%</w:t>
            </w: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80" w:type="dxa"/>
            <w:vAlign w:val="bottom"/>
            <w:tcBorders>
              <w:bottom w:val="single" w:sz="8" w:color="CFF0FC"/>
            </w:tcBorders>
            <w:vMerge w:val="continue"/>
          </w:tcPr>
          <w:p>
            <w:pPr>
              <w:spacing w:after="0"/>
              <w:rPr>
                <w:sz w:val="19"/>
                <w:szCs w:val="19"/>
                <w:color w:val="auto"/>
              </w:rPr>
            </w:pPr>
          </w:p>
        </w:tc>
        <w:tc>
          <w:tcPr>
            <w:tcW w:w="940" w:type="dxa"/>
            <w:vAlign w:val="bottom"/>
            <w:tcBorders>
              <w:bottom w:val="single" w:sz="8" w:color="auto"/>
            </w:tcBorders>
          </w:tcPr>
          <w:p>
            <w:pPr>
              <w:jc w:val="right"/>
              <w:ind w:right="780"/>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3.00</w:t>
            </w:r>
          </w:p>
        </w:tc>
        <w:tc>
          <w:tcPr>
            <w:tcW w:w="1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ind w:right="780"/>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3.65</w:t>
            </w:r>
          </w:p>
        </w:tc>
        <w:tc>
          <w:tcPr>
            <w:tcW w:w="16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vMerge w:val="continue"/>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28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earnings per share - diluted</w:t>
            </w:r>
          </w:p>
        </w:tc>
        <w:tc>
          <w:tcPr>
            <w:tcW w:w="940" w:type="dxa"/>
            <w:vAlign w:val="bottom"/>
            <w:tcBorders>
              <w:bottom w:val="single" w:sz="8" w:color="auto"/>
            </w:tcBorders>
            <w:shd w:val="clear" w:color="auto" w:fill="CFF0FC"/>
          </w:tcPr>
          <w:p>
            <w:pPr>
              <w:jc w:val="right"/>
              <w:ind w:right="780"/>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2.98</w:t>
            </w:r>
          </w:p>
        </w:tc>
        <w:tc>
          <w:tcPr>
            <w:tcW w:w="16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ind w:right="780"/>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3.62</w:t>
            </w:r>
          </w:p>
        </w:tc>
        <w:tc>
          <w:tcPr>
            <w:tcW w:w="16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CFF0FC"/>
            </w:tcBorders>
            <w:shd w:val="clear" w:color="auto" w:fill="CFF0FC"/>
          </w:tcPr>
          <w:p>
            <w:pPr>
              <w:jc w:val="right"/>
              <w:ind w:right="460"/>
              <w:spacing w:after="0" w:line="181" w:lineRule="exact"/>
              <w:rPr>
                <w:sz w:val="20"/>
                <w:szCs w:val="20"/>
                <w:color w:val="auto"/>
              </w:rPr>
            </w:pPr>
            <w:r>
              <w:rPr>
                <w:rFonts w:ascii="Times New Roman" w:cs="Times New Roman" w:eastAsia="Times New Roman" w:hAnsi="Times New Roman"/>
                <w:sz w:val="16"/>
                <w:szCs w:val="16"/>
                <w:color w:val="auto"/>
              </w:rPr>
              <w:t>-17.7%</w:t>
            </w:r>
          </w:p>
        </w:tc>
        <w:tc>
          <w:tcPr>
            <w:tcW w:w="1360" w:type="dxa"/>
            <w:vAlign w:val="bottom"/>
            <w:tcBorders>
              <w:bottom w:val="single" w:sz="8" w:color="CFF0FC"/>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 average shares - basic</w:t>
            </w: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vMerge w:val="restart"/>
          </w:tcPr>
          <w:p>
            <w:pPr>
              <w:jc w:val="right"/>
              <w:ind w:right="460"/>
              <w:spacing w:after="0"/>
              <w:rPr>
                <w:sz w:val="20"/>
                <w:szCs w:val="20"/>
                <w:color w:val="auto"/>
              </w:rPr>
            </w:pPr>
            <w:r>
              <w:rPr>
                <w:rFonts w:ascii="Times New Roman" w:cs="Times New Roman" w:eastAsia="Times New Roman" w:hAnsi="Times New Roman"/>
                <w:sz w:val="16"/>
                <w:szCs w:val="16"/>
                <w:color w:val="auto"/>
              </w:rPr>
              <w:t>-8.4%</w:t>
            </w: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80" w:type="dxa"/>
            <w:vAlign w:val="bottom"/>
            <w:tcBorders>
              <w:bottom w:val="single" w:sz="8" w:color="CFF0FC"/>
            </w:tcBorders>
            <w:vMerge w:val="continue"/>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60.3</w:t>
            </w:r>
          </w:p>
        </w:tc>
        <w:tc>
          <w:tcPr>
            <w:tcW w:w="1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65.8</w:t>
            </w:r>
          </w:p>
        </w:tc>
        <w:tc>
          <w:tcPr>
            <w:tcW w:w="16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vMerge w:val="continue"/>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28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Weighted average shares - diluted</w:t>
            </w:r>
          </w:p>
        </w:tc>
        <w:tc>
          <w:tcPr>
            <w:tcW w:w="94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60.7</w:t>
            </w:r>
          </w:p>
        </w:tc>
        <w:tc>
          <w:tcPr>
            <w:tcW w:w="16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66.4</w:t>
            </w:r>
          </w:p>
        </w:tc>
        <w:tc>
          <w:tcPr>
            <w:tcW w:w="16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CFF0FC"/>
            </w:tcBorders>
            <w:shd w:val="clear" w:color="auto" w:fill="CFF0FC"/>
          </w:tcPr>
          <w:p>
            <w:pPr>
              <w:jc w:val="right"/>
              <w:ind w:right="460"/>
              <w:spacing w:after="0" w:line="181" w:lineRule="exact"/>
              <w:rPr>
                <w:sz w:val="20"/>
                <w:szCs w:val="20"/>
                <w:color w:val="auto"/>
              </w:rPr>
            </w:pPr>
            <w:r>
              <w:rPr>
                <w:rFonts w:ascii="Times New Roman" w:cs="Times New Roman" w:eastAsia="Times New Roman" w:hAnsi="Times New Roman"/>
                <w:sz w:val="16"/>
                <w:szCs w:val="16"/>
                <w:color w:val="auto"/>
              </w:rPr>
              <w:t>-8.5%</w:t>
            </w:r>
          </w:p>
        </w:tc>
        <w:tc>
          <w:tcPr>
            <w:tcW w:w="13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left="4" w:right="200" w:hanging="4"/>
        <w:spacing w:after="0" w:line="266" w:lineRule="auto"/>
        <w:tabs>
          <w:tab w:leader="none" w:pos="26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services include fees received from our franchise offices of $9.7 million and $11.4 million for the six months ended June 30, 2019 and 2018, respectively. These fees are primarily based on revenues generated by the franchise offices, which were $406.2 million and $510.7 million for the six months ended June 30, 2019 and 2018, respectively.</w:t>
      </w:r>
    </w:p>
    <w:p>
      <w:pPr>
        <w:spacing w:after="0" w:line="217" w:lineRule="exact"/>
        <w:rPr>
          <w:rFonts w:ascii="Times New Roman" w:cs="Times New Roman" w:eastAsia="Times New Roman" w:hAnsi="Times New Roman"/>
          <w:sz w:val="16"/>
          <w:szCs w:val="16"/>
          <w:color w:val="auto"/>
        </w:rPr>
      </w:pPr>
    </w:p>
    <w:p>
      <w:pPr>
        <w:ind w:left="264" w:hanging="264"/>
        <w:spacing w:after="0"/>
        <w:tabs>
          <w:tab w:leader="none" w:pos="26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impairment charge for the six months ended June 30, 2019 relates to our investments in Germany and New Zealand.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307975</wp:posOffset>
            </wp:positionV>
            <wp:extent cx="730250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325" w:right="219" w:bottom="1440" w:gutter="0" w:footer="0" w:header="0"/>
        </w:sectPr>
      </w:pPr>
    </w:p>
    <w:bookmarkStart w:id="9" w:name="page10"/>
    <w:bookmarkEnd w:id="9"/>
    <w:tbl>
      <w:tblPr>
        <w:tblLayout w:type="fixed"/>
        <w:tblInd w:w="4" w:type="dxa"/>
        <w:tblCellMar>
          <w:top w:w="0" w:type="dxa"/>
          <w:left w:w="0" w:type="dxa"/>
          <w:bottom w:w="0" w:type="dxa"/>
          <w:right w:w="0" w:type="dxa"/>
        </w:tblCellMar>
      </w:tblPr>
      <w:tr>
        <w:trPr>
          <w:trHeight w:val="211"/>
        </w:trPr>
        <w:tc>
          <w:tcPr>
            <w:tcW w:w="3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Six Months Ended June 30</w:t>
            </w:r>
          </w:p>
        </w:tc>
        <w:tc>
          <w:tcPr>
            <w:tcW w:w="1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480" w:type="dxa"/>
            <w:vAlign w:val="bottom"/>
            <w:tcBorders>
              <w:bottom w:val="single" w:sz="8" w:color="auto"/>
            </w:tcBorders>
          </w:tcPr>
          <w:p>
            <w:pPr>
              <w:spacing w:after="0"/>
              <w:rPr>
                <w:sz w:val="17"/>
                <w:szCs w:val="17"/>
                <w:color w:val="auto"/>
              </w:rPr>
            </w:pPr>
          </w:p>
        </w:tc>
      </w:tr>
      <w:tr>
        <w:trPr>
          <w:trHeight w:val="190"/>
        </w:trPr>
        <w:tc>
          <w:tcPr>
            <w:tcW w:w="3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left="3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120" w:type="dxa"/>
            <w:vAlign w:val="bottom"/>
          </w:tcPr>
          <w:p>
            <w:pPr>
              <w:spacing w:after="0"/>
              <w:rPr>
                <w:sz w:val="16"/>
                <w:szCs w:val="16"/>
                <w:color w:val="auto"/>
              </w:rPr>
            </w:pPr>
          </w:p>
        </w:tc>
        <w:tc>
          <w:tcPr>
            <w:tcW w:w="1480" w:type="dxa"/>
            <w:vAlign w:val="bottom"/>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Constant</w:t>
            </w:r>
          </w:p>
        </w:tc>
      </w:tr>
      <w:tr>
        <w:trPr>
          <w:trHeight w:val="211"/>
        </w:trPr>
        <w:tc>
          <w:tcPr>
            <w:tcW w:w="3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340"/>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Currency</w:t>
            </w:r>
          </w:p>
        </w:tc>
      </w:tr>
      <w:tr>
        <w:trPr>
          <w:trHeight w:val="196"/>
        </w:trPr>
        <w:tc>
          <w:tcPr>
            <w:tcW w:w="3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1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color w:val="auto"/>
              </w:rPr>
              <w:t>(Unaudited)</w:t>
            </w:r>
          </w:p>
        </w:tc>
        <w:tc>
          <w:tcPr>
            <w:tcW w:w="1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4"/>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w:t>
            </w: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4"/>
        </w:trPr>
        <w:tc>
          <w:tcPr>
            <w:tcW w:w="3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Americas:</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4"/>
        </w:trPr>
        <w:tc>
          <w:tcPr>
            <w:tcW w:w="37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United States (a)</w:t>
            </w:r>
          </w:p>
        </w:tc>
        <w:tc>
          <w:tcPr>
            <w:tcW w:w="36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1,234.5</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1,256.8</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-1.8%</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4"/>
        </w:trPr>
        <w:tc>
          <w:tcPr>
            <w:tcW w:w="3740" w:type="dxa"/>
            <w:vAlign w:val="bottom"/>
            <w:tcBorders>
              <w:bottom w:val="single" w:sz="8" w:color="CFF0FC"/>
            </w:tcBorders>
          </w:tcPr>
          <w:p>
            <w:pPr>
              <w:ind w:left="440"/>
              <w:spacing w:after="0"/>
              <w:rPr>
                <w:sz w:val="20"/>
                <w:szCs w:val="20"/>
                <w:color w:val="auto"/>
              </w:rPr>
            </w:pPr>
            <w:r>
              <w:rPr>
                <w:rFonts w:ascii="Times New Roman" w:cs="Times New Roman" w:eastAsia="Times New Roman" w:hAnsi="Times New Roman"/>
                <w:sz w:val="16"/>
                <w:szCs w:val="16"/>
                <w:color w:val="auto"/>
              </w:rPr>
              <w:t>Other Americas</w:t>
            </w: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816.2</w:t>
            </w:r>
          </w:p>
        </w:tc>
        <w:tc>
          <w:tcPr>
            <w:tcW w:w="18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818.3</w:t>
            </w:r>
          </w:p>
        </w:tc>
        <w:tc>
          <w:tcPr>
            <w:tcW w:w="180" w:type="dxa"/>
            <w:vAlign w:val="bottom"/>
            <w:tcBorders>
              <w:bottom w:val="single" w:sz="8" w:color="CFF0FC"/>
            </w:tcBorders>
          </w:tcPr>
          <w:p>
            <w:pPr>
              <w:spacing w:after="0"/>
              <w:rPr>
                <w:sz w:val="17"/>
                <w:szCs w:val="17"/>
                <w:color w:val="auto"/>
              </w:rPr>
            </w:pPr>
          </w:p>
        </w:tc>
        <w:tc>
          <w:tcPr>
            <w:tcW w:w="1220" w:type="dxa"/>
            <w:vAlign w:val="bottom"/>
            <w:tcBorders>
              <w:bottom w:val="single" w:sz="8" w:color="CFF0FC"/>
            </w:tcBorders>
          </w:tcPr>
          <w:p>
            <w:pPr>
              <w:spacing w:after="0"/>
              <w:rPr>
                <w:sz w:val="17"/>
                <w:szCs w:val="17"/>
                <w:color w:val="auto"/>
              </w:rPr>
            </w:pPr>
          </w:p>
        </w:tc>
        <w:tc>
          <w:tcPr>
            <w:tcW w:w="1120" w:type="dxa"/>
            <w:vAlign w:val="bottom"/>
            <w:tcBorders>
              <w:bottom w:val="single" w:sz="8" w:color="CFF0FC"/>
            </w:tcBorders>
          </w:tcPr>
          <w:p>
            <w:pPr>
              <w:jc w:val="right"/>
              <w:ind w:right="480"/>
              <w:spacing w:after="0"/>
              <w:rPr>
                <w:sz w:val="20"/>
                <w:szCs w:val="20"/>
                <w:color w:val="auto"/>
              </w:rPr>
            </w:pPr>
            <w:r>
              <w:rPr>
                <w:rFonts w:ascii="Times New Roman" w:cs="Times New Roman" w:eastAsia="Times New Roman" w:hAnsi="Times New Roman"/>
                <w:sz w:val="16"/>
                <w:szCs w:val="16"/>
                <w:color w:val="auto"/>
              </w:rPr>
              <w:t>-0.3%</w:t>
            </w:r>
          </w:p>
        </w:tc>
        <w:tc>
          <w:tcPr>
            <w:tcW w:w="14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196"/>
        </w:trPr>
        <w:tc>
          <w:tcPr>
            <w:tcW w:w="374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2,050.7</w:t>
            </w:r>
          </w:p>
        </w:tc>
        <w:tc>
          <w:tcPr>
            <w:tcW w:w="18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2,075.1</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-1.2%</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196"/>
        </w:trPr>
        <w:tc>
          <w:tcPr>
            <w:tcW w:w="3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Southern Europe:</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4"/>
        </w:trPr>
        <w:tc>
          <w:tcPr>
            <w:tcW w:w="37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France</w:t>
            </w: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2,721.6</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2,936.5</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-7.3%</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4"/>
        </w:trPr>
        <w:tc>
          <w:tcPr>
            <w:tcW w:w="37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Italy</w:t>
            </w:r>
          </w:p>
        </w:tc>
        <w:tc>
          <w:tcPr>
            <w:tcW w:w="36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749.9</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856.6</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rPr>
              <w:t>-12.5%</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04"/>
        </w:trPr>
        <w:tc>
          <w:tcPr>
            <w:tcW w:w="37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Other Southern Europe</w:t>
            </w:r>
          </w:p>
        </w:tc>
        <w:tc>
          <w:tcPr>
            <w:tcW w:w="3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1,017.9</w:t>
            </w:r>
          </w:p>
        </w:tc>
        <w:tc>
          <w:tcPr>
            <w:tcW w:w="18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952.9</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6.8%</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196"/>
        </w:trPr>
        <w:tc>
          <w:tcPr>
            <w:tcW w:w="374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4,489.4</w:t>
            </w:r>
          </w:p>
        </w:tc>
        <w:tc>
          <w:tcPr>
            <w:tcW w:w="18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4,746.0</w:t>
            </w:r>
          </w:p>
        </w:tc>
        <w:tc>
          <w:tcPr>
            <w:tcW w:w="180" w:type="dxa"/>
            <w:vAlign w:val="bottom"/>
            <w:tcBorders>
              <w:bottom w:val="single" w:sz="8" w:color="CFF0FC"/>
            </w:tcBorders>
          </w:tcPr>
          <w:p>
            <w:pPr>
              <w:spacing w:after="0"/>
              <w:rPr>
                <w:sz w:val="17"/>
                <w:szCs w:val="17"/>
                <w:color w:val="auto"/>
              </w:rPr>
            </w:pPr>
          </w:p>
        </w:tc>
        <w:tc>
          <w:tcPr>
            <w:tcW w:w="1220" w:type="dxa"/>
            <w:vAlign w:val="bottom"/>
            <w:tcBorders>
              <w:bottom w:val="single" w:sz="8" w:color="CFF0FC"/>
            </w:tcBorders>
          </w:tcPr>
          <w:p>
            <w:pPr>
              <w:spacing w:after="0"/>
              <w:rPr>
                <w:sz w:val="17"/>
                <w:szCs w:val="17"/>
                <w:color w:val="auto"/>
              </w:rPr>
            </w:pPr>
          </w:p>
        </w:tc>
        <w:tc>
          <w:tcPr>
            <w:tcW w:w="1120" w:type="dxa"/>
            <w:vAlign w:val="bottom"/>
            <w:tcBorders>
              <w:bottom w:val="single" w:sz="8" w:color="CFF0FC"/>
            </w:tcBorders>
          </w:tcPr>
          <w:p>
            <w:pPr>
              <w:jc w:val="right"/>
              <w:ind w:right="480"/>
              <w:spacing w:after="0"/>
              <w:rPr>
                <w:sz w:val="20"/>
                <w:szCs w:val="20"/>
                <w:color w:val="auto"/>
              </w:rPr>
            </w:pPr>
            <w:r>
              <w:rPr>
                <w:rFonts w:ascii="Times New Roman" w:cs="Times New Roman" w:eastAsia="Times New Roman" w:hAnsi="Times New Roman"/>
                <w:sz w:val="16"/>
                <w:szCs w:val="16"/>
                <w:color w:val="auto"/>
              </w:rPr>
              <w:t>-5.4%</w:t>
            </w:r>
          </w:p>
        </w:tc>
        <w:tc>
          <w:tcPr>
            <w:tcW w:w="14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196"/>
        </w:trPr>
        <w:tc>
          <w:tcPr>
            <w:tcW w:w="3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Northern Europe</w:t>
            </w: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2,372.9</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2,810.8</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-15.6%</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04"/>
        </w:trPr>
        <w:tc>
          <w:tcPr>
            <w:tcW w:w="3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APME</w:t>
            </w:r>
          </w:p>
        </w:tc>
        <w:tc>
          <w:tcPr>
            <w:tcW w:w="36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1,408.8</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1,445.0</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rPr>
              <w:t>-2.5%</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4"/>
        </w:trPr>
        <w:tc>
          <w:tcPr>
            <w:tcW w:w="3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Right Management</w:t>
            </w:r>
          </w:p>
        </w:tc>
        <w:tc>
          <w:tcPr>
            <w:tcW w:w="3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96.2</w:t>
            </w:r>
          </w:p>
        </w:tc>
        <w:tc>
          <w:tcPr>
            <w:tcW w:w="18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102.4</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-6.1%</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36"/>
        </w:trPr>
        <w:tc>
          <w:tcPr>
            <w:tcW w:w="374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10,418.0</w:t>
            </w:r>
          </w:p>
        </w:tc>
        <w:tc>
          <w:tcPr>
            <w:tcW w:w="18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11,179.3</w:t>
            </w:r>
          </w:p>
        </w:tc>
        <w:tc>
          <w:tcPr>
            <w:tcW w:w="18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tcPr>
          <w:p>
            <w:pPr>
              <w:spacing w:after="0"/>
              <w:rPr>
                <w:sz w:val="20"/>
                <w:szCs w:val="20"/>
                <w:color w:val="auto"/>
              </w:rPr>
            </w:pPr>
          </w:p>
        </w:tc>
        <w:tc>
          <w:tcPr>
            <w:tcW w:w="1120" w:type="dxa"/>
            <w:vAlign w:val="bottom"/>
            <w:tcBorders>
              <w:bottom w:val="single" w:sz="8" w:color="CFF0FC"/>
            </w:tcBorders>
          </w:tcPr>
          <w:p>
            <w:pPr>
              <w:jc w:val="right"/>
              <w:ind w:right="480"/>
              <w:spacing w:after="0"/>
              <w:rPr>
                <w:sz w:val="20"/>
                <w:szCs w:val="20"/>
                <w:color w:val="auto"/>
              </w:rPr>
            </w:pPr>
            <w:r>
              <w:rPr>
                <w:rFonts w:ascii="Times New Roman" w:cs="Times New Roman" w:eastAsia="Times New Roman" w:hAnsi="Times New Roman"/>
                <w:sz w:val="16"/>
                <w:szCs w:val="16"/>
                <w:color w:val="auto"/>
              </w:rPr>
              <w:t>-6.8%</w:t>
            </w:r>
          </w:p>
        </w:tc>
        <w:tc>
          <w:tcPr>
            <w:tcW w:w="14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180"/>
        </w:trPr>
        <w:tc>
          <w:tcPr>
            <w:tcW w:w="37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Operating Unit Profit:</w:t>
            </w:r>
          </w:p>
        </w:tc>
        <w:tc>
          <w:tcPr>
            <w:tcW w:w="3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204"/>
        </w:trPr>
        <w:tc>
          <w:tcPr>
            <w:tcW w:w="3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Americas:</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4"/>
        </w:trPr>
        <w:tc>
          <w:tcPr>
            <w:tcW w:w="37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United States</w:t>
            </w:r>
          </w:p>
        </w:tc>
        <w:tc>
          <w:tcPr>
            <w:tcW w:w="36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48.6</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64.9</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-25.1%</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04"/>
        </w:trPr>
        <w:tc>
          <w:tcPr>
            <w:tcW w:w="3740" w:type="dxa"/>
            <w:vAlign w:val="bottom"/>
            <w:tcBorders>
              <w:bottom w:val="single" w:sz="8" w:color="CFF0FC"/>
            </w:tcBorders>
          </w:tcPr>
          <w:p>
            <w:pPr>
              <w:ind w:left="440"/>
              <w:spacing w:after="0"/>
              <w:rPr>
                <w:sz w:val="20"/>
                <w:szCs w:val="20"/>
                <w:color w:val="auto"/>
              </w:rPr>
            </w:pPr>
            <w:r>
              <w:rPr>
                <w:rFonts w:ascii="Times New Roman" w:cs="Times New Roman" w:eastAsia="Times New Roman" w:hAnsi="Times New Roman"/>
                <w:sz w:val="16"/>
                <w:szCs w:val="16"/>
                <w:color w:val="auto"/>
              </w:rPr>
              <w:t>Other Americas</w:t>
            </w: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32.1</w:t>
            </w:r>
          </w:p>
        </w:tc>
        <w:tc>
          <w:tcPr>
            <w:tcW w:w="18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34.7</w:t>
            </w:r>
          </w:p>
        </w:tc>
        <w:tc>
          <w:tcPr>
            <w:tcW w:w="180" w:type="dxa"/>
            <w:vAlign w:val="bottom"/>
            <w:tcBorders>
              <w:bottom w:val="single" w:sz="8" w:color="CFF0FC"/>
            </w:tcBorders>
          </w:tcPr>
          <w:p>
            <w:pPr>
              <w:spacing w:after="0"/>
              <w:rPr>
                <w:sz w:val="17"/>
                <w:szCs w:val="17"/>
                <w:color w:val="auto"/>
              </w:rPr>
            </w:pPr>
          </w:p>
        </w:tc>
        <w:tc>
          <w:tcPr>
            <w:tcW w:w="1220" w:type="dxa"/>
            <w:vAlign w:val="bottom"/>
            <w:tcBorders>
              <w:bottom w:val="single" w:sz="8" w:color="CFF0FC"/>
            </w:tcBorders>
          </w:tcPr>
          <w:p>
            <w:pPr>
              <w:spacing w:after="0"/>
              <w:rPr>
                <w:sz w:val="17"/>
                <w:szCs w:val="17"/>
                <w:color w:val="auto"/>
              </w:rPr>
            </w:pPr>
          </w:p>
        </w:tc>
        <w:tc>
          <w:tcPr>
            <w:tcW w:w="1120" w:type="dxa"/>
            <w:vAlign w:val="bottom"/>
            <w:tcBorders>
              <w:bottom w:val="single" w:sz="8" w:color="CFF0FC"/>
            </w:tcBorders>
          </w:tcPr>
          <w:p>
            <w:pPr>
              <w:jc w:val="right"/>
              <w:ind w:right="480"/>
              <w:spacing w:after="0"/>
              <w:rPr>
                <w:sz w:val="20"/>
                <w:szCs w:val="20"/>
                <w:color w:val="auto"/>
              </w:rPr>
            </w:pPr>
            <w:r>
              <w:rPr>
                <w:rFonts w:ascii="Times New Roman" w:cs="Times New Roman" w:eastAsia="Times New Roman" w:hAnsi="Times New Roman"/>
                <w:sz w:val="16"/>
                <w:szCs w:val="16"/>
                <w:color w:val="auto"/>
              </w:rPr>
              <w:t>-7.7%</w:t>
            </w:r>
          </w:p>
        </w:tc>
        <w:tc>
          <w:tcPr>
            <w:tcW w:w="14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196"/>
        </w:trPr>
        <w:tc>
          <w:tcPr>
            <w:tcW w:w="374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80.7</w:t>
            </w:r>
          </w:p>
        </w:tc>
        <w:tc>
          <w:tcPr>
            <w:tcW w:w="18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99.6</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-19.0%</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196"/>
        </w:trPr>
        <w:tc>
          <w:tcPr>
            <w:tcW w:w="3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Southern Europe:</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4"/>
        </w:trPr>
        <w:tc>
          <w:tcPr>
            <w:tcW w:w="37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France</w:t>
            </w: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131.2</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130.7</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0.3%</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04"/>
        </w:trPr>
        <w:tc>
          <w:tcPr>
            <w:tcW w:w="37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Italy</w:t>
            </w:r>
          </w:p>
        </w:tc>
        <w:tc>
          <w:tcPr>
            <w:tcW w:w="36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50.2</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57.1</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rPr>
              <w:t>-12.0%</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04"/>
        </w:trPr>
        <w:tc>
          <w:tcPr>
            <w:tcW w:w="37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Other Southern Europe</w:t>
            </w:r>
          </w:p>
        </w:tc>
        <w:tc>
          <w:tcPr>
            <w:tcW w:w="3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29.0</w:t>
            </w:r>
          </w:p>
        </w:tc>
        <w:tc>
          <w:tcPr>
            <w:tcW w:w="18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31.6</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-8.3%</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196"/>
        </w:trPr>
        <w:tc>
          <w:tcPr>
            <w:tcW w:w="374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210.4</w:t>
            </w:r>
          </w:p>
        </w:tc>
        <w:tc>
          <w:tcPr>
            <w:tcW w:w="18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219.4</w:t>
            </w:r>
          </w:p>
        </w:tc>
        <w:tc>
          <w:tcPr>
            <w:tcW w:w="180" w:type="dxa"/>
            <w:vAlign w:val="bottom"/>
            <w:tcBorders>
              <w:bottom w:val="single" w:sz="8" w:color="CFF0FC"/>
            </w:tcBorders>
          </w:tcPr>
          <w:p>
            <w:pPr>
              <w:spacing w:after="0"/>
              <w:rPr>
                <w:sz w:val="17"/>
                <w:szCs w:val="17"/>
                <w:color w:val="auto"/>
              </w:rPr>
            </w:pPr>
          </w:p>
        </w:tc>
        <w:tc>
          <w:tcPr>
            <w:tcW w:w="1220" w:type="dxa"/>
            <w:vAlign w:val="bottom"/>
            <w:tcBorders>
              <w:bottom w:val="single" w:sz="8" w:color="CFF0FC"/>
            </w:tcBorders>
          </w:tcPr>
          <w:p>
            <w:pPr>
              <w:spacing w:after="0"/>
              <w:rPr>
                <w:sz w:val="17"/>
                <w:szCs w:val="17"/>
                <w:color w:val="auto"/>
              </w:rPr>
            </w:pPr>
          </w:p>
        </w:tc>
        <w:tc>
          <w:tcPr>
            <w:tcW w:w="1120" w:type="dxa"/>
            <w:vAlign w:val="bottom"/>
            <w:tcBorders>
              <w:bottom w:val="single" w:sz="8" w:color="CFF0FC"/>
            </w:tcBorders>
          </w:tcPr>
          <w:p>
            <w:pPr>
              <w:jc w:val="right"/>
              <w:ind w:right="480"/>
              <w:spacing w:after="0"/>
              <w:rPr>
                <w:sz w:val="20"/>
                <w:szCs w:val="20"/>
                <w:color w:val="auto"/>
              </w:rPr>
            </w:pPr>
            <w:r>
              <w:rPr>
                <w:rFonts w:ascii="Times New Roman" w:cs="Times New Roman" w:eastAsia="Times New Roman" w:hAnsi="Times New Roman"/>
                <w:sz w:val="16"/>
                <w:szCs w:val="16"/>
                <w:color w:val="auto"/>
              </w:rPr>
              <w:t>-4.1%</w:t>
            </w:r>
          </w:p>
        </w:tc>
        <w:tc>
          <w:tcPr>
            <w:tcW w:w="14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196"/>
        </w:trPr>
        <w:tc>
          <w:tcPr>
            <w:tcW w:w="3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Northern Europe</w:t>
            </w: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24.9</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41.3</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-39.7%</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w:t>
            </w:r>
          </w:p>
        </w:tc>
      </w:tr>
      <w:tr>
        <w:trPr>
          <w:trHeight w:val="204"/>
        </w:trPr>
        <w:tc>
          <w:tcPr>
            <w:tcW w:w="3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APME</w:t>
            </w:r>
          </w:p>
        </w:tc>
        <w:tc>
          <w:tcPr>
            <w:tcW w:w="36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48.2</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55.1</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rPr>
              <w:t>-12.6%</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04"/>
        </w:trPr>
        <w:tc>
          <w:tcPr>
            <w:tcW w:w="3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Right Management</w:t>
            </w:r>
          </w:p>
        </w:tc>
        <w:tc>
          <w:tcPr>
            <w:tcW w:w="3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11.1</w:t>
            </w:r>
          </w:p>
        </w:tc>
        <w:tc>
          <w:tcPr>
            <w:tcW w:w="18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16.9</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-34.2%</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196"/>
        </w:trPr>
        <w:tc>
          <w:tcPr>
            <w:tcW w:w="3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375.3</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432.3</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4"/>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expenses</w:t>
            </w: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4"/>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Goodwill impairment charge</w:t>
            </w: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140" w:type="dxa"/>
            <w:vAlign w:val="bottom"/>
            <w:gridSpan w:val="3"/>
          </w:tcPr>
          <w:p>
            <w:pPr>
              <w:jc w:val="right"/>
              <w:ind w:right="1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4"/>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3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8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196"/>
        </w:trPr>
        <w:tc>
          <w:tcPr>
            <w:tcW w:w="3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profit</w:t>
            </w:r>
          </w:p>
        </w:tc>
        <w:tc>
          <w:tcPr>
            <w:tcW w:w="36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236.3</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362.1</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rPr>
              <w:t>-34.8%</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04"/>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and other expenses (b)</w:t>
            </w:r>
          </w:p>
        </w:tc>
        <w:tc>
          <w:tcPr>
            <w:tcW w:w="3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58.3</w:t>
            </w:r>
          </w:p>
        </w:tc>
        <w:tc>
          <w:tcPr>
            <w:tcW w:w="18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196"/>
        </w:trPr>
        <w:tc>
          <w:tcPr>
            <w:tcW w:w="3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3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294.6</w:t>
            </w: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335.5</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3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84" w:lineRule="exact"/>
        <w:rPr>
          <w:sz w:val="20"/>
          <w:szCs w:val="20"/>
          <w:color w:val="auto"/>
        </w:rPr>
      </w:pPr>
    </w:p>
    <w:p>
      <w:pPr>
        <w:ind w:left="4" w:right="220" w:hanging="4"/>
        <w:spacing w:after="0" w:line="261" w:lineRule="auto"/>
        <w:tabs>
          <w:tab w:leader="none" w:pos="26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States, revenues from services include fees received from our franchise offices of $7.3 million and $7.1 million for the six months ended June 30, 2019 and 2018, respectively. These fees are primarily based on revenues generated by the franchise offices, which were $311.2 million and $315.7 million for the six months ended June 30, 2019 and 2018, respectively.</w:t>
      </w:r>
    </w:p>
    <w:p>
      <w:pPr>
        <w:ind w:left="264" w:hanging="264"/>
        <w:spacing w:after="0"/>
        <w:tabs>
          <w:tab w:leader="none" w:pos="26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interest and other expenses were:</w:t>
      </w:r>
    </w:p>
    <w:p>
      <w:pPr>
        <w:spacing w:after="0" w:line="25"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5220" w:type="dxa"/>
            <w:vAlign w:val="bottom"/>
          </w:tcPr>
          <w:p>
            <w:pPr>
              <w:spacing w:after="0"/>
              <w:rPr>
                <w:sz w:val="17"/>
                <w:szCs w:val="17"/>
                <w:color w:val="auto"/>
              </w:rPr>
            </w:pPr>
          </w:p>
        </w:tc>
        <w:tc>
          <w:tcPr>
            <w:tcW w:w="3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196"/>
        </w:trPr>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64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ind w:right="9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21.4</w:t>
            </w:r>
          </w:p>
        </w:tc>
        <w:tc>
          <w:tcPr>
            <w:tcW w:w="1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26.9</w:t>
            </w:r>
          </w:p>
        </w:tc>
      </w:tr>
      <w:tr>
        <w:trPr>
          <w:trHeight w:val="204"/>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4"/>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exchange loss (gain)</w:t>
            </w:r>
          </w:p>
        </w:tc>
        <w:tc>
          <w:tcPr>
            <w:tcW w:w="26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4"/>
        </w:trPr>
        <w:tc>
          <w:tcPr>
            <w:tcW w:w="5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Miscellaneous (income) expense, net (c)</w:t>
            </w:r>
          </w:p>
        </w:tc>
        <w:tc>
          <w:tcPr>
            <w:tcW w:w="2640" w:type="dxa"/>
            <w:vAlign w:val="bottom"/>
            <w:tcBorders>
              <w:bottom w:val="single" w:sz="8" w:color="CFF0FC"/>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r>
      <w:tr>
        <w:trPr>
          <w:trHeight w:val="196"/>
        </w:trPr>
        <w:tc>
          <w:tcPr>
            <w:tcW w:w="5220" w:type="dxa"/>
            <w:vAlign w:val="bottom"/>
            <w:tcBorders>
              <w:bottom w:val="single" w:sz="8" w:color="CFF0FC"/>
            </w:tcBorders>
            <w:shd w:val="clear" w:color="auto" w:fill="CFF0FC"/>
          </w:tcPr>
          <w:p>
            <w:pPr>
              <w:spacing w:after="0"/>
              <w:rPr>
                <w:sz w:val="17"/>
                <w:szCs w:val="17"/>
                <w:color w:val="auto"/>
              </w:rPr>
            </w:pPr>
          </w:p>
        </w:tc>
        <w:tc>
          <w:tcPr>
            <w:tcW w:w="264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26.6</w:t>
            </w:r>
          </w:p>
        </w:tc>
      </w:tr>
      <w:tr>
        <w:trPr>
          <w:trHeight w:val="20"/>
        </w:trPr>
        <w:tc>
          <w:tcPr>
            <w:tcW w:w="5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(c) Includes an $80.0 million gain related to our acquisition of the remaining controlling interest in our Swiss franchise.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476250</wp:posOffset>
            </wp:positionV>
            <wp:extent cx="730250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325" w:right="21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22"/>
          <w:szCs w:val="22"/>
          <w:color w:val="auto"/>
        </w:rPr>
        <w:t>ManpowerGroup</w:t>
      </w:r>
    </w:p>
    <w:p>
      <w:pPr>
        <w:spacing w:after="0" w:line="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 30</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080" w:type="dxa"/>
            <w:vAlign w:val="bottom"/>
          </w:tcPr>
          <w:p>
            <w:pPr>
              <w:spacing w:after="0"/>
              <w:rPr>
                <w:sz w:val="18"/>
                <w:szCs w:val="18"/>
                <w:color w:val="auto"/>
              </w:rPr>
            </w:pPr>
          </w:p>
        </w:tc>
        <w:tc>
          <w:tcPr>
            <w:tcW w:w="2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(Unaudited)</w:t>
            </w:r>
          </w:p>
        </w:tc>
        <w:tc>
          <w:tcPr>
            <w:tcW w:w="13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2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770.4</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591.9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5,415.6</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5,276.1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780" w:type="dxa"/>
            <w:vAlign w:val="bottom"/>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192.6</w:t>
            </w:r>
          </w:p>
        </w:tc>
        <w:tc>
          <w:tcPr>
            <w:tcW w:w="1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6,378.6</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5,997.1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1,262.4</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1,297.1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276.3</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455.5</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1780" w:type="dxa"/>
            <w:vAlign w:val="bottom"/>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526.6</w:t>
            </w:r>
          </w:p>
        </w:tc>
        <w:tc>
          <w:tcPr>
            <w:tcW w:w="1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826.7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other assets</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2,520.8</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2,370.1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Land, buildings, leasehold improvements and equipment</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613.4</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613.6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780" w:type="dxa"/>
            <w:vAlign w:val="bottom"/>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465.7</w:t>
            </w:r>
          </w:p>
        </w:tc>
        <w:tc>
          <w:tcPr>
            <w:tcW w:w="1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461.0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Net property and equipment</w:t>
            </w:r>
          </w:p>
        </w:tc>
        <w:tc>
          <w:tcPr>
            <w:tcW w:w="178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147.7</w:t>
            </w:r>
          </w:p>
        </w:tc>
        <w:tc>
          <w:tcPr>
            <w:tcW w:w="18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152.6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Total assets</w:t>
            </w:r>
          </w:p>
        </w:tc>
        <w:tc>
          <w:tcPr>
            <w:tcW w:w="178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9,047.1</w:t>
            </w:r>
          </w:p>
        </w:tc>
        <w:tc>
          <w:tcPr>
            <w:tcW w:w="1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8,519.8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8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82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2,415.4</w:t>
            </w:r>
          </w:p>
        </w:tc>
        <w:tc>
          <w:tcPr>
            <w:tcW w:w="180" w:type="dxa"/>
            <w:vAlign w:val="bottom"/>
          </w:tcPr>
          <w:p>
            <w:pPr>
              <w:spacing w:after="0"/>
              <w:rPr>
                <w:sz w:val="17"/>
                <w:szCs w:val="17"/>
                <w:color w:val="auto"/>
              </w:rPr>
            </w:pP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2,266.7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Employee compensation payable</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184.8</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538.5</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411.0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Accrued payroll taxes and insurance</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659.5</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Value added taxes payable</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511.5</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508.6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Short-term borrowings and current maturities of long-term debt</w:t>
            </w:r>
          </w:p>
        </w:tc>
        <w:tc>
          <w:tcPr>
            <w:tcW w:w="1780" w:type="dxa"/>
            <w:vAlign w:val="bottom"/>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47.7</w:t>
            </w:r>
          </w:p>
        </w:tc>
        <w:tc>
          <w:tcPr>
            <w:tcW w:w="1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4,357.2</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4,175.9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debt</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1,025.8</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1,025.3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Long-term operating lease liability</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332.8</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78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636.8</w:t>
            </w:r>
          </w:p>
        </w:tc>
        <w:tc>
          <w:tcPr>
            <w:tcW w:w="18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620.1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Total other liabilities</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1,995.4</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1,645.4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ManpowerGroup shareholders' equity</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3,354.4</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3,337.5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3,273.3</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3,157.7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7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(416.5)</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Treasury stock, at cost</w:t>
            </w:r>
          </w:p>
        </w:tc>
        <w:tc>
          <w:tcPr>
            <w:tcW w:w="178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(3,579.9)</w:t>
            </w:r>
          </w:p>
        </w:tc>
        <w:tc>
          <w:tcPr>
            <w:tcW w:w="18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ManpowerGroup shareholders' equity</w:t>
            </w:r>
          </w:p>
        </w:tc>
        <w:tc>
          <w:tcPr>
            <w:tcW w:w="1780" w:type="dxa"/>
            <w:vAlign w:val="bottom"/>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2,632.5</w:t>
            </w:r>
          </w:p>
        </w:tc>
        <w:tc>
          <w:tcPr>
            <w:tcW w:w="1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2,624.9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78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62.0</w:t>
            </w:r>
          </w:p>
        </w:tc>
        <w:tc>
          <w:tcPr>
            <w:tcW w:w="18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73.6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780" w:type="dxa"/>
            <w:vAlign w:val="bottom"/>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2,694.5</w:t>
            </w:r>
          </w:p>
        </w:tc>
        <w:tc>
          <w:tcPr>
            <w:tcW w:w="1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2,698.5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780" w:type="dxa"/>
            <w:vAlign w:val="bottom"/>
          </w:tcPr>
          <w:p>
            <w:pPr>
              <w:spacing w:after="0"/>
              <w:rPr>
                <w:sz w:val="17"/>
                <w:szCs w:val="17"/>
                <w:color w:val="auto"/>
              </w:rPr>
            </w:pPr>
          </w:p>
        </w:tc>
        <w:tc>
          <w:tcPr>
            <w:tcW w:w="104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9,047.1</w:t>
            </w:r>
          </w:p>
        </w:tc>
        <w:tc>
          <w:tcPr>
            <w:tcW w:w="180" w:type="dxa"/>
            <w:vAlign w:val="bottom"/>
          </w:tcPr>
          <w:p>
            <w:pPr>
              <w:spacing w:after="0"/>
              <w:rPr>
                <w:sz w:val="17"/>
                <w:szCs w:val="17"/>
                <w:color w:val="auto"/>
              </w:rPr>
            </w:pPr>
          </w:p>
        </w:tc>
        <w:tc>
          <w:tcPr>
            <w:tcW w:w="4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8,519.8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3"/>
        </w:trPr>
        <w:tc>
          <w:tcPr>
            <w:tcW w:w="60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7254240</wp:posOffset>
            </wp:positionH>
            <wp:positionV relativeFrom="paragraph">
              <wp:posOffset>-27305</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310" w:right="1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22"/>
          <w:szCs w:val="22"/>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1160" w:type="dxa"/>
            <w:vAlign w:val="bottom"/>
          </w:tcPr>
          <w:p>
            <w:pPr>
              <w:spacing w:after="0"/>
              <w:rPr>
                <w:sz w:val="17"/>
                <w:szCs w:val="17"/>
                <w:color w:val="auto"/>
              </w:rPr>
            </w:pPr>
          </w:p>
        </w:tc>
      </w:tr>
      <w:tr>
        <w:trPr>
          <w:trHeight w:val="211"/>
        </w:trPr>
        <w:tc>
          <w:tcPr>
            <w:tcW w:w="6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160" w:type="dxa"/>
            <w:vAlign w:val="bottom"/>
            <w:tcBorders>
              <w:bottom w:val="single" w:sz="8" w:color="auto"/>
            </w:tcBorders>
          </w:tcPr>
          <w:p>
            <w:pPr>
              <w:spacing w:after="0"/>
              <w:rPr>
                <w:sz w:val="18"/>
                <w:szCs w:val="18"/>
                <w:color w:val="auto"/>
              </w:rPr>
            </w:pPr>
          </w:p>
        </w:tc>
      </w:tr>
      <w:tr>
        <w:trPr>
          <w:trHeight w:val="196"/>
        </w:trPr>
        <w:tc>
          <w:tcPr>
            <w:tcW w:w="6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196"/>
        </w:trPr>
        <w:tc>
          <w:tcPr>
            <w:tcW w:w="6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8"/>
              </w:rPr>
              <w:t>(Unaudited)</w:t>
            </w:r>
          </w:p>
        </w:tc>
        <w:tc>
          <w:tcPr>
            <w:tcW w:w="1160" w:type="dxa"/>
            <w:vAlign w:val="bottom"/>
          </w:tcPr>
          <w:p>
            <w:pPr>
              <w:spacing w:after="0"/>
              <w:rPr>
                <w:sz w:val="17"/>
                <w:szCs w:val="17"/>
                <w:color w:val="auto"/>
              </w:rPr>
            </w:pPr>
          </w:p>
        </w:tc>
      </w:tr>
      <w:tr>
        <w:trPr>
          <w:trHeight w:val="204"/>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04"/>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238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180.8</w:t>
            </w:r>
          </w:p>
        </w:tc>
        <w:tc>
          <w:tcPr>
            <w:tcW w:w="180" w:type="dxa"/>
            <w:vAlign w:val="bottom"/>
          </w:tcPr>
          <w:p>
            <w:pPr>
              <w:spacing w:after="0"/>
              <w:rPr>
                <w:sz w:val="17"/>
                <w:szCs w:val="17"/>
                <w:color w:val="auto"/>
              </w:rPr>
            </w:pPr>
          </w:p>
        </w:tc>
        <w:tc>
          <w:tcPr>
            <w:tcW w:w="56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240.4</w:t>
            </w:r>
          </w:p>
        </w:tc>
      </w:tr>
      <w:tr>
        <w:trPr>
          <w:trHeight w:val="188"/>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w:t>
            </w:r>
          </w:p>
        </w:tc>
        <w:tc>
          <w:tcPr>
            <w:tcW w:w="13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209"/>
        </w:trPr>
        <w:tc>
          <w:tcPr>
            <w:tcW w:w="6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operating activities:</w:t>
            </w:r>
          </w:p>
        </w:tc>
        <w:tc>
          <w:tcPr>
            <w:tcW w:w="1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04"/>
        </w:trPr>
        <w:tc>
          <w:tcPr>
            <w:tcW w:w="6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39.0</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42.9</w:t>
            </w:r>
          </w:p>
        </w:tc>
      </w:tr>
      <w:tr>
        <w:trPr>
          <w:trHeight w:val="204"/>
        </w:trPr>
        <w:tc>
          <w:tcPr>
            <w:tcW w:w="6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Noncash lease expense</w:t>
            </w:r>
          </w:p>
        </w:tc>
        <w:tc>
          <w:tcPr>
            <w:tcW w:w="1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63.6</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6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goodwill impairment charge</w:t>
            </w: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64.0</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6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1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13.7</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04"/>
        </w:trPr>
        <w:tc>
          <w:tcPr>
            <w:tcW w:w="6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11.5</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10.9</w:t>
            </w:r>
          </w:p>
        </w:tc>
      </w:tr>
      <w:tr>
        <w:trPr>
          <w:trHeight w:val="204"/>
        </w:trPr>
        <w:tc>
          <w:tcPr>
            <w:tcW w:w="6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12.9</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12.8</w:t>
            </w:r>
          </w:p>
        </w:tc>
      </w:tr>
      <w:tr>
        <w:trPr>
          <w:trHeight w:val="204"/>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excluding the impact of acquisitions:</w:t>
            </w: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4"/>
        </w:trPr>
        <w:tc>
          <w:tcPr>
            <w:tcW w:w="6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1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(132.0)</w:t>
            </w:r>
          </w:p>
        </w:tc>
      </w:tr>
      <w:tr>
        <w:trPr>
          <w:trHeight w:val="204"/>
        </w:trPr>
        <w:tc>
          <w:tcPr>
            <w:tcW w:w="6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88.3</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85.9</w:t>
            </w:r>
          </w:p>
        </w:tc>
      </w:tr>
      <w:tr>
        <w:trPr>
          <w:trHeight w:val="204"/>
        </w:trPr>
        <w:tc>
          <w:tcPr>
            <w:tcW w:w="6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 liabilities</w:t>
            </w:r>
          </w:p>
        </w:tc>
        <w:tc>
          <w:tcPr>
            <w:tcW w:w="1360" w:type="dxa"/>
            <w:vAlign w:val="bottom"/>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80" w:type="dxa"/>
            <w:vAlign w:val="bottom"/>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w:t>
            </w:r>
          </w:p>
        </w:tc>
      </w:tr>
      <w:tr>
        <w:trPr>
          <w:trHeight w:val="196"/>
        </w:trPr>
        <w:tc>
          <w:tcPr>
            <w:tcW w:w="6500" w:type="dxa"/>
            <w:vAlign w:val="bottom"/>
            <w:tcBorders>
              <w:bottom w:val="single" w:sz="8" w:color="CFF0FC"/>
            </w:tcBorders>
          </w:tcPr>
          <w:p>
            <w:pPr>
              <w:ind w:left="44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136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277.1</w:t>
            </w:r>
          </w:p>
        </w:tc>
        <w:tc>
          <w:tcPr>
            <w:tcW w:w="18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175.6</w:t>
            </w:r>
          </w:p>
        </w:tc>
      </w:tr>
      <w:tr>
        <w:trPr>
          <w:trHeight w:val="19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04"/>
        </w:trPr>
        <w:tc>
          <w:tcPr>
            <w:tcW w:w="6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r>
      <w:tr>
        <w:trPr>
          <w:trHeight w:val="204"/>
        </w:trPr>
        <w:tc>
          <w:tcPr>
            <w:tcW w:w="6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1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114.7</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04"/>
        </w:trPr>
        <w:tc>
          <w:tcPr>
            <w:tcW w:w="650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Proceeds from the sale of subsidiaries, investments, property and equipment</w:t>
            </w:r>
          </w:p>
        </w:tc>
        <w:tc>
          <w:tcPr>
            <w:tcW w:w="136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6.7</w:t>
            </w:r>
          </w:p>
        </w:tc>
      </w:tr>
      <w:tr>
        <w:trPr>
          <w:trHeight w:val="196"/>
        </w:trPr>
        <w:tc>
          <w:tcPr>
            <w:tcW w:w="6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Cash provided by (used in) investing activities</w:t>
            </w:r>
          </w:p>
        </w:tc>
        <w:tc>
          <w:tcPr>
            <w:tcW w:w="1360" w:type="dxa"/>
            <w:vAlign w:val="bottom"/>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98.7</w:t>
            </w:r>
          </w:p>
        </w:tc>
        <w:tc>
          <w:tcPr>
            <w:tcW w:w="180" w:type="dxa"/>
            <w:vAlign w:val="bottom"/>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196"/>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4"/>
        </w:trPr>
        <w:tc>
          <w:tcPr>
            <w:tcW w:w="6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Net change in short-term borrowings</w:t>
            </w:r>
          </w:p>
        </w:tc>
        <w:tc>
          <w:tcPr>
            <w:tcW w:w="1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4"/>
        </w:trPr>
        <w:tc>
          <w:tcPr>
            <w:tcW w:w="6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7.6</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583.3</w:t>
            </w:r>
          </w:p>
        </w:tc>
      </w:tr>
      <w:tr>
        <w:trPr>
          <w:trHeight w:val="204"/>
        </w:trPr>
        <w:tc>
          <w:tcPr>
            <w:tcW w:w="6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1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(408.1)</w:t>
            </w:r>
          </w:p>
        </w:tc>
      </w:tr>
      <w:tr>
        <w:trPr>
          <w:trHeight w:val="204"/>
        </w:trPr>
        <w:tc>
          <w:tcPr>
            <w:tcW w:w="6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4"/>
        </w:trPr>
        <w:tc>
          <w:tcPr>
            <w:tcW w:w="6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Payments of contingent considerations for acquisitions</w:t>
            </w:r>
          </w:p>
        </w:tc>
        <w:tc>
          <w:tcPr>
            <w:tcW w:w="1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4"/>
        </w:trPr>
        <w:tc>
          <w:tcPr>
            <w:tcW w:w="6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share-based awards and sale of subsidiaries</w:t>
            </w: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5.5</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r>
      <w:tr>
        <w:trPr>
          <w:trHeight w:val="204"/>
        </w:trPr>
        <w:tc>
          <w:tcPr>
            <w:tcW w:w="6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Payments to noncontrolling interests</w:t>
            </w:r>
          </w:p>
        </w:tc>
        <w:tc>
          <w:tcPr>
            <w:tcW w:w="1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4"/>
        </w:trPr>
        <w:tc>
          <w:tcPr>
            <w:tcW w:w="6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share-based award transactions</w:t>
            </w: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04"/>
        </w:trPr>
        <w:tc>
          <w:tcPr>
            <w:tcW w:w="6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(113.2)</w:t>
            </w:r>
          </w:p>
        </w:tc>
      </w:tr>
      <w:tr>
        <w:trPr>
          <w:trHeight w:val="204"/>
        </w:trPr>
        <w:tc>
          <w:tcPr>
            <w:tcW w:w="650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136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8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w:t>
            </w:r>
          </w:p>
        </w:tc>
      </w:tr>
      <w:tr>
        <w:trPr>
          <w:trHeight w:val="196"/>
        </w:trPr>
        <w:tc>
          <w:tcPr>
            <w:tcW w:w="6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1360" w:type="dxa"/>
            <w:vAlign w:val="bottom"/>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180" w:type="dxa"/>
            <w:vAlign w:val="bottom"/>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196"/>
        </w:trPr>
        <w:tc>
          <w:tcPr>
            <w:tcW w:w="6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36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8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19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1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178.5</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78.5</w:t>
            </w:r>
          </w:p>
        </w:tc>
      </w:tr>
      <w:tr>
        <w:trPr>
          <w:trHeight w:val="204"/>
        </w:trPr>
        <w:tc>
          <w:tcPr>
            <w:tcW w:w="6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36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591.9</w:t>
            </w:r>
          </w:p>
        </w:tc>
        <w:tc>
          <w:tcPr>
            <w:tcW w:w="18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689.0</w:t>
            </w:r>
          </w:p>
        </w:tc>
      </w:tr>
      <w:tr>
        <w:trPr>
          <w:trHeight w:val="196"/>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36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770.4</w:t>
            </w:r>
          </w:p>
        </w:tc>
        <w:tc>
          <w:tcPr>
            <w:tcW w:w="1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767.5</w:t>
            </w:r>
          </w:p>
        </w:tc>
      </w:tr>
      <w:tr>
        <w:trPr>
          <w:trHeight w:val="20"/>
        </w:trPr>
        <w:tc>
          <w:tcPr>
            <w:tcW w:w="6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40"/>
          </w:cols>
          <w:pgMar w:left="240" w:top="310" w:right="21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728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2019-12-28T10:08:26Z</dcterms:created>
  <dcterms:modified xsi:type="dcterms:W3CDTF">2019-12-28T10:08:26Z</dcterms:modified>
</cp:coreProperties>
</file>