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13"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w:t>
      </w:r>
    </w:p>
    <w:p>
      <w:pPr>
        <w:spacing w:after="0" w:line="111" w:lineRule="exact"/>
        <w:rPr>
          <w:rFonts w:ascii="MS PGothic" w:cs="MS PGothic" w:eastAsia="MS PGothic" w:hAnsi="MS PGothic"/>
          <w:sz w:val="16"/>
          <w:szCs w:val="16"/>
          <w:color w:val="auto"/>
        </w:rPr>
      </w:pPr>
    </w:p>
    <w:p>
      <w:pPr>
        <w:ind w:left="5560" w:right="4980" w:hanging="650"/>
        <w:spacing w:after="0" w:line="362" w:lineRule="auto"/>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September 30, 2022 </w:t>
      </w:r>
      <w:r>
        <w:rPr>
          <w:rFonts w:ascii="Times New Roman" w:cs="Times New Roman" w:eastAsia="Times New Roman" w:hAnsi="Times New Roman"/>
          <w:sz w:val="16"/>
          <w:szCs w:val="16"/>
          <w:color w:val="auto"/>
        </w:rPr>
        <w:t>or</w:t>
      </w:r>
    </w:p>
    <w:p>
      <w:pPr>
        <w:spacing w:after="0" w:line="27"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______to______</w:t>
      </w:r>
    </w:p>
    <w:p>
      <w:pPr>
        <w:spacing w:after="0" w:line="113" w:lineRule="exact"/>
        <w:rPr>
          <w:rFonts w:ascii="MS PGothic" w:cs="MS PGothic" w:eastAsia="MS PGothic" w:hAnsi="MS PGothic"/>
          <w:sz w:val="16"/>
          <w:szCs w:val="16"/>
          <w:color w:val="auto"/>
        </w:rPr>
      </w:pPr>
    </w:p>
    <w:p>
      <w:pPr>
        <w:ind w:left="4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Commission file number: 1-10686</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MANPOWERGROUP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630" w:right="339" w:bottom="1440" w:gutter="0" w:footer="0" w:header="0"/>
        </w:sectPr>
      </w:pPr>
    </w:p>
    <w:p>
      <w:pPr>
        <w:spacing w:after="0" w:line="24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39-1672779</w:t>
      </w:r>
    </w:p>
    <w:p>
      <w:pPr>
        <w:spacing w:after="0" w:line="88" w:lineRule="exact"/>
        <w:rPr>
          <w:sz w:val="24"/>
          <w:szCs w:val="24"/>
          <w:color w:val="auto"/>
        </w:rPr>
      </w:pPr>
    </w:p>
    <w:p>
      <w:pPr>
        <w:sectPr>
          <w:pgSz w:w="11900" w:h="16838" w:orient="portrait"/>
          <w:cols w:equalWidth="0" w:num="2">
            <w:col w:w="7420" w:space="720"/>
            <w:col w:w="3100"/>
          </w:cols>
          <w:pgMar w:left="320" w:top="630"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630" w:right="339" w:bottom="1440" w:gutter="0" w:footer="0" w:header="0"/>
          <w:type w:val="continuous"/>
        </w:sectPr>
      </w:pPr>
    </w:p>
    <w:p>
      <w:pPr>
        <w:spacing w:after="0" w:line="15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100 Manpower Place</w:t>
      </w:r>
    </w:p>
    <w:p>
      <w:pPr>
        <w:sectPr>
          <w:pgSz w:w="11900" w:h="16838" w:orient="portrait"/>
          <w:cols w:equalWidth="0" w:num="1">
            <w:col w:w="11240"/>
          </w:cols>
          <w:pgMar w:left="320" w:top="630" w:right="339" w:bottom="1440" w:gutter="0" w:footer="0" w:header="0"/>
          <w:type w:val="continuous"/>
        </w:sectPr>
      </w:pPr>
    </w:p>
    <w:p>
      <w:pPr>
        <w:spacing w:after="0" w:line="8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53212</w:t>
      </w:r>
    </w:p>
    <w:p>
      <w:pPr>
        <w:spacing w:after="0" w:line="88" w:lineRule="exact"/>
        <w:rPr>
          <w:sz w:val="24"/>
          <w:szCs w:val="24"/>
          <w:color w:val="auto"/>
        </w:rPr>
      </w:pPr>
    </w:p>
    <w:p>
      <w:pPr>
        <w:sectPr>
          <w:pgSz w:w="11900" w:h="16838" w:orient="portrait"/>
          <w:cols w:equalWidth="0" w:num="2">
            <w:col w:w="7420" w:space="720"/>
            <w:col w:w="3100"/>
          </w:cols>
          <w:pgMar w:left="320" w:top="630"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630" w:right="339" w:bottom="1440" w:gutter="0" w:footer="0" w:header="0"/>
          <w:type w:val="continuous"/>
        </w:sectPr>
      </w:pP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(414) 961-1000</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0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74"/>
        </w:trPr>
        <w:tc>
          <w:tcPr>
            <w:tcW w:w="420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70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MAN</w:t>
            </w:r>
          </w:p>
        </w:tc>
        <w:tc>
          <w:tcPr>
            <w:tcW w:w="120" w:type="dxa"/>
            <w:vAlign w:val="bottom"/>
          </w:tcPr>
          <w:p>
            <w:pPr>
              <w:spacing w:after="0"/>
              <w:rPr>
                <w:sz w:val="23"/>
                <w:szCs w:val="23"/>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1" w:lineRule="exact"/>
        <w:rPr>
          <w:sz w:val="24"/>
          <w:szCs w:val="24"/>
          <w:color w:val="auto"/>
        </w:rPr>
      </w:pPr>
    </w:p>
    <w:p>
      <w:pPr>
        <w:ind w:right="3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ind w:right="3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63"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88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212"/>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20" w:type="dxa"/>
            <w:vAlign w:val="bottom"/>
          </w:tcPr>
          <w:p>
            <w:pPr>
              <w:spacing w:after="0"/>
              <w:rPr>
                <w:sz w:val="18"/>
                <w:szCs w:val="18"/>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 November 3, 2022</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50,557,133</w:t>
            </w:r>
          </w:p>
        </w:tc>
      </w:tr>
      <w:tr>
        <w:trPr>
          <w:trHeight w:val="742"/>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804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680" w:type="dxa"/>
            <w:vAlign w:val="bottom"/>
            <w:gridSpan w:val="4"/>
          </w:tcPr>
          <w:p>
            <w:pPr>
              <w:spacing w:after="0"/>
              <w:rPr>
                <w:sz w:val="17"/>
                <w:szCs w:val="17"/>
                <w:color w:val="auto"/>
              </w:rPr>
            </w:pPr>
          </w:p>
        </w:tc>
        <w:tc>
          <w:tcPr>
            <w:tcW w:w="24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64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66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430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452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6"/>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0"/>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0"/>
            <w:shd w:val="clear" w:color="auto" w:fill="0000FF"/>
          </w:tcPr>
          <w:p>
            <w:pPr>
              <w:spacing w:after="0" w:line="20" w:lineRule="exact"/>
              <w:rPr>
                <w:sz w:val="1"/>
                <w:szCs w:val="1"/>
                <w:color w:val="auto"/>
              </w:rPr>
            </w:pPr>
          </w:p>
        </w:tc>
        <w:tc>
          <w:tcPr>
            <w:tcW w:w="37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600" w:type="dxa"/>
            <w:vAlign w:val="bottom"/>
            <w:gridSpan w:val="2"/>
          </w:tcPr>
          <w:p>
            <w:pPr>
              <w:spacing w:after="0"/>
              <w:rPr>
                <w:sz w:val="24"/>
                <w:szCs w:val="24"/>
                <w:color w:val="auto"/>
              </w:rPr>
            </w:pPr>
          </w:p>
        </w:tc>
        <w:tc>
          <w:tcPr>
            <w:tcW w:w="2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94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Item 1A</w:t>
            </w:r>
          </w:p>
        </w:tc>
        <w:tc>
          <w:tcPr>
            <w:tcW w:w="1660" w:type="dxa"/>
            <w:vAlign w:val="bottom"/>
            <w:gridSpan w:val="3"/>
          </w:tcPr>
          <w:p>
            <w:pPr>
              <w:spacing w:after="0"/>
              <w:rPr>
                <w:sz w:val="17"/>
                <w:szCs w:val="17"/>
                <w:color w:val="auto"/>
              </w:rPr>
            </w:pP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660" w:type="dxa"/>
            <w:vAlign w:val="bottom"/>
            <w:gridSpan w:val="3"/>
          </w:tcPr>
          <w:p>
            <w:pPr>
              <w:spacing w:after="0"/>
              <w:rPr>
                <w:sz w:val="17"/>
                <w:szCs w:val="17"/>
                <w:color w:val="auto"/>
              </w:rPr>
            </w:pP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gridSpan w:val="12"/>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2"/>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1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3040" w:type="dxa"/>
            <w:vAlign w:val="bottom"/>
          </w:tcPr>
          <w:p>
            <w:pPr>
              <w:spacing w:after="0"/>
              <w:rPr>
                <w:sz w:val="24"/>
                <w:szCs w:val="24"/>
                <w:color w:val="auto"/>
              </w:rPr>
            </w:pPr>
          </w:p>
        </w:tc>
        <w:tc>
          <w:tcPr>
            <w:tcW w:w="46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3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32"/>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3"/>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847.8</w:t>
            </w:r>
          </w:p>
        </w:tc>
      </w:tr>
      <w:tr>
        <w:trPr>
          <w:trHeight w:val="171"/>
        </w:trPr>
        <w:tc>
          <w:tcPr>
            <w:tcW w:w="7680" w:type="dxa"/>
            <w:vAlign w:val="bottom"/>
            <w:gridSpan w:val="4"/>
          </w:tcPr>
          <w:p>
            <w:pPr>
              <w:ind w:left="20"/>
              <w:spacing w:after="0" w:line="170"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4"/>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$107.7 and $121.6, respectively</w:t>
            </w:r>
          </w:p>
        </w:tc>
        <w:tc>
          <w:tcPr>
            <w:tcW w:w="1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5,448.2</w:t>
            </w:r>
          </w:p>
        </w:tc>
      </w:tr>
      <w:tr>
        <w:trPr>
          <w:trHeight w:val="216"/>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r>
      <w:tr>
        <w:trPr>
          <w:trHeight w:val="209"/>
        </w:trPr>
        <w:tc>
          <w:tcPr>
            <w:tcW w:w="76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6,422.7</w:t>
            </w:r>
          </w:p>
        </w:tc>
      </w:tr>
      <w:tr>
        <w:trPr>
          <w:trHeight w:val="216"/>
        </w:trPr>
        <w:tc>
          <w:tcPr>
            <w:tcW w:w="30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1,640.4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1,722.2</w:t>
            </w:r>
          </w:p>
        </w:tc>
      </w:tr>
      <w:tr>
        <w:trPr>
          <w:trHeight w:val="171"/>
        </w:trPr>
        <w:tc>
          <w:tcPr>
            <w:tcW w:w="7680" w:type="dxa"/>
            <w:vAlign w:val="bottom"/>
            <w:gridSpan w:val="4"/>
          </w:tcPr>
          <w:p>
            <w:pPr>
              <w:ind w:left="20"/>
              <w:spacing w:after="0" w:line="170" w:lineRule="exact"/>
              <w:rPr>
                <w:sz w:val="20"/>
                <w:szCs w:val="20"/>
                <w:color w:val="auto"/>
              </w:rPr>
            </w:pPr>
            <w:r>
              <w:rPr>
                <w:rFonts w:ascii="Times New Roman" w:cs="Times New Roman" w:eastAsia="Times New Roman" w:hAnsi="Times New Roman"/>
                <w:sz w:val="18"/>
                <w:szCs w:val="18"/>
                <w:color w:val="auto"/>
              </w:rPr>
              <w:t>Intangible assets, less accumulated amortization of</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4"/>
        </w:trPr>
        <w:tc>
          <w:tcPr>
            <w:tcW w:w="76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$449.3 and $441.3, respectively</w:t>
            </w:r>
          </w:p>
        </w:tc>
        <w:tc>
          <w:tcPr>
            <w:tcW w:w="18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583.6</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373.4</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610.2</w:t>
            </w:r>
          </w:p>
        </w:tc>
      </w:tr>
      <w:tr>
        <w:trPr>
          <w:trHeight w:val="210"/>
        </w:trPr>
        <w:tc>
          <w:tcPr>
            <w:tcW w:w="768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3,030.7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3,289.4</w:t>
            </w:r>
          </w:p>
        </w:tc>
      </w:tr>
      <w:tr>
        <w:trPr>
          <w:trHeight w:val="216"/>
        </w:trPr>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8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594.9</w:t>
            </w:r>
          </w:p>
        </w:tc>
      </w:tr>
      <w:tr>
        <w:trPr>
          <w:trHeight w:val="216"/>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478.1</w:t>
            </w:r>
          </w:p>
        </w:tc>
      </w:tr>
      <w:tr>
        <w:trPr>
          <w:trHeight w:val="210"/>
        </w:trPr>
        <w:tc>
          <w:tcPr>
            <w:tcW w:w="76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r>
      <w:tr>
        <w:trPr>
          <w:trHeight w:val="249"/>
        </w:trPr>
        <w:tc>
          <w:tcPr>
            <w:tcW w:w="7680" w:type="dxa"/>
            <w:vAlign w:val="bottom"/>
            <w:tcBorders>
              <w:bottom w:val="single" w:sz="8" w:color="CFF0FC"/>
            </w:tcBorders>
            <w:gridSpan w:val="4"/>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8,556.9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-2099945</wp:posOffset>
            </wp:positionV>
            <wp:extent cx="6858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6858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99"/>
        </w:trPr>
        <w:tc>
          <w:tcPr>
            <w:tcW w:w="770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770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32"/>
        </w:trPr>
        <w:tc>
          <w:tcPr>
            <w:tcW w:w="770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7"/>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2,584.4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3,039.2</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299.4</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584.7</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789.1</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515.5</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552.6</w:t>
            </w:r>
          </w:p>
        </w:tc>
      </w:tr>
      <w:tr>
        <w:trPr>
          <w:trHeight w:val="210"/>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5,780.5</w:t>
            </w:r>
          </w:p>
        </w:tc>
      </w:tr>
      <w:tr>
        <w:trPr>
          <w:trHeight w:val="216"/>
        </w:trPr>
        <w:tc>
          <w:tcPr>
            <w:tcW w:w="7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565.7</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675.2</w:t>
            </w:r>
          </w:p>
        </w:tc>
      </w:tr>
      <w:tr>
        <w:trPr>
          <w:trHeight w:val="209"/>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1,516.7</w:t>
            </w:r>
          </w:p>
        </w:tc>
      </w:tr>
      <w:tr>
        <w:trPr>
          <w:trHeight w:val="216"/>
        </w:trPr>
        <w:tc>
          <w:tcPr>
            <w:tcW w:w="7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ManpowerGroup shareholders' equity</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00" w:type="dxa"/>
            <w:vAlign w:val="bottom"/>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Common stock, $.01 par value, authorized 125,000,000 shares, issued 118,024,212 and</w:t>
            </w: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234"/>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117,762,065 shares, respectively</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3,444.7</w:t>
            </w:r>
          </w:p>
        </w:tc>
      </w:tr>
      <w:tr>
        <w:trPr>
          <w:trHeight w:val="21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3,888.5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3,634.6</w:t>
            </w: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(389.4 )</w:t>
            </w:r>
          </w:p>
        </w:tc>
      </w:tr>
      <w:tr>
        <w:trPr>
          <w:trHeight w:val="21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Treasury stock at cost, 67,091,012 and 64,165,136 shares, respectively</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(4,422.7 )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(4,169.4 )</w:t>
            </w:r>
          </w:p>
        </w:tc>
      </w:tr>
      <w:tr>
        <w:trPr>
          <w:trHeight w:val="210"/>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ManpowerGroup shareholders’ equity</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2,406.1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2,521.7</w:t>
            </w:r>
          </w:p>
        </w:tc>
      </w:tr>
      <w:tr>
        <w:trPr>
          <w:trHeight w:val="210"/>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7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2,416.6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2,531.7</w:t>
            </w:r>
          </w:p>
        </w:tc>
      </w:tr>
      <w:tr>
        <w:trPr>
          <w:trHeight w:val="250"/>
        </w:trPr>
        <w:tc>
          <w:tcPr>
            <w:tcW w:w="77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8,556.9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-2939415</wp:posOffset>
            </wp:positionV>
            <wp:extent cx="6858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-2108200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-607695</wp:posOffset>
            </wp:positionV>
            <wp:extent cx="685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-316230</wp:posOffset>
            </wp:positionV>
            <wp:extent cx="685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7"/>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4,800.9</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15,018.3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4,287.6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878.5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156.8</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 – basic</w:t>
            </w:r>
          </w:p>
        </w:tc>
        <w:tc>
          <w:tcPr>
            <w:tcW w:w="15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4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6.18</w:t>
            </w:r>
          </w:p>
        </w:tc>
        <w:tc>
          <w:tcPr>
            <w:tcW w:w="60" w:type="dxa"/>
            <w:vAlign w:val="bottom"/>
          </w:tcPr>
          <w:p>
            <w:pPr>
              <w:spacing w:after="0"/>
              <w:rPr>
                <w:sz w:val="17"/>
                <w:szCs w:val="17"/>
                <w:color w:val="auto"/>
              </w:rPr>
            </w:pPr>
          </w:p>
        </w:tc>
        <w:tc>
          <w:tcPr>
            <w:tcW w:w="400" w:type="dxa"/>
            <w:vAlign w:val="bottom"/>
            <w:gridSpan w:val="3"/>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 – diluted</w:t>
            </w:r>
          </w:p>
        </w:tc>
        <w:tc>
          <w:tcPr>
            <w:tcW w:w="1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 basic</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 diluted</w:t>
            </w:r>
          </w:p>
        </w:tc>
        <w:tc>
          <w:tcPr>
            <w:tcW w:w="1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4560" w:type="dxa"/>
            <w:vAlign w:val="bottom"/>
          </w:tcPr>
          <w:p>
            <w:pPr>
              <w:spacing w:after="0"/>
              <w:rPr>
                <w:sz w:val="24"/>
                <w:szCs w:val="24"/>
                <w:color w:val="auto"/>
              </w:rPr>
            </w:pPr>
          </w:p>
        </w:tc>
        <w:tc>
          <w:tcPr>
            <w:tcW w:w="25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80" w:type="dxa"/>
            <w:vAlign w:val="bottom"/>
            <w:gridSpan w:val="11"/>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(Unaudited)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2"/>
                <w:szCs w:val="22"/>
                <w:color w:val="auto"/>
              </w:rPr>
            </w:pPr>
          </w:p>
        </w:tc>
        <w:tc>
          <w:tcPr>
            <w:tcW w:w="15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(147.9 )</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(305.9 )</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162"/>
        </w:trPr>
        <w:tc>
          <w:tcPr>
            <w:tcW w:w="6140" w:type="dxa"/>
            <w:vAlign w:val="bottom"/>
            <w:gridSpan w:val="4"/>
          </w:tcPr>
          <w:p>
            <w:pPr>
              <w:ind w:left="200"/>
              <w:spacing w:after="0" w:line="162" w:lineRule="exact"/>
              <w:rPr>
                <w:sz w:val="20"/>
                <w:szCs w:val="20"/>
                <w:color w:val="auto"/>
              </w:rPr>
            </w:pPr>
            <w:r>
              <w:rPr>
                <w:rFonts w:ascii="Times New Roman" w:cs="Times New Roman" w:eastAsia="Times New Roman" w:hAnsi="Times New Roman"/>
                <w:sz w:val="18"/>
                <w:szCs w:val="18"/>
                <w:color w:val="auto"/>
              </w:rPr>
              <w:t>Translation adjustments on derivative instruments, net of income taxes 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$15.5, $5.9, $36.2 and $16.1, respectively</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adjustments on interest rate swap</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6140" w:type="dxa"/>
            <w:vAlign w:val="bottom"/>
            <w:gridSpan w:val="4"/>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Defined benefit pension plans and retiree health care plan, net of income</w:t>
            </w: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of $0.2, $1.5, $0.5 and $4.1, respectively</w:t>
            </w:r>
          </w:p>
        </w:tc>
        <w:tc>
          <w:tcPr>
            <w:tcW w:w="1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(143.8 )</w:t>
            </w: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-3625215</wp:posOffset>
            </wp:positionV>
            <wp:extent cx="261429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4295" cy="1885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-3299460</wp:posOffset>
            </wp:positionV>
            <wp:extent cx="261429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4295" cy="1885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-2973705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-2956560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-2973705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-2956560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-2973705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-2956560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-316865</wp:posOffset>
            </wp:positionV>
            <wp:extent cx="7747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-316865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-316865</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8240" w:type="dxa"/>
            <w:vAlign w:val="bottom"/>
          </w:tcPr>
          <w:p>
            <w:pPr>
              <w:spacing w:after="0"/>
              <w:rPr>
                <w:sz w:val="19"/>
                <w:szCs w:val="19"/>
                <w:color w:val="auto"/>
              </w:rPr>
            </w:pPr>
          </w:p>
        </w:tc>
        <w:tc>
          <w:tcPr>
            <w:tcW w:w="3000" w:type="dxa"/>
            <w:vAlign w:val="bottom"/>
            <w:gridSpan w:val="5"/>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8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325.1</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on sales of subsidiaries, net</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(354.0 )</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(342.8 )</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sales of subsidiaries and property and equipment</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Repayments of revolving debt facility</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4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(412.1 )</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derivative settlement</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contingent consideration for acquisitions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(245.0 )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(150.1 )</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8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0" w:type="dxa"/>
            <w:vAlign w:val="bottom"/>
          </w:tcPr>
          <w:p>
            <w:pPr>
              <w:spacing w:after="0"/>
              <w:rPr>
                <w:sz w:val="1"/>
                <w:szCs w:val="1"/>
                <w:color w:val="auto"/>
              </w:rPr>
            </w:pPr>
          </w:p>
        </w:tc>
      </w:tr>
      <w:tr>
        <w:trPr>
          <w:trHeight w:val="209"/>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(394.8 )</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(226.8 )</w:t>
            </w:r>
          </w:p>
        </w:tc>
        <w:tc>
          <w:tcPr>
            <w:tcW w:w="0" w:type="dxa"/>
            <w:vAlign w:val="bottom"/>
          </w:tcPr>
          <w:p>
            <w:pPr>
              <w:spacing w:after="0"/>
              <w:rPr>
                <w:sz w:val="1"/>
                <w:szCs w:val="1"/>
                <w:color w:val="auto"/>
              </w:rPr>
            </w:pPr>
          </w:p>
        </w:tc>
      </w:tr>
      <w:tr>
        <w:trPr>
          <w:trHeight w:val="210"/>
        </w:trPr>
        <w:tc>
          <w:tcPr>
            <w:tcW w:w="8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(149.4 )</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0" w:type="dxa"/>
            <w:vAlign w:val="bottom"/>
          </w:tcPr>
          <w:p>
            <w:pPr>
              <w:spacing w:after="0"/>
              <w:rPr>
                <w:sz w:val="1"/>
                <w:szCs w:val="1"/>
                <w:color w:val="auto"/>
              </w:rPr>
            </w:pPr>
          </w:p>
        </w:tc>
      </w:tr>
      <w:tr>
        <w:trPr>
          <w:trHeight w:val="20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(320.3 )</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847.8</w:t>
            </w:r>
          </w:p>
        </w:tc>
        <w:tc>
          <w:tcPr>
            <w:tcW w:w="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527.5</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1,612.6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97"/>
        </w:trPr>
        <w:tc>
          <w:tcPr>
            <w:tcW w:w="8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 net</w:t>
            </w:r>
          </w:p>
        </w:tc>
        <w:tc>
          <w:tcPr>
            <w:tcW w:w="840" w:type="dxa"/>
            <w:vAlign w:val="bottom"/>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150.9</w:t>
            </w:r>
          </w:p>
        </w:tc>
        <w:tc>
          <w:tcPr>
            <w:tcW w:w="580" w:type="dxa"/>
            <w:vAlign w:val="bottom"/>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4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Non-cash operating activity:</w:t>
            </w:r>
          </w:p>
        </w:tc>
        <w:tc>
          <w:tcPr>
            <w:tcW w:w="840" w:type="dxa"/>
            <w:vAlign w:val="bottom"/>
            <w:vMerge w:val="restart"/>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vMerge w:val="restart"/>
            <w:shd w:val="clear" w:color="auto" w:fill="CFF0FC"/>
          </w:tcPr>
          <w:p>
            <w:pPr>
              <w:spacing w:after="0"/>
              <w:rPr>
                <w:sz w:val="13"/>
                <w:szCs w:val="13"/>
                <w:color w:val="auto"/>
              </w:rPr>
            </w:pPr>
          </w:p>
        </w:tc>
        <w:tc>
          <w:tcPr>
            <w:tcW w:w="500" w:type="dxa"/>
            <w:vAlign w:val="bottom"/>
            <w:vMerge w:val="restart"/>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FF0FC"/>
            </w:tcBorders>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vMerge w:val="continue"/>
            <w:shd w:val="clear" w:color="auto" w:fill="CFF0FC"/>
          </w:tcPr>
          <w:p>
            <w:pPr>
              <w:spacing w:after="0"/>
              <w:rPr>
                <w:sz w:val="20"/>
                <w:szCs w:val="20"/>
                <w:color w:val="auto"/>
              </w:rPr>
            </w:pPr>
          </w:p>
        </w:tc>
        <w:tc>
          <w:tcPr>
            <w:tcW w:w="500" w:type="dxa"/>
            <w:vAlign w:val="bottom"/>
            <w:tcBorders>
              <w:bottom w:val="single" w:sz="8" w:color="auto"/>
            </w:tcBorders>
            <w:vMerge w:val="continue"/>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-4645660</wp:posOffset>
            </wp:positionV>
            <wp:extent cx="6032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-3805555</wp:posOffset>
            </wp:positionV>
            <wp:extent cx="603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-1876425</wp:posOffset>
            </wp:positionV>
            <wp:extent cx="603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-1028065</wp:posOffset>
            </wp:positionV>
            <wp:extent cx="603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-445135</wp:posOffset>
            </wp:positionV>
            <wp:extent cx="603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ManpowerGroup Shareholders</w:t>
            </w: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4"/>
                <w:szCs w:val="14"/>
                <w:color w:val="auto"/>
              </w:rPr>
            </w:pPr>
          </w:p>
        </w:tc>
        <w:tc>
          <w:tcPr>
            <w:tcW w:w="8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4"/>
                <w:szCs w:val="14"/>
                <w:color w:val="auto"/>
              </w:rPr>
            </w:pPr>
          </w:p>
        </w:tc>
        <w:tc>
          <w:tcPr>
            <w:tcW w:w="8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4"/>
                <w:szCs w:val="14"/>
                <w:color w:val="auto"/>
              </w:rPr>
            </w:pPr>
          </w:p>
        </w:tc>
        <w:tc>
          <w:tcPr>
            <w:tcW w:w="13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4"/>
                <w:szCs w:val="14"/>
                <w:color w:val="auto"/>
              </w:rPr>
            </w:pPr>
          </w:p>
        </w:tc>
        <w:tc>
          <w:tcPr>
            <w:tcW w:w="10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40" w:type="dxa"/>
            <w:vAlign w:val="bottom"/>
          </w:tcPr>
          <w:p>
            <w:pPr>
              <w:spacing w:after="0"/>
              <w:rPr>
                <w:sz w:val="14"/>
                <w:szCs w:val="14"/>
                <w:color w:val="auto"/>
              </w:rPr>
            </w:pPr>
          </w:p>
        </w:tc>
        <w:tc>
          <w:tcPr>
            <w:tcW w:w="7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117,762,065</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3,444.7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3,634.6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(389.4 )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(4,169.4 )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2,531.7</w:t>
            </w:r>
          </w:p>
        </w:tc>
        <w:tc>
          <w:tcPr>
            <w:tcW w:w="0" w:type="dxa"/>
            <w:vAlign w:val="bottom"/>
          </w:tcPr>
          <w:p>
            <w:pPr>
              <w:spacing w:after="0"/>
              <w:rPr>
                <w:sz w:val="1"/>
                <w:szCs w:val="1"/>
                <w:color w:val="auto"/>
              </w:rPr>
            </w:pPr>
          </w:p>
        </w:tc>
      </w:tr>
      <w:tr>
        <w:trPr>
          <w:trHeight w:val="176"/>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91.6</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(10.2 )</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75"/>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246,804</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(0.1 )</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39"/>
        </w:trPr>
        <w:tc>
          <w:tcPr>
            <w:tcW w:w="22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5"/>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0" w:type="dxa"/>
            <w:vAlign w:val="bottom"/>
          </w:tcPr>
          <w:p>
            <w:pPr>
              <w:spacing w:after="0"/>
              <w:rPr>
                <w:sz w:val="1"/>
                <w:szCs w:val="1"/>
                <w:color w:val="auto"/>
              </w:rPr>
            </w:pPr>
          </w:p>
        </w:tc>
      </w:tr>
      <w:tr>
        <w:trPr>
          <w:trHeight w:val="139"/>
        </w:trPr>
        <w:tc>
          <w:tcPr>
            <w:tcW w:w="22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5"/>
        </w:trPr>
        <w:tc>
          <w:tcPr>
            <w:tcW w:w="22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transactions</w:t>
            </w:r>
          </w:p>
        </w:tc>
        <w:tc>
          <w:tcPr>
            <w:tcW w:w="98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118,008,869</w:t>
            </w:r>
          </w:p>
        </w:tc>
        <w:tc>
          <w:tcPr>
            <w:tcW w:w="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3,455.2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3,726.2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(399.6 )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2,556.1</w:t>
            </w: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122.2</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175"/>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(71.9 )</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1,062</w:t>
            </w: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(0.4 )</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39"/>
        </w:trPr>
        <w:tc>
          <w:tcPr>
            <w:tcW w:w="22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5"/>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w:t>
            </w:r>
          </w:p>
        </w:tc>
        <w:tc>
          <w:tcPr>
            <w:tcW w:w="9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(71.2 )</w:t>
            </w: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(71.2 )</w:t>
            </w:r>
          </w:p>
        </w:tc>
        <w:tc>
          <w:tcPr>
            <w:tcW w:w="0" w:type="dxa"/>
            <w:vAlign w:val="bottom"/>
          </w:tcPr>
          <w:p>
            <w:pPr>
              <w:spacing w:after="0"/>
              <w:rPr>
                <w:sz w:val="1"/>
                <w:szCs w:val="1"/>
                <w:color w:val="auto"/>
              </w:rPr>
            </w:pPr>
          </w:p>
        </w:tc>
      </w:tr>
      <w:tr>
        <w:trPr>
          <w:trHeight w:val="176"/>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(100.1 )</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(100.1 )</w:t>
            </w:r>
          </w:p>
        </w:tc>
        <w:tc>
          <w:tcPr>
            <w:tcW w:w="0" w:type="dxa"/>
            <w:vAlign w:val="bottom"/>
          </w:tcPr>
          <w:p>
            <w:pPr>
              <w:spacing w:after="0"/>
              <w:rPr>
                <w:sz w:val="1"/>
                <w:szCs w:val="1"/>
                <w:color w:val="auto"/>
              </w:rPr>
            </w:pPr>
          </w:p>
        </w:tc>
      </w:tr>
      <w:tr>
        <w:trPr>
          <w:trHeight w:val="139"/>
        </w:trPr>
        <w:tc>
          <w:tcPr>
            <w:tcW w:w="22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(1.0 )</w:t>
            </w:r>
          </w:p>
        </w:tc>
        <w:tc>
          <w:tcPr>
            <w:tcW w:w="24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22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transactions</w:t>
            </w:r>
          </w:p>
        </w:tc>
        <w:tc>
          <w:tcPr>
            <w:tcW w:w="98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118,009,931</w:t>
            </w:r>
          </w:p>
        </w:tc>
        <w:tc>
          <w:tcPr>
            <w:tcW w:w="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3,465.8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3,777.2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(471.5 )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(4,337.5 )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9.6</w:t>
            </w:r>
          </w:p>
        </w:tc>
        <w:tc>
          <w:tcPr>
            <w:tcW w:w="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2,444.8</w:t>
            </w: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76"/>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(61.7 )</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14,281</w:t>
            </w: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(0.2 )</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39"/>
        </w:trPr>
        <w:tc>
          <w:tcPr>
            <w:tcW w:w="22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5"/>
        </w:trPr>
        <w:tc>
          <w:tcPr>
            <w:tcW w:w="2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0" w:type="dxa"/>
            <w:vAlign w:val="bottom"/>
          </w:tcPr>
          <w:p>
            <w:pPr>
              <w:spacing w:after="0"/>
              <w:rPr>
                <w:sz w:val="1"/>
                <w:szCs w:val="1"/>
                <w:color w:val="auto"/>
              </w:rPr>
            </w:pPr>
          </w:p>
        </w:tc>
      </w:tr>
      <w:tr>
        <w:trPr>
          <w:trHeight w:val="139"/>
        </w:trPr>
        <w:tc>
          <w:tcPr>
            <w:tcW w:w="22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Noncontrolling interest</w:t>
            </w: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(0.9 )</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transactions</w:t>
            </w: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118,024,212</w:t>
            </w:r>
          </w:p>
        </w:tc>
        <w:tc>
          <w:tcPr>
            <w:tcW w:w="30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3,472.3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3,888.5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(533.2 )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(4,422.7 )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2,416.6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ManpowerGroup Shareholders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40" w:type="dxa"/>
            <w:vAlign w:val="bottom"/>
          </w:tcPr>
          <w:p>
            <w:pPr>
              <w:spacing w:after="0"/>
              <w:rPr>
                <w:sz w:val="15"/>
                <w:szCs w:val="15"/>
                <w:color w:val="auto"/>
              </w:rPr>
            </w:pPr>
          </w:p>
        </w:tc>
        <w:tc>
          <w:tcPr>
            <w:tcW w:w="1960" w:type="dxa"/>
            <w:vAlign w:val="bottom"/>
            <w:tcBorders>
              <w:top w:val="single" w:sz="8" w:color="auto"/>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12"/>
                <w:szCs w:val="12"/>
                <w:color w:val="auto"/>
              </w:rPr>
            </w:pPr>
          </w:p>
        </w:tc>
        <w:tc>
          <w:tcPr>
            <w:tcW w:w="128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28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84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117,555,991</w:t>
            </w: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3,402.5</w:t>
            </w: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3,388.8</w:t>
            </w:r>
          </w:p>
        </w:tc>
        <w:tc>
          <w:tcPr>
            <w:tcW w:w="1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(40.5 )</w:t>
            </w:r>
          </w:p>
        </w:tc>
        <w:tc>
          <w:tcPr>
            <w:tcW w:w="0" w:type="dxa"/>
            <w:vAlign w:val="bottom"/>
          </w:tcPr>
          <w:p>
            <w:pPr>
              <w:spacing w:after="0"/>
              <w:rPr>
                <w:sz w:val="1"/>
                <w:szCs w:val="1"/>
                <w:color w:val="auto"/>
              </w:rPr>
            </w:pPr>
          </w:p>
        </w:tc>
      </w:tr>
      <w:tr>
        <w:trPr>
          <w:trHeight w:val="175"/>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(100.1 )</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(100.1 )</w:t>
            </w: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(1.5 )</w:t>
            </w:r>
          </w:p>
        </w:tc>
        <w:tc>
          <w:tcPr>
            <w:tcW w:w="28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transactions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117,725,183</w:t>
            </w:r>
          </w:p>
        </w:tc>
        <w:tc>
          <w:tcPr>
            <w:tcW w:w="12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3,411.0</w:t>
            </w: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3,450.8</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(437.8 )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(4,058.9 )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25,653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w:t>
            </w: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(68.3 )</w:t>
            </w: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(68.3 )</w:t>
            </w:r>
          </w:p>
        </w:tc>
        <w:tc>
          <w:tcPr>
            <w:tcW w:w="0" w:type="dxa"/>
            <w:vAlign w:val="bottom"/>
          </w:tcPr>
          <w:p>
            <w:pPr>
              <w:spacing w:after="0"/>
              <w:rPr>
                <w:sz w:val="1"/>
                <w:szCs w:val="1"/>
                <w:color w:val="auto"/>
              </w:rPr>
            </w:pPr>
          </w:p>
        </w:tc>
      </w:tr>
      <w:tr>
        <w:trPr>
          <w:trHeight w:val="176"/>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(1.5 )</w:t>
            </w:r>
          </w:p>
        </w:tc>
        <w:tc>
          <w:tcPr>
            <w:tcW w:w="28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transactions</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117,750,836</w:t>
            </w:r>
          </w:p>
        </w:tc>
        <w:tc>
          <w:tcPr>
            <w:tcW w:w="12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3,423.1</w:t>
            </w: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3,494.1</w:t>
            </w: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(422.3 )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(4,109.0 )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4"/>
                <w:szCs w:val="14"/>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(22.3 )</w:t>
            </w: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transactions</w:t>
            </w:r>
          </w:p>
        </w:tc>
        <w:tc>
          <w:tcPr>
            <w:tcW w:w="8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117,758,023</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3,591.8</w:t>
            </w: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(444.6 )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(4,109.0 )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5"/>
                <w:szCs w:val="15"/>
                <w:color w:val="auto"/>
              </w:rPr>
            </w:pP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-2099310</wp:posOffset>
            </wp:positionV>
            <wp:extent cx="7683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-2099310</wp:posOffset>
            </wp:positionV>
            <wp:extent cx="7683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-2099310</wp:posOffset>
            </wp:positionV>
            <wp:extent cx="7747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-2099310</wp:posOffset>
            </wp:positionV>
            <wp:extent cx="6858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-2099310</wp:posOffset>
            </wp:positionV>
            <wp:extent cx="6858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-2099310</wp:posOffset>
            </wp:positionV>
            <wp:extent cx="6858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-2099310</wp:posOffset>
            </wp:positionV>
            <wp:extent cx="6858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-1002030</wp:posOffset>
            </wp:positionV>
            <wp:extent cx="7683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-1002030</wp:posOffset>
            </wp:positionV>
            <wp:extent cx="7683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-1002030</wp:posOffset>
            </wp:positionV>
            <wp:extent cx="7747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-1002030</wp:posOffset>
            </wp:positionV>
            <wp:extent cx="6858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-1002030</wp:posOffset>
            </wp:positionV>
            <wp:extent cx="6858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-1002030</wp:posOffset>
            </wp:positionV>
            <wp:extent cx="6858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-1002030</wp:posOffset>
            </wp:positionV>
            <wp:extent cx="6858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 w:name="page9"/>
    <w:bookmarkEnd w:id="8"/>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5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14"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2021 Annual Report on Form 10-K.</w:t>
      </w:r>
    </w:p>
    <w:p>
      <w:pPr>
        <w:spacing w:after="0" w:line="150" w:lineRule="exact"/>
        <w:rPr>
          <w:sz w:val="20"/>
          <w:szCs w:val="20"/>
          <w:color w:val="auto"/>
        </w:rPr>
      </w:pPr>
    </w:p>
    <w:p>
      <w:pPr>
        <w:ind w:right="300"/>
        <w:spacing w:after="0" w:line="329"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227"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 rollforward of our allowance for doubtful accounts is shown below:</w:t>
            </w: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96"/>
        </w:trPr>
        <w:tc>
          <w:tcPr>
            <w:tcW w:w="8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09"/>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charged to earnings</w:t>
            </w:r>
          </w:p>
        </w:tc>
        <w:tc>
          <w:tcPr>
            <w:tcW w:w="280" w:type="dxa"/>
            <w:vAlign w:val="bottom"/>
          </w:tcPr>
          <w:p>
            <w:pPr>
              <w:spacing w:after="0"/>
              <w:rPr>
                <w:sz w:val="18"/>
                <w:szCs w:val="18"/>
                <w:color w:val="auto"/>
              </w:rPr>
            </w:pPr>
          </w:p>
        </w:tc>
        <w:tc>
          <w:tcPr>
            <w:tcW w:w="2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50"/>
        </w:trPr>
        <w:tc>
          <w:tcPr>
            <w:tcW w:w="8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107.7</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14" w:lineRule="exact"/>
        <w:rPr>
          <w:sz w:val="20"/>
          <w:szCs w:val="20"/>
          <w:color w:val="auto"/>
        </w:rPr>
      </w:pPr>
    </w:p>
    <w:p>
      <w:pPr>
        <w:jc w:val="both"/>
        <w:ind w:right="220"/>
        <w:spacing w:after="0" w:line="30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54"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Lease expenses for operating leases are recognized on a straight-line basis over the lease term and recorded in selling and administrative expenses on the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14" w:lineRule="exact"/>
        <w:rPr>
          <w:sz w:val="20"/>
          <w:szCs w:val="20"/>
          <w:color w:val="auto"/>
        </w:rPr>
      </w:pPr>
    </w:p>
    <w:p>
      <w:pPr>
        <w:ind w:right="400"/>
        <w:spacing w:after="0" w:line="305" w:lineRule="auto"/>
        <w:rPr>
          <w:sz w:val="20"/>
          <w:szCs w:val="20"/>
          <w:color w:val="auto"/>
        </w:rPr>
      </w:pPr>
      <w:r>
        <w:rPr>
          <w:rFonts w:ascii="Times New Roman" w:cs="Times New Roman" w:eastAsia="Times New Roman" w:hAnsi="Times New Roman"/>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50"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We performed our annual impairment test of our goodwill and indefinite-lived intangible assets during the third quarter of 2022 and determined that there was no impairment of our goodwill or indefinite-lived intangible assets.</w:t>
      </w:r>
    </w:p>
    <w:p>
      <w:pPr>
        <w:spacing w:after="0" w:line="135" w:lineRule="exact"/>
        <w:rPr>
          <w:sz w:val="20"/>
          <w:szCs w:val="20"/>
          <w:color w:val="auto"/>
        </w:rPr>
      </w:pPr>
    </w:p>
    <w:p>
      <w:pPr>
        <w:ind w:right="720"/>
        <w:spacing w:after="0" w:line="313" w:lineRule="auto"/>
        <w:rPr>
          <w:sz w:val="20"/>
          <w:szCs w:val="20"/>
          <w:color w:val="auto"/>
        </w:rPr>
      </w:pPr>
      <w:r>
        <w:rPr>
          <w:rFonts w:ascii="Times New Roman" w:cs="Times New Roman" w:eastAsia="Times New Roman" w:hAnsi="Times New Roman"/>
          <w:sz w:val="18"/>
          <w:szCs w:val="18"/>
          <w:color w:val="auto"/>
        </w:rPr>
        <w:t>The table below provides our reporting units' estimated fair values and carrying values, determined as part of our annual goodwill impairment test performed in the third quarter, representing approximately 85% of our consolidated goodwill balance as of September 30,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Netherlands</w:t>
            </w:r>
          </w:p>
        </w:tc>
        <w:tc>
          <w:tcPr>
            <w:tcW w:w="320" w:type="dxa"/>
            <w:vAlign w:val="bottom"/>
          </w:tcPr>
          <w:p>
            <w:pPr>
              <w:spacing w:after="0"/>
              <w:rPr>
                <w:sz w:val="20"/>
                <w:szCs w:val="20"/>
                <w:color w:val="auto"/>
              </w:rPr>
            </w:pPr>
          </w:p>
        </w:tc>
      </w:tr>
      <w:tr>
        <w:trPr>
          <w:trHeight w:val="209"/>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fair values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20" w:type="dxa"/>
            <w:vAlign w:val="bottom"/>
            <w:shd w:val="clear" w:color="auto" w:fill="CFF0FC"/>
          </w:tcPr>
          <w:p>
            <w:pPr>
              <w:spacing w:after="0"/>
              <w:rPr>
                <w:sz w:val="18"/>
                <w:szCs w:val="18"/>
                <w:color w:val="auto"/>
              </w:rPr>
            </w:pPr>
          </w:p>
        </w:tc>
      </w:tr>
      <w:tr>
        <w:trPr>
          <w:trHeight w:val="40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values</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20" w:type="dxa"/>
            <w:vAlign w:val="bottom"/>
          </w:tcPr>
          <w:p>
            <w:pPr>
              <w:spacing w:after="0"/>
              <w:rPr>
                <w:sz w:val="24"/>
                <w:szCs w:val="24"/>
                <w:color w:val="auto"/>
              </w:rPr>
            </w:pPr>
          </w:p>
        </w:tc>
      </w:tr>
    </w:tbl>
    <w:p>
      <w:pPr>
        <w:spacing w:after="0" w:line="17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8"/>
          <w:szCs w:val="18"/>
          <w:color w:val="auto"/>
        </w:rPr>
        <w:t>The fair value of each reporting unit at the time of our annual impairment test was at least 20% in excess of the respective reporting unit’s carrying value with the exception of the Netherlands reporting unit, which is part of the Northern Europe segment. The Netherlands reporting unit had a fair value that approximated its carrying value. Key assumptions included in the Netherlands discounted cash flow valuation performed during the third quarter of 2022 included a discount rate of 12.5%, revenue growth for the next 10 years ranging from 3.0% to 8.4%, a terminal value revenue growth rate of 2.0%, and a terminal value OUP margin of 4.0%. Management continues to closely monitor the results of the reporting unit and comparisons to the key assumptions used in our fair value estimate, in addition to operational initiatives and macroeconomic conditions, which may impact the results of the reporting unit. The performance of the Netherlands reporting unit and the potential for future developments in the global economic environment, including the prospect of higher interest rates, introduces a heightened risk for impairment in the Netherlands reporting unit. If the Netherlands reporting unit cannot improve from its current operating levels and meet its operating targets to achieve the growth and margin assumptions noted above, or if there is deterioration in the market due to macroeconomic conditions, some or all of the recorded goodwill for the Netherlands reporting unit, which was $96.8 as of September 30, 2022, could be subject to impairment.</w:t>
      </w:r>
    </w:p>
    <w:p>
      <w:pPr>
        <w:spacing w:after="0" w:line="155" w:lineRule="exact"/>
        <w:rPr>
          <w:sz w:val="20"/>
          <w:szCs w:val="20"/>
          <w:color w:val="auto"/>
        </w:rPr>
      </w:pPr>
    </w:p>
    <w:p>
      <w:pPr>
        <w:ind w:right="340"/>
        <w:spacing w:after="0" w:line="305" w:lineRule="auto"/>
        <w:rPr>
          <w:sz w:val="20"/>
          <w:szCs w:val="20"/>
          <w:color w:val="auto"/>
        </w:rPr>
      </w:pPr>
      <w:r>
        <w:rPr>
          <w:rFonts w:ascii="Times New Roman" w:cs="Times New Roman" w:eastAsia="Times New Roman" w:hAnsi="Times New Roman"/>
          <w:sz w:val="18"/>
          <w:szCs w:val="18"/>
          <w:color w:val="auto"/>
        </w:rPr>
        <w:t>While our other reporting units' fair values exceeded 20% or more of their respective carrying values, there could be significant further decreases in the operating results of our reporting units for a sustained period, which may result in a recognition of goodwill impairment that could be material to the Consolidated Financial Statements.</w:t>
      </w:r>
    </w:p>
    <w:p>
      <w:pPr>
        <w:spacing w:after="0" w:line="1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Standards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Effective as of January 1, 2022</w:t>
      </w:r>
    </w:p>
    <w:p>
      <w:pPr>
        <w:spacing w:after="0" w:line="227"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8"/>
          <w:szCs w:val="18"/>
          <w:color w:val="auto"/>
        </w:rPr>
        <w:t>In November 2021, the FASB issued new guidance on disclosures by business entities about government assistance. The guidance requires business entities to disclose, in notes to their financial statements, information about certain types of government assistance they receive. The new guidance was effective for us as of January 1, 2022. The adoption of this guidance had no impact on our Consolidated Financial Statements.</w:t>
      </w:r>
    </w:p>
    <w:p>
      <w:pPr>
        <w:spacing w:after="0" w:line="12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2022. The adoption of this guidance has not had any impact on our Consolidated Financial Statements, and we do not expect it to have a material impact going forward.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14"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is effective for us as of January 1, 2023. We do not expect the adoption of this guidance to have a material impact on our Consolidated Financial Statements.</w:t>
      </w:r>
    </w:p>
    <w:p>
      <w:pPr>
        <w:spacing w:after="0" w:line="133"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35"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2022, related to remaining performance obligations, which are not material.</w:t>
      </w:r>
    </w:p>
    <w:p>
      <w:pPr>
        <w:spacing w:after="0" w:line="14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revenue was $27.4 as of September 30, 2022 and $34.8 as of December 31, 2021.</w:t>
      </w:r>
    </w:p>
    <w:p>
      <w:pPr>
        <w:spacing w:after="0" w:line="225"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In the following table, revenue is disaggregated by service types for each of our reportable segments. See Note 2 to the Consolidated Financial Statements in our 2021 Annual Report on Form 10-K for descriptions of revenue service types.</w:t>
      </w:r>
    </w:p>
    <w:p>
      <w:pPr>
        <w:spacing w:after="0" w:line="128" w:lineRule="exact"/>
        <w:rPr>
          <w:sz w:val="20"/>
          <w:szCs w:val="20"/>
          <w:color w:val="auto"/>
        </w:rPr>
      </w:pPr>
    </w:p>
    <w:p>
      <w:pPr>
        <w:jc w:val="center"/>
        <w:ind w:left="1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16510</wp:posOffset>
            </wp:positionV>
            <wp:extent cx="6026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35" w:lineRule="exact"/>
        <w:rPr>
          <w:sz w:val="20"/>
          <w:szCs w:val="20"/>
          <w:color w:val="auto"/>
        </w:rPr>
      </w:pPr>
    </w:p>
    <w:p>
      <w:pPr>
        <w:ind w:left="3940"/>
        <w:spacing w:after="0"/>
        <w:tabs>
          <w:tab w:leader="none" w:pos="87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ectPr>
          <w:pgSz w:w="11900" w:h="16838" w:orient="portrait"/>
          <w:cols w:equalWidth="0" w:num="1">
            <w:col w:w="11240"/>
          </w:cols>
          <w:pgMar w:left="320" w:top="524" w:right="339" w:bottom="1440" w:gutter="0" w:footer="0" w:header="0"/>
        </w:sectPr>
      </w:pPr>
    </w:p>
    <w:p>
      <w:pPr>
        <w:spacing w:after="0" w:line="26" w:lineRule="exact"/>
        <w:rPr>
          <w:sz w:val="20"/>
          <w:szCs w:val="20"/>
          <w:color w:val="auto"/>
        </w:rPr>
      </w:pPr>
    </w:p>
    <w:tbl>
      <w:tblPr>
        <w:tblLayout w:type="fixed"/>
        <w:tblInd w:w="1740" w:type="dxa"/>
        <w:tblCellMar>
          <w:top w:w="0" w:type="dxa"/>
          <w:left w:w="0" w:type="dxa"/>
          <w:bottom w:w="0" w:type="dxa"/>
          <w:right w:w="0" w:type="dxa"/>
        </w:tblCellMar>
      </w:tblPr>
      <w:tr>
        <w:trPr>
          <w:trHeight w:val="133"/>
        </w:trPr>
        <w:tc>
          <w:tcPr>
            <w:tcW w:w="8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Outcome-</w:t>
            </w:r>
          </w:p>
        </w:tc>
        <w:tc>
          <w:tcPr>
            <w:tcW w:w="1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Staffing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Based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0" w:type="dxa"/>
            <w:vAlign w:val="bottom"/>
            <w:vMerge w:val="continue"/>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Solutions</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Permanent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0" w:type="dxa"/>
            <w:vAlign w:val="bottom"/>
          </w:tcPr>
          <w:p>
            <w:pPr>
              <w:jc w:val="center"/>
              <w:ind w:right="8"/>
              <w:spacing w:after="0" w:line="153" w:lineRule="exact"/>
              <w:rPr>
                <w:sz w:val="20"/>
                <w:szCs w:val="20"/>
                <w:color w:val="auto"/>
              </w:rPr>
            </w:pPr>
            <w:r>
              <w:rPr>
                <w:rFonts w:ascii="Times New Roman" w:cs="Times New Roman" w:eastAsia="Times New Roman" w:hAnsi="Times New Roman"/>
                <w:sz w:val="14"/>
                <w:szCs w:val="14"/>
                <w:color w:val="auto"/>
                <w:w w:val="98"/>
              </w:rPr>
              <w:t>and</w:t>
            </w:r>
          </w:p>
        </w:tc>
        <w:tc>
          <w:tcPr>
            <w:tcW w:w="10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8"/>
              </w:rPr>
              <w:t>and</w:t>
            </w:r>
          </w:p>
        </w:tc>
        <w:tc>
          <w:tcPr>
            <w:tcW w:w="1120" w:type="dxa"/>
            <w:vAlign w:val="bottom"/>
            <w:vMerge w:val="continue"/>
          </w:tcPr>
          <w:p>
            <w:pPr>
              <w:spacing w:after="0"/>
              <w:rPr>
                <w:sz w:val="13"/>
                <w:szCs w:val="13"/>
                <w:color w:val="auto"/>
              </w:rPr>
            </w:pP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Interim</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Consulting</w:t>
            </w: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Recruitment</w:t>
            </w: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7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Outcome-</w:t>
            </w:r>
          </w:p>
        </w:tc>
        <w:tc>
          <w:tcPr>
            <w:tcW w:w="10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Staffing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Based</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Solutions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Permanent</w:t>
            </w: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Pr>
          <w:p>
            <w:pPr>
              <w:jc w:val="center"/>
              <w:ind w:right="8"/>
              <w:spacing w:after="0" w:line="153" w:lineRule="exact"/>
              <w:rPr>
                <w:sz w:val="20"/>
                <w:szCs w:val="20"/>
                <w:color w:val="auto"/>
              </w:rPr>
            </w:pPr>
            <w:r>
              <w:rPr>
                <w:rFonts w:ascii="Times New Roman" w:cs="Times New Roman" w:eastAsia="Times New Roman" w:hAnsi="Times New Roman"/>
                <w:sz w:val="14"/>
                <w:szCs w:val="14"/>
                <w:color w:val="auto"/>
                <w:w w:val="98"/>
              </w:rPr>
              <w:t>and</w:t>
            </w:r>
          </w:p>
        </w:tc>
        <w:tc>
          <w:tcPr>
            <w:tcW w:w="9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and</w:t>
            </w:r>
          </w:p>
        </w:tc>
        <w:tc>
          <w:tcPr>
            <w:tcW w:w="1060" w:type="dxa"/>
            <w:vAlign w:val="bottom"/>
            <w:vMerge w:val="continue"/>
          </w:tcPr>
          <w:p>
            <w:pPr>
              <w:spacing w:after="0"/>
              <w:rPr>
                <w:sz w:val="13"/>
                <w:szCs w:val="13"/>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Interim</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Consulting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Recruitment</w:t>
            </w:r>
          </w:p>
        </w:tc>
        <w:tc>
          <w:tcPr>
            <w:tcW w:w="8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520" w:space="120"/>
            <w:col w:w="4600"/>
          </w:cols>
          <w:pgMar w:left="320" w:top="524"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7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r>
      <w:tr>
        <w:trPr>
          <w:trHeight w:val="175"/>
        </w:trPr>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730.2</w:t>
            </w:r>
          </w:p>
        </w:tc>
        <w:tc>
          <w:tcPr>
            <w:tcW w:w="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64.6</w:t>
            </w: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54.4</w:t>
            </w:r>
          </w:p>
        </w:tc>
        <w:tc>
          <w:tcPr>
            <w:tcW w:w="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37.4</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525.0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46.1</w:t>
            </w: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33.4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644.9</w:t>
            </w:r>
          </w:p>
        </w:tc>
      </w:tr>
      <w:tr>
        <w:trPr>
          <w:trHeight w:val="176"/>
        </w:trPr>
        <w:tc>
          <w:tcPr>
            <w:tcW w:w="1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325.5</w:t>
            </w:r>
          </w:p>
        </w:tc>
        <w:tc>
          <w:tcPr>
            <w:tcW w:w="3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4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353.2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328.8</w:t>
            </w:r>
          </w:p>
        </w:tc>
        <w:tc>
          <w:tcPr>
            <w:tcW w:w="3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3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352.7</w:t>
            </w:r>
          </w:p>
        </w:tc>
      </w:tr>
      <w:tr>
        <w:trPr>
          <w:trHeight w:val="169"/>
        </w:trPr>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1,055.7</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77.6</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67.4</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39.1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1,239.8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853.8</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35.0</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997.6</w:t>
            </w:r>
          </w:p>
        </w:tc>
      </w:tr>
      <w:tr>
        <w:trPr>
          <w:trHeight w:val="16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r>
      <w:tr>
        <w:trPr>
          <w:trHeight w:val="175"/>
        </w:trPr>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8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1,071.8</w:t>
            </w:r>
          </w:p>
        </w:tc>
        <w:tc>
          <w:tcPr>
            <w:tcW w:w="3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61.9</w:t>
            </w:r>
          </w:p>
        </w:tc>
        <w:tc>
          <w:tcPr>
            <w:tcW w:w="40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40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1,220.0</w:t>
            </w:r>
          </w:p>
        </w:tc>
        <w:tc>
          <w:tcPr>
            <w:tcW w:w="3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79.6</w:t>
            </w:r>
          </w:p>
        </w:tc>
        <w:tc>
          <w:tcPr>
            <w:tcW w:w="36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w:t>
            </w:r>
          </w:p>
        </w:tc>
        <w:tc>
          <w:tcPr>
            <w:tcW w:w="320" w:type="dxa"/>
            <w:vAlign w:val="bottom"/>
          </w:tcPr>
          <w:p>
            <w:pPr>
              <w:spacing w:after="0"/>
              <w:rPr>
                <w:sz w:val="15"/>
                <w:szCs w:val="15"/>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1,317.0</w:t>
            </w:r>
          </w:p>
        </w:tc>
      </w:tr>
      <w:tr>
        <w:trPr>
          <w:trHeight w:val="175"/>
        </w:trPr>
        <w:tc>
          <w:tcPr>
            <w:tcW w:w="1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372.8</w:t>
            </w:r>
          </w:p>
        </w:tc>
        <w:tc>
          <w:tcPr>
            <w:tcW w:w="3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395.1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432.4</w:t>
            </w: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32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456.4</w:t>
            </w:r>
          </w:p>
        </w:tc>
      </w:tr>
      <w:tr>
        <w:trPr>
          <w:trHeight w:val="175"/>
        </w:trPr>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390.8</w:t>
            </w: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485.2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501.8</w:t>
            </w: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90.6</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609.2</w:t>
            </w:r>
          </w:p>
        </w:tc>
      </w:tr>
      <w:tr>
        <w:trPr>
          <w:trHeight w:val="169"/>
        </w:trPr>
        <w:tc>
          <w:tcPr>
            <w:tcW w:w="17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1,835.4</w:t>
            </w:r>
          </w:p>
        </w:tc>
        <w:tc>
          <w:tcPr>
            <w:tcW w:w="3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145.6</w:t>
            </w:r>
          </w:p>
        </w:tc>
        <w:tc>
          <w:tcPr>
            <w:tcW w:w="4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4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2,039.8</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2,154.2</w:t>
            </w:r>
          </w:p>
        </w:tc>
        <w:tc>
          <w:tcPr>
            <w:tcW w:w="3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178.9</w:t>
            </w:r>
          </w:p>
        </w:tc>
        <w:tc>
          <w:tcPr>
            <w:tcW w:w="3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37.7</w:t>
            </w:r>
          </w:p>
        </w:tc>
        <w:tc>
          <w:tcPr>
            <w:tcW w:w="3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2,382.6</w:t>
            </w:r>
          </w:p>
        </w:tc>
      </w:tr>
      <w:tr>
        <w:trPr>
          <w:trHeight w:val="16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840.1</w:t>
            </w:r>
          </w:p>
        </w:tc>
        <w:tc>
          <w:tcPr>
            <w:tcW w:w="3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42.9</w:t>
            </w:r>
          </w:p>
        </w:tc>
        <w:tc>
          <w:tcPr>
            <w:tcW w:w="4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19.8</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954.1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1,049.3</w:t>
            </w:r>
          </w:p>
        </w:tc>
        <w:tc>
          <w:tcPr>
            <w:tcW w:w="34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62.4</w:t>
            </w:r>
          </w:p>
        </w:tc>
        <w:tc>
          <w:tcPr>
            <w:tcW w:w="36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37.0</w:t>
            </w:r>
          </w:p>
        </w:tc>
        <w:tc>
          <w:tcPr>
            <w:tcW w:w="32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1,166.6</w:t>
            </w:r>
          </w:p>
        </w:tc>
      </w:tr>
      <w:tr>
        <w:trPr>
          <w:trHeight w:val="176"/>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447.8</w:t>
            </w:r>
          </w:p>
        </w:tc>
        <w:tc>
          <w:tcPr>
            <w:tcW w:w="3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91.8</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38.0</w:t>
            </w:r>
          </w:p>
        </w:tc>
        <w:tc>
          <w:tcPr>
            <w:tcW w:w="4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9.3</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586.9</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461.2</w:t>
            </w:r>
          </w:p>
        </w:tc>
        <w:tc>
          <w:tcPr>
            <w:tcW w:w="3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103.7</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36.0</w:t>
            </w:r>
          </w:p>
        </w:tc>
        <w:tc>
          <w:tcPr>
            <w:tcW w:w="3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10.3</w:t>
            </w:r>
          </w:p>
        </w:tc>
        <w:tc>
          <w:tcPr>
            <w:tcW w:w="2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611.2</w:t>
            </w:r>
          </w:p>
        </w:tc>
      </w:tr>
      <w:tr>
        <w:trPr>
          <w:trHeight w:val="169"/>
        </w:trPr>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4,179.0</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366.3</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187.6</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87.7</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4,820.6</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4,518.5</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403.7</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160.8</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75.0</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5,158.0</w:t>
            </w:r>
          </w:p>
        </w:tc>
      </w:tr>
      <w:tr>
        <w:trPr>
          <w:trHeight w:val="169"/>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(17.4 )</w:t>
            </w:r>
          </w:p>
        </w:tc>
      </w:tr>
      <w:tr>
        <w:trPr>
          <w:trHeight w:val="16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4,800.9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5,140.6</w:t>
            </w:r>
          </w:p>
        </w:tc>
      </w:tr>
      <w:tr>
        <w:trPr>
          <w:trHeight w:val="20"/>
        </w:trPr>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-1310640</wp:posOffset>
            </wp:positionV>
            <wp:extent cx="6858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-616585</wp:posOffset>
            </wp:positionV>
            <wp:extent cx="6858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-384810</wp:posOffset>
            </wp:positionV>
            <wp:extent cx="6858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-144780</wp:posOffset>
            </wp:positionV>
            <wp:extent cx="6858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7"/>
        </w:trPr>
        <w:tc>
          <w:tcPr>
            <w:tcW w:w="1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0"/>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ind w:right="8"/>
              <w:spacing w:after="0" w:line="133" w:lineRule="exact"/>
              <w:rPr>
                <w:sz w:val="20"/>
                <w:szCs w:val="20"/>
                <w:color w:val="auto"/>
              </w:rPr>
            </w:pPr>
            <w:r>
              <w:rPr>
                <w:rFonts w:ascii="Times New Roman" w:cs="Times New Roman" w:eastAsia="Times New Roman" w:hAnsi="Times New Roman"/>
                <w:sz w:val="14"/>
                <w:szCs w:val="14"/>
                <w:color w:val="auto"/>
              </w:rPr>
              <w:t>Outcome-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Outcome-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Staffing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Based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Staffing</w:t>
            </w:r>
          </w:p>
        </w:tc>
        <w:tc>
          <w:tcPr>
            <w:tcW w:w="10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Based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Solutions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color w:val="auto"/>
                <w:w w:val="98"/>
              </w:rPr>
              <w:t>and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and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8"/>
              <w:spacing w:after="0" w:line="158" w:lineRule="exact"/>
              <w:rPr>
                <w:sz w:val="20"/>
                <w:szCs w:val="20"/>
                <w:color w:val="auto"/>
              </w:rPr>
            </w:pPr>
            <w:r>
              <w:rPr>
                <w:rFonts w:ascii="Times New Roman" w:cs="Times New Roman" w:eastAsia="Times New Roman" w:hAnsi="Times New Roman"/>
                <w:sz w:val="14"/>
                <w:szCs w:val="14"/>
                <w:color w:val="auto"/>
              </w:rPr>
              <w:t>Permanent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3"/>
                <w:szCs w:val="13"/>
                <w:color w:val="auto"/>
              </w:rPr>
            </w:pPr>
          </w:p>
        </w:tc>
        <w:tc>
          <w:tcPr>
            <w:tcW w:w="800" w:type="dxa"/>
            <w:vAlign w:val="bottom"/>
            <w:gridSpan w:val="3"/>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and</w:t>
            </w:r>
          </w:p>
        </w:tc>
        <w:tc>
          <w:tcPr>
            <w:tcW w:w="100" w:type="dxa"/>
            <w:vAlign w:val="bottom"/>
          </w:tcPr>
          <w:p>
            <w:pPr>
              <w:spacing w:after="0"/>
              <w:rPr>
                <w:sz w:val="13"/>
                <w:szCs w:val="13"/>
                <w:color w:val="auto"/>
              </w:rPr>
            </w:pPr>
          </w:p>
        </w:tc>
        <w:tc>
          <w:tcPr>
            <w:tcW w:w="62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and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ind w:right="8"/>
              <w:spacing w:after="0" w:line="158" w:lineRule="exact"/>
              <w:rPr>
                <w:sz w:val="20"/>
                <w:szCs w:val="20"/>
                <w:color w:val="auto"/>
              </w:rPr>
            </w:pPr>
            <w:r>
              <w:rPr>
                <w:rFonts w:ascii="Times New Roman" w:cs="Times New Roman" w:eastAsia="Times New Roman" w:hAnsi="Times New Roman"/>
                <w:sz w:val="14"/>
                <w:szCs w:val="14"/>
                <w:color w:val="auto"/>
              </w:rPr>
              <w:t>Permanent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Interim</w:t>
            </w:r>
          </w:p>
        </w:tc>
        <w:tc>
          <w:tcPr>
            <w:tcW w:w="120" w:type="dxa"/>
            <w:vAlign w:val="bottom"/>
          </w:tcPr>
          <w:p>
            <w:pPr>
              <w:spacing w:after="0"/>
              <w:rPr>
                <w:sz w:val="16"/>
                <w:szCs w:val="16"/>
                <w:color w:val="auto"/>
              </w:rPr>
            </w:pP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Consulting</w:t>
            </w: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Recruitment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Interim</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Consulting</w:t>
            </w:r>
          </w:p>
        </w:tc>
        <w:tc>
          <w:tcPr>
            <w:tcW w:w="120" w:type="dxa"/>
            <w:vAlign w:val="bottom"/>
          </w:tcPr>
          <w:p>
            <w:pPr>
              <w:spacing w:after="0"/>
              <w:rPr>
                <w:sz w:val="16"/>
                <w:szCs w:val="16"/>
                <w:color w:val="auto"/>
              </w:rPr>
            </w:pPr>
          </w:p>
        </w:tc>
        <w:tc>
          <w:tcPr>
            <w:tcW w:w="8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Recruitment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2,679.9</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994.3</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6,435.1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6,260.6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551.8</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6,965.3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1,366.5</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304.2</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1,858.5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13,066.0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1,166.8</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15,073.3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13,463.4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1,191.7</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-1311275</wp:posOffset>
            </wp:positionV>
            <wp:extent cx="7683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-1311275</wp:posOffset>
            </wp:positionV>
            <wp:extent cx="7683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-1311275</wp:posOffset>
            </wp:positionV>
            <wp:extent cx="7683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-1311275</wp:posOffset>
            </wp:positionV>
            <wp:extent cx="6858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-1311275</wp:posOffset>
            </wp:positionV>
            <wp:extent cx="6858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-1311275</wp:posOffset>
            </wp:positionV>
            <wp:extent cx="6858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-1311275</wp:posOffset>
            </wp:positionV>
            <wp:extent cx="6858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-1311275</wp:posOffset>
            </wp:positionV>
            <wp:extent cx="6858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-1311275</wp:posOffset>
            </wp:positionV>
            <wp:extent cx="6858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-616585</wp:posOffset>
            </wp:positionV>
            <wp:extent cx="7683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-616585</wp:posOffset>
            </wp:positionV>
            <wp:extent cx="76835"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-616585</wp:posOffset>
            </wp:positionV>
            <wp:extent cx="7683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-616585</wp:posOffset>
            </wp:positionV>
            <wp:extent cx="6858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-616585</wp:posOffset>
            </wp:positionV>
            <wp:extent cx="6858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-616585</wp:posOffset>
            </wp:positionV>
            <wp:extent cx="6858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-616585</wp:posOffset>
            </wp:positionV>
            <wp:extent cx="6858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-616585</wp:posOffset>
            </wp:positionV>
            <wp:extent cx="6858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-616585</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-385445</wp:posOffset>
            </wp:positionV>
            <wp:extent cx="7683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-385445</wp:posOffset>
            </wp:positionV>
            <wp:extent cx="7683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-385445</wp:posOffset>
            </wp:positionV>
            <wp:extent cx="7683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-385445</wp:posOffset>
            </wp:positionV>
            <wp:extent cx="6858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-385445</wp:posOffset>
            </wp:positionV>
            <wp:extent cx="6858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-385445</wp:posOffset>
            </wp:positionV>
            <wp:extent cx="6858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-385445</wp:posOffset>
            </wp:positionV>
            <wp:extent cx="6858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-385445</wp:posOffset>
            </wp:positionV>
            <wp:extent cx="6858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-385445</wp:posOffset>
            </wp:positionV>
            <wp:extent cx="6858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-145415</wp:posOffset>
            </wp:positionV>
            <wp:extent cx="6858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table, revenue is disaggregated by timing of revenue recognition for each of our reportable segments:</w:t>
      </w:r>
    </w:p>
    <w:p>
      <w:pPr>
        <w:spacing w:after="0" w:line="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5080</wp:posOffset>
            </wp:positionV>
            <wp:extent cx="5469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69255" cy="8890"/>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5" w:lineRule="exact"/>
        <w:rPr>
          <w:sz w:val="20"/>
          <w:szCs w:val="20"/>
          <w:color w:val="auto"/>
        </w:rPr>
      </w:pPr>
    </w:p>
    <w:tbl>
      <w:tblPr>
        <w:tblLayout w:type="fixed"/>
        <w:tblInd w:w="2620" w:type="dxa"/>
        <w:tblCellMar>
          <w:top w:w="0" w:type="dxa"/>
          <w:left w:w="0" w:type="dxa"/>
          <w:bottom w:w="0" w:type="dxa"/>
          <w:right w:w="0" w:type="dxa"/>
        </w:tblCellMar>
      </w:tblPr>
      <w:tr>
        <w:trPr>
          <w:trHeight w:val="133"/>
        </w:trPr>
        <w:tc>
          <w:tcPr>
            <w:tcW w:w="1360" w:type="dxa"/>
            <w:vAlign w:val="bottom"/>
            <w:tcBorders>
              <w:top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tcBorders>
              <w:top w:val="single" w:sz="8" w:color="auto"/>
            </w:tcBorders>
          </w:tcPr>
          <w:p>
            <w:pPr>
              <w:jc w:val="center"/>
              <w:ind w:right="8"/>
              <w:spacing w:after="0" w:line="133" w:lineRule="exact"/>
              <w:rPr>
                <w:sz w:val="20"/>
                <w:szCs w:val="20"/>
                <w:color w:val="auto"/>
              </w:rPr>
            </w:pPr>
            <w:r>
              <w:rPr>
                <w:rFonts w:ascii="Times New Roman" w:cs="Times New Roman" w:eastAsia="Times New Roman" w:hAnsi="Times New Roman"/>
                <w:sz w:val="14"/>
                <w:szCs w:val="14"/>
                <w:color w:val="auto"/>
              </w:rPr>
              <w:t>Services</w:t>
            </w:r>
          </w:p>
        </w:tc>
        <w:tc>
          <w:tcPr>
            <w:tcW w:w="13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15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transferred</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transferred</w:t>
            </w: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at a point</w:t>
            </w:r>
          </w:p>
        </w:tc>
        <w:tc>
          <w:tcPr>
            <w:tcW w:w="13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13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over time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time</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20" w:type="dxa"/>
            <w:vAlign w:val="bottom"/>
            <w:tcBorders>
              <w:top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tcBorders>
              <w:top w:val="single" w:sz="8" w:color="auto"/>
            </w:tcBorders>
          </w:tcPr>
          <w:p>
            <w:pPr>
              <w:jc w:val="center"/>
              <w:ind w:right="28"/>
              <w:spacing w:after="0" w:line="133" w:lineRule="exact"/>
              <w:rPr>
                <w:sz w:val="20"/>
                <w:szCs w:val="20"/>
                <w:color w:val="auto"/>
              </w:rPr>
            </w:pPr>
            <w:r>
              <w:rPr>
                <w:rFonts w:ascii="Times New Roman" w:cs="Times New Roman" w:eastAsia="Times New Roman" w:hAnsi="Times New Roman"/>
                <w:sz w:val="14"/>
                <w:szCs w:val="14"/>
                <w:color w:val="auto"/>
              </w:rPr>
              <w:t>Services</w:t>
            </w:r>
          </w:p>
        </w:tc>
        <w:tc>
          <w:tcPr>
            <w:tcW w:w="1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vMerge w:val="continue"/>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transferred</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transferred</w:t>
            </w:r>
          </w:p>
        </w:tc>
        <w:tc>
          <w:tcPr>
            <w:tcW w:w="15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at a point</w:t>
            </w:r>
          </w:p>
        </w:tc>
        <w:tc>
          <w:tcPr>
            <w:tcW w:w="14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13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over time</w:t>
            </w:r>
          </w:p>
        </w:tc>
        <w:tc>
          <w:tcPr>
            <w:tcW w:w="15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in time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80" w:space="100"/>
            <w:col w:w="4260"/>
          </w:cols>
          <w:pgMar w:left="320" w:top="574"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6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855.7</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w:t>
            </w:r>
          </w:p>
        </w:tc>
        <w:tc>
          <w:tcPr>
            <w:tcW w:w="100" w:type="dxa"/>
            <w:vAlign w:val="bottom"/>
          </w:tcPr>
          <w:p>
            <w:pPr>
              <w:spacing w:after="0"/>
              <w:rPr>
                <w:sz w:val="15"/>
                <w:szCs w:val="15"/>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2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345.1</w:t>
            </w: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352.7</w:t>
            </w:r>
          </w:p>
        </w:tc>
        <w:tc>
          <w:tcPr>
            <w:tcW w:w="1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1,200.8</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1,239.8</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969.8</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2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1,147.8</w:t>
            </w:r>
          </w:p>
        </w:tc>
        <w:tc>
          <w:tcPr>
            <w:tcW w:w="34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385.0</w:t>
            </w:r>
          </w:p>
        </w:tc>
        <w:tc>
          <w:tcPr>
            <w:tcW w:w="3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472.9</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485.2</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2,005.7</w:t>
            </w: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2,039.8</w:t>
            </w: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2,349.8</w:t>
            </w:r>
          </w:p>
        </w:tc>
        <w:tc>
          <w:tcPr>
            <w:tcW w:w="1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2,382.6</w:t>
            </w:r>
          </w:p>
        </w:tc>
        <w:tc>
          <w:tcPr>
            <w:tcW w:w="1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20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919.4</w:t>
            </w:r>
          </w:p>
        </w:tc>
        <w:tc>
          <w:tcPr>
            <w:tcW w:w="3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2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565.3</w:t>
            </w: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1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4,691.2</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129.4</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4,820.6</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5,045.2</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5,158.0</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Services</w:t>
            </w:r>
          </w:p>
        </w:tc>
        <w:tc>
          <w:tcPr>
            <w:tcW w:w="340" w:type="dxa"/>
            <w:vAlign w:val="bottom"/>
          </w:tcPr>
          <w:p>
            <w:pPr>
              <w:spacing w:after="0"/>
              <w:rPr>
                <w:sz w:val="11"/>
                <w:szCs w:val="11"/>
                <w:color w:val="auto"/>
              </w:rPr>
            </w:pPr>
          </w:p>
        </w:tc>
        <w:tc>
          <w:tcPr>
            <w:tcW w:w="1280" w:type="dxa"/>
            <w:vAlign w:val="bottom"/>
            <w:gridSpan w:val="3"/>
          </w:tcPr>
          <w:p>
            <w:pPr>
              <w:jc w:val="center"/>
              <w:ind w:right="440"/>
              <w:spacing w:after="0" w:line="133" w:lineRule="exact"/>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jc w:val="center"/>
              <w:ind w:right="400"/>
              <w:spacing w:after="0" w:line="133" w:lineRule="exact"/>
              <w:rPr>
                <w:sz w:val="20"/>
                <w:szCs w:val="20"/>
                <w:color w:val="auto"/>
              </w:rPr>
            </w:pPr>
            <w:r>
              <w:rPr>
                <w:rFonts w:ascii="Times New Roman" w:cs="Times New Roman" w:eastAsia="Times New Roman" w:hAnsi="Times New Roman"/>
                <w:sz w:val="14"/>
                <w:szCs w:val="14"/>
                <w:color w:val="auto"/>
              </w:rPr>
              <w:t>Services</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transferred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transferred</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transferred</w:t>
            </w:r>
          </w:p>
        </w:tc>
        <w:tc>
          <w:tcPr>
            <w:tcW w:w="34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w w:val="99"/>
              </w:rPr>
              <w:t>at a point</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transferred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w w:val="99"/>
              </w:rPr>
              <w:t>at a point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over time</w:t>
            </w:r>
          </w:p>
        </w:tc>
        <w:tc>
          <w:tcPr>
            <w:tcW w:w="340" w:type="dxa"/>
            <w:vAlign w:val="bottom"/>
          </w:tcPr>
          <w:p>
            <w:pPr>
              <w:spacing w:after="0"/>
              <w:rPr>
                <w:sz w:val="17"/>
                <w:szCs w:val="17"/>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color w:val="auto"/>
              </w:rPr>
              <w:t>in time</w:t>
            </w:r>
          </w:p>
        </w:tc>
        <w:tc>
          <w:tcPr>
            <w:tcW w:w="180" w:type="dxa"/>
            <w:vAlign w:val="bottom"/>
          </w:tcPr>
          <w:p>
            <w:pPr>
              <w:spacing w:after="0"/>
              <w:rPr>
                <w:sz w:val="17"/>
                <w:szCs w:val="17"/>
                <w:color w:val="auto"/>
              </w:rPr>
            </w:pPr>
          </w:p>
        </w:tc>
        <w:tc>
          <w:tcPr>
            <w:tcW w:w="11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over time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in time</w:t>
            </w:r>
          </w:p>
        </w:tc>
        <w:tc>
          <w:tcPr>
            <w:tcW w:w="300" w:type="dxa"/>
            <w:vAlign w:val="bottom"/>
          </w:tcPr>
          <w:p>
            <w:pPr>
              <w:spacing w:after="0"/>
              <w:rPr>
                <w:sz w:val="17"/>
                <w:szCs w:val="17"/>
                <w:color w:val="auto"/>
              </w:rPr>
            </w:pPr>
          </w:p>
        </w:tc>
        <w:tc>
          <w:tcPr>
            <w:tcW w:w="110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2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2,585.5</w:t>
            </w:r>
          </w:p>
        </w:tc>
        <w:tc>
          <w:tcPr>
            <w:tcW w:w="12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2,679.9</w:t>
            </w:r>
          </w:p>
        </w:tc>
        <w:tc>
          <w:tcPr>
            <w:tcW w:w="100" w:type="dxa"/>
            <w:vAlign w:val="bottom"/>
          </w:tcPr>
          <w:p>
            <w:pPr>
              <w:spacing w:after="0"/>
              <w:rPr>
                <w:sz w:val="15"/>
                <w:szCs w:val="15"/>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1,050.8</w:t>
            </w: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1,147.2</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3,636.3</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2,976.8</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1,258.3</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1,297.9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6,318.6</w:t>
            </w: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6,435.1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6,865.9</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6,965.3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1,742.9</w:t>
            </w: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1,858.5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14,663.1</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15,041.4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2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-3771265</wp:posOffset>
            </wp:positionV>
            <wp:extent cx="6858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-3076575</wp:posOffset>
            </wp:positionV>
            <wp:extent cx="6858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-2845435</wp:posOffset>
            </wp:positionV>
            <wp:extent cx="6858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-2605405</wp:posOffset>
            </wp:positionV>
            <wp:extent cx="6858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-1310640</wp:posOffset>
            </wp:positionV>
            <wp:extent cx="7683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-1310640</wp:posOffset>
            </wp:positionV>
            <wp:extent cx="7683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-1310640</wp:posOffset>
            </wp:positionV>
            <wp:extent cx="6858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-1310640</wp:posOffset>
            </wp:positionV>
            <wp:extent cx="6858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-1310640</wp:posOffset>
            </wp:positionV>
            <wp:extent cx="6858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-616585</wp:posOffset>
            </wp:positionV>
            <wp:extent cx="76835"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-616585</wp:posOffset>
            </wp:positionV>
            <wp:extent cx="7683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-616585</wp:posOffset>
            </wp:positionV>
            <wp:extent cx="6858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-616585</wp:posOffset>
            </wp:positionV>
            <wp:extent cx="6858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-616585</wp:posOffset>
            </wp:positionV>
            <wp:extent cx="6858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-385445</wp:posOffset>
            </wp:positionV>
            <wp:extent cx="7683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-385445</wp:posOffset>
            </wp:positionV>
            <wp:extent cx="7683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-385445</wp:posOffset>
            </wp:positionV>
            <wp:extent cx="6858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-385445</wp:posOffset>
            </wp:positionV>
            <wp:extent cx="6858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-385445</wp:posOffset>
            </wp:positionV>
            <wp:extent cx="6858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-144780</wp:posOffset>
            </wp:positionV>
            <wp:extent cx="6858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type w:val="continuous"/>
        </w:sectPr>
      </w:pPr>
    </w:p>
    <w:bookmarkStart w:id="12" w:name="page13"/>
    <w:bookmarkEnd w:id="12"/>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Share-Based Compensation Plans</w:t>
      </w:r>
    </w:p>
    <w:p>
      <w:pPr>
        <w:spacing w:after="0" w:line="225"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recognized share-based compensation expense of $7.6 and $9.8, respectively, and $29.2 and $26.7 for the nine months ended September 30, 2022 and 2021,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$0.4 and $5.3 for the nine months ended September 30, 2022 and 2021, respectively.</w:t>
      </w:r>
    </w:p>
    <w:p>
      <w:pPr>
        <w:spacing w:after="0" w:line="33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Dispositions</w:t>
      </w:r>
    </w:p>
    <w:p>
      <w:pPr>
        <w:spacing w:after="0" w:line="185"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For the nine months ended September 30, 2022 and 2021, the total cash consideration paid for acquisitions, net of cash acquired, was $18.1 and $13.3, respectively. The 2022 payments primarily represent a consideration payment for the acquisition of Tingari, a talent solutions company in France, and contingent consideration payments associated with previous acquisitions. The 2021 payments mainly relate to franchise acquisitions in the United States and a contingent consideration payment associated with a previous acquisition.</w:t>
      </w:r>
    </w:p>
    <w:p>
      <w:pPr>
        <w:spacing w:after="0" w:line="15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and simultaneously entered into a franchise agreement with the new owner of the Russia business. In connection with the disposition, we recognized a one-time net loss on disposition of $8.0. On September 30, 2022, our Belgium business disposed of its Service Voucher Division and recognized a one-time gain of $4.1.</w:t>
      </w:r>
    </w:p>
    <w:p>
      <w:pPr>
        <w:spacing w:after="0" w:line="13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Of the total consideration paid, $925.0 was for the acquired interests and the remaining $5.9 was for excess working capital and cash. The transaction was funded through cash on hand and a $150.0 draw on our revolving credit facility, which was fully repaid as of September 30, 2022. We finalized the purchase accounting as of September 30, 2022 and recognized post-closing working capital adjustments of $3.4 and income tax adjustments of $3.1 with a corresponding offset to goodwill for the nine months ended September 30, 2022.</w:t>
      </w:r>
    </w:p>
    <w:p>
      <w:pPr>
        <w:spacing w:after="0" w:line="156"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assets and liabilities were included in the Consolidated Balance Sheets as of the acquisition date and the results of its operations have been included in the Consolidated Statements of Operations subsequent to the acquisition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fair value of the assets and liabilities as of the acquisition date of October 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6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customer relationship</w:t>
            </w: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3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5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1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 and liabilities</w:t>
            </w:r>
          </w:p>
        </w:tc>
        <w:tc>
          <w:tcPr>
            <w:tcW w:w="46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54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4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right="20"/>
        <w:spacing w:after="0" w:line="293" w:lineRule="auto"/>
        <w:rPr>
          <w:sz w:val="20"/>
          <w:szCs w:val="20"/>
          <w:color w:val="auto"/>
        </w:rPr>
      </w:pPr>
      <w:r>
        <w:rPr>
          <w:rFonts w:ascii="Times New Roman" w:cs="Times New Roman" w:eastAsia="Times New Roman" w:hAnsi="Times New Roman"/>
          <w:sz w:val="18"/>
          <w:szCs w:val="18"/>
          <w:color w:val="auto"/>
        </w:rPr>
        <w:t>The customer relationship intangible asset will be amortized over a 15 year useful life. The customer relationship intangible asset and goodwill from the acquisition are partially deductible for income tax purposes. As of December 31, 2021 and September 30, 2022, the carrying value of intangible assets were $354.0 and $336.0, respectively, and the carrying value of goodwill was $519.6 and $513.1, respectively. The goodwill is included within the United States reporting unit and is attributable to the workforce of the acquired business and expected synergies to occur post-acquisition as a result of diversifying the business into higher growth and higher value services.</w:t>
      </w:r>
    </w:p>
    <w:p>
      <w:pPr>
        <w:spacing w:after="0" w:line="154"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p>
    <w:p>
      <w:pPr>
        <w:spacing w:after="0" w:line="2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did not record any net restructuring costs during the nine months ended September 30, 2022.We recorded restructuring costs of $5.3 for the nine months ended September 30, 2021. During the nine months ended September 30, 2022, we made payments of $10.9 out of our restructuring reserve, which is used for severance and office closures and consolidations in multiple countries and territories. We expect a majority of the remaining $12.4 reserve will be paid by the end of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3"/>
              </w:rPr>
              <w:t>Americas</w:t>
            </w:r>
            <w:r>
              <w:rPr>
                <w:rFonts w:ascii="Times New Roman" w:cs="Times New Roman" w:eastAsia="Times New Roman" w:hAnsi="Times New Roman"/>
                <w:sz w:val="24"/>
                <w:szCs w:val="24"/>
                <w:b w:val="1"/>
                <w:bCs w:val="1"/>
                <w:color w:val="auto"/>
                <w:w w:val="93"/>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APME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w w:val="97"/>
              </w:rPr>
              <w:t>Europe</w:t>
            </w:r>
            <w:r>
              <w:rPr>
                <w:rFonts w:ascii="Times New Roman" w:cs="Times New Roman" w:eastAsia="Times New Roman" w:hAnsi="Times New Roman"/>
                <w:sz w:val="24"/>
                <w:szCs w:val="24"/>
                <w:b w:val="1"/>
                <w:bCs w:val="1"/>
                <w:color w:val="auto"/>
                <w:w w:val="97"/>
                <w:vertAlign w:val="superscript"/>
              </w:rPr>
              <w:t>(2)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paid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9"/>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$0.2 and $0.1 as of December 31, 2021 and September 30, 2022, respectively.</w:t>
      </w:r>
    </w:p>
    <w:p>
      <w:pPr>
        <w:spacing w:after="0" w:line="15" w:lineRule="exact"/>
        <w:rPr>
          <w:rFonts w:ascii="Times New Roman" w:cs="Times New Roman" w:eastAsia="Times New Roman" w:hAnsi="Times New Roman"/>
          <w:sz w:val="18"/>
          <w:szCs w:val="18"/>
          <w:color w:val="auto"/>
        </w:rPr>
      </w:pPr>
    </w:p>
    <w:p>
      <w:pPr>
        <w:ind w:right="180" w:firstLine="8"/>
        <w:spacing w:after="0" w:line="24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$0.6 and $0.2 as of December 31, 2021 and September 30, 2022, respectively. Balances related to Italy were $0.3 and $0.1 as of December 31, 2021 and September 30, 2022, respectively.</w:t>
      </w:r>
    </w:p>
    <w:p>
      <w:pPr>
        <w:spacing w:after="0" w:line="1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auto"/>
        </w:rPr>
        <w:t>We recorded income tax expense at an effective rate of 29.0% for the three months ended September 30, 2022, as compared to an effective rate of 32.9% for the three months ended September 30, 2021. The 2022 rate was favorably impacted by the scheduled reduction in the French corporate tax rate to 25% and a higher level of pre-tax earnings with a more beneficial mix diluting the impact of the French business tax. The 29.0% effective tax rate for the three months ended September 30,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We recorded income tax expense at an effective rate of 30.3% for the nine months ended September 30, 2022, as compared to an effective rate of 33.1% for the nine months ended September 30, 2021. The 2022 rate was favorably impacted by the scheduled reduction in the French corporate tax rate to 25% and a higher level of pre-tax earnings with a more beneficial mix diluting the impact of the French business tax. The 30.3% effective tax rate for the nine months ended September 30,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4"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As of September 30, 2022, we had gross unrecognized tax benefits related to various tax jurisdictions, including interest and penalties, of $77.2. If recognized, the entire amount would favorably affect the effective tax rate except for $6.0. As of December 31, 2021, we had gross unrecognized tax benefits related to various tax jurisdictions, including interest and penalties, of $71.8. We do not expect our unrecognized tax benefits to change significantly over the next 12 months.</w:t>
      </w:r>
    </w:p>
    <w:p>
      <w:pPr>
        <w:spacing w:after="0" w:line="15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2015 through 2022 for our major operations in France, Italy, the United Kingdom and the United States. As of September 30, 2022, we were subject to tax audits in Austria, Germany, Israel, Japan, Portugal, Spain and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resolution of these audits will not have a material impact on earnings.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 w:name="page15"/>
    <w:bookmarkEnd w:id="14"/>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Earnings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9"/>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271.3</w:t>
            </w:r>
          </w:p>
        </w:tc>
      </w:tr>
      <w:tr>
        <w:trPr>
          <w:trHeight w:val="197"/>
        </w:trPr>
        <w:tc>
          <w:tcPr>
            <w:tcW w:w="5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5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dilutive securities - stock options</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Effect of other share-based awards</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09"/>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9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 - basic</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4.96</w:t>
            </w:r>
          </w:p>
        </w:tc>
      </w:tr>
      <w:tr>
        <w:trPr>
          <w:trHeight w:val="197"/>
        </w:trPr>
        <w:tc>
          <w:tcPr>
            <w:tcW w:w="5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 - diluted</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920" w:type="dxa"/>
            <w:vAlign w:val="bottom"/>
            <w:gridSpan w:val="2"/>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38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4.90</w:t>
            </w:r>
          </w:p>
        </w:tc>
      </w:tr>
      <w:tr>
        <w:trPr>
          <w:trHeight w:val="20"/>
        </w:trPr>
        <w:tc>
          <w:tcPr>
            <w:tcW w:w="5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-1071245</wp:posOffset>
            </wp:positionV>
            <wp:extent cx="177419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74190"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-496570</wp:posOffset>
            </wp:positionV>
            <wp:extent cx="7683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-496570</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-496570</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177419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74190" cy="188595"/>
                    </a:xfrm>
                    <a:prstGeom prst="rect">
                      <a:avLst/>
                    </a:prstGeom>
                    <a:noFill/>
                  </pic:spPr>
                </pic:pic>
              </a:graphicData>
            </a:graphic>
          </wp:anchor>
        </w:drawing>
      </w:r>
    </w:p>
    <w:p>
      <w:pPr>
        <w:spacing w:after="0" w:line="178" w:lineRule="exact"/>
        <w:rPr>
          <w:sz w:val="20"/>
          <w:szCs w:val="20"/>
          <w:color w:val="auto"/>
        </w:rPr>
      </w:pPr>
    </w:p>
    <w:p>
      <w:pPr>
        <w:jc w:val="both"/>
        <w:ind w:right="300"/>
        <w:spacing w:after="0" w:line="302" w:lineRule="auto"/>
        <w:rPr>
          <w:sz w:val="20"/>
          <w:szCs w:val="20"/>
          <w:color w:val="auto"/>
        </w:rPr>
      </w:pPr>
      <w:r>
        <w:rPr>
          <w:rFonts w:ascii="Times New Roman" w:cs="Times New Roman" w:eastAsia="Times New Roman" w:hAnsi="Times New Roman"/>
          <w:sz w:val="18"/>
          <w:szCs w:val="18"/>
          <w:color w:val="auto"/>
        </w:rPr>
        <w:t>There were 0.7 million and 0.1 million share-based awards excluded from the calculation of net earnings per share - diluted for the three months ended September 30, 2022 and 2021, respectively, because their impact was anti-dilutive. There were 0.5 million and 0.2 million share-based awards excluded from the calculation of net earnings per share - diluted for the nine months ended September 30, 2022 and 2021, respectively, because their impact was anti-dilutive.</w:t>
      </w:r>
    </w:p>
    <w:p>
      <w:pPr>
        <w:spacing w:after="0" w:line="133"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finite-lived intangible assets and indefinite-lived intangible assets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3"/>
                <w:szCs w:val="13"/>
                <w:color w:val="auto"/>
              </w:rPr>
            </w:pPr>
          </w:p>
        </w:tc>
        <w:tc>
          <w:tcPr>
            <w:tcW w:w="10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80" w:type="dxa"/>
            <w:vAlign w:val="bottom"/>
          </w:tcPr>
          <w:p>
            <w:pPr>
              <w:spacing w:after="0"/>
              <w:rPr>
                <w:sz w:val="13"/>
                <w:szCs w:val="13"/>
                <w:color w:val="auto"/>
              </w:rPr>
            </w:pPr>
          </w:p>
        </w:tc>
        <w:tc>
          <w:tcPr>
            <w:tcW w:w="9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1,640.4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1,640.4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1,722.2</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Finite-lived:</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430.2</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376.4</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421.6</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8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Indefinite-lived:</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827.4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449.3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378.1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846.6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441.3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158"/>
        </w:trPr>
        <w:tc>
          <w:tcPr>
            <w:tcW w:w="2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840" w:type="dxa"/>
            <w:vAlign w:val="bottom"/>
          </w:tcPr>
          <w:p>
            <w:pPr>
              <w:ind w:left="380"/>
              <w:spacing w:after="0" w:line="267" w:lineRule="exact"/>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1,003.2</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449.3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553.9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1,024.9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300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-316865</wp:posOffset>
            </wp:positionV>
            <wp:extent cx="9398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-316865</wp:posOffset>
            </wp:positionV>
            <wp:extent cx="939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-316865</wp:posOffset>
            </wp:positionV>
            <wp:extent cx="9461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-316865</wp:posOffset>
            </wp:positionV>
            <wp:extent cx="8572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-316865</wp:posOffset>
            </wp:positionV>
            <wp:extent cx="8572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-24765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94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94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$644.2 as of both September 30, 2022 and December 31, 2021.</w:t>
      </w:r>
    </w:p>
    <w:p>
      <w:pPr>
        <w:spacing w:after="0" w:line="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$139.5 as of both September 30, 2022 and December 31, 2021.</w:t>
      </w:r>
    </w:p>
    <w:p>
      <w:pPr>
        <w:spacing w:after="0" w:line="225" w:lineRule="exact"/>
        <w:rPr>
          <w:sz w:val="20"/>
          <w:szCs w:val="20"/>
          <w:color w:val="auto"/>
        </w:rPr>
      </w:pPr>
    </w:p>
    <w:p>
      <w:pPr>
        <w:ind w:right="260"/>
        <w:spacing w:after="0" w:line="329"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2022 is expected to be $9.3 and in each of the next five years as follows: 2023 - $33.5, 2024 - $31.7, 2025 - $29.8, 2026 - $26.5 and 2027 - $25.9.</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3"/>
              </w:rPr>
              <w:t>Americas</w:t>
            </w:r>
            <w:r>
              <w:rPr>
                <w:rFonts w:ascii="Times New Roman" w:cs="Times New Roman" w:eastAsia="Times New Roman" w:hAnsi="Times New Roman"/>
                <w:sz w:val="24"/>
                <w:szCs w:val="24"/>
                <w:b w:val="1"/>
                <w:bCs w:val="1"/>
                <w:color w:val="auto"/>
                <w:w w:val="93"/>
                <w:vertAlign w:val="superscript"/>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APME</w:t>
            </w:r>
          </w:p>
        </w:tc>
        <w:tc>
          <w:tcPr>
            <w:tcW w:w="200" w:type="dxa"/>
            <w:vAlign w:val="bottom"/>
          </w:tcPr>
          <w:p>
            <w:pPr>
              <w:spacing w:after="0"/>
              <w:rPr>
                <w:sz w:val="17"/>
                <w:szCs w:val="17"/>
                <w:color w:val="auto"/>
              </w:rPr>
            </w:pPr>
          </w:p>
        </w:tc>
        <w:tc>
          <w:tcPr>
            <w:tcW w:w="12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4"/>
                <w:szCs w:val="24"/>
                <w:b w:val="1"/>
                <w:bCs w:val="1"/>
                <w:color w:val="auto"/>
                <w:vertAlign w:val="superscript"/>
              </w:rPr>
              <w:t>(3)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line="243" w:lineRule="exact"/>
              <w:rPr>
                <w:sz w:val="20"/>
                <w:szCs w:val="20"/>
                <w:color w:val="auto"/>
              </w:rPr>
            </w:pPr>
            <w:r>
              <w:rPr>
                <w:rFonts w:ascii="Times New Roman" w:cs="Times New Roman" w:eastAsia="Times New Roman" w:hAnsi="Times New Roman"/>
                <w:sz w:val="18"/>
                <w:szCs w:val="18"/>
                <w:b w:val="1"/>
                <w:bCs w:val="1"/>
                <w:color w:val="auto"/>
                <w:w w:val="97"/>
              </w:rPr>
              <w:t>Europe</w:t>
            </w:r>
            <w:r>
              <w:rPr>
                <w:rFonts w:ascii="Times New Roman" w:cs="Times New Roman" w:eastAsia="Times New Roman" w:hAnsi="Times New Roman"/>
                <w:sz w:val="24"/>
                <w:szCs w:val="24"/>
                <w:b w:val="1"/>
                <w:bCs w:val="1"/>
                <w:color w:val="auto"/>
                <w:w w:val="97"/>
                <w:vertAlign w:val="superscript"/>
              </w:rPr>
              <w:t>(2)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Borders>
              <w:bottom w:val="single" w:sz="8" w:color="auto"/>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1,058.9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1,722.2</w:t>
            </w:r>
          </w:p>
        </w:tc>
        <w:tc>
          <w:tcPr>
            <w:tcW w:w="0" w:type="dxa"/>
            <w:vAlign w:val="bottom"/>
          </w:tcPr>
          <w:p>
            <w:pPr>
              <w:spacing w:after="0"/>
              <w:rPr>
                <w:sz w:val="1"/>
                <w:szCs w:val="1"/>
                <w:color w:val="auto"/>
              </w:rPr>
            </w:pPr>
          </w:p>
        </w:tc>
      </w:tr>
      <w:tr>
        <w:trPr>
          <w:trHeight w:val="216"/>
        </w:trPr>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impact</w:t>
            </w: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1,640.4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-170815</wp:posOffset>
            </wp:positionV>
            <wp:extent cx="13716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13716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-170815</wp:posOffset>
            </wp:positionV>
            <wp:extent cx="13716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12890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12890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171450"/>
                    </a:xfrm>
                    <a:prstGeom prst="rect">
                      <a:avLst/>
                    </a:prstGeom>
                    <a:noFill/>
                  </pic:spPr>
                </pic:pic>
              </a:graphicData>
            </a:graphic>
          </wp:anchor>
        </w:drawing>
      </w:r>
    </w:p>
    <w:p>
      <w:pPr>
        <w:spacing w:after="0" w:line="178" w:lineRule="exact"/>
        <w:rPr>
          <w:sz w:val="20"/>
          <w:szCs w:val="20"/>
          <w:color w:val="auto"/>
        </w:rPr>
      </w:pPr>
    </w:p>
    <w:p>
      <w:pPr>
        <w:ind w:right="80" w:firstLine="8"/>
        <w:spacing w:after="0" w:line="247"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$1,013.0 and $1,006.5 as of December 31, 2021 and September 30, 2022, respectively. Reduction for acquisitions represents post-closing opening balance adjustments related to the United States Experis acquisition. See Note 5 to the Consolidated Financial Statements for further information.</w:t>
      </w:r>
    </w:p>
    <w:p>
      <w:pPr>
        <w:ind w:right="300" w:firstLine="8"/>
        <w:spacing w:after="0" w:line="23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$68.2 and $67.1 as of December 31, 2021 and September 30, 2022, respectively. Balances related to Italy were $3.9 and $3.4 as of December 31, 2021 and September 30, 2022, respectively.</w:t>
      </w:r>
    </w:p>
    <w:p>
      <w:pPr>
        <w:spacing w:after="0" w:line="1" w:lineRule="exact"/>
        <w:rPr>
          <w:rFonts w:ascii="Times New Roman" w:cs="Times New Roman" w:eastAsia="Times New Roman" w:hAnsi="Times New Roman"/>
          <w:sz w:val="18"/>
          <w:szCs w:val="18"/>
          <w:color w:val="auto"/>
        </w:rPr>
      </w:pPr>
    </w:p>
    <w:p>
      <w:pPr>
        <w:ind w:right="100" w:firstLine="8"/>
        <w:spacing w:after="0"/>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Goodwill balances by reporting unit were as follows:</w:t>
            </w:r>
          </w:p>
        </w:tc>
        <w:tc>
          <w:tcPr>
            <w:tcW w:w="1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57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720" w:type="dxa"/>
            <w:vAlign w:val="bottom"/>
          </w:tcPr>
          <w:p>
            <w:pPr>
              <w:spacing w:after="0"/>
              <w:rPr>
                <w:sz w:val="20"/>
                <w:szCs w:val="20"/>
                <w:color w:val="auto"/>
              </w:rPr>
            </w:pPr>
          </w:p>
        </w:tc>
        <w:tc>
          <w:tcPr>
            <w:tcW w:w="1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1,085.3</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1,091.7</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8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8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reporting units</w:t>
            </w:r>
          </w:p>
        </w:tc>
        <w:tc>
          <w:tcPr>
            <w:tcW w:w="1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250.9</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r>
      <w:tr>
        <w:trPr>
          <w:trHeight w:val="250"/>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goodwill</w:t>
            </w:r>
          </w:p>
        </w:tc>
        <w:tc>
          <w:tcPr>
            <w:tcW w:w="1880" w:type="dxa"/>
            <w:vAlign w:val="bottom"/>
            <w:tcBorders>
              <w:bottom w:val="single" w:sz="8" w:color="auto"/>
            </w:tcBorders>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1,640.4</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1885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885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Debt</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27, 2022, we entered into a new Credit Agreement (the “Credit Agreement”) with a syndicate of commercial banks with a termination date of May 27, 2027 to replace our previous $600.0 revolving credit facility. The Credit Agreement provides for a new $600.0 five-year revolving credit facility and includes terms generally consistent with our previous credit facility, except the Credit Agreement uses Secured Overnight Financing Rate (SOFR) as the base rate index instead of London Interbank Offered Rate (LIBOR).</w:t>
      </w:r>
    </w:p>
    <w:p>
      <w:pPr>
        <w:spacing w:after="0" w:line="189"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w:t>
      </w:r>
    </w:p>
    <w:p>
      <w:pPr>
        <w:spacing w:after="0" w:line="169"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6" w:name="page17"/>
    <w:bookmarkEnd w:id="16"/>
    <w:p>
      <w:pPr>
        <w:spacing w:after="0" w:line="266" w:lineRule="auto"/>
        <w:rPr>
          <w:sz w:val="20"/>
          <w:szCs w:val="20"/>
          <w:color w:val="auto"/>
        </w:rPr>
      </w:pPr>
      <w:r>
        <w:rPr>
          <w:rFonts w:ascii="Times New Roman" w:cs="Times New Roman" w:eastAsia="Times New Roman" w:hAnsi="Times New Roman"/>
          <w:sz w:val="18"/>
          <w:szCs w:val="18"/>
          <w:color w:val="auto"/>
        </w:rPr>
        <w:t>On June 30, 2022, we offered and sold €400.0 million aggregate principal amount of the Company’s 3.50% notes due June 30, 2027 (the “Notes”). The proceeds from the Notes were used in July 2022 to repay our €400.0 1.875% notes due September 11, 2022. The Notes were issued at a price of 99.465% to yield an effective interest rate of 3.514%, net of a favorable impact of a forward starting interest rate swap. Interest on the Notes is payable in arrears on June 30 of each year. The Notes are unsecured senior obligations and will rank equally with all of the Company’s existing and future senior unsecured debt and other liabilities.</w:t>
      </w:r>
    </w:p>
    <w:p>
      <w:pPr>
        <w:spacing w:after="0" w:line="23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(credit) for our plans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740" w:type="dxa"/>
            <w:vAlign w:val="bottom"/>
          </w:tcPr>
          <w:p>
            <w:pPr>
              <w:spacing w:after="0"/>
              <w:rPr>
                <w:sz w:val="16"/>
                <w:szCs w:val="16"/>
                <w:color w:val="auto"/>
              </w:rPr>
            </w:pPr>
          </w:p>
        </w:tc>
        <w:tc>
          <w:tcPr>
            <w:tcW w:w="2240" w:type="dxa"/>
            <w:vAlign w:val="bottom"/>
            <w:gridSpan w:val="4"/>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6"/>
                <w:szCs w:val="16"/>
                <w:color w:val="auto"/>
              </w:rPr>
            </w:pPr>
          </w:p>
        </w:tc>
      </w:tr>
      <w:tr>
        <w:trPr>
          <w:trHeight w:val="238"/>
        </w:trPr>
        <w:tc>
          <w:tcPr>
            <w:tcW w:w="5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0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57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7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(3.6 )</w:t>
            </w:r>
          </w:p>
        </w:tc>
        <w:tc>
          <w:tcPr>
            <w:tcW w:w="8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benefit cost</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7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740" w:type="dxa"/>
            <w:vAlign w:val="bottom"/>
          </w:tcPr>
          <w:p>
            <w:pPr>
              <w:spacing w:after="0"/>
              <w:rPr>
                <w:sz w:val="16"/>
                <w:szCs w:val="16"/>
                <w:color w:val="auto"/>
              </w:rPr>
            </w:pPr>
          </w:p>
        </w:tc>
        <w:tc>
          <w:tcPr>
            <w:tcW w:w="2240" w:type="dxa"/>
            <w:vAlign w:val="bottom"/>
            <w:gridSpan w:val="4"/>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0" w:type="dxa"/>
            <w:vAlign w:val="bottom"/>
          </w:tcPr>
          <w:p>
            <w:pPr>
              <w:spacing w:after="0"/>
              <w:rPr>
                <w:sz w:val="16"/>
                <w:szCs w:val="16"/>
                <w:color w:val="auto"/>
              </w:rPr>
            </w:pPr>
          </w:p>
        </w:tc>
      </w:tr>
      <w:tr>
        <w:trPr>
          <w:trHeight w:val="238"/>
        </w:trPr>
        <w:tc>
          <w:tcPr>
            <w:tcW w:w="5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0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57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8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(0.6 )</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benefit credit</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5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-1602740</wp:posOffset>
            </wp:positionV>
            <wp:extent cx="76835" cy="445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44577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-1602740</wp:posOffset>
            </wp:positionV>
            <wp:extent cx="68580" cy="4457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-1602740</wp:posOffset>
            </wp:positionV>
            <wp:extent cx="68580" cy="4457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4457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1020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0204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3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During the three and nine months ended September 30, 2022, contributions made to our pension plans were $1.3 and $5.8, respectively, and contributions made to our retiree health care plan were $0.3 and $0.9, respectively. During 2022, we expect to make total contributions of approximately $16.0 to our pension plans and to fund our retiree health care payments as incurred.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Shareholders’ Equity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tc>
        <w:tc>
          <w:tcPr>
            <w:tcW w:w="120" w:type="dxa"/>
            <w:vAlign w:val="bottom"/>
          </w:tcPr>
          <w:p>
            <w:pPr>
              <w:spacing w:after="0"/>
              <w:rPr>
                <w:sz w:val="24"/>
                <w:szCs w:val="24"/>
                <w:color w:val="auto"/>
              </w:rPr>
            </w:pPr>
          </w:p>
        </w:tc>
        <w:tc>
          <w:tcPr>
            <w:tcW w:w="150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24"/>
                <w:szCs w:val="24"/>
                <w:color w:val="auto"/>
              </w:rPr>
            </w:pPr>
          </w:p>
        </w:tc>
        <w:tc>
          <w:tcPr>
            <w:tcW w:w="138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1"/>
        </w:trPr>
        <w:tc>
          <w:tcPr>
            <w:tcW w:w="810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Translation gain (loss) on derivative instruments, net of income taxes (benefit) of $19.8 and $(16.4),</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16"/>
        </w:trPr>
        <w:tc>
          <w:tcPr>
            <w:tcW w:w="8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Translation loss on long-term intercompany loans</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(132.5 )</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(133.6 )</w:t>
            </w:r>
          </w:p>
        </w:tc>
        <w:tc>
          <w:tcPr>
            <w:tcW w:w="0" w:type="dxa"/>
            <w:vAlign w:val="bottom"/>
          </w:tcPr>
          <w:p>
            <w:pPr>
              <w:spacing w:after="0"/>
              <w:rPr>
                <w:sz w:val="1"/>
                <w:szCs w:val="1"/>
                <w:color w:val="auto"/>
              </w:rPr>
            </w:pPr>
          </w:p>
        </w:tc>
      </w:tr>
      <w:tr>
        <w:trPr>
          <w:trHeight w:val="21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net of income tax benefit of $(22.2) and $(22.8), respectively</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(55.2 )</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16"/>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Retiree health care plan, net of income taxes of $1.5 and $1.6, respectively</w:t>
            </w:r>
          </w:p>
        </w:tc>
        <w:tc>
          <w:tcPr>
            <w:tcW w:w="12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15"/>
        </w:trPr>
        <w:tc>
          <w:tcPr>
            <w:tcW w:w="8100" w:type="dxa"/>
            <w:vAlign w:val="bottom"/>
            <w:gridSpan w:val="3"/>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6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-496570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-479425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00"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a benefit of $0.1 and an expense of $0.1 for the three months ended September 30, 2022 and 2021, respectively, and an expense of $0.6 and a benefit of $1.0 for the nine months ended September 30, 2022 and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The Board of Directors declared a semi-annual dividend of $1.36 and $1.26 per share on May 6, 2022 and May 7, 2021, respectively. The 2022 dividends were paid on June 15, 2022 to shareholders of record as of June 1, 2022. The 2021 dividends were paid on June 15, 2021 to shareholders of record as of June 1,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00"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In August 2021, the Board of Directors authorized the repurchase of 4.0 million shares of our common stock, with terms consistent with the previous authorizations. This authorization was in addition to the August 2019 Board authorization to purchase 6.0 million shares of our common stock. Share repurchases may be made from time to time through a variety of methods, including open market purchases, block transactions, privately negotiated transactions or similar facilities. During the nine months ended September 30, 2022, we repurchased a total of 2.8 million shares comprised of 1.2 million shares under the 2019 authorization and 1.6 million shares under the 2021 authorization, at a total cost of $245.0. During the nine months ended September 30, 2021, we repurchased 1.5 million shares under the 2019 authorization at a cost of $150.1. As of September 30, 2022, there were 2.4 million shares remaining authorized for repurchase under the 2021 authorization and no shares remaining authorized for repurchase under the 2019 authorization.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(13) Interest and Other Expenses, Net</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and other expenses, net consisted of the following:</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3"/>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Miscellaneous income, net</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9"/>
        </w:trPr>
        <w:tc>
          <w:tcPr>
            <w:tcW w:w="608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-24765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 and Fair Value Measurements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95"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8"/>
          <w:szCs w:val="18"/>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29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220"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The €400.0 ($387.8) notes due June 2027 and the €500.0 ($487.2) notes due June 2026 were designated as a hedge of our net investment in our foreign subsidiaries with a Euro-functional currency as of September 30, 2022.</w:t>
      </w:r>
    </w:p>
    <w:p>
      <w:pPr>
        <w:spacing w:after="0" w:line="20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 September 2019, we entered into a cross-currency swap agreement that net converts fixed-rate Swiss franc (“CHF”) payments to fixed-rate United States dollar payments which matured in September 2022. In September 2022, we entered into a new cross-currency swap agreement that net converts fixed-rate Swiss franc (“CHF”) payments to fixed-rate United States dollar payments. This swap was designated as a net investment hedge of our foreign subsidiary with CHF functional currency.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net investment hedges on AOCI for the three and nine months ended September 30, 2022 and 2021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9"/>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Other Comprehensive Income</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346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6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 Notes</w:t>
            </w:r>
          </w:p>
        </w:tc>
        <w:tc>
          <w:tcPr>
            <w:tcW w:w="1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6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21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cross-currency swaps, which we account for as fair value hedges, with maturity dates of April 2024.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matured in September 2022 and we simultaneously entered into new cross-currency swaps, which we account for as fair value hedges, with maturity dates of September 2024. Refer to the "Fair Value Hedge" section below for additional detail.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 w:name="page20"/>
    <w:bookmarkEnd w:id="19"/>
    <w:p>
      <w:pPr>
        <w:jc w:val="both"/>
        <w:ind w:right="300"/>
        <w:spacing w:after="0" w:line="305" w:lineRule="auto"/>
        <w:rPr>
          <w:sz w:val="20"/>
          <w:szCs w:val="20"/>
          <w:color w:val="auto"/>
        </w:rPr>
      </w:pPr>
      <w:r>
        <w:rPr>
          <w:rFonts w:ascii="Times New Roman" w:cs="Times New Roman" w:eastAsia="Times New Roman" w:hAnsi="Times New Roman"/>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210"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8"/>
          <w:szCs w:val="18"/>
          <w:color w:val="auto"/>
        </w:rPr>
        <w:t>In September 2021, we entered into a series of forward currency exchange contracts denominated in GBP. The economic effect of the forward is to eliminate the uncertainty in cash flows in GBP associated with a portion of our forecasted IT contract spend in 2022 by fixing the amount at £6.0. Gains and losses from the hedge offset the foreign currency exchange impact of the contracts.</w:t>
      </w:r>
    </w:p>
    <w:p>
      <w:pPr>
        <w:spacing w:after="0" w:line="19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accumulated other comprehensive income and will be amortized over the term of the notes as an offset to interest expense.</w:t>
      </w:r>
    </w:p>
    <w:p>
      <w:pPr>
        <w:spacing w:after="0" w:line="200"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33" w:lineRule="exact"/>
        <w:rPr>
          <w:sz w:val="20"/>
          <w:szCs w:val="20"/>
          <w:color w:val="auto"/>
        </w:rPr>
      </w:pPr>
    </w:p>
    <w:p>
      <w:pPr>
        <w:ind w:right="220"/>
        <w:spacing w:after="0" w:line="329" w:lineRule="auto"/>
        <w:rPr>
          <w:sz w:val="20"/>
          <w:szCs w:val="20"/>
          <w:color w:val="auto"/>
        </w:rPr>
      </w:pPr>
      <w:r>
        <w:rPr>
          <w:rFonts w:ascii="Times New Roman" w:cs="Times New Roman" w:eastAsia="Times New Roman" w:hAnsi="Times New Roman"/>
          <w:sz w:val="18"/>
          <w:szCs w:val="18"/>
          <w:color w:val="auto"/>
        </w:rPr>
        <w:t>The following tables present the impact that changes in the fair values of derivatives designated as cash flow hedges had on other comprehensive income (“OCI”), AOCI and earnings for the three and nine months ended September 30,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 (Loss) Reclassified from</w:t>
            </w:r>
          </w:p>
        </w:tc>
      </w:tr>
      <w:tr>
        <w:trPr>
          <w:trHeight w:val="238"/>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AOCI into Income</w:t>
            </w:r>
          </w:p>
        </w:tc>
      </w:tr>
      <w:tr>
        <w:trPr>
          <w:trHeight w:val="160"/>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4"/>
          </w:tcPr>
          <w:p>
            <w:pPr>
              <w:jc w:val="center"/>
              <w:ind w:right="190"/>
              <w:spacing w:after="0" w:line="160"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4"/>
          </w:tcPr>
          <w:p>
            <w:pPr>
              <w:jc w:val="center"/>
              <w:ind w:right="310"/>
              <w:spacing w:after="0" w:line="160"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30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3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from AOCI into Income</w:t>
            </w:r>
          </w:p>
        </w:tc>
        <w:tc>
          <w:tcPr>
            <w:tcW w:w="2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9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c>
          <w:tcPr>
            <w:tcW w:w="290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Forward starting interest swap</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599"/>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 (Loss) Reclassified from</w:t>
            </w:r>
          </w:p>
        </w:tc>
      </w:tr>
      <w:tr>
        <w:trPr>
          <w:trHeight w:val="238"/>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AOCI into Income</w:t>
            </w:r>
          </w:p>
        </w:tc>
      </w:tr>
      <w:tr>
        <w:trPr>
          <w:trHeight w:val="160"/>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4"/>
          </w:tcPr>
          <w:p>
            <w:pPr>
              <w:jc w:val="center"/>
              <w:ind w:right="190"/>
              <w:spacing w:after="0" w:line="160"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tcPr>
          <w:p>
            <w:pPr>
              <w:jc w:val="center"/>
              <w:ind w:right="10"/>
              <w:spacing w:after="0" w:line="160"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0" w:type="dxa"/>
            <w:vAlign w:val="bottom"/>
            <w:tcBorders>
              <w:bottom w:val="single" w:sz="8" w:color="auto"/>
            </w:tcBorders>
          </w:tcPr>
          <w:p>
            <w:pPr>
              <w:spacing w:after="0"/>
              <w:rPr>
                <w:sz w:val="20"/>
                <w:szCs w:val="20"/>
                <w:color w:val="auto"/>
              </w:rPr>
            </w:pPr>
          </w:p>
        </w:tc>
      </w:tr>
      <w:tr>
        <w:trPr>
          <w:trHeight w:val="210"/>
        </w:trPr>
        <w:tc>
          <w:tcPr>
            <w:tcW w:w="30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18"/>
                <w:szCs w:val="18"/>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3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from AOCI into Income</w:t>
            </w:r>
          </w:p>
        </w:tc>
        <w:tc>
          <w:tcPr>
            <w:tcW w:w="2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9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8"/>
                <w:szCs w:val="18"/>
                <w:color w:val="auto"/>
              </w:rPr>
            </w:pPr>
          </w:p>
        </w:tc>
        <w:tc>
          <w:tcPr>
            <w:tcW w:w="290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8"/>
                <w:szCs w:val="18"/>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Forward starting interest swap</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ind w:right="260"/>
        <w:spacing w:after="0" w:line="346" w:lineRule="auto"/>
        <w:rPr>
          <w:sz w:val="20"/>
          <w:szCs w:val="20"/>
          <w:color w:val="auto"/>
        </w:rPr>
      </w:pPr>
      <w:r>
        <w:rPr>
          <w:rFonts w:ascii="Times New Roman" w:cs="Times New Roman" w:eastAsia="Times New Roman" w:hAnsi="Times New Roman"/>
          <w:sz w:val="17"/>
          <w:szCs w:val="17"/>
          <w:color w:val="auto"/>
        </w:rPr>
        <w:t>We expect the net amount of pre-tax derivative gains included in AOCI at September 30, 2022 to be reclassified into earnings within the next 12 months will not be significant. The actual amount that will be reclassified to earnings over the next 12 months will vary due to future currency exchange rates.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227"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spacing w:after="0" w:line="217"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the term of the intercompany note and has a fixed interest rate of 1.05973%.</w:t>
      </w:r>
    </w:p>
    <w:p>
      <w:pPr>
        <w:spacing w:after="0" w:line="217"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September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September 2024, which aligns the term of the intercompany note and has a fixed interest rate of 1.7975%.</w:t>
      </w:r>
    </w:p>
    <w:p>
      <w:pPr>
        <w:spacing w:after="0" w:line="21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8"/>
          <w:szCs w:val="18"/>
          <w:color w:val="auto"/>
        </w:rPr>
        <w:t>The cross-currency swaps are accounted for as fair value hedges. Gains and losses from the hedge offset the changes in the value of principal on the note due to changes in foreign exchange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impact that the fair value hedges had on our Consolidated Statement of Income for the three and nine months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 of Gain (Loss) Recognized in Income</w:t>
            </w:r>
          </w:p>
        </w:tc>
        <w:tc>
          <w:tcPr>
            <w:tcW w:w="1020" w:type="dxa"/>
            <w:vAlign w:val="bottom"/>
            <w:tcBorders>
              <w:bottom w:val="single" w:sz="8" w:color="auto"/>
            </w:tcBorders>
          </w:tcPr>
          <w:p>
            <w:pPr>
              <w:spacing w:after="0"/>
              <w:rPr>
                <w:sz w:val="20"/>
                <w:szCs w:val="20"/>
                <w:color w:val="auto"/>
              </w:rPr>
            </w:pPr>
          </w:p>
        </w:tc>
      </w:tr>
      <w:tr>
        <w:trPr>
          <w:trHeight w:val="160"/>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5"/>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3"/>
                <w:szCs w:val="13"/>
                <w:color w:val="auto"/>
              </w:rPr>
            </w:pPr>
          </w:p>
        </w:tc>
        <w:tc>
          <w:tcPr>
            <w:tcW w:w="2760" w:type="dxa"/>
            <w:vAlign w:val="bottom"/>
            <w:gridSpan w:val="5"/>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38"/>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r>
      <w:tr>
        <w:trPr>
          <w:trHeight w:val="210"/>
        </w:trPr>
        <w:tc>
          <w:tcPr>
            <w:tcW w:w="28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18"/>
                <w:szCs w:val="18"/>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26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2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Intercompany CHF note</w:t>
            </w:r>
          </w:p>
        </w:tc>
        <w:tc>
          <w:tcPr>
            <w:tcW w:w="140" w:type="dxa"/>
            <w:vAlign w:val="bottom"/>
            <w:shd w:val="clear" w:color="auto" w:fill="CFF0FC"/>
          </w:tcPr>
          <w:p>
            <w:pPr>
              <w:spacing w:after="0"/>
              <w:rPr>
                <w:sz w:val="18"/>
                <w:szCs w:val="18"/>
                <w:color w:val="auto"/>
              </w:rPr>
            </w:pPr>
          </w:p>
        </w:tc>
        <w:tc>
          <w:tcPr>
            <w:tcW w:w="252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40" w:type="dxa"/>
            <w:vAlign w:val="bottom"/>
          </w:tcPr>
          <w:p>
            <w:pPr>
              <w:spacing w:after="0"/>
              <w:rPr>
                <w:sz w:val="20"/>
                <w:szCs w:val="20"/>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instruments</w:t>
      </w:r>
    </w:p>
    <w:p>
      <w:pPr>
        <w:spacing w:after="0" w:line="227"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nine months ended September 30, 2022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9"/>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 of Gain (Loss) Recognized in Income</w:t>
            </w:r>
          </w:p>
        </w:tc>
        <w:tc>
          <w:tcPr>
            <w:tcW w:w="1000" w:type="dxa"/>
            <w:vAlign w:val="bottom"/>
            <w:tcBorders>
              <w:bottom w:val="single" w:sz="8" w:color="auto"/>
            </w:tcBorders>
          </w:tcPr>
          <w:p>
            <w:pPr>
              <w:spacing w:after="0"/>
              <w:rPr>
                <w:sz w:val="20"/>
                <w:szCs w:val="20"/>
                <w:color w:val="auto"/>
              </w:rPr>
            </w:pPr>
          </w:p>
        </w:tc>
      </w:tr>
      <w:tr>
        <w:trPr>
          <w:trHeight w:val="160"/>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5"/>
          </w:tcPr>
          <w:p>
            <w:pPr>
              <w:jc w:val="center"/>
              <w:ind w:right="90"/>
              <w:spacing w:after="0" w:line="160"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3"/>
                <w:szCs w:val="13"/>
                <w:color w:val="auto"/>
              </w:rPr>
            </w:pPr>
          </w:p>
        </w:tc>
        <w:tc>
          <w:tcPr>
            <w:tcW w:w="2740" w:type="dxa"/>
            <w:vAlign w:val="bottom"/>
            <w:gridSpan w:val="5"/>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r>
      <w:tr>
        <w:trPr>
          <w:trHeight w:val="210"/>
        </w:trPr>
        <w:tc>
          <w:tcPr>
            <w:tcW w:w="28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FF0FC"/>
          </w:tcPr>
          <w:p>
            <w:pPr>
              <w:spacing w:after="0"/>
              <w:rPr>
                <w:sz w:val="18"/>
                <w:szCs w:val="18"/>
                <w:color w:val="auto"/>
              </w:rPr>
            </w:pPr>
          </w:p>
        </w:tc>
        <w:tc>
          <w:tcPr>
            <w:tcW w:w="2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(14.7 )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648"/>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w w:val="99"/>
              </w:rPr>
              <w:t>21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8"/>
        </w:trPr>
        <w:tc>
          <w:tcPr>
            <w:tcW w:w="28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1" w:name="page22"/>
    <w:bookmarkEnd w:id="21"/>
    <w:p>
      <w:pPr>
        <w:ind w:right="240"/>
        <w:spacing w:after="0" w:line="313" w:lineRule="auto"/>
        <w:rPr>
          <w:sz w:val="20"/>
          <w:szCs w:val="20"/>
          <w:color w:val="auto"/>
        </w:rPr>
      </w:pPr>
      <w:r>
        <w:rPr>
          <w:rFonts w:ascii="Times New Roman" w:cs="Times New Roman" w:eastAsia="Times New Roman" w:hAnsi="Times New Roman"/>
          <w:sz w:val="18"/>
          <w:szCs w:val="18"/>
          <w:color w:val="auto"/>
        </w:rPr>
        <w:t>The following tables present the fair value of derivative and non-derivative assets and liabilities on the Consolidated Balance Sheets as of September 30, 2022 and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87"/>
        </w:trPr>
        <w:tc>
          <w:tcPr>
            <w:tcW w:w="49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00" w:type="dxa"/>
            <w:vAlign w:val="bottom"/>
          </w:tcPr>
          <w:p>
            <w:pPr>
              <w:spacing w:after="0"/>
              <w:rPr>
                <w:sz w:val="20"/>
                <w:szCs w:val="20"/>
                <w:color w:val="auto"/>
              </w:rPr>
            </w:pPr>
          </w:p>
        </w:tc>
        <w:tc>
          <w:tcPr>
            <w:tcW w:w="2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designated as net investment hedges:</w:t>
            </w:r>
          </w:p>
        </w:tc>
        <w:tc>
          <w:tcPr>
            <w:tcW w:w="2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Cross-currency swaps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designated as cash flow hedges:</w:t>
            </w:r>
          </w:p>
        </w:tc>
        <w:tc>
          <w:tcPr>
            <w:tcW w:w="2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Cross-currency swaps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designated as fair value hedges:</w:t>
            </w:r>
          </w:p>
        </w:tc>
        <w:tc>
          <w:tcPr>
            <w:tcW w:w="2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Cross-currency swaps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not designated as hedges:</w:t>
            </w:r>
          </w:p>
        </w:tc>
        <w:tc>
          <w:tcPr>
            <w:tcW w:w="2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instruments</w:t>
            </w:r>
          </w:p>
        </w:tc>
        <w:tc>
          <w:tcPr>
            <w:tcW w:w="26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187"/>
        </w:trPr>
        <w:tc>
          <w:tcPr>
            <w:tcW w:w="4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60" w:type="dxa"/>
            <w:vAlign w:val="bottom"/>
          </w:tcPr>
          <w:p>
            <w:pPr>
              <w:spacing w:after="0"/>
              <w:rPr>
                <w:sz w:val="20"/>
                <w:szCs w:val="20"/>
                <w:color w:val="auto"/>
              </w:rPr>
            </w:pPr>
          </w:p>
        </w:tc>
        <w:tc>
          <w:tcPr>
            <w:tcW w:w="26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designated as net investment hedges:</w:t>
            </w:r>
          </w:p>
        </w:tc>
        <w:tc>
          <w:tcPr>
            <w:tcW w:w="2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171"/>
        </w:trPr>
        <w:tc>
          <w:tcPr>
            <w:tcW w:w="49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Euro Notes due in 2022</w:t>
            </w:r>
          </w:p>
        </w:tc>
        <w:tc>
          <w:tcPr>
            <w:tcW w:w="26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Short-term borrowings and current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4"/>
        </w:trPr>
        <w:tc>
          <w:tcPr>
            <w:tcW w:w="496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long-term debt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454.4</w:t>
            </w: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Euro Notes due in 2026</w:t>
            </w: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565.2</w:t>
            </w:r>
          </w:p>
        </w:tc>
      </w:tr>
      <w:tr>
        <w:trPr>
          <w:trHeight w:val="216"/>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 Notes due in 2027</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Cross-currency swaps</w:t>
            </w: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designated as cash flow hedges:</w:t>
            </w:r>
          </w:p>
        </w:tc>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not designated as hedges:</w:t>
            </w:r>
          </w:p>
        </w:tc>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4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instruments</w:t>
            </w:r>
          </w:p>
        </w:tc>
        <w:tc>
          <w:tcPr>
            <w:tcW w:w="26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1,049.5</w:t>
            </w:r>
          </w:p>
        </w:tc>
      </w:tr>
      <w:tr>
        <w:trPr>
          <w:trHeight w:val="20"/>
        </w:trPr>
        <w:tc>
          <w:tcPr>
            <w:tcW w:w="4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81" w:lineRule="exact"/>
        <w:rPr>
          <w:sz w:val="20"/>
          <w:szCs w:val="20"/>
          <w:color w:val="auto"/>
        </w:rPr>
      </w:pPr>
    </w:p>
    <w:p>
      <w:pPr>
        <w:jc w:val="both"/>
        <w:ind w:right="80"/>
        <w:spacing w:after="0" w:line="305" w:lineRule="auto"/>
        <w:rPr>
          <w:sz w:val="20"/>
          <w:szCs w:val="20"/>
          <w:color w:val="auto"/>
        </w:rPr>
      </w:pPr>
      <w:r>
        <w:rPr>
          <w:rFonts w:ascii="Times New Roman" w:cs="Times New Roman" w:eastAsia="Times New Roman" w:hAnsi="Times New Roman"/>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$826.8 and $1,064.0 as of September 30, 2022 and December 31, 2021, respectively, compared to a carrying value of $875.0 and $1,019.6, respectively.</w:t>
      </w:r>
    </w:p>
    <w:p>
      <w:pPr>
        <w:spacing w:after="0" w:line="21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Our deferred compensation plan assets were $109.2 and $138.0 as of September 30, 2022 and December 31, 2021, respectively. We determine the fair value of these assets, comprised of publicly traded securities, by using market quotes as of the last day of the period (Level 1 inputs).</w:t>
      </w:r>
    </w:p>
    <w:p>
      <w:pPr>
        <w:spacing w:after="0" w:line="203"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 Leases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290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0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280" w:type="dxa"/>
            <w:vAlign w:val="bottom"/>
            <w:tcBorders>
              <w:bottom w:val="single" w:sz="8" w:color="CFF0FC"/>
            </w:tcBorders>
            <w:gridSpan w:val="3"/>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lease expense</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r>
      <w:tr>
        <w:trPr>
          <w:trHeight w:val="210"/>
        </w:trPr>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123.6</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ind w:right="5520" w:firstLine="8"/>
        <w:spacing w:after="0" w:line="472" w:lineRule="auto"/>
        <w:tabs>
          <w:tab w:leader="none" w:pos="4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 expense includes variable lease expense and sublease income. Other information related to leases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ROU assets obtained in exchange for lease obligations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24"/>
                <w:szCs w:val="24"/>
                <w:color w:val="auto"/>
              </w:rPr>
            </w:pPr>
          </w:p>
        </w:tc>
        <w:tc>
          <w:tcPr>
            <w:tcW w:w="14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306.7</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r>
              <w:rPr>
                <w:rFonts w:ascii="Times New Roman" w:cs="Times New Roman" w:eastAsia="Times New Roman" w:hAnsi="Times New Roman"/>
                <w:sz w:val="24"/>
                <w:szCs w:val="24"/>
                <w:color w:val="auto"/>
                <w:vertAlign w:val="superscript"/>
              </w:rPr>
              <w:t>(1)</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275.8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313.3</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  Operating lease liabilities - current are included in accrued expenses on our Consolidated Balance Sheets.</w:t>
            </w: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 years</w:t>
            </w:r>
          </w:p>
        </w:tc>
        <w:tc>
          <w:tcPr>
            <w:tcW w:w="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2022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 Ending September 30, 2022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Remainder of 2022</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334.2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313.3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2825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-3676650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13" w:right="279" w:bottom="1440" w:gutter="0" w:footer="0" w:header="0"/>
        </w:sectPr>
      </w:pPr>
    </w:p>
    <w:bookmarkStart w:id="23" w:name="page24"/>
    <w:bookmarkEnd w:id="23"/>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Data</w:t>
      </w:r>
    </w:p>
    <w:p>
      <w:pPr>
        <w:spacing w:after="0" w:line="185" w:lineRule="exact"/>
        <w:rPr>
          <w:sz w:val="20"/>
          <w:szCs w:val="20"/>
          <w:color w:val="auto"/>
        </w:rPr>
      </w:pPr>
    </w:p>
    <w:p>
      <w:pPr>
        <w:ind w:right="100"/>
        <w:spacing w:after="0" w:line="318" w:lineRule="auto"/>
        <w:rPr>
          <w:sz w:val="20"/>
          <w:szCs w:val="20"/>
          <w:color w:val="auto"/>
        </w:rPr>
      </w:pPr>
      <w:r>
        <w:rPr>
          <w:rFonts w:ascii="Times New Roman" w:cs="Times New Roman" w:eastAsia="Times New Roman" w:hAnsi="Times New Roman"/>
          <w:sz w:val="17"/>
          <w:szCs w:val="17"/>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3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United States (a)</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886.6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644.9</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2,679.9</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1,882.5</w:t>
            </w: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Americas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353.2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1,162.3</w:t>
            </w:r>
          </w:p>
        </w:tc>
      </w:tr>
      <w:tr>
        <w:trPr>
          <w:trHeight w:val="209"/>
        </w:trPr>
        <w:tc>
          <w:tcPr>
            <w:tcW w:w="5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1,239.8</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3,753.7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3,044.8</w:t>
            </w: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Southern Europe: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1,159.5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3,590.1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3,852.7</w:t>
            </w: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1,328.3</w:t>
            </w:r>
          </w:p>
        </w:tc>
      </w:tr>
      <w:tr>
        <w:trPr>
          <w:trHeight w:val="216"/>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Southern Europe</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1,550.6</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1,784.3</w:t>
            </w:r>
          </w:p>
        </w:tc>
      </w:t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2,039.8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6,435.1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6,965.3</w:t>
            </w:r>
          </w:p>
        </w:tc>
      </w:tr>
      <w:tr>
        <w:trPr>
          <w:trHeight w:val="209"/>
        </w:trPr>
        <w:tc>
          <w:tcPr>
            <w:tcW w:w="5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Northern Europe</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3,490.9</w:t>
            </w: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APME</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1,808.8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1,858.5</w:t>
            </w:r>
          </w:p>
        </w:tc>
      </w:t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4,820.6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5,158.0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15,073.3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15,359.5</w:t>
            </w:r>
          </w:p>
        </w:tc>
      </w:tr>
      <w:tr>
        <w:trPr>
          <w:trHeight w:val="209"/>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4,800.9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5,140.6</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15,018.3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15,342.1</w:t>
            </w: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unit profit: (c)</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Americas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r>
      <w:tr>
        <w:trPr>
          <w:trHeight w:val="209"/>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r>
      <w:tr>
        <w:trPr>
          <w:trHeight w:val="21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Southern Europe: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Southern Europe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r>
      <w:tr>
        <w:trPr>
          <w:trHeight w:val="210"/>
        </w:trPr>
        <w:tc>
          <w:tcPr>
            <w:tcW w:w="5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299.4</w:t>
            </w:r>
          </w:p>
        </w:tc>
      </w:tr>
      <w:tr>
        <w:trPr>
          <w:trHeight w:val="209"/>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Northern Europe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APME</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r>
      <w:tr>
        <w:trPr>
          <w:trHeight w:val="210"/>
        </w:trPr>
        <w:tc>
          <w:tcPr>
            <w:tcW w:w="5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543.2</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(110.5 )</w:t>
            </w: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10"/>
        </w:trPr>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418.8</w:t>
            </w: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10"/>
        </w:trPr>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145.6</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405.7</w:t>
            </w: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-4422775</wp:posOffset>
            </wp:positionV>
            <wp:extent cx="7747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-4422775</wp:posOffset>
            </wp:positionV>
            <wp:extent cx="68580"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-4422775</wp:posOffset>
            </wp:positionV>
            <wp:extent cx="6858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-3865245</wp:posOffset>
            </wp:positionV>
            <wp:extent cx="7747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-3865245</wp:posOffset>
            </wp:positionV>
            <wp:extent cx="6858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-3865245</wp:posOffset>
            </wp:positionV>
            <wp:extent cx="6858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-3300095</wp:posOffset>
            </wp:positionV>
            <wp:extent cx="7747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-3300095</wp:posOffset>
            </wp:positionV>
            <wp:extent cx="6858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-3300095</wp:posOffset>
            </wp:positionV>
            <wp:extent cx="6858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-3007995</wp:posOffset>
            </wp:positionV>
            <wp:extent cx="7747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-3007995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-3007995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-2150745</wp:posOffset>
            </wp:positionV>
            <wp:extent cx="7747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-2150745</wp:posOffset>
            </wp:positionV>
            <wp:extent cx="6858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-2150745</wp:posOffset>
            </wp:positionV>
            <wp:extent cx="6858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-1302385</wp:posOffset>
            </wp:positionV>
            <wp:extent cx="77470"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-1302385</wp:posOffset>
            </wp:positionV>
            <wp:extent cx="6858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-1302385</wp:posOffset>
            </wp:positionV>
            <wp:extent cx="6858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-736600</wp:posOffset>
            </wp:positionV>
            <wp:extent cx="7747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-736600</wp:posOffset>
            </wp:positionV>
            <wp:extent cx="6858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-736600</wp:posOffset>
            </wp:positionV>
            <wp:extent cx="68580"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-453390</wp:posOffset>
            </wp:positionV>
            <wp:extent cx="77470" cy="146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-453390</wp:posOffset>
            </wp:positionV>
            <wp:extent cx="6858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-453390</wp:posOffset>
            </wp:positionV>
            <wp:extent cx="6858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-170815</wp:posOffset>
            </wp:positionV>
            <wp:extent cx="7747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15"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United States, revenues from services included fees received from the related franchise offices of $3.7 and $3.3 for the three months ended September 30,</w:t>
      </w:r>
    </w:p>
    <w:p>
      <w:pPr>
        <w:spacing w:after="0" w:line="47" w:lineRule="exact"/>
        <w:rPr>
          <w:rFonts w:ascii="Times New Roman" w:cs="Times New Roman" w:eastAsia="Times New Roman" w:hAnsi="Times New Roman"/>
          <w:sz w:val="17"/>
          <w:szCs w:val="17"/>
          <w:color w:val="auto"/>
        </w:rPr>
      </w:pPr>
    </w:p>
    <w:p>
      <w:pPr>
        <w:ind w:right="160"/>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 and 2021, respectively, and $9.7 and $9.4 for the nine months ended September 30, 2022 and 2021, respectively. These fees are primarily based on revenues generated by the franchise offices, which were $121.9 and $121.3 for the three months ended September 30, 2022 and 2021, respectively, and $360.8 and $353.4 for the nine months ended September 30, 2022 and 2021, respectively.</w:t>
      </w:r>
    </w:p>
    <w:p>
      <w:pPr>
        <w:spacing w:after="0" w:line="68" w:lineRule="exact"/>
        <w:rPr>
          <w:rFonts w:ascii="Times New Roman" w:cs="Times New Roman" w:eastAsia="Times New Roman" w:hAnsi="Times New Roman"/>
          <w:sz w:val="17"/>
          <w:szCs w:val="17"/>
          <w:color w:val="auto"/>
        </w:rPr>
      </w:pPr>
    </w:p>
    <w:p>
      <w:pPr>
        <w:ind w:right="160" w:firstLine="8"/>
        <w:spacing w:after="0" w:line="298" w:lineRule="auto"/>
        <w:tabs>
          <w:tab w:leader="none" w:pos="24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consolidated revenues from services include fees received from our franchise offices of $4.4 and $3.9 for the three months ended September 30, 2022 and 2021, respectively, and $11.9 and $11.0 for the nine months ended September 30, 2022 and 2021, respectively. These fees are primarily based on revenues generated by the franchise offices, which were $264.0 and $253.3 for the three months ended September 30, 2022 and 2021, respectively, and $804.8 and $755.9 for the nine months ended September 30, 2022 and 2021, respectively.</w:t>
      </w:r>
    </w:p>
    <w:p>
      <w:pPr>
        <w:spacing w:after="0" w:line="55" w:lineRule="exact"/>
        <w:rPr>
          <w:rFonts w:ascii="Times New Roman" w:cs="Times New Roman" w:eastAsia="Times New Roman" w:hAnsi="Times New Roman"/>
          <w:sz w:val="17"/>
          <w:szCs w:val="17"/>
          <w:color w:val="auto"/>
        </w:rPr>
      </w:pPr>
    </w:p>
    <w:p>
      <w:pPr>
        <w:ind w:right="340" w:firstLine="8"/>
        <w:spacing w:after="0" w:line="306" w:lineRule="auto"/>
        <w:tabs>
          <w:tab w:leader="none" w:pos="23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25"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See the financial measures section on page 37 for further information on the Non-GAAP financial measures of constant currency and organic constant currency.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2021, as well as the Company's Quarterly Report on Form 10-Q for the quarter ended March 31, 2022, which information is incorporated herein by reference. Such risks and uncertainties include, but are not limited to, the impacts of the COVID-19 pandemic and related economic conditions and the Company’s efforts to respond to such impacts; volatile, negative or uncertain economic conditions, including as a result of the Russia-Ukraine War, any sanction, supply chain disruptions or increased economic uncertainty related to the ongoing conflict;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Overview</w:t>
      </w:r>
    </w:p>
    <w:p>
      <w:pPr>
        <w:spacing w:after="0" w:line="22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experienced in the third quarter of 2022, we are generally able to improve our profitability and operating leverage as our cost base can support some increase in business without a similar increase in selling and administrative expenses. By contrast, during periods of decreased demand, our operating profit is generally impacted unfavorably as we experience a deleveraging of selling and administrative expenses, which may not decline at the same pace as revenues.</w:t>
      </w:r>
    </w:p>
    <w:p>
      <w:pPr>
        <w:spacing w:after="0" w:line="154"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auto"/>
        </w:rPr>
        <w:t>As we concluded the third quarter of 2022, we observed strong labor markets and continued solid demand. However, we also believe that downside risks to the global economic outlook have increased significantly. This economic risk is particularly high in Europe, driven by elevated inflation, rising energy prices, the Russia-Ukraine war and higher interest rates. Within Europe, Germany's industrial economy is especially sensitive to increases in energy costs, which could impact other countries given the importance of the German economy. As Europe represents a significant portion of our operations, we continue to monitor economic conditions in our Southern Europe and Northern Europe regions.</w:t>
      </w:r>
    </w:p>
    <w:p>
      <w:pPr>
        <w:spacing w:after="0" w:line="15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During the third quarter of 2022, the significant strengthening of the dollar, particularly against the Euro, had a 12.0% unfavorable impact on revenues from services and an approximately $0.32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the translation of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40"/>
        <w:spacing w:after="0" w:line="314" w:lineRule="auto"/>
        <w:rPr>
          <w:sz w:val="20"/>
          <w:szCs w:val="20"/>
          <w:color w:val="auto"/>
        </w:rPr>
      </w:pPr>
      <w:r>
        <w:rPr>
          <w:rFonts w:ascii="Times New Roman" w:cs="Times New Roman" w:eastAsia="Times New Roman" w:hAnsi="Times New Roman"/>
          <w:sz w:val="17"/>
          <w:szCs w:val="17"/>
          <w:color w:val="auto"/>
        </w:rPr>
        <w:t>During the third quarter of 2022, we experienced a 24.3% revenue increase in the Americas, primarily driven by our acquisition of the ettain group in the United States in the fourth quarter of 2021, which now operates as part of our Experis brand, and increased demand for our staffing/interim services. We refer to the ettain group acquisition as the "Experis acquisition." During the third quarter of 2022 compared to the third quarter of 2021, revenues decreased -14.4% and -18.2% in Southern Europe and Northern Europe, respectively, primarily due to unfavorable exchange rates and a decrease in our Manpower staffing/interim business. We experienced a -4.0% revenue decrease in APME in the third quarter of 2022 compared to the third quarter of 2021 primarily due to the unfavorable currency exchange rate impact, partially offset by an increase in our Manpower staffing/interim and Experis business.</w:t>
      </w:r>
    </w:p>
    <w:p>
      <w:pPr>
        <w:spacing w:after="0" w:line="12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From a brand perspective, we experienced a revenue decrease in Manpower, and revenue increases in Experis and Talent Solutions during the third quarter of 2022 compared to the third quarter of 2021. The revenue decrease in our Manpower brand was due to the unfavorable currency exchange rate impact, partially offset by solid demand for staffing services and an increase in our permanent recruitment business. In our Experis brand, the revenue increase was primarily due to the Experis acquisition in the United States, improved demand for our interim services and an increase in our permanent recruitment business. On an overall basis, the revenue increase in our Talent Solutions brand, which includes Recruitment Process Outsourcing (RPO), TAPFIN - Managed Service Provider (MSP) and our Right Management offerings, was driven mostly by increased demand for our RPO services as the permanent recruitment environment was strong during the quarter.</w:t>
      </w:r>
    </w:p>
    <w:p>
      <w:pPr>
        <w:spacing w:after="0" w:line="142"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color w:val="auto"/>
        </w:rPr>
        <w:t>Our gross profit margin improved in the third quarter of 2022 compared to the third quarter of 2021 primarily due to a favorable change in business mix, particularly in our staffing/interim businesses, and growth in higher margin offerings including our permanent recruitment business which grew 16.1% (27.9% in constant currency and 26.7% in organic constant currency). The increase in gross profit margin was also due a higher percentage of revenue mix coming from our higher-margin professional staffing and Talent Solutions offerings, including from the Experis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integration costs of $5.6 million in the third quarter of 2022 relating to our Experis acquisition, which closed in the fourth quarter of 2021.</w:t>
      </w:r>
    </w:p>
    <w:p>
      <w:pPr>
        <w:spacing w:after="0" w:line="2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Our operating profit increased 7.4% in the third quarter of 2022 while our operating profit margin increased 50 basis points compared to the third quarter of 2021. Excluding Experis acquisition integration costs of $5.6 incurred in the third quarter of 2022 and restructuring costs and Experis acquisition transaction costs incurred in the third quarter of 2021, our operating profit increased 3.2% while operating profit margin increased 30 basis points compared to the third quarter of 2021. The operating profit margin increased primarily due to the improvement in our gross profit margin as a result of an improved business mix.</w:t>
      </w:r>
    </w:p>
    <w:p>
      <w:pPr>
        <w:spacing w:after="0" w:line="137" w:lineRule="exact"/>
        <w:rPr>
          <w:sz w:val="20"/>
          <w:szCs w:val="20"/>
          <w:color w:val="auto"/>
        </w:rPr>
      </w:pPr>
    </w:p>
    <w:p>
      <w:pPr>
        <w:ind w:right="60"/>
        <w:spacing w:after="0" w:line="330" w:lineRule="auto"/>
        <w:rPr>
          <w:sz w:val="20"/>
          <w:szCs w:val="20"/>
          <w:color w:val="auto"/>
        </w:rPr>
      </w:pPr>
      <w:r>
        <w:rPr>
          <w:rFonts w:ascii="Times New Roman" w:cs="Times New Roman" w:eastAsia="Times New Roman" w:hAnsi="Times New Roman"/>
          <w:sz w:val="17"/>
          <w:szCs w:val="17"/>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September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September 30, 2022 as compared to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189"/>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6"/>
                <w:szCs w:val="16"/>
                <w:color w:val="auto"/>
              </w:rPr>
            </w:pPr>
          </w:p>
        </w:tc>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0" w:type="dxa"/>
            <w:vAlign w:val="bottom"/>
            <w:vMerge w:val="restart"/>
          </w:tcPr>
          <w:p>
            <w:pPr>
              <w:spacing w:after="0"/>
              <w:rPr>
                <w:sz w:val="16"/>
                <w:szCs w:val="16"/>
                <w:color w:val="auto"/>
              </w:rPr>
            </w:pPr>
          </w:p>
        </w:tc>
        <w:tc>
          <w:tcPr>
            <w:tcW w:w="14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4,800.9</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5,140.6</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3,922.4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4,287.6</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853.0</w:t>
            </w:r>
          </w:p>
        </w:tc>
        <w:tc>
          <w:tcPr>
            <w:tcW w:w="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1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18.3 %</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16.6 %</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702.5</w:t>
            </w:r>
          </w:p>
        </w:tc>
        <w:tc>
          <w:tcPr>
            <w:tcW w:w="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0" w:type="dxa"/>
            <w:vAlign w:val="bottom"/>
          </w:tcPr>
          <w:p>
            <w:pPr>
              <w:spacing w:after="0"/>
              <w:rPr>
                <w:sz w:val="1"/>
                <w:szCs w:val="1"/>
                <w:color w:val="auto"/>
              </w:rPr>
            </w:pPr>
          </w:p>
        </w:tc>
      </w:tr>
      <w:tr>
        <w:trPr>
          <w:trHeight w:val="20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3.4 %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2.9 %</w:t>
            </w: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29.0 %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32.9 %</w:t>
            </w: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 – diluted</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 diluted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283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4972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18" w:lineRule="exact"/>
        <w:rPr>
          <w:sz w:val="20"/>
          <w:szCs w:val="20"/>
          <w:color w:val="auto"/>
        </w:rPr>
      </w:pPr>
    </w:p>
    <w:p>
      <w:pPr>
        <w:ind w:right="660"/>
        <w:spacing w:after="0" w:line="329" w:lineRule="auto"/>
        <w:rPr>
          <w:sz w:val="20"/>
          <w:szCs w:val="20"/>
          <w:color w:val="auto"/>
        </w:rPr>
      </w:pPr>
      <w:r>
        <w:rPr>
          <w:rFonts w:ascii="Times New Roman" w:cs="Times New Roman" w:eastAsia="Times New Roman" w:hAnsi="Times New Roman"/>
          <w:sz w:val="18"/>
          <w:szCs w:val="18"/>
          <w:color w:val="auto"/>
        </w:rPr>
        <w:t>The year-over-year decrease in revenues from services of -6.6% (increase of 5.4% in constant currency and 2.1% in organic constant currency) was attributed to:</w:t>
      </w:r>
    </w:p>
    <w:p>
      <w:pPr>
        <w:spacing w:after="0" w:line="121" w:lineRule="exact"/>
        <w:rPr>
          <w:sz w:val="20"/>
          <w:szCs w:val="20"/>
          <w:color w:val="auto"/>
        </w:rPr>
      </w:pPr>
    </w:p>
    <w:p>
      <w:pPr>
        <w:ind w:left="760" w:right="120" w:hanging="378"/>
        <w:spacing w:after="0" w:line="303"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Southern Europe of -14.4% (-0.7% in constant currency and -1.1% in organic constant currency). France, the largest market in Southern Europe, experienced a revenue decrease of -12.0% (increase of 3.1% in constant currency and 2.3% in organic constant currency), which was primarily due to the unfavorable impact of change in currency exchange rates, partially offset by increased demand for our</w:t>
      </w:r>
    </w:p>
    <w:p>
      <w:pPr>
        <w:spacing w:after="0" w:line="2" w:lineRule="exact"/>
        <w:rPr>
          <w:rFonts w:ascii="Times New Roman" w:cs="Times New Roman" w:eastAsia="Times New Roman" w:hAnsi="Times New Roman"/>
          <w:sz w:val="17"/>
          <w:szCs w:val="17"/>
          <w:color w:val="auto"/>
        </w:rPr>
      </w:pPr>
    </w:p>
    <w:p>
      <w:pPr>
        <w:ind w:left="760" w:right="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Manpower staffing services, although supply chain constraints have negatively impacted the demand for our services in certain sectors, primarily automotive and construction, and to a lesser degree, logistics. Italy, our second-largest market in Southern Europe, experienced a revenue</w:t>
      </w:r>
    </w:p>
    <w:p>
      <w:pPr>
        <w:spacing w:after="0" w:line="1" w:lineRule="exact"/>
        <w:rPr>
          <w:rFonts w:ascii="Times New Roman" w:cs="Times New Roman" w:eastAsia="Times New Roman" w:hAnsi="Times New Roman"/>
          <w:sz w:val="17"/>
          <w:szCs w:val="17"/>
          <w:color w:val="auto"/>
        </w:rPr>
      </w:pPr>
    </w:p>
    <w:p>
      <w:pPr>
        <w:ind w:left="760" w:right="26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decrease of -13.4% (increase of 1.4% in constant currency), which was primarily due to the unfavorable impact of foreign currency exchange rates and the anniversary impact of significant revenue growth in the prior year period, partially offset by increased demand for our Manpower staffing services;</w:t>
      </w:r>
    </w:p>
    <w:p>
      <w:pPr>
        <w:spacing w:after="0" w:line="149" w:lineRule="exact"/>
        <w:rPr>
          <w:rFonts w:ascii="Times New Roman" w:cs="Times New Roman" w:eastAsia="Times New Roman" w:hAnsi="Times New Roman"/>
          <w:sz w:val="17"/>
          <w:szCs w:val="17"/>
          <w:color w:val="auto"/>
        </w:rPr>
      </w:pPr>
    </w:p>
    <w:p>
      <w:pPr>
        <w:jc w:val="both"/>
        <w:ind w:left="760" w:right="460" w:hanging="378"/>
        <w:spacing w:after="0" w:line="30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Northern Europe of -18.2% (-3.9% in constant currency and -1.2% in organic constant currency), primarily due to the unfavorable impact of foreign currency exchange rates, the disposition of our Russia business and lower demand for our Manpower staffing</w:t>
      </w:r>
    </w:p>
    <w:p>
      <w:pPr>
        <w:spacing w:after="0" w:line="1" w:lineRule="exact"/>
        <w:rPr>
          <w:rFonts w:ascii="Times New Roman" w:cs="Times New Roman" w:eastAsia="Times New Roman" w:hAnsi="Times New Roman"/>
          <w:sz w:val="17"/>
          <w:szCs w:val="17"/>
          <w:color w:val="auto"/>
        </w:rPr>
      </w:pPr>
    </w:p>
    <w:p>
      <w:pPr>
        <w:ind w:left="760" w:right="340"/>
        <w:spacing w:after="0" w:line="3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services, partially offset by the 15.5% increase (36.4% in constant currency and 39.7% in organic constant currency) in the permanent recruitment business. We experienced revenue decreases in the United Kingdom, Nordics, Germany, the Netherlands and Belgium of -18.3%, -10.0%, -25.4%, -19.9% and -11.8%, respectively (-4.2%, +5.9%, -12.6%, -6.3%, and +3.2%, respectively, in constant currency); and</w:t>
      </w:r>
    </w:p>
    <w:p>
      <w:pPr>
        <w:spacing w:after="0" w:line="11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APME of -4.0% (increase of 12.0% in constant currency) primarily due to the unfavorable impact of change in currency</w:t>
      </w:r>
    </w:p>
    <w:p>
      <w:pPr>
        <w:spacing w:after="0" w:line="49" w:lineRule="exact"/>
        <w:rPr>
          <w:rFonts w:ascii="Times New Roman" w:cs="Times New Roman" w:eastAsia="Times New Roman" w:hAnsi="Times New Roman"/>
          <w:sz w:val="18"/>
          <w:szCs w:val="18"/>
          <w:color w:val="auto"/>
        </w:rPr>
      </w:pPr>
    </w:p>
    <w:p>
      <w:pPr>
        <w:ind w:left="760" w:right="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partially offset by increased demand for our Manpower Staffing services and Experis interim services and an increase in demand for our permanent recruitment business; partially offset by</w:t>
      </w:r>
    </w:p>
    <w:p>
      <w:pPr>
        <w:spacing w:after="0" w:line="135" w:lineRule="exact"/>
        <w:rPr>
          <w:rFonts w:ascii="Times New Roman" w:cs="Times New Roman" w:eastAsia="Times New Roman" w:hAnsi="Times New Roman"/>
          <w:sz w:val="18"/>
          <w:szCs w:val="18"/>
          <w:color w:val="auto"/>
        </w:rPr>
      </w:pPr>
    </w:p>
    <w:p>
      <w:pPr>
        <w:ind w:left="760" w:right="300" w:hanging="378"/>
        <w:spacing w:after="0" w:line="306"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increase in the Americas of 24.3% (27.1% in constant currency and 7.8% in organic constant currency) primarily due to the Experis acquisition, partially offset by the unfavorable impact of change in currency exchange rates. The United States, our largest market in the</w:t>
      </w:r>
    </w:p>
    <w:p>
      <w:pPr>
        <w:spacing w:after="0" w:line="1" w:lineRule="exact"/>
        <w:rPr>
          <w:rFonts w:ascii="Times New Roman" w:cs="Times New Roman" w:eastAsia="Times New Roman" w:hAnsi="Times New Roman"/>
          <w:sz w:val="17"/>
          <w:szCs w:val="17"/>
          <w:color w:val="auto"/>
        </w:rPr>
      </w:pPr>
    </w:p>
    <w:p>
      <w:pPr>
        <w:ind w:left="760" w:right="66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Americas, experienced revenue growth of 37.5% (7.6% on an organic basis) primarily driven by increased demand for our Experis staffing/interim services including the significant contribution to revenues from our Experis acquisition and an increase in our permanent recruitment business of 34.7% (27.4% on an organic basis).</w:t>
      </w: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3"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year-over-year 170 basis point increase in gross profit margin was primarily attributed to:</w:t>
      </w:r>
    </w:p>
    <w:p>
      <w:pPr>
        <w:spacing w:after="0" w:line="198"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basis point favorable impact from the improvement in the staffing/interim margins;</w:t>
      </w:r>
    </w:p>
    <w:p>
      <w:pPr>
        <w:spacing w:after="0" w:line="225" w:lineRule="exact"/>
        <w:rPr>
          <w:rFonts w:ascii="Times New Roman" w:cs="Times New Roman" w:eastAsia="Times New Roman" w:hAnsi="Times New Roman"/>
          <w:sz w:val="18"/>
          <w:szCs w:val="18"/>
          <w:color w:val="auto"/>
        </w:rPr>
      </w:pPr>
    </w:p>
    <w:p>
      <w:pPr>
        <w:ind w:left="760" w:right="180" w:hanging="378"/>
        <w:spacing w:after="0" w:line="313"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basis point favorable change in business mix as the higher-margin permanent recruitment business represented a higher percentage of the revenue mix;</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favorable impact from the Experis acquisition;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favorable impact from the changes in currency exchange rates;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from the margin improvement in the Talent Solutions portion of our business.</w:t>
      </w:r>
    </w:p>
    <w:p>
      <w:pPr>
        <w:spacing w:after="0" w:line="225"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The 2.0% increase in selling and administrative expenses in the third quarter of 2022 (12.7% in constant currency; 7.9% in organic constant currency) was primarily attributed to:</w:t>
      </w:r>
    </w:p>
    <w:p>
      <w:pPr>
        <w:spacing w:after="0" w:line="135" w:lineRule="exact"/>
        <w:rPr>
          <w:sz w:val="20"/>
          <w:szCs w:val="20"/>
          <w:color w:val="auto"/>
        </w:rPr>
      </w:pPr>
    </w:p>
    <w:p>
      <w:pPr>
        <w:jc w:val="both"/>
        <w:ind w:left="760" w:right="440" w:hanging="378"/>
        <w:spacing w:after="0" w:line="306"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4.3% increase (15.1% in constant currency and 10.6% in organic constant currency) in personnel costs due to the increase in salary costs related to additional headcount as we invested in incremental recruiters and sales talent to support revenue growth in certain markets. The</w:t>
      </w:r>
    </w:p>
    <w:p>
      <w:pPr>
        <w:spacing w:after="0" w:line="1" w:lineRule="exact"/>
        <w:rPr>
          <w:rFonts w:ascii="Times New Roman" w:cs="Times New Roman" w:eastAsia="Times New Roman" w:hAnsi="Times New Roman"/>
          <w:sz w:val="17"/>
          <w:szCs w:val="17"/>
          <w:color w:val="auto"/>
        </w:rPr>
      </w:pPr>
    </w:p>
    <w:p>
      <w:pPr>
        <w:ind w:left="760" w:right="3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increase in salary costs was also due to an increase in variable incentive costs as a result of improved profitability in most markets; partially offset by</w:t>
      </w:r>
    </w:p>
    <w:p>
      <w:pPr>
        <w:spacing w:after="0" w:line="135" w:lineRule="exact"/>
        <w:rPr>
          <w:rFonts w:ascii="Times New Roman" w:cs="Times New Roman" w:eastAsia="Times New Roman" w:hAnsi="Times New Roman"/>
          <w:sz w:val="17"/>
          <w:szCs w:val="17"/>
          <w:color w:val="auto"/>
        </w:rPr>
      </w:pPr>
    </w:p>
    <w:p>
      <w:pPr>
        <w:ind w:left="760" w:right="220" w:hanging="378"/>
        <w:spacing w:after="0" w:line="313"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$5.6 million of Experis acquisition integration costs incurred in the third quarter of 2022 compared to the $6.2 million Experis acquisition transaction costs incurred in the third quarter of 2021;</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costs of $5.3 million incurred in the third quarter of 2021;</w:t>
      </w:r>
    </w:p>
    <w:p>
      <w:pPr>
        <w:spacing w:after="0" w:line="225" w:lineRule="exact"/>
        <w:rPr>
          <w:rFonts w:ascii="Times New Roman" w:cs="Times New Roman" w:eastAsia="Times New Roman" w:hAnsi="Times New Roman"/>
          <w:sz w:val="18"/>
          <w:szCs w:val="18"/>
          <w:color w:val="auto"/>
        </w:rPr>
      </w:pPr>
    </w:p>
    <w:p>
      <w:pPr>
        <w:ind w:left="760" w:right="160" w:hanging="378"/>
        <w:spacing w:after="0" w:line="305"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decrease (increase of 9.6% in constant currency and 6.9% in organic constant currency) in non-personnel costs, excluding Experis acquisition integration costs incurred in the third quarter of 2022, due to decreases in costs related to office leases, consulting services and bad debt; and</w:t>
      </w:r>
    </w:p>
    <w:p>
      <w:pPr>
        <w:spacing w:after="0" w:line="12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-10.6% decrease due to the impact of changes in currency exchange rates.</w:t>
      </w:r>
    </w:p>
    <w:p>
      <w:pPr>
        <w:spacing w:after="0" w:line="225"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increased 120 basis points in the third quarter of 2022 compared to the third quarter of 2021 due primarily to:</w:t>
      </w:r>
    </w:p>
    <w:p>
      <w:pPr>
        <w:spacing w:after="0" w:line="135" w:lineRule="exact"/>
        <w:rPr>
          <w:sz w:val="20"/>
          <w:szCs w:val="20"/>
          <w:color w:val="auto"/>
        </w:rPr>
      </w:pPr>
    </w:p>
    <w:p>
      <w:pPr>
        <w:ind w:left="760" w:right="480" w:hanging="378"/>
        <w:spacing w:after="0" w:line="313"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 basis point unfavorable impact as personnel costs increased, due to the investment in incremental recruiters and sales talent in certain markets where we see opportunities, without a similar rate of increase in revenues;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unfavorable impact from changes in currency exchange rates; and</w:t>
      </w:r>
    </w:p>
    <w:p>
      <w:pPr>
        <w:spacing w:after="0" w:line="225" w:lineRule="exact"/>
        <w:rPr>
          <w:rFonts w:ascii="Times New Roman" w:cs="Times New Roman" w:eastAsia="Times New Roman" w:hAnsi="Times New Roman"/>
          <w:sz w:val="18"/>
          <w:szCs w:val="18"/>
          <w:color w:val="auto"/>
        </w:rPr>
      </w:pPr>
    </w:p>
    <w:p>
      <w:pPr>
        <w:ind w:left="760" w:right="300" w:hanging="378"/>
        <w:spacing w:after="0" w:line="313"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due to an increase in non-personnel costs, excluding Experis acquisition costs, to support the increase in revenues; partially offset by</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as a result of the restructuring costs incurred in the third quarter of 2021.</w:t>
      </w:r>
    </w:p>
    <w:p>
      <w:pPr>
        <w:spacing w:after="0" w:line="2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Interest and other expenses, net is comprised of interest, foreign exchange gains and losses and other miscellaneous non-operating income and expenses, including noncontrolling interests. Interest and other expenses, net was $4.7 million in the third quarter of 2022 compared to $4.9 million in the third quarter of 2021 primarily due to an increase in pension returns and a favorable true-up of the estimate on a non-controlling interest buy-out, partially offset by increased foreign exchange loss.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29" w:name="page30"/>
    <w:bookmarkEnd w:id="29"/>
    <w:p>
      <w:pPr>
        <w:ind w:right="60"/>
        <w:spacing w:after="0" w:line="293" w:lineRule="auto"/>
        <w:rPr>
          <w:sz w:val="20"/>
          <w:szCs w:val="20"/>
          <w:color w:val="auto"/>
        </w:rPr>
      </w:pPr>
      <w:r>
        <w:rPr>
          <w:rFonts w:ascii="Times New Roman" w:cs="Times New Roman" w:eastAsia="Times New Roman" w:hAnsi="Times New Roman"/>
          <w:sz w:val="18"/>
          <w:szCs w:val="18"/>
          <w:color w:val="auto"/>
        </w:rPr>
        <w:t>We recorded income tax expense at an effective rate of 29.0% in the third quarter of 2022, as compared to an effective rate of 32.9% for the third quarter of 2021. The 2022 rate was favorably impacted by the scheduled reduction in the French corporate tax rate to 25% and a higher level of pre-tax earnings with a more beneficial mix diluting the impact of the French business tax. The 29.0% effective tax rate in the third quarter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4"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auto"/>
        </w:rPr>
        <w:t>Net earnings per share - diluted was $2.13 in the third quarter of 2022 compared to $1.77 in the third quarter of 2021. Foreign currency exchange rates unfavorably impacted net earnings per share - diluted by approximately $0.32 per share in the third quarter of 2022. The Experis acquisition integration costs in the third quarter of 2022 negatively impacted net earnings per share - diluted by approximately $0.08, net of tax. Restructuring costs recorded in the third quarter of 2021 negatively impacted net earnings per share – diluted by approximately $0.07, net of tax, in the third quarter of 2021. The Experis acquisition transaction costs in the third quarter of 2021 negatively impacted net earnings per share - diluted by approximately $0.09, net of tax, in the third quarter of 2021.</w:t>
      </w:r>
    </w:p>
    <w:p>
      <w:pPr>
        <w:spacing w:after="0" w:line="153"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Weighted average shares - diluted decreased to 52.3 million in the third quarter of 2022 from 55.2 million in the third quarter of 2021. This decrease was due to the impact of share repurchases completed since the third quarter of 2021, partially offset by shares issued as a result of vesting of share-based awards.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Results - Nine Months Ended September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nine months ended September 30, 2022 as compared to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189"/>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6"/>
                <w:szCs w:val="16"/>
                <w:color w:val="auto"/>
              </w:rPr>
            </w:pPr>
          </w:p>
        </w:tc>
        <w:tc>
          <w:tcPr>
            <w:tcW w:w="144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400" w:type="dxa"/>
            <w:vAlign w:val="bottom"/>
            <w:gridSpan w:val="3"/>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38"/>
        </w:trPr>
        <w:tc>
          <w:tcPr>
            <w:tcW w:w="5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15,342.1</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12,860.9</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18.0 %</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16.2 %</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3.2 %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2.7 %</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30.3 %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33.1 %</w:t>
            </w: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 – diluted</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38.1 %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282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4972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191" w:lineRule="exact"/>
        <w:rPr>
          <w:sz w:val="20"/>
          <w:szCs w:val="20"/>
          <w:color w:val="auto"/>
        </w:rPr>
      </w:pPr>
    </w:p>
    <w:p>
      <w:pPr>
        <w:ind w:right="660"/>
        <w:spacing w:after="0" w:line="313" w:lineRule="auto"/>
        <w:rPr>
          <w:sz w:val="20"/>
          <w:szCs w:val="20"/>
          <w:color w:val="auto"/>
        </w:rPr>
      </w:pPr>
      <w:r>
        <w:rPr>
          <w:rFonts w:ascii="Times New Roman" w:cs="Times New Roman" w:eastAsia="Times New Roman" w:hAnsi="Times New Roman"/>
          <w:sz w:val="18"/>
          <w:szCs w:val="18"/>
          <w:color w:val="auto"/>
        </w:rPr>
        <w:t>The year-over-year decrease in revenues from services of -2.1% (increase of 6.9% in constant currency and 3.6% in organic constant currency) was attributed to:</w:t>
      </w:r>
    </w:p>
    <w:p>
      <w:pPr>
        <w:spacing w:after="0" w:line="135" w:lineRule="exact"/>
        <w:rPr>
          <w:sz w:val="20"/>
          <w:szCs w:val="20"/>
          <w:color w:val="auto"/>
        </w:rPr>
      </w:pPr>
    </w:p>
    <w:p>
      <w:pPr>
        <w:ind w:left="760" w:right="80" w:hanging="378"/>
        <w:spacing w:after="0" w:line="303"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revenue decrease in Southern Europe of -7.6% (increase of 3.2% in constant currency and 3.0% in organic constant currency). France, the largest market in Southern Europe, experienced a revenue decrease of -6.8% (increase of 4.9% in constant currency and 4.6% in organic constant currency), which was primarily due to the unfavorable impact of changes in currency exchange rates and decreased demand for our Manpower</w:t>
      </w:r>
    </w:p>
    <w:p>
      <w:pPr>
        <w:spacing w:after="0" w:line="2" w:lineRule="exact"/>
        <w:rPr>
          <w:rFonts w:ascii="Times New Roman" w:cs="Times New Roman" w:eastAsia="Times New Roman" w:hAnsi="Times New Roman"/>
          <w:sz w:val="17"/>
          <w:szCs w:val="17"/>
          <w:color w:val="auto"/>
        </w:rPr>
      </w:pPr>
    </w:p>
    <w:p>
      <w:pPr>
        <w:ind w:left="760"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staffing services as supply chain constraints have negatively impacted the demand for our services in certain sectors, primarily automotive and construction, and to a lesser degree, logistics, and a 13.1% increase (27.0% in constant currency) in the permanent recruitment business. Italy, the</w:t>
      </w:r>
    </w:p>
    <w:p>
      <w:pPr>
        <w:spacing w:after="0" w:line="1" w:lineRule="exact"/>
        <w:rPr>
          <w:rFonts w:ascii="Times New Roman" w:cs="Times New Roman" w:eastAsia="Times New Roman" w:hAnsi="Times New Roman"/>
          <w:sz w:val="17"/>
          <w:szCs w:val="17"/>
          <w:color w:val="auto"/>
        </w:rPr>
      </w:pPr>
    </w:p>
    <w:p>
      <w:pPr>
        <w:ind w:left="760" w:right="12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second-largest market in Southern Europe, experienced a revenue decrease of -2.6% (increase of 9.5% in constant currency) primarily due to the unfavorable impact of changes in currency exchange rates, partially offset by the increased demand for our Manpower staffing services and Experis interim services and a 19.8% increase (34.6% in constant currency) in the permanent recruitment business;</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26" w:right="299" w:bottom="1440" w:gutter="0" w:footer="0" w:header="0"/>
        </w:sectPr>
      </w:pPr>
    </w:p>
    <w:bookmarkStart w:id="30" w:name="page31"/>
    <w:bookmarkEnd w:id="30"/>
    <w:p>
      <w:pPr>
        <w:ind w:left="760" w:hanging="378"/>
        <w:spacing w:after="0" w:line="28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Northern Europe of -11.9% (-1.5% in constant currency and an increase of 0.9% in organic constant currency), primarily due to the unfavorable impact of changes in currency exchange rates and the sale of our Russia business, partially offset by increased demand for our Experis staffing services and the 30.5% increase (46.6% in constant currency and 49.5% in organic constant currency) in the permanent</w:t>
      </w:r>
    </w:p>
    <w:p>
      <w:pPr>
        <w:spacing w:after="0" w:line="2" w:lineRule="exact"/>
        <w:rPr>
          <w:rFonts w:ascii="Times New Roman" w:cs="Times New Roman" w:eastAsia="Times New Roman" w:hAnsi="Times New Roman"/>
          <w:sz w:val="18"/>
          <w:szCs w:val="18"/>
          <w:color w:val="auto"/>
        </w:rPr>
      </w:pPr>
    </w:p>
    <w:p>
      <w:pPr>
        <w:ind w:left="7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business. We experienced revenue decreases in the United Kingdom, Nordics, Germany, Netherlands and Belgium of -12.3%, -2.2%, -18.3%, -15.0% and -7.4%, respectively (-3.5%, +10.5%, -8.2%, -4.6% and +4.3%, respectively, in constant currency); and</w:t>
      </w:r>
    </w:p>
    <w:p>
      <w:pPr>
        <w:spacing w:after="0" w:line="135" w:lineRule="exact"/>
        <w:rPr>
          <w:rFonts w:ascii="Times New Roman" w:cs="Times New Roman" w:eastAsia="Times New Roman" w:hAnsi="Times New Roman"/>
          <w:sz w:val="18"/>
          <w:szCs w:val="18"/>
          <w:color w:val="auto"/>
        </w:rPr>
      </w:pPr>
    </w:p>
    <w:p>
      <w:pPr>
        <w:ind w:left="760" w:right="60" w:hanging="378"/>
        <w:spacing w:after="0" w:line="305"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APME of -2.7% (increase of 9.2% in constant currency) primarily due to the unfavorable impact of currency exchange rates, partially offset by increased demand for our staffing/interim services and the 5.0% increase (15.0% in constant currency) in the permanent recruitment business; partially offset by</w:t>
      </w:r>
    </w:p>
    <w:p>
      <w:pPr>
        <w:spacing w:after="0" w:line="12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a revenue increase in the Americas of 23.3% (25.1% in constant currency and 6.1% in organic constant currency) primarily due to the Experis</w:t>
      </w:r>
    </w:p>
    <w:p>
      <w:pPr>
        <w:spacing w:after="0" w:line="49" w:lineRule="exact"/>
        <w:rPr>
          <w:rFonts w:ascii="Times New Roman" w:cs="Times New Roman" w:eastAsia="Times New Roman" w:hAnsi="Times New Roman"/>
          <w:sz w:val="18"/>
          <w:szCs w:val="18"/>
          <w:color w:val="242424"/>
        </w:rPr>
      </w:pPr>
    </w:p>
    <w:p>
      <w:pPr>
        <w:ind w:left="760" w:right="640"/>
        <w:spacing w:after="0" w:line="289" w:lineRule="auto"/>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 xml:space="preserve">acquisition, partially offset by the unfavorable impact of change in currency exchange rates. The United States, our largest market in the Americas, experienced </w:t>
      </w:r>
      <w:r>
        <w:rPr>
          <w:rFonts w:ascii="Times New Roman" w:cs="Times New Roman" w:eastAsia="Times New Roman" w:hAnsi="Times New Roman"/>
          <w:sz w:val="18"/>
          <w:szCs w:val="18"/>
          <w:color w:val="000000"/>
        </w:rPr>
        <w:t>revenue growth of 42.4% (11.6% on an organic basis) primarily driven by increased demand for our Experis</w:t>
      </w:r>
    </w:p>
    <w:p>
      <w:pPr>
        <w:spacing w:after="0" w:line="1" w:lineRule="exact"/>
        <w:rPr>
          <w:rFonts w:ascii="Times New Roman" w:cs="Times New Roman" w:eastAsia="Times New Roman" w:hAnsi="Times New Roman"/>
          <w:sz w:val="18"/>
          <w:szCs w:val="18"/>
          <w:color w:val="242424"/>
        </w:rPr>
      </w:pPr>
    </w:p>
    <w:p>
      <w:pPr>
        <w:ind w:left="760" w:right="580"/>
        <w:spacing w:after="0" w:line="313" w:lineRule="auto"/>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auto"/>
        </w:rPr>
        <w:t>staffing/interim services including the significant contribution to revenues from our Experis acquisition and an increase in our permanent recruitment business of 65.4% (54.7% on an organic basis), and increased demand for our MSP offering.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180 basis point increase in gross profit margin was primarily attributed to:</w:t>
      </w:r>
    </w:p>
    <w:p>
      <w:pPr>
        <w:spacing w:after="0" w:line="185" w:lineRule="exact"/>
        <w:rPr>
          <w:sz w:val="20"/>
          <w:szCs w:val="20"/>
          <w:color w:val="auto"/>
        </w:rPr>
      </w:pPr>
    </w:p>
    <w:p>
      <w:pPr>
        <w:ind w:left="760" w:right="220" w:hanging="378"/>
        <w:spacing w:after="0" w:line="329"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70 basis point favorable change in business mix as the higher-margin permanent recruitment business represented a higher percentage of the revenue mix;</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basis point favorable impact from the improvement in the underlying staffing/interim margins;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favorable impact from the Experis acquisition in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favorable impact from the margin improvement in the non-staffing portion of our Experis business;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favorable impact from the changes in currency exchange rates; partially offset by</w:t>
      </w:r>
    </w:p>
    <w:p>
      <w:pPr>
        <w:spacing w:after="0" w:line="211" w:lineRule="exact"/>
        <w:rPr>
          <w:rFonts w:ascii="Times New Roman" w:cs="Times New Roman" w:eastAsia="Times New Roman" w:hAnsi="Times New Roman"/>
          <w:sz w:val="18"/>
          <w:szCs w:val="18"/>
          <w:color w:val="auto"/>
        </w:rPr>
      </w:pPr>
    </w:p>
    <w:p>
      <w:pPr>
        <w:ind w:left="760" w:right="420" w:hanging="378"/>
        <w:spacing w:after="0" w:line="329"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change in business mix as the higher-margin Right Management career transition business represented a lower percentage of the revenue mix.</w:t>
      </w:r>
    </w:p>
    <w:p>
      <w:pPr>
        <w:spacing w:after="0" w:line="108"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8"/>
          <w:szCs w:val="18"/>
          <w:color w:val="auto"/>
        </w:rPr>
        <w:t>The 7.4% increase in selling and administrative expenses in the nine months ended September 30, 2022 (15.6% in constant currency; 11.1% in organic constant currency) was primarily attributed to:</w:t>
      </w:r>
    </w:p>
    <w:p>
      <w:pPr>
        <w:spacing w:after="0" w:line="121" w:lineRule="exact"/>
        <w:rPr>
          <w:sz w:val="20"/>
          <w:szCs w:val="20"/>
          <w:color w:val="auto"/>
        </w:rPr>
      </w:pPr>
    </w:p>
    <w:p>
      <w:pPr>
        <w:ind w:left="760" w:right="180" w:hanging="378"/>
        <w:spacing w:after="0" w:line="297"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8.6% increase (16.8% in constant currency and 12.6% in organic constant currency) in personnel costs due to the increase in salary costs related to additional headcount as we invested in incremental recruiters and sales talent to support revenue growth. The increase in salary costs was also due to an increase in variable incentive costs as a result of increased profitability in most markets;</w:t>
      </w:r>
    </w:p>
    <w:p>
      <w:pPr>
        <w:spacing w:after="0" w:line="149" w:lineRule="exact"/>
        <w:rPr>
          <w:rFonts w:ascii="Times New Roman" w:cs="Times New Roman" w:eastAsia="Times New Roman" w:hAnsi="Times New Roman"/>
          <w:sz w:val="18"/>
          <w:szCs w:val="18"/>
          <w:color w:val="auto"/>
        </w:rPr>
      </w:pPr>
    </w:p>
    <w:p>
      <w:pPr>
        <w:ind w:left="760" w:right="260" w:hanging="378"/>
        <w:spacing w:after="0" w:line="305"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increase (10.3% in constant currency and 8.0% in organic constant currency) in non-personnel related costs, excluding Experis acquisition integration costs and loss on the sale of our Russia business incurred in the nine months ended September 30, 2022, to support the increase in revenues;</w:t>
      </w:r>
    </w:p>
    <w:p>
      <w:pPr>
        <w:spacing w:after="0" w:line="142" w:lineRule="exact"/>
        <w:rPr>
          <w:rFonts w:ascii="Times New Roman" w:cs="Times New Roman" w:eastAsia="Times New Roman" w:hAnsi="Times New Roman"/>
          <w:sz w:val="18"/>
          <w:szCs w:val="18"/>
          <w:color w:val="auto"/>
        </w:rPr>
      </w:pPr>
    </w:p>
    <w:p>
      <w:pPr>
        <w:ind w:left="760" w:right="40" w:hanging="378"/>
        <w:spacing w:after="0" w:line="313"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 million of Experis acquisition integration costs incurred in the nine months ended September 30, 2022 compared to the $6.2 million of acquisition transaction costs incurred in the nine months ended September 30, 2021;</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disposition of our Russia business of $9.7 million incurred in the nine months ended September 30, 2022; partially offset by</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$5.3 million incurred in the nine months ended September 30, 2021; and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31" w:name="page32"/>
    <w:bookmarkEnd w:id="31"/>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-8.1% decrease due to the impact of changes in currency exchange rates.</w:t>
      </w:r>
    </w:p>
    <w:p>
      <w:pPr>
        <w:spacing w:after="0" w:line="212"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increased 140 basis points in the nine months ended September 30, 2022 compared to the nine months ended September 30, 2021 due primarily to:</w:t>
      </w:r>
    </w:p>
    <w:p>
      <w:pPr>
        <w:spacing w:after="0" w:line="108"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 basis point unfavorable impact as personnel costs increased, due to the investment in incremental recruiters and sales talent based on</w:t>
      </w:r>
    </w:p>
    <w:p>
      <w:pPr>
        <w:spacing w:after="0" w:line="49" w:lineRule="exact"/>
        <w:rPr>
          <w:rFonts w:ascii="Times New Roman" w:cs="Times New Roman" w:eastAsia="Times New Roman" w:hAnsi="Times New Roman"/>
          <w:sz w:val="18"/>
          <w:szCs w:val="18"/>
          <w:color w:val="auto"/>
        </w:rPr>
      </w:pPr>
    </w:p>
    <w:p>
      <w:pPr>
        <w:ind w:left="760" w:right="4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market activity, without a similar rate of increase in revenues. The increase in salary costs was also due to an increase in variable incentive costs as a result of increased profitability in most markets;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unfavorable impact from changes in currency exchange rates;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313"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due to an increase in non-personnel costs to support the increase in revenues, excluding Experis acquisition related costs and loss on the sale of our Russia business; and</w:t>
      </w:r>
    </w:p>
    <w:p>
      <w:pPr>
        <w:spacing w:after="0" w:line="135" w:lineRule="exact"/>
        <w:rPr>
          <w:rFonts w:ascii="Times New Roman" w:cs="Times New Roman" w:eastAsia="Times New Roman" w:hAnsi="Times New Roman"/>
          <w:sz w:val="18"/>
          <w:szCs w:val="18"/>
          <w:color w:val="auto"/>
        </w:rPr>
      </w:pPr>
    </w:p>
    <w:p>
      <w:pPr>
        <w:ind w:left="760" w:right="460" w:hanging="378"/>
        <w:spacing w:after="0" w:line="313"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from the increase in Experis acquisition related costs and the loss on disposition of our Russia business incurred in the nine months ended September 30, 2022.</w:t>
      </w:r>
    </w:p>
    <w:p>
      <w:pPr>
        <w:spacing w:after="0" w:line="13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Interest and other expenses, net is comprised of interest, foreign exchange gains and losses and other miscellaneous non-operating income and expenses, including noncontrolling interests. Interest and other expenses, net was $14.1 million in the nine months ended September 30, 2022 compared to $13.1 million in the nine months ended September 30, 2021 primarily due to the increase in the returns on pension plan assets, a translation gain from the sale of a subsidiary and a favorable true-up of estimate on a non-controlling interest buy-out, partially offset by increased foreign exchange loss.</w:t>
      </w:r>
    </w:p>
    <w:p>
      <w:pPr>
        <w:spacing w:after="0" w:line="15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We recorded income tax expense at an effective rate of 30.3% for the nine months ended September 30, 2022 as compared to an effective rate of 33.1% for the nine months ended September 30, 2021. The 2022 rate was favorably impacted by the scheduled reduction in the French corporate tax rate to 25% and a higher level of pre-tax earnings with a more beneficial mix diluting the impact of the French business tax. The 30.3% effective tax rate for the nine months ended September 30,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Net earnings per share - diluted was $6.10 in the nine months ended September 30, 2022 compared to $4.90 in the nine months ended September 30, 2021. Foreign currency exchange rates unfavorably impacted net earnings per share - diluted by approximately $0.67 per share in the nine months ended September 30, 2022. The net loss from the disposition of our Russia business in the first half of 2022 negatively impacted net earnings per share – diluted by approximately $0.15 in the nine months ended September 30, 2022. The Experis acquisition integration costs in the nine months ended September 30, 2022 negatively impacted net earnings per share - diluted by approximately $0.18, net of tax. Restructuring costs recorded in the nine months ended September 30, 2021 negatively impacted net earnings (loss) per share – diluted by approximately $0.07, net of tax, in the nine months ended September 30, 2021. The acquisition transaction costs in the nine months ended September 30, 2021 negatively impacted net earnings per share - diluted by approximately $0.09, net of tax, in the nine months ended September 30, 2021.</w:t>
      </w:r>
    </w:p>
    <w:p>
      <w:pPr>
        <w:spacing w:after="0" w:line="152"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Weighted average shares - diluted decreased to 53.3 million in the nine months ended September 30, 2022 from 55.4 million in the nine months ended September 30, 2021. This decrease was due to the impact of share repurchases completed in the nine months ended September 30, 2022, partially offset by shares issued as a result of vesting of share-based awards.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In the Americas, revenues from services increased 24.3% (27.1% in constant currency and 7.8% in organic constant currency) in the third quarter of 2022 compared to the third quarter of 2021. In the United States (which represents 72% of the America's revenues), revenues from services increased 37.5% (7.6% on an organic basis) in the third quarter of 2022 compared to the third quarter of 2021, primarily driven by increased demand for our Experis staffing/interim services including the significant contribution to revenues from our Experis acquisition and an increase in our permanent recruitment business of 34.7% (27.4% on an organic basis). In Other Americas, revenues from services increased 0.1% (8.1% in constant currency) in the third quarter of 2022 compared to the third quarter of 2021 primarily due to increased demand for our staffing/interim services and an increase in our permanent recruitment business of 34.7% (35.9% in constant currency), partially offset by the unfavorable impact of currency exchange rates. We experienced revenue increases in Canada, Argentina, Peru and Chile of 1.6%, 30.4%, 1.5%, and 5.4%, respectively (5.3%, 82.0%, -2.4% and 26.3%, respectively, in constant currency), partially offset by revenue decreases in Mexico and Colombia of -26.4% and -2.7%, respectively (-25.6% and 11.0%, respectively, in constant currency).</w:t>
      </w:r>
    </w:p>
    <w:p>
      <w:pPr>
        <w:spacing w:after="0" w:line="14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In the Americas, revenues from services increased 23.3% (25.1% in constant currency and 6.1% in organic constant currency) in the nine months ended September 30, 2022 compared to the nine months ended September 30, 2021. In the United States, revenues from services increased 42.4% (11.6% on an organic basis) in the nine months ended September 30, 2022 compared to the nine months ended September 30, 2021, primarily driven by increased demand for our Experis staffing/interim services including the significant contribution to revenues from our Experis acquisition and an increase in our permanent recruitment business of 65.4% (54.7% on an organic basis). In Other Americas, revenues from services decreased -7.6% (-2.8% in constant currency) in the nine months ended September 30, 2022 compared to the nine months ended September 30, 2021 primarily due to decreased demand for our staffing/interim services and the unfavorable impact of currency exchange rates, partially offset by the increase in our permanent recruitment business of 57.5% (63.1% in constant currency). This decline was driven by a decrease in Mexico of -54.0% (-53.7% in constant currency), primarily due to labor legislation implemented in the third quarter of 2021. The decline was partially offset by increases in Canada, Argentina, Colombia, Peru and Chile of 7.8%, 21.4%, 10.0%, 5.9% and 19.9%, respectively (10.5%, 50.1%, 20.9%, 5.6% and 39.2%, respectively, in constant currency).</w:t>
      </w:r>
    </w:p>
    <w:p>
      <w:pPr>
        <w:spacing w:after="0" w:line="155"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Gross profit margin increased in both the three and nine months ended September 30, 2022 compared to the three and nine months ended September 30, 2021 primarily due to increases in our permanent recruitment business, improvements in the staffing/interim margins, the Experis acquisition and increases in revenues from our higher-margin professional staffing and Talent Solutions offerings in the United States. These increases were partially offset by a lower percentage of the revenue mix coming from the higher-margin Right Management career transition business.</w:t>
      </w:r>
    </w:p>
    <w:p>
      <w:pPr>
        <w:spacing w:after="0" w:line="13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Selling and administrative expenses increased 22.4% (23.8% in constant currency and 11.1% in organic constant currency) in the third quarter 2022 compared to the third quarter of 2021, primarily due to the Experis acquisition and an increase in salary-related costs as a result of a higher headcount as we invested in incremental recruiters and sales talent based on increased market activity. The increase in salary-related costs was also due to an increase in variable incentive costs as a result of increased profitability in certain markets. The increases were partially offset by Experis acquisition integration costs of $5.6 million in the third quarter of 2022 compared to Experis acquisition transaction costs of $6.2 million in the third quarter of 2021 and restructuring costs of $5.3 million in the third quarter of 2021.</w:t>
      </w:r>
    </w:p>
    <w:p>
      <w:pPr>
        <w:spacing w:after="0" w:line="153"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Selling and administrative expenses increased 30.8% (31.8% in constant currency and 17.5% in organic constant currency) during the nine months ended September 30, 2022 compared to the nine months ended September 30, 2021, primarily due to the Experis acquisition, an increase in salary-related costs as a result of a higher headcount as we invested in incremental recruiters and sales talent based on increased market activity and an increase in consulting costs related to certain technology initiatives. The increase in salary-related costs was also due to an increase in variable incentive costs as a result of increased profitability in certain markets. The increases were also due to Experis acquisition integration costs of $12.0 million incurred in the nine months ended September 30, 2022 compared to Experis acquisition transaction costs of $6.2 million in the nine months ended September 30, 2021, partially offset by restructuring costs of $5.3 million incurred in the nine months ended September 30,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3" w:name="page34"/>
    <w:bookmarkEnd w:id="33"/>
    <w:p>
      <w:pPr>
        <w:spacing w:after="0" w:line="293" w:lineRule="auto"/>
        <w:rPr>
          <w:sz w:val="20"/>
          <w:szCs w:val="20"/>
          <w:color w:val="auto"/>
        </w:rPr>
      </w:pPr>
      <w:r>
        <w:rPr>
          <w:rFonts w:ascii="Times New Roman" w:cs="Times New Roman" w:eastAsia="Times New Roman" w:hAnsi="Times New Roman"/>
          <w:sz w:val="18"/>
          <w:szCs w:val="18"/>
          <w:color w:val="auto"/>
        </w:rPr>
        <w:t>Operating Unit Profit (“OUP”) margin in the Americas was 5.7% and 4.1% for the third quarter of 2022 and 2021, respectively. In the United States, OUP margin increased to 6.2% in the third quarter of 2022 from 4.4% in the third quarter of 2021 primarily due to increases in our permanent recruitment business, the Experis acquisition, increased operating leverage and an increase in the gross profit margin due to a favorable business mix, partially offset by an increase in salary-related costs due to higher headcount. Other Americas OUP margin increased to 4.7% in the third quarter of 2022 from 3.6% in the third quarter of 2021 primarily due to the gross profit margin improvement.</w:t>
      </w:r>
    </w:p>
    <w:p>
      <w:pPr>
        <w:spacing w:after="0" w:line="15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Operating Unit Profit (“OUP”) margin in the Americas was 6.0% and 4.6% for the nine months ended September 30, 2022 and 2021, respectively. In the United States, OUP margin increased to 6.6% in the nine months ended September 30, 2022 from 5.1% in the nine months ended September 30, 2021 primarily due to increases in our permanent recruitment business, the Experis acquisition, increased operating leverage and an increase in the gross profit margin due to a favorable business mix, partially offset by an increase in salary-related costs due to higher headcount and Experis acquisition integration costs incurred in the nine months ended September 30, 2022. Other Americas OUP margin increased to 4.4% in the nine months ended September 30, 2022 from 3.9% in the nine months ended September 30, 2021 primarily due to the gross profit margin improvement.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214"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8"/>
          <w:szCs w:val="18"/>
          <w:color w:val="auto"/>
        </w:rPr>
        <w:t>In Southern Europe, revenues from services decreased -14.4% ( -0.7% in constant currency and -1.1% in organic constant currency) in the third quarter of 2022 compared to the third quarter of 2021. In the third quarter of 2022, revenues from services decreased -12.0% (increases of 3.1% in constant currency and 2.3% in organic constant currency) in France (which represents 57% of Southern Europe’s revenues) and decreased -13.4% (increase of 1.4% in constant currency) in Italy (which represents 19% of Southern Europe’s revenues). The decrease in France is primarily due the unfavorable impact of change in currency exchange rates, partially offset by increased demand for our Manpower staffing services, although supply chain constraints have negatively impacted the demand for our services in certain sectors, primarily automotive and construction, and to a lesser degree, logistics. The decrease in Italy was primarily due to the unfavorable impact of foreign currency exchange rates and the anniversary impact of significant revenue growth in the prior year period, partially offset by increased demand for our Manpower staffing services. In Other Southern Europe, revenues from services decreased -20.3% (-10.3% in constant currency) during the third quarter of 2022 compared to the third quarter of 2021, primarily due to the unfavorable impact of changes in currency exchange rates and decreased demand for our Manpower staffing services, partially offset by increased demand for our Experis business services and an increase in our permanent recruitment business of 11.6% (29.6% in constant currency).</w:t>
      </w:r>
    </w:p>
    <w:p>
      <w:pPr>
        <w:spacing w:after="0" w:line="15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8"/>
          <w:szCs w:val="18"/>
          <w:color w:val="auto"/>
        </w:rPr>
        <w:t>In Southern Europe, revenues from services decreased -7.6% (increases of 3.2% in constant currency and 3.0% in organic constant currency) in the nine months ended September 30, 2022 compared to the nine months ended September 30, 2021. In the nine months ended September 30, 2022, revenues from services decreased -6.8% (increases of 4.9% in constant currency and 4.6% in organic constant currency) in France and decreased -2.6% (increase of 9.5% in constant currency) in Italy. The decrease in France is primarily due to the unfavorable impact of changes in currency exchange rates, partially offset by the increased demand for our Manpower staffing services, although supply chain constraints have negatively impacted the demand for our services in certain sectors, primarily automotive and construction, and to a lesser degree, logistics, and a 13.1% increase (27.0% in constant currency) in the permanent recruitment business. The decrease in Italy was primarily due to the unfavorable impact of changes in currency exchange rates, partially offset by the increased demand for our Manpower staffing services and Experis interim services and a 19.8% increase (34.6% in constant currency) in the permanent recruitment business. In Other Southern Europe, revenues from services decreased -13.1% (-5.3% in constant currency) during the nine months ended September 30, 2022 compared to the nine months ended September 30, 2021, primarily due to the unfavorable impact of changes in currency exchange rates and decreased demand for our Manpower staffing services, partially offset by increased demand for our Experis business services and an increase in our permanent recruitment business of 22.4% (36.1% in constant currency).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increased in the three and nine months ended September 30, 2022 compared to the three and nine months ended September 30,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the increases in our permanent recruitment business and increases in our staffing/interim margins across our key markets.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4" w:name="page35"/>
    <w:bookmarkEnd w:id="34"/>
    <w:p>
      <w:pPr>
        <w:ind w:right="20"/>
        <w:spacing w:after="0" w:line="297" w:lineRule="auto"/>
        <w:rPr>
          <w:sz w:val="20"/>
          <w:szCs w:val="20"/>
          <w:color w:val="auto"/>
        </w:rPr>
      </w:pPr>
      <w:r>
        <w:rPr>
          <w:rFonts w:ascii="Times New Roman" w:cs="Times New Roman" w:eastAsia="Times New Roman" w:hAnsi="Times New Roman"/>
          <w:sz w:val="18"/>
          <w:szCs w:val="18"/>
          <w:color w:val="auto"/>
        </w:rPr>
        <w:t>Selling and administrative expenses decreased -7.6% (increase of 7.2% in constant currency and 4.9% in organic constant currency) during the third quarter of 2022 compared to the third quarter of 2021 primarily due to the favorable impact of changes in currency exchange rates, partially offset by the increase in salary-related costs due to higher headcount to support continued investments in markets where we see opportunities and an increase in higher non-personnel related costs to support the growth in revenues.</w:t>
      </w:r>
    </w:p>
    <w:p>
      <w:pPr>
        <w:spacing w:after="0" w:line="15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Selling and administrative expenses decreased -4.0% (increase of 7.1% in constant currency and 6.3% in organic constant currency) during the nine months ended September 30, 2022 compared to the nine months ended September 30, 2021 primarily due to the favorable impact of changes in currency exchange rates, partially offset by an increase in salary-related costs due to higher headcount to support an increase in revenues in the period, and an increase in variable incentive costs as a result of increased profitability in certain markets.</w:t>
      </w:r>
    </w:p>
    <w:p>
      <w:pPr>
        <w:spacing w:after="0" w:line="13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OUP margin in Southern Europe was 4.9% for the third quarter of 2022 compared to 4.6% for the third quarter of 2021. In France, the OUP margin was 4.9% for the third quarter of 2022 compared to 4.7% for the third quarter of 2021. The increase in France was primarily due to the increase in the gross profit margin. In Italy, the OUP margin increased to 7.3% for the third quarter of 2022 from 6.7% for the third quarter of 2021 primarily due to the increase in the gross profit margin and our ability to increase revenues without a similar increase in expenses. Other Southern Europe’s OUP margin was 3.0% in the third quarter of 2022 and the third quarter of 2021.</w:t>
      </w:r>
    </w:p>
    <w:p>
      <w:pPr>
        <w:spacing w:after="0" w:line="150"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8"/>
          <w:szCs w:val="18"/>
          <w:color w:val="auto"/>
        </w:rPr>
        <w:t>OUP margin in Southern Europe was 4.8% for the nine months ended September 30, 2022 compared to 4.3% for the nine months ended September 30, 2021. In France, the OUP margin was 4.7% for the nine months ended September 30, 2022 compared to 4.4% for the nine months ended September 30,</w:t>
      </w:r>
    </w:p>
    <w:p>
      <w:pPr>
        <w:spacing w:after="0" w:line="1"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8"/>
          <w:szCs w:val="18"/>
          <w:color w:val="auto"/>
        </w:rPr>
        <w:t>2021. The increase in France was primarily due to the increase in the gross profit margin. In Italy, the OUP margin increased to 7.2% for the nine months ended September 30, 2022 from 6.2% for the nine months ended September 30, 2021 primarily due to our ability to increase revenues without a similar increase in expenses and the increase in the gross profit margin. Other Southern Europe’s OUP margin increased to 2.9% in the nine months ended September 30, 2022 from 2.7% in the nine months ended September 30, 2021, primarily due to the increase in the gross profit margin.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27"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8"/>
          <w:szCs w:val="18"/>
          <w:color w:val="auto"/>
        </w:rPr>
        <w:t>In Northern Europe, the largest country operations include the United Kingdom, the Nordics, Germany, the Netherlands and Belgium (comprising 37%, 23%, 13%, 10%, and 8%, respectively, of Northern Europe’s revenues). In the region, revenues from services decreased -18.2% (-3.9% in constant currency and -1.2% in organic constant currency) in the third quarter of 2022 compared to the third quarter of 2021. We experienced revenue decreases in the United Kingdom, Nordics, Germany, Netherlands and Belgium of -18.3%, -10.0%, -25.4%, -19.9% and -11.8%, respectively (-4.2%, +5.9%, -12.6%, -6.3%, and +3.2%, respectively, in constant currency). The revenue decrease in Northern Europe was primarily due to the unfavorable impact of foreign currency exchange rates, the disposition of our Russia business and decreased demand for our Manpower staffing services, partially offset by the 15.5% increase (36.4% in constant currency and 39.7% in organic constant currency) in the permanent recruitment business.</w:t>
      </w:r>
    </w:p>
    <w:p>
      <w:pPr>
        <w:spacing w:after="0" w:line="154"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7"/>
          <w:szCs w:val="17"/>
          <w:color w:val="auto"/>
        </w:rPr>
        <w:t>In Northern Europe, revenues from services decreased -11.9% (-1.5% in constant currency and increased 0.9% in organic constant currency) in the nine months ended September 30, 2022 compared to the nine months ended September 30, 2021. We experienced revenue decreases in the United Kingdom, Nordics, Germany, Netherlands and Belgium of -12.3%, -2.2%, -18.3%, -15.0% and -7.4% respectively (-3.5%, +10.5, -8.2%, -4.6% and +4.3%, respectively, in constant currency). The revenue decrease in Northern Europe was primarily due to the unfavorable impact of changes in currency exchange rates and the sale of our Russia business, and decreased demand for our Manpower staffing services, partially offset by increased demand for our Experis staffing services and the 30.5% increase (46.6% in constant currency and 49.5% in organic constant currency) in the permanent recruitment business.</w:t>
      </w:r>
    </w:p>
    <w:p>
      <w:pPr>
        <w:spacing w:after="0" w:line="139"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Gross profit margin increased in the three and nine months ended September 30, 2022 compared to the three and nine months ended September 30, 2021 primarily due to increases in our staffing/interim margins and the increases in our permanent recruitment business.</w:t>
      </w:r>
    </w:p>
    <w:p>
      <w:pPr>
        <w:spacing w:after="0" w:line="135"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8"/>
          <w:szCs w:val="18"/>
          <w:color w:val="auto"/>
        </w:rPr>
        <w:t>Selling and administrative expenses decreased -7.9% (increase of 8.2% in constant currency and 9.6% in organic constant currency) in the third quarter of 2022 compared to the third quarter of 2021. The decrease is primarily due the favorable impact of changes in currency exchange rates, partially offset by an increase in salary-related costs due to higher headcount.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5" w:name="page36"/>
    <w:bookmarkEnd w:id="35"/>
    <w:p>
      <w:pPr>
        <w:ind w:right="140"/>
        <w:spacing w:after="0" w:line="297" w:lineRule="auto"/>
        <w:rPr>
          <w:sz w:val="20"/>
          <w:szCs w:val="20"/>
          <w:color w:val="auto"/>
        </w:rPr>
      </w:pPr>
      <w:r>
        <w:rPr>
          <w:rFonts w:ascii="Times New Roman" w:cs="Times New Roman" w:eastAsia="Times New Roman" w:hAnsi="Times New Roman"/>
          <w:sz w:val="18"/>
          <w:szCs w:val="18"/>
          <w:color w:val="auto"/>
        </w:rPr>
        <w:t>Selling and administrative expenses increased 0.2% (12.3% in constant currency and 13.5% in organic constant currency) in the nine months ended September 30, 2022 compared to the nine months ended September 30, 2021. The increase is primarily due to the increase in salary-related costs due to higher headcount, the loss on the sale of our Russia business, and the increases in non-personnel related costs to support the increase in revenues, partially offset by the favorable impact of change in currency exchange rates.</w:t>
      </w:r>
    </w:p>
    <w:p>
      <w:pPr>
        <w:spacing w:after="0" w:line="150" w:lineRule="exact"/>
        <w:rPr>
          <w:sz w:val="20"/>
          <w:szCs w:val="20"/>
          <w:color w:val="auto"/>
        </w:rPr>
      </w:pPr>
    </w:p>
    <w:p>
      <w:pPr>
        <w:jc w:val="both"/>
        <w:ind w:right="140"/>
        <w:spacing w:after="0" w:line="297" w:lineRule="auto"/>
        <w:rPr>
          <w:sz w:val="20"/>
          <w:szCs w:val="20"/>
          <w:color w:val="auto"/>
        </w:rPr>
      </w:pPr>
      <w:r>
        <w:rPr>
          <w:rFonts w:ascii="Times New Roman" w:cs="Times New Roman" w:eastAsia="Times New Roman" w:hAnsi="Times New Roman"/>
          <w:sz w:val="18"/>
          <w:szCs w:val="18"/>
          <w:color w:val="auto"/>
        </w:rPr>
        <w:t>OUP margin for Northern Europe decreased to 1.3% in the third quarter of 2022 from 1.4% in the third quarter of 2021. OUP margin for Northern Europe decreased to 0.9% in the nine months ended September 30, 2022 from 1.1% in the nine months ended September 30, 2021. The decreases were primarily due to the loss on the sale of our Russia business, partially offset by the increase in gross profit margin.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2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Revenues from services decreased -4.0% (increase of 12.0% in constant currency) in the third quarter of 2022 compared to the third quarter of 2021. In Japan (which represents 44% of APME’s revenues), revenues from services decreased -10.7% (increase of 12.2% in constant currency) due to the unfavorable impact of the change in currency exchange rates, partially offset by increased demand in our staffing/interim services. In Australia (which represents 13% of APME’s revenues), revenues from services increased 3.3% (11.1% in constant currency), primarily due to increased demand for our Manpower staffing services, partially offset by the unfavorable impact of currency exchange rates. The revenue increase in the remaining markets in APME is primarily due the increased demand for our staffing/interim services and our Experis business, partially offset by the unfavorable impact of change in currency exchange rates.</w:t>
      </w:r>
    </w:p>
    <w:p>
      <w:pPr>
        <w:spacing w:after="0" w:line="154"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8"/>
          <w:szCs w:val="18"/>
          <w:color w:val="auto"/>
        </w:rPr>
        <w:t>Revenues from services decreased -2.7% (increase of 9.2% in constant currency) in the nine months ended September 30, 2022 compared to the nine months ended September 30, 2021. In Japan, revenues from services decreased -4.5% (increase of 12.4% in constant currency) primarily due to the unfavorable impact of the change in currency exchange rates, partially offset by an increase in our Experis business, and an increased demand for our Manpower staffing services. In Australia, revenues from services decreased -16.6% (-10.5% in constant currency) due to the exit of a low margin client arrangement in the nine months ended September 30, 2021. The revenue increase in the remaining markets in APME is primarily due to the increased demand for our staffing/interim services and our Experis business, partially offset by the unfavorable impact of change in currency exchange rates.</w:t>
      </w:r>
    </w:p>
    <w:p>
      <w:pPr>
        <w:spacing w:after="0" w:line="139" w:lineRule="exact"/>
        <w:rPr>
          <w:sz w:val="20"/>
          <w:szCs w:val="20"/>
          <w:color w:val="auto"/>
        </w:rPr>
      </w:pPr>
    </w:p>
    <w:p>
      <w:pPr>
        <w:ind w:right="240"/>
        <w:spacing w:after="0" w:line="329" w:lineRule="auto"/>
        <w:rPr>
          <w:sz w:val="20"/>
          <w:szCs w:val="20"/>
          <w:color w:val="auto"/>
        </w:rPr>
      </w:pPr>
      <w:r>
        <w:rPr>
          <w:rFonts w:ascii="Times New Roman" w:cs="Times New Roman" w:eastAsia="Times New Roman" w:hAnsi="Times New Roman"/>
          <w:sz w:val="18"/>
          <w:szCs w:val="18"/>
          <w:color w:val="auto"/>
        </w:rPr>
        <w:t>Gross profit margin increased in the three and nine months ended September 30, 2022 compared to the three and nine months ended September 30, 2021 primarily due to the increase in our staffing/interim margins and the increases in our permanent recruitment business.</w:t>
      </w:r>
    </w:p>
    <w:p>
      <w:pPr>
        <w:spacing w:after="0" w:line="121"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8"/>
          <w:szCs w:val="18"/>
          <w:color w:val="auto"/>
        </w:rPr>
        <w:t>Selling and administrative expenses decreased -5.5% (increase of 9.1% in constant currency) in the third quarter of 2022 compared to the third quarter of 2021. The decreases are primarily due to the favorable impact of the change in currency exchange rates, partially offset by increases in salary-related costs due to higher headcount to support increases in revenues, increases in variable incentive costs as a result of increases in profitability in certain markets, and increases in non-personnel related costs to support the increases in revenues. Selling and administrative expenses decreased -0.9% (increase of 10.6% in constant currency) in the nine months ended September 30, 2022 compared to the nine months ended September 30, 2021. The decreases are primarily due to the favorable impact of the change in currency exchange rates, partially offset by higher salary-related costs due to higher headcount to support increases in revenues, increases in variable incentive costs as a result of increases in profitability in certain markets, and the increases in non-personnel related costs to support the increases in revenues.</w:t>
      </w:r>
    </w:p>
    <w:p>
      <w:pPr>
        <w:spacing w:after="0" w:line="159"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OUP margin for APME increased to 4.0% in the third quarter of 2022 from 3.7% in the third quarter of 2021 due to the increase in the gross profit margin. OUP margin for APME increased to 3.6% in the nine months ended September 30, 2022 from 3.4% in the nine months ended September 30, 2021 due to the increase in the gross profit margin.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227" w:lineRule="exact"/>
        <w:rPr>
          <w:sz w:val="20"/>
          <w:szCs w:val="20"/>
          <w:color w:val="auto"/>
        </w:rPr>
      </w:pPr>
    </w:p>
    <w:p>
      <w:pPr>
        <w:jc w:val="both"/>
        <w:ind w:right="460"/>
        <w:spacing w:after="0" w:line="305"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2"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9"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2" w:lineRule="exact"/>
        <w:rPr>
          <w:sz w:val="20"/>
          <w:szCs w:val="20"/>
          <w:color w:val="auto"/>
        </w:rPr>
      </w:pPr>
    </w:p>
    <w:p>
      <w:pPr>
        <w:ind w:right="120"/>
        <w:spacing w:after="0" w:line="319" w:lineRule="auto"/>
        <w:rPr>
          <w:sz w:val="20"/>
          <w:szCs w:val="20"/>
          <w:color w:val="auto"/>
        </w:rPr>
      </w:pPr>
      <w:r>
        <w:rPr>
          <w:rFonts w:ascii="Times New Roman" w:cs="Times New Roman" w:eastAsia="Times New Roman" w:hAnsi="Times New Roman"/>
          <w:sz w:val="17"/>
          <w:szCs w:val="17"/>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35"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8"/>
          <w:szCs w:val="18"/>
          <w:color w:val="auto"/>
        </w:rPr>
        <w:t>Constant currency and organic constant currency percent variances, along with a reconciliation of these amounts to certain of our reported results, are provided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 Compared to 2021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6"/>
                <w:szCs w:val="16"/>
                <w:color w:val="auto"/>
              </w:rPr>
              <w:t>Impact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rPr>
              <w:t>Acquisitions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Constant</w:t>
            </w:r>
          </w:p>
        </w:tc>
        <w:tc>
          <w:tcPr>
            <w:tcW w:w="12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6"/>
                <w:szCs w:val="16"/>
                <w:color w:val="auto"/>
              </w:rPr>
              <w:t>and</w:t>
            </w:r>
          </w:p>
        </w:tc>
        <w:tc>
          <w:tcPr>
            <w:tcW w:w="1200" w:type="dxa"/>
            <w:vAlign w:val="bottom"/>
            <w:gridSpan w:val="3"/>
          </w:tcPr>
          <w:p>
            <w:pPr>
              <w:jc w:val="center"/>
              <w:ind w:right="200"/>
              <w:spacing w:after="0" w:line="176" w:lineRule="exact"/>
              <w:rPr>
                <w:sz w:val="20"/>
                <w:szCs w:val="20"/>
                <w:color w:val="auto"/>
              </w:rPr>
            </w:pPr>
            <w:r>
              <w:rPr>
                <w:rFonts w:ascii="Times New Roman" w:cs="Times New Roman" w:eastAsia="Times New Roman" w:hAnsi="Times New Roman"/>
                <w:sz w:val="16"/>
                <w:szCs w:val="16"/>
                <w:color w:val="auto"/>
              </w:rPr>
              <w:t>Organic</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Dispositions</w:t>
            </w:r>
          </w:p>
        </w:tc>
        <w:tc>
          <w:tcPr>
            <w:tcW w:w="12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8"/>
              </w:rPr>
              <w:t>Constant</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1000" w:type="dxa"/>
            <w:vAlign w:val="bottom"/>
            <w:gridSpan w:val="3"/>
          </w:tcPr>
          <w:p>
            <w:pPr>
              <w:jc w:val="right"/>
              <w:ind w:right="320"/>
              <w:spacing w:after="0" w:line="175" w:lineRule="exact"/>
              <w:rPr>
                <w:sz w:val="20"/>
                <w:szCs w:val="20"/>
                <w:color w:val="auto"/>
              </w:rPr>
            </w:pPr>
            <w:r>
              <w:rPr>
                <w:rFonts w:ascii="Times New Roman" w:cs="Times New Roman" w:eastAsia="Times New Roman" w:hAnsi="Times New Roman"/>
                <w:sz w:val="16"/>
                <w:szCs w:val="16"/>
                <w:color w:val="auto"/>
              </w:rPr>
              <w:t>Reported</w:t>
            </w:r>
          </w:p>
        </w:tc>
        <w:tc>
          <w:tcPr>
            <w:tcW w:w="118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6"/>
                <w:szCs w:val="16"/>
                <w:color w:val="auto"/>
              </w:rPr>
              <w:t>Reported</w:t>
            </w:r>
          </w:p>
        </w:tc>
        <w:tc>
          <w:tcPr>
            <w:tcW w:w="1140" w:type="dxa"/>
            <w:vAlign w:val="bottom"/>
            <w:gridSpan w:val="2"/>
          </w:tcPr>
          <w:p>
            <w:pPr>
              <w:jc w:val="right"/>
              <w:ind w:right="360"/>
              <w:spacing w:after="0" w:line="175" w:lineRule="exact"/>
              <w:rPr>
                <w:sz w:val="20"/>
                <w:szCs w:val="20"/>
                <w:color w:val="auto"/>
              </w:rPr>
            </w:pPr>
            <w:r>
              <w:rPr>
                <w:rFonts w:ascii="Times New Roman" w:cs="Times New Roman" w:eastAsia="Times New Roman" w:hAnsi="Times New Roman"/>
                <w:sz w:val="16"/>
                <w:szCs w:val="16"/>
                <w:color w:val="auto"/>
              </w:rPr>
              <w:t>Impact of</w:t>
            </w:r>
          </w:p>
        </w:tc>
        <w:tc>
          <w:tcPr>
            <w:tcW w:w="112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color w:val="auto"/>
              </w:rPr>
              <w:t>Currency</w:t>
            </w:r>
          </w:p>
        </w:tc>
        <w:tc>
          <w:tcPr>
            <w:tcW w:w="124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(In Constant</w:t>
            </w:r>
          </w:p>
        </w:tc>
        <w:tc>
          <w:tcPr>
            <w:tcW w:w="1200" w:type="dxa"/>
            <w:vAlign w:val="bottom"/>
            <w:gridSpan w:val="3"/>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Currency</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000" w:type="dxa"/>
            <w:vAlign w:val="bottom"/>
            <w:gridSpan w:val="3"/>
          </w:tcPr>
          <w:p>
            <w:pPr>
              <w:jc w:val="right"/>
              <w:ind w:right="280"/>
              <w:spacing w:after="0" w:line="216" w:lineRule="exact"/>
              <w:rPr>
                <w:sz w:val="20"/>
                <w:szCs w:val="20"/>
                <w:color w:val="auto"/>
              </w:rPr>
            </w:pPr>
            <w:r>
              <w:rPr>
                <w:rFonts w:ascii="Times New Roman" w:cs="Times New Roman" w:eastAsia="Times New Roman" w:hAnsi="Times New Roman"/>
                <w:sz w:val="16"/>
                <w:szCs w:val="16"/>
                <w:color w:val="auto"/>
              </w:rPr>
              <w:t>Amount</w:t>
            </w:r>
            <w:r>
              <w:rPr>
                <w:rFonts w:ascii="Times New Roman" w:cs="Times New Roman" w:eastAsia="Times New Roman" w:hAnsi="Times New Roman"/>
                <w:sz w:val="21"/>
                <w:szCs w:val="21"/>
                <w:color w:val="auto"/>
                <w:vertAlign w:val="superscript"/>
              </w:rPr>
              <w:t>(a)</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Variance</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Currency</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Variance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Currency)</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6"/>
              </w:rPr>
              <w:t>Variance</w:t>
            </w:r>
          </w:p>
        </w:tc>
        <w:tc>
          <w:tcPr>
            <w:tcW w:w="0" w:type="dxa"/>
            <w:vAlign w:val="bottom"/>
          </w:tcPr>
          <w:p>
            <w:pPr>
              <w:spacing w:after="0"/>
              <w:rPr>
                <w:sz w:val="1"/>
                <w:szCs w:val="1"/>
                <w:color w:val="auto"/>
              </w:rPr>
            </w:pPr>
          </w:p>
        </w:tc>
      </w:tr>
      <w:tr>
        <w:trPr>
          <w:trHeight w:val="19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w:t>
            </w:r>
          </w:p>
        </w:tc>
        <w:tc>
          <w:tcPr>
            <w:tcW w:w="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37.5 %</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37.5 %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29.9 %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3"/>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1,239.8</w:t>
            </w:r>
          </w:p>
        </w:tc>
        <w:tc>
          <w:tcPr>
            <w:tcW w:w="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2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3"/>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3"/>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2,039.8</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(18.2 )%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12.0 %</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4,820.6</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(19.7 )</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4,800.9</w:t>
            </w:r>
          </w:p>
        </w:tc>
        <w:tc>
          <w:tcPr>
            <w:tcW w:w="2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14.6 %</w:t>
            </w: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5.6 %</w:t>
            </w:r>
          </w:p>
        </w:tc>
        <w:tc>
          <w:tcPr>
            <w:tcW w:w="12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line="20" w:lineRule="exact"/>
              <w:rPr>
                <w:sz w:val="1"/>
                <w:szCs w:val="1"/>
                <w:color w:val="auto"/>
              </w:rPr>
            </w:pPr>
          </w:p>
        </w:tc>
      </w:tr>
      <w:tr>
        <w:trPr>
          <w:trHeight w:val="183"/>
        </w:trPr>
        <w:tc>
          <w:tcPr>
            <w:tcW w:w="446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878.5</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23.7 %</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-2147570</wp:posOffset>
            </wp:positionV>
            <wp:extent cx="713232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-1881505</wp:posOffset>
            </wp:positionV>
            <wp:extent cx="7132320" cy="394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-1358900</wp:posOffset>
            </wp:positionV>
            <wp:extent cx="7132320" cy="403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5575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ind w:left="480" w:hanging="472"/>
        <w:spacing w:after="0"/>
        <w:tabs>
          <w:tab w:leader="none" w:pos="4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millions for the three months ended September 30, 2022.</w:t>
      </w: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2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 Compared to 2021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Impact of</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Acquisitions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w w:val="95"/>
              </w:rPr>
              <w:t>and</w:t>
            </w:r>
          </w:p>
        </w:tc>
        <w:tc>
          <w:tcPr>
            <w:tcW w:w="11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rPr>
              <w:t>Organic</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color w:val="auto"/>
              </w:rPr>
              <w:t>Constant</w:t>
            </w:r>
          </w:p>
        </w:tc>
        <w:tc>
          <w:tcPr>
            <w:tcW w:w="12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Dispositions</w:t>
            </w:r>
          </w:p>
        </w:tc>
        <w:tc>
          <w:tcPr>
            <w:tcW w:w="1120" w:type="dxa"/>
            <w:vAlign w:val="bottom"/>
            <w:gridSpan w:val="3"/>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Constant</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020" w:type="dxa"/>
            <w:vAlign w:val="bottom"/>
            <w:gridSpan w:val="3"/>
          </w:tcPr>
          <w:p>
            <w:pPr>
              <w:jc w:val="right"/>
              <w:ind w:right="340"/>
              <w:spacing w:after="0" w:line="175" w:lineRule="exact"/>
              <w:rPr>
                <w:sz w:val="20"/>
                <w:szCs w:val="20"/>
                <w:color w:val="auto"/>
              </w:rPr>
            </w:pPr>
            <w:r>
              <w:rPr>
                <w:rFonts w:ascii="Times New Roman" w:cs="Times New Roman" w:eastAsia="Times New Roman" w:hAnsi="Times New Roman"/>
                <w:sz w:val="16"/>
                <w:szCs w:val="16"/>
                <w:color w:val="auto"/>
              </w:rPr>
              <w:t>Reported</w:t>
            </w:r>
          </w:p>
        </w:tc>
        <w:tc>
          <w:tcPr>
            <w:tcW w:w="11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6"/>
                <w:szCs w:val="16"/>
                <w:color w:val="auto"/>
              </w:rPr>
              <w:t>Reported</w:t>
            </w:r>
          </w:p>
        </w:tc>
        <w:tc>
          <w:tcPr>
            <w:tcW w:w="1080" w:type="dxa"/>
            <w:vAlign w:val="bottom"/>
            <w:gridSpan w:val="2"/>
          </w:tcPr>
          <w:p>
            <w:pPr>
              <w:jc w:val="right"/>
              <w:ind w:right="360"/>
              <w:spacing w:after="0" w:line="175" w:lineRule="exact"/>
              <w:rPr>
                <w:sz w:val="20"/>
                <w:szCs w:val="20"/>
                <w:color w:val="auto"/>
              </w:rPr>
            </w:pPr>
            <w:r>
              <w:rPr>
                <w:rFonts w:ascii="Times New Roman" w:cs="Times New Roman" w:eastAsia="Times New Roman" w:hAnsi="Times New Roman"/>
                <w:sz w:val="16"/>
                <w:szCs w:val="16"/>
                <w:color w:val="auto"/>
              </w:rPr>
              <w:t>Impact of</w:t>
            </w:r>
          </w:p>
        </w:tc>
        <w:tc>
          <w:tcPr>
            <w:tcW w:w="108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Currency</w:t>
            </w:r>
          </w:p>
        </w:tc>
        <w:tc>
          <w:tcPr>
            <w:tcW w:w="12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(In Constant</w:t>
            </w:r>
          </w:p>
        </w:tc>
        <w:tc>
          <w:tcPr>
            <w:tcW w:w="1120" w:type="dxa"/>
            <w:vAlign w:val="bottom"/>
            <w:gridSpan w:val="3"/>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rPr>
              <w:t>Currency</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020" w:type="dxa"/>
            <w:vAlign w:val="bottom"/>
            <w:gridSpan w:val="3"/>
          </w:tcPr>
          <w:p>
            <w:pPr>
              <w:jc w:val="right"/>
              <w:ind w:right="300"/>
              <w:spacing w:after="0" w:line="203" w:lineRule="exact"/>
              <w:rPr>
                <w:sz w:val="20"/>
                <w:szCs w:val="20"/>
                <w:color w:val="auto"/>
              </w:rPr>
            </w:pPr>
            <w:r>
              <w:rPr>
                <w:rFonts w:ascii="Times New Roman" w:cs="Times New Roman" w:eastAsia="Times New Roman" w:hAnsi="Times New Roman"/>
                <w:sz w:val="16"/>
                <w:szCs w:val="16"/>
                <w:color w:val="auto"/>
              </w:rPr>
              <w:t>Amount</w:t>
            </w:r>
            <w:r>
              <w:rPr>
                <w:rFonts w:ascii="Times New Roman" w:cs="Times New Roman" w:eastAsia="Times New Roman" w:hAnsi="Times New Roman"/>
                <w:sz w:val="21"/>
                <w:szCs w:val="21"/>
                <w:color w:val="auto"/>
                <w:vertAlign w:val="superscript"/>
              </w:rPr>
              <w:t>(a)</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Variance</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Currency</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Variance</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Currency)</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Variance</w:t>
            </w: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w:t>
            </w: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42.4 %</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42.4 %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196"/>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Southern Europe:</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3,753.7</w:t>
            </w: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19.0 %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3,590.1</w:t>
            </w: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Italy</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9.5 %</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03"/>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Southern Europe</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(13.1 )%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6,435.1</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Northern Europe</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3,075.7</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APME</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(11.9 )%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9.2 %</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15,073.3</w:t>
            </w:r>
          </w:p>
        </w:tc>
        <w:tc>
          <w:tcPr>
            <w:tcW w:w="2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(55.0 )</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15,018.3</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8.7 %</w:t>
            </w: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(8.9 )%</w:t>
            </w: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17.6 %</w:t>
            </w: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5.4 %</w:t>
            </w:r>
          </w:p>
        </w:tc>
        <w:tc>
          <w:tcPr>
            <w:tcW w:w="1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line="20" w:lineRule="exact"/>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2,696.8</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2,215.9</w:t>
            </w: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27.5 %</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9.9 %</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-2147570</wp:posOffset>
            </wp:positionV>
            <wp:extent cx="7132320"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-1881505</wp:posOffset>
            </wp:positionV>
            <wp:extent cx="7132320" cy="394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-1358900</wp:posOffset>
            </wp:positionV>
            <wp:extent cx="7132320" cy="4032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5575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ind w:left="480" w:hanging="472"/>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millions for the nine months ended September 30, 2022.</w:t>
      </w: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1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September 30, 2022, we had $455.6 million of cash held by foreign subsidiaries. We have historically made and anticipate future cash repatriations to the United States from certain foreign subsidiaries to fund domestic operations.</w:t>
      </w:r>
    </w:p>
    <w:p>
      <w:pPr>
        <w:spacing w:after="0" w:line="15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8"/>
          <w:szCs w:val="18"/>
          <w:color w:val="auto"/>
        </w:rPr>
        <w:t>Cash provided by operating activities was $289.2 million and $382.9 million during the nine months ended September 30, 2022 and 2021, respectively. Changes in operating assets and liabilities utilized $141.6 million of cash during the nine months ended September 30, 2022 compared to $40.8 million generated during the nine months ended September 30, 2021. These changes were primarily attributable to the revenue growth and decrease in accounts payable due to timing. Accounts receivable decreased to $4,720.3 million as of September 30, 2022 from $5,448.2 million as of December 31, 2021 primarily due to the impact of changes in currency exchange rates. Days Sales Outstanding ("DSO") increased by four days to 59 days as of September 30, 2022 from December 31, 2021 due to higher activity levels and to longer payment term mix impacts, with higher growth in countries with a higher average DSO.</w:t>
      </w:r>
    </w:p>
    <w:p>
      <w:pPr>
        <w:spacing w:after="0" w:line="154"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The nature of our operations is such that our most significant current asset is accounts receivable and our most significant current liabilities are payroll related costs, which are generally paid either weekly or monthly. As the demand for our services increases, as we experienced during the nine months ended September 30, 2022, we generally experience an increase in our working capital needs, as we continue to pay our associates on a weekly or monthly basis while the related accounts receivable is outstanding for much longer, which may result in a decline in operating cash flows.</w:t>
      </w:r>
    </w:p>
    <w:p>
      <w:pPr>
        <w:spacing w:after="0" w:line="15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36"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Capital expenditures were $55.9 million for the nine months ended September 30, 2022 compared to $39.7 million for the nine months ended September 30, 2021. These expenditures were primarily comprised of purchases of computer equipment, office furniture and other costs related to office openings and refurbishments, as well as capitalized software costs. The higher expenditures in 2022 compared to 2021 are primarily due to additional technology investments and the timing of capital expenditures.</w:t>
      </w:r>
    </w:p>
    <w:p>
      <w:pPr>
        <w:spacing w:after="0" w:line="133"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For the nine months ended September 30, 2022 and 2021, the total cash consideration paid for acquisitions, net of cash acquired, was $18.1 million and $13.3 million, respectively. The 2022 payments primarily represent a consideration payment for the acquisition of Tingari, a talent solutions company in France, and contingent consideration payments associated with previous acquisitions. The 2021 payments mainly relate to franchise acquisitions in the United States and a contingent consideration payment associated with a previous acquisition.</w:t>
      </w:r>
    </w:p>
    <w:p>
      <w:pPr>
        <w:spacing w:after="0" w:line="15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Occasionally, we dispose of parts of our operations based on risk considerations and to optimize our global strategic and geographic footprint and overall capital efficiency. On January 17, 2022, we disposed of our Russia business in our Northern Europe segment for cash proceeds of $3.2 million. In connection with the disposition, we recognized a one-time net loss on disposition of $8.0 million. On September 30, 2022, our Belgium business disposed of its Service Voucher Division and recognized a one-time gain of $4.1 million.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9" w:name="page40"/>
    <w:bookmarkEnd w:id="39"/>
    <w:p>
      <w:pPr>
        <w:ind w:right="100"/>
        <w:spacing w:after="0" w:line="297" w:lineRule="auto"/>
        <w:rPr>
          <w:sz w:val="20"/>
          <w:szCs w:val="20"/>
          <w:color w:val="auto"/>
        </w:rPr>
      </w:pPr>
      <w:r>
        <w:rPr>
          <w:rFonts w:ascii="Times New Roman" w:cs="Times New Roman" w:eastAsia="Times New Roman" w:hAnsi="Times New Roman"/>
          <w:sz w:val="18"/>
          <w:szCs w:val="18"/>
          <w:color w:val="auto"/>
        </w:rPr>
        <w:t>Net debt repayments were $67.5 million in the nine months ended September 30, 2022, as compared to $1.7 million in the nine months ended September 30, 2021. The increase in 2022 is due to the $75.0 million repayment we made into our revolving credit facility to clear the outstanding borrowings as of December 31, 2021 related to the Experis acquisition. The acquisition was funded through cash on hand and a $150.0 million draw on our revolving credit facility on October 1, 2021.</w:t>
      </w:r>
    </w:p>
    <w:p>
      <w:pPr>
        <w:spacing w:after="0" w:line="150"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8"/>
          <w:szCs w:val="18"/>
          <w:color w:val="auto"/>
        </w:rPr>
        <w:t>On June 30, 2022, we offered and sold €400.0 million aggregate principal amount of the Company’s 3.50% notes due June 30, 2027 (the “Notes”). The proceeds from the Notes were used in July 2022 to repay our €400.0 million 1.875% notes due September 11, 2022. The Notes were issued at a price of 99.465% to yield an effective interest rate of 3.514%, net of a favorable impact of a forward starting interest rate swap. Interest on the Notes is payable in arrears on June 30 of each year. The Notes are unsecured senior obligations and will rank equally with all of the Company’s existing and future senior unsecured debt and other liabilities.</w:t>
      </w:r>
    </w:p>
    <w:p>
      <w:pPr>
        <w:spacing w:after="0" w:line="154"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Our €500.0 million notes are due June 2026. When the €500.0 million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for replacement of the €500.0 million notes.</w:t>
      </w:r>
    </w:p>
    <w:p>
      <w:pPr>
        <w:spacing w:after="0" w:line="15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8"/>
          <w:szCs w:val="18"/>
          <w:color w:val="auto"/>
        </w:rPr>
        <w:t>On May 27, 2022, we entered into a new Credit Agreement (the “Credit Agreement”) with a syndicate of commercial banks with a termination date of May 27, 2027 to replace our previous $600.0 million revolving credit facility. The Credit Agreement provides for a $600.0 million five-year revolving credit facility and includes terms generally consistent with our previous credit facility, except the Credit Agreement uses Secured Overnight Financing Rate (SOFR) as the base rate index instead of London Interbank Offered Rate (LIBOR). 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 As defined in the agreement, we had a Net Debt-to-EBITDA ratio of 0.99 to 1 and a fixed charge coverage ratio of 5.91 to 1 as of September 30, 2022. Based on our current forecast, we expect to be in compliance with our financial covenants for the next 12 months.</w:t>
      </w:r>
    </w:p>
    <w:p>
      <w:pPr>
        <w:spacing w:after="0" w:line="157"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As of September 30, 2022, we had letters of credit of $0.4 million issued under our $600.0 million revolving credit facility. Additional borrowings of $599.6 million were available to us under the facility as of September 30, 2022.</w:t>
      </w:r>
    </w:p>
    <w:p>
      <w:pPr>
        <w:spacing w:after="0" w:line="135"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September 30, 2022, such uncommitted credit lines totaled $304.1 million, of which $283.0 million was unused. Under the Credit Agreement, total subsidiary borrowings cannot exceed $300.0 million in the first, second and fourth quarters, and $600.0 million in the third quarter of each year.</w:t>
      </w:r>
    </w:p>
    <w:p>
      <w:pPr>
        <w:spacing w:after="0" w:line="15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8"/>
          <w:szCs w:val="18"/>
          <w:color w:val="auto"/>
        </w:rPr>
        <w:t>We have assessed our liquidity position as of September 30, 2022 and for the near future. As of September 30, 2022, our cash and cash equivalents balance was $527.5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of up to $300.0 million ($600.0 million in the third quarter) to meet the working capital needs of our subsidiaries, of which $283.0 million was available to use as of September 30, 2022. Our €500.0 ($487.3) million notes mature in June 2026, and our €400.0 ($387.8) million notes mature in June 2027. Based on the above, we believe we have sufficient liquidity and capital resources to satisfy future requirements and meet our obligations currently and in the near future.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0" w:name="page41"/>
    <w:bookmarkEnd w:id="40"/>
    <w:p>
      <w:pPr>
        <w:ind w:right="40"/>
        <w:spacing w:after="0" w:line="297" w:lineRule="auto"/>
        <w:rPr>
          <w:sz w:val="20"/>
          <w:szCs w:val="20"/>
          <w:color w:val="auto"/>
        </w:rPr>
      </w:pPr>
      <w:r>
        <w:rPr>
          <w:rFonts w:ascii="Times New Roman" w:cs="Times New Roman" w:eastAsia="Times New Roman" w:hAnsi="Times New Roman"/>
          <w:sz w:val="18"/>
          <w:szCs w:val="18"/>
          <w:color w:val="auto"/>
        </w:rPr>
        <w:t>The Board of Directors declared a semi-annual dividend of $1.36 and $1.26 per share, respectively, on May 6, 2022 and May 7, 2021, respectively. The 2022 dividends were paid on June 15, 2022 to shareholders of record as of June 1, 2022. The 2021 dividends were paid on June 15, 2021 to shareholders of record as of June 1, 2021.</w:t>
      </w:r>
    </w:p>
    <w:p>
      <w:pPr>
        <w:spacing w:after="0" w:line="150"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8"/>
          <w:szCs w:val="18"/>
          <w:color w:val="auto"/>
        </w:rPr>
        <w:t>In August 2021, the Board of Directors authorized the repurchase of 4.0 million shares of our common stock, with terms consistent with the previous authorizations. This authorization was in addition to the August 2019 Board authorization to purchase 6.0 million shares of our common stock. Share repurchases may be made from time to time through a variety of methods, including open market purchases, block transactions, privately negotiated transactions or similar facilities. During the nine months ended September 30, 2022, we repurchased a total of 2.8 million shares comprised of 1.2 million shares under the 2019 authorization and 1.6 million shares under the 2021 authorization, at a total cost of $245.0 million. During the nine months ended September 30, 2021, we repurchased 1.5 million shares under the 2019 authorization at a cost of $150.1 million. As of September 30, 2022, there were 2.4 million shares remaining authorized for repurchase under the 2021 authorization and no shares remaining authorized for repurchase under the 2019 authorization.</w:t>
      </w:r>
    </w:p>
    <w:p>
      <w:pPr>
        <w:spacing w:after="0" w:line="152" w:lineRule="exact"/>
        <w:rPr>
          <w:sz w:val="20"/>
          <w:szCs w:val="20"/>
          <w:color w:val="auto"/>
        </w:rPr>
      </w:pPr>
    </w:p>
    <w:p>
      <w:pPr>
        <w:ind w:right="640"/>
        <w:spacing w:after="0" w:line="313" w:lineRule="auto"/>
        <w:rPr>
          <w:sz w:val="20"/>
          <w:szCs w:val="20"/>
          <w:color w:val="auto"/>
        </w:rPr>
      </w:pPr>
      <w:r>
        <w:rPr>
          <w:rFonts w:ascii="Times New Roman" w:cs="Times New Roman" w:eastAsia="Times New Roman" w:hAnsi="Times New Roman"/>
          <w:sz w:val="18"/>
          <w:szCs w:val="18"/>
          <w:color w:val="auto"/>
        </w:rPr>
        <w:t>We had aggregate commitments of $1,864.1 million as of September 30, 2022 related to debt, operating leases, severances and office closure costs, transition tax resulting from the Tax Act and certain other commitments compared to $2,156.7 million as of December 31, 2021.</w:t>
      </w:r>
    </w:p>
    <w:p>
      <w:pPr>
        <w:spacing w:after="0" w:line="12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totaling $789.3 million and $769.3 million as of September 30, 2022 and December 31, 2021, respectively ($741.7 million and $717.7 million for guarantees, respectively, and $47.6 million and $51.6 million for stand-by letters of credit as of September 30, 2022 and December 31, 2021,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$1.3 million and $1.4 million for the nine months ended September 30, 2022 and 2021, respectively.</w:t>
      </w:r>
    </w:p>
    <w:p>
      <w:pPr>
        <w:spacing w:after="0" w:line="15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We did not record any net restructuring costs during the nine months ended September 30, 2022.We recorded restructuring costs of $5.3 for the nine months ended September 30, 2021. During the nine months ended September 30, 2022, we made payments of $10.9 million out of our restructuring reserve, which is used for severance and office closures and consolidations in multiple countries and territories. We expect a majority of the remaining $12.4 million reserve will be paid by the end of 2023.</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Application of Critical Accounting Policies</w:t>
      </w:r>
    </w:p>
    <w:p>
      <w:pPr>
        <w:spacing w:after="0" w:line="212" w:lineRule="exact"/>
        <w:rPr>
          <w:sz w:val="20"/>
          <w:szCs w:val="20"/>
          <w:color w:val="auto"/>
        </w:rPr>
      </w:pPr>
    </w:p>
    <w:p>
      <w:pPr>
        <w:jc w:val="both"/>
        <w:ind w:right="280"/>
        <w:spacing w:after="0" w:line="305" w:lineRule="auto"/>
        <w:rPr>
          <w:sz w:val="20"/>
          <w:szCs w:val="20"/>
          <w:color w:val="auto"/>
        </w:rPr>
      </w:pPr>
      <w:r>
        <w:rPr>
          <w:rFonts w:ascii="Times New Roman" w:cs="Times New Roman" w:eastAsia="Times New Roman" w:hAnsi="Times New Roman"/>
          <w:sz w:val="18"/>
          <w:szCs w:val="18"/>
          <w:color w:val="auto"/>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carrying value.</w:t>
      </w:r>
    </w:p>
    <w:p>
      <w:pPr>
        <w:spacing w:after="0" w:line="142"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Estimated cash flows and goodwill are grouped at the reporting unit level, which the company has determined to be a component of the operating segments for which discrete financial information is available and for which segment management regularly reviews the reporting results.</w:t>
      </w:r>
    </w:p>
    <w:p>
      <w:pPr>
        <w:spacing w:after="0" w:line="135"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 during the third quarter of 2022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53"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spacing w:after="0" w:line="150"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108" w:lineRule="exact"/>
        <w:rPr>
          <w:sz w:val="20"/>
          <w:szCs w:val="20"/>
          <w:color w:val="auto"/>
        </w:rPr>
      </w:pPr>
    </w:p>
    <w:p>
      <w:pPr>
        <w:ind w:right="200"/>
        <w:spacing w:after="0" w:line="329" w:lineRule="auto"/>
        <w:rPr>
          <w:sz w:val="20"/>
          <w:szCs w:val="20"/>
          <w:color w:val="auto"/>
        </w:rPr>
      </w:pPr>
      <w:r>
        <w:rPr>
          <w:rFonts w:ascii="Times New Roman" w:cs="Times New Roman" w:eastAsia="Times New Roman" w:hAnsi="Times New Roman"/>
          <w:sz w:val="18"/>
          <w:szCs w:val="18"/>
          <w:color w:val="auto"/>
        </w:rPr>
        <w:t>We performed our annual impairment test of our goodwill during the third quarter of 2022 and there was no impairment of our goodwill as a result of our annual tests. Refer to Note 1 for results of our annual goodwill impairment testing.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25" w:lineRule="exact"/>
        <w:rPr>
          <w:sz w:val="20"/>
          <w:szCs w:val="20"/>
          <w:color w:val="auto"/>
        </w:rPr>
      </w:pPr>
    </w:p>
    <w:p>
      <w:pPr>
        <w:ind w:right="860"/>
        <w:spacing w:after="0" w:line="313" w:lineRule="auto"/>
        <w:rPr>
          <w:sz w:val="20"/>
          <w:szCs w:val="20"/>
          <w:color w:val="auto"/>
        </w:rPr>
      </w:pPr>
      <w:r>
        <w:rPr>
          <w:rFonts w:ascii="Times New Roman" w:cs="Times New Roman" w:eastAsia="Times New Roman" w:hAnsi="Times New Roman"/>
          <w:sz w:val="18"/>
          <w:szCs w:val="18"/>
          <w:color w:val="auto"/>
        </w:rPr>
        <w:t>Our 2021 Annual Report on Form 10-K contains certain disclosures about market risks affecting us. There have been no material changes to the information provided which would require additional disclosures as of the date of this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21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52" w:lineRule="exact"/>
        <w:rPr>
          <w:sz w:val="20"/>
          <w:szCs w:val="20"/>
          <w:color w:val="auto"/>
        </w:rPr>
      </w:pPr>
    </w:p>
    <w:p>
      <w:pPr>
        <w:ind w:right="460"/>
        <w:spacing w:after="0" w:line="346"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 Risk Factors</w:t>
      </w:r>
    </w:p>
    <w:p>
      <w:pPr>
        <w:spacing w:after="0" w:line="225"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8"/>
          <w:szCs w:val="18"/>
          <w:color w:val="auto"/>
        </w:rPr>
        <w:t>As of the date of this filing, the Company and its operations continue to be subject to the risk factors previously disclosed in the “Risk Factors” sections contained in the 2021 Annual Report on Form 10-K and our Quarterly Report on Form 10-Q for the quarter ended March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225"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In August 2021, the Board of Directors authorized the repurchase of 4.0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2022. As of September 30, 2022, there were 2.4 million shares remaining authorized for repurchase under the 2021 authorization.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4960" w:type="dxa"/>
            <w:vAlign w:val="bottom"/>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120" w:type="dxa"/>
            <w:vAlign w:val="bottom"/>
          </w:tcPr>
          <w:p>
            <w:pPr>
              <w:spacing w:after="0"/>
              <w:rPr>
                <w:sz w:val="16"/>
                <w:szCs w:val="16"/>
                <w:color w:val="auto"/>
              </w:rPr>
            </w:pP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2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part of</w:t>
            </w:r>
          </w:p>
        </w:tc>
        <w:tc>
          <w:tcPr>
            <w:tcW w:w="120" w:type="dxa"/>
            <w:vAlign w:val="bottom"/>
          </w:tcPr>
          <w:p>
            <w:pPr>
              <w:spacing w:after="0"/>
              <w:rPr>
                <w:sz w:val="16"/>
                <w:szCs w:val="16"/>
                <w:color w:val="auto"/>
              </w:rPr>
            </w:pPr>
          </w:p>
        </w:tc>
        <w:tc>
          <w:tcPr>
            <w:tcW w:w="1820" w:type="dxa"/>
            <w:vAlign w:val="bottom"/>
          </w:tcPr>
          <w:p>
            <w:pPr>
              <w:ind w:left="460"/>
              <w:spacing w:after="0" w:line="189"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number</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w:t>
            </w:r>
          </w:p>
        </w:tc>
        <w:tc>
          <w:tcPr>
            <w:tcW w:w="120" w:type="dxa"/>
            <w:vAlign w:val="bottom"/>
          </w:tcPr>
          <w:p>
            <w:pPr>
              <w:spacing w:after="0"/>
              <w:rPr>
                <w:sz w:val="16"/>
                <w:szCs w:val="16"/>
                <w:color w:val="auto"/>
              </w:rPr>
            </w:pPr>
          </w:p>
        </w:tc>
        <w:tc>
          <w:tcPr>
            <w:tcW w:w="182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b w:val="1"/>
                <w:bCs w:val="1"/>
                <w:color w:val="auto"/>
              </w:rPr>
              <w:t>shares that</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7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6"/>
                <w:szCs w:val="16"/>
                <w:color w:val="auto"/>
              </w:rPr>
            </w:pPr>
          </w:p>
        </w:tc>
        <w:tc>
          <w:tcPr>
            <w:tcW w:w="182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b w:val="1"/>
                <w:bCs w:val="1"/>
                <w:color w:val="auto"/>
              </w:rPr>
              <w:t>may yet be</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120" w:type="dxa"/>
            <w:vAlign w:val="bottom"/>
          </w:tcPr>
          <w:p>
            <w:pPr>
              <w:spacing w:after="0"/>
              <w:rPr>
                <w:sz w:val="21"/>
                <w:szCs w:val="21"/>
                <w:color w:val="auto"/>
              </w:rPr>
            </w:pPr>
          </w:p>
        </w:tc>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0" w:type="dxa"/>
            <w:vAlign w:val="bottom"/>
          </w:tcPr>
          <w:p>
            <w:pPr>
              <w:spacing w:after="0"/>
              <w:rPr>
                <w:sz w:val="1"/>
                <w:szCs w:val="1"/>
                <w:color w:val="auto"/>
              </w:rPr>
            </w:pPr>
          </w:p>
        </w:tc>
      </w:tr>
      <w:tr>
        <w:trPr>
          <w:trHeight w:val="209"/>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1 - 31, 2022</w:t>
            </w:r>
          </w:p>
        </w:tc>
        <w:tc>
          <w:tcPr>
            <w:tcW w:w="1020" w:type="dxa"/>
            <w:vAlign w:val="bottom"/>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326,001</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326,001</w:t>
            </w:r>
          </w:p>
        </w:tc>
        <w:tc>
          <w:tcPr>
            <w:tcW w:w="120" w:type="dxa"/>
            <w:vAlign w:val="bottom"/>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3,177,589</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 2022</w:t>
            </w:r>
          </w:p>
        </w:tc>
        <w:tc>
          <w:tcPr>
            <w:tcW w:w="2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266,608</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85"/>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262,711</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2,914,878</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1 - 30, 2022</w:t>
            </w:r>
          </w:p>
        </w:tc>
        <w:tc>
          <w:tcPr>
            <w:tcW w:w="102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554,493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554,493</w:t>
            </w:r>
          </w:p>
        </w:tc>
        <w:tc>
          <w:tcPr>
            <w:tcW w:w="19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2,360,385</w:t>
            </w:r>
          </w:p>
        </w:tc>
        <w:tc>
          <w:tcPr>
            <w:tcW w:w="0" w:type="dxa"/>
            <w:vAlign w:val="bottom"/>
          </w:tcPr>
          <w:p>
            <w:pPr>
              <w:spacing w:after="0"/>
              <w:rPr>
                <w:sz w:val="1"/>
                <w:szCs w:val="1"/>
                <w:color w:val="auto"/>
              </w:rPr>
            </w:pP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1,147,102</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1,143,205</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2,360,385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-170815</wp:posOffset>
            </wp:positionV>
            <wp:extent cx="17145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ind w:right="300" w:firstLine="8"/>
        <w:spacing w:after="0" w:line="245"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3,897 shares of common stock withheld by ManpowerGroup to satisfy tax withholding obligations on shares acquired by certain officers in settlement of restricted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2022:</w:t>
      </w:r>
    </w:p>
    <w:p>
      <w:pPr>
        <w:spacing w:after="0" w:line="135" w:lineRule="exact"/>
        <w:rPr>
          <w:sz w:val="20"/>
          <w:szCs w:val="20"/>
          <w:color w:val="auto"/>
        </w:rPr>
      </w:pPr>
    </w:p>
    <w:p>
      <w:pPr>
        <w:ind w:right="260" w:firstLine="8"/>
        <w:spacing w:after="0" w:line="313"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35" w:lineRule="exact"/>
        <w:rPr>
          <w:rFonts w:ascii="Times New Roman" w:cs="Times New Roman" w:eastAsia="Times New Roman" w:hAnsi="Times New Roman"/>
          <w:sz w:val="18"/>
          <w:szCs w:val="18"/>
          <w:color w:val="auto"/>
        </w:rPr>
      </w:pPr>
    </w:p>
    <w:p>
      <w:pPr>
        <w:ind w:right="440" w:firstLine="8"/>
        <w:spacing w:after="0" w:line="329"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0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and certifications where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9"/>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Amended and Restated By-Laws of ManpowerGroup Inc, incorporated by reference to the Company’s Current Report on Form 8-K dated</w:t>
              </w:r>
            </w:hyperlink>
          </w:p>
        </w:tc>
      </w:tr>
      <w:tr>
        <w:trPr>
          <w:trHeight w:val="169"/>
        </w:trPr>
        <w:tc>
          <w:tcPr>
            <w:tcW w:w="1160" w:type="dxa"/>
            <w:vAlign w:val="bottom"/>
          </w:tcPr>
          <w:p>
            <w:pPr>
              <w:spacing w:after="0"/>
              <w:rPr>
                <w:sz w:val="14"/>
                <w:szCs w:val="14"/>
                <w:color w:val="auto"/>
              </w:rPr>
            </w:pPr>
          </w:p>
        </w:tc>
        <w:tc>
          <w:tcPr>
            <w:tcW w:w="994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August 5, 2022.</w:t>
              </w:r>
            </w:hyperlink>
          </w:p>
        </w:tc>
        <w:tc>
          <w:tcPr>
            <w:tcW w:w="60" w:type="dxa"/>
            <w:vAlign w:val="bottom"/>
          </w:tcPr>
          <w:p>
            <w:pPr>
              <w:spacing w:after="0"/>
              <w:rPr>
                <w:sz w:val="14"/>
                <w:szCs w:val="14"/>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Jonas Prising, Chief Executive Officer, pursuant to Section 13a-14(a) of the Securities 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John T. McGinnis, Executive Vice President and Chief Financial Officer, pursuant to Section 13a-14(a) of the Securities</w:t>
            </w:r>
          </w:p>
        </w:tc>
      </w:tr>
      <w:tr>
        <w:trPr>
          <w:trHeight w:val="169"/>
        </w:trPr>
        <w:tc>
          <w:tcPr>
            <w:tcW w:w="116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Exchange Act of 1934.</w:t>
            </w:r>
          </w:p>
        </w:tc>
        <w:tc>
          <w:tcPr>
            <w:tcW w:w="20" w:type="dxa"/>
            <w:vAlign w:val="bottom"/>
            <w:tcBorders>
              <w:top w:val="single" w:sz="8" w:color="0000FF"/>
              <w:bottom w:val="single" w:sz="8" w:color="0000EE"/>
            </w:tcBorders>
          </w:tcPr>
          <w:p>
            <w:pPr>
              <w:spacing w:after="0"/>
              <w:rPr>
                <w:sz w:val="14"/>
                <w:szCs w:val="14"/>
                <w:color w:val="auto"/>
              </w:rPr>
            </w:pPr>
          </w:p>
        </w:tc>
        <w:tc>
          <w:tcPr>
            <w:tcW w:w="8160" w:type="dxa"/>
            <w:vAlign w:val="bottom"/>
            <w:tcBorders>
              <w:top w:val="single" w:sz="8" w:color="0000FF"/>
            </w:tcBorders>
            <w:gridSpan w:val="4"/>
          </w:tcPr>
          <w:p>
            <w:pPr>
              <w:spacing w:after="0"/>
              <w:rPr>
                <w:sz w:val="14"/>
                <w:szCs w:val="14"/>
                <w:color w:val="auto"/>
              </w:rPr>
            </w:pPr>
          </w:p>
        </w:tc>
        <w:tc>
          <w:tcPr>
            <w:tcW w:w="180" w:type="dxa"/>
            <w:vAlign w:val="bottom"/>
            <w:gridSpan w:val="2"/>
          </w:tcPr>
          <w:p>
            <w:pPr>
              <w:spacing w:after="0"/>
              <w:rPr>
                <w:sz w:val="14"/>
                <w:szCs w:val="14"/>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Jonas Prising, Chief Executive Officer, pursuant to 18 U.S.C. ss.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John T. McGinnis, Executive Vice President and Chief Financial Officer, pursuant to 18 U.S.C. ss.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480" w:type="dxa"/>
            <w:vAlign w:val="bottom"/>
            <w:gridSpan w:val="5"/>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4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 xml:space="preserve">Inline </w:t>
            </w:r>
            <w:r>
              <w:rPr>
                <w:rFonts w:ascii="Times New Roman" w:cs="Times New Roman" w:eastAsia="Times New Roman" w:hAnsi="Times New Roman"/>
                <w:sz w:val="18"/>
                <w:szCs w:val="18"/>
                <w:color w:val="212529"/>
                <w:w w:val="99"/>
              </w:rPr>
              <w:t>XBRL Instance Document</w:t>
            </w:r>
            <w:r>
              <w:rPr>
                <w:rFonts w:ascii="Times New Roman" w:cs="Times New Roman" w:eastAsia="Times New Roman" w:hAnsi="Times New Roman"/>
                <w:sz w:val="18"/>
                <w:szCs w:val="18"/>
                <w:color w:val="auto"/>
                <w:w w:val="99"/>
              </w:rPr>
              <w:t xml:space="preserve">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212529"/>
              </w:rPr>
              <w:t>Inline XBRL Taxonomy Extension Schema Document</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w:t>
            </w:r>
            <w:r>
              <w:rPr>
                <w:rFonts w:ascii="Times New Roman" w:cs="Times New Roman" w:eastAsia="Times New Roman" w:hAnsi="Times New Roman"/>
                <w:sz w:val="18"/>
                <w:szCs w:val="18"/>
                <w:color w:val="212529"/>
              </w:rPr>
              <w:t>XBRL Taxonomy Extension Calculation Linkbase Document</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w:t>
            </w:r>
            <w:r>
              <w:rPr>
                <w:rFonts w:ascii="Times New Roman" w:cs="Times New Roman" w:eastAsia="Times New Roman" w:hAnsi="Times New Roman"/>
                <w:sz w:val="18"/>
                <w:szCs w:val="18"/>
                <w:color w:val="212529"/>
              </w:rPr>
              <w:t>XBRL Taxonomy Extension Definition Linkbase Document</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w:t>
            </w:r>
            <w:r>
              <w:rPr>
                <w:rFonts w:ascii="Times New Roman" w:cs="Times New Roman" w:eastAsia="Times New Roman" w:hAnsi="Times New Roman"/>
                <w:sz w:val="18"/>
                <w:szCs w:val="18"/>
                <w:color w:val="212529"/>
              </w:rPr>
              <w:t>XBRL Taxonomy Extension Label Linkbase Document</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Inline </w:t>
            </w:r>
            <w:r>
              <w:rPr>
                <w:rFonts w:ascii="Times New Roman" w:cs="Times New Roman" w:eastAsia="Times New Roman" w:hAnsi="Times New Roman"/>
                <w:sz w:val="18"/>
                <w:szCs w:val="18"/>
                <w:color w:val="212529"/>
              </w:rPr>
              <w:t>XBRL Taxonomy Extension Presentation Linkbase Document</w:t>
            </w:r>
          </w:p>
        </w:tc>
      </w:tr>
    </w:tbl>
    <w:p>
      <w:pPr>
        <w:spacing w:after="0" w:line="198" w:lineRule="exact"/>
        <w:rPr>
          <w:sz w:val="20"/>
          <w:szCs w:val="20"/>
          <w:color w:val="auto"/>
        </w:rPr>
      </w:pPr>
    </w:p>
    <w:p>
      <w:pPr>
        <w:ind w:left="1160" w:right="420" w:hanging="1139"/>
        <w:spacing w:after="0" w:line="250"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2022 has been formatted in Inline XBRL (Inline Extensible Business Reporting Language) and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4" w:name="page45"/>
    <w:bookmarkEnd w:id="4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43180</wp:posOffset>
            </wp:positionV>
            <wp:extent cx="19456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17145</wp:posOffset>
            </wp:positionV>
            <wp:extent cx="41402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w:t>
      </w:r>
    </w:p>
    <w:p>
      <w:pPr>
        <w:spacing w:after="0" w:line="24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17145</wp:posOffset>
            </wp:positionV>
            <wp:extent cx="41402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Donald Mondano</w:t>
      </w:r>
    </w:p>
    <w:p>
      <w:pPr>
        <w:spacing w:after="0" w:line="2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Senior Vice President, Global Controller and Treasurer (Principal Accounting Officer)</w:t>
      </w: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3" w:right="1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71"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58"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80" w:right="380" w:hanging="372"/>
        <w:spacing w:after="0" w:line="258"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760" w:right="600" w:hanging="378"/>
        <w:spacing w:after="0" w:line="250"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760" w:right="280" w:hanging="378"/>
        <w:spacing w:after="0" w:line="258"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8"/>
          <w:szCs w:val="18"/>
          <w:color w:val="auto"/>
        </w:rPr>
      </w:pPr>
    </w:p>
    <w:p>
      <w:pPr>
        <w:ind w:left="380" w:right="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2022</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71"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58"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80" w:right="380" w:hanging="372"/>
        <w:spacing w:after="0" w:line="258"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760" w:right="600" w:hanging="378"/>
        <w:spacing w:after="0" w:line="250"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760" w:right="280" w:hanging="378"/>
        <w:spacing w:after="0" w:line="258"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8"/>
          <w:szCs w:val="18"/>
          <w:color w:val="auto"/>
        </w:rPr>
      </w:pPr>
    </w:p>
    <w:p>
      <w:pPr>
        <w:ind w:left="380" w:right="8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2022</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12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2022 fully complies with the requirements of Section 13(a) or 15(d), as applicable, of the Securities Exchange Act of 1934, and</w:t>
      </w:r>
    </w:p>
    <w:p>
      <w:pPr>
        <w:spacing w:after="0" w:line="135" w:lineRule="exact"/>
        <w:rPr>
          <w:rFonts w:ascii="Times New Roman" w:cs="Times New Roman" w:eastAsia="Times New Roman" w:hAnsi="Times New Roman"/>
          <w:sz w:val="18"/>
          <w:szCs w:val="18"/>
          <w:color w:val="auto"/>
        </w:rPr>
      </w:pPr>
    </w:p>
    <w:p>
      <w:pPr>
        <w:ind w:right="160" w:firstLine="382"/>
        <w:spacing w:after="0" w:line="446" w:lineRule="auto"/>
        <w:tabs>
          <w:tab w:leader="none" w:pos="7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November 7, 2022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12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September 30, 2022 fully complies with the requirements of Section 13(a) or 15(d), as applicable, of the Securities Exchange Act of 1934, and</w:t>
      </w:r>
    </w:p>
    <w:p>
      <w:pPr>
        <w:spacing w:after="0" w:line="135" w:lineRule="exact"/>
        <w:rPr>
          <w:rFonts w:ascii="Times New Roman" w:cs="Times New Roman" w:eastAsia="Times New Roman" w:hAnsi="Times New Roman"/>
          <w:sz w:val="18"/>
          <w:szCs w:val="18"/>
          <w:color w:val="auto"/>
        </w:rPr>
      </w:pPr>
    </w:p>
    <w:p>
      <w:pPr>
        <w:ind w:right="160" w:firstLine="382"/>
        <w:spacing w:after="0" w:line="446" w:lineRule="auto"/>
        <w:tabs>
          <w:tab w:leader="none" w:pos="7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November 7, 2022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1"/>
    </w:lvl>
    <w:lvl w:ilvl="1">
      <w:lvlJc w:val="left"/>
      <w:lvlText w:val="%2"/>
      <w:numFmt w:val="decimal"/>
      <w:start w:val="1"/>
    </w:lvl>
  </w:abstractNum>
  <w:abstractNum w:abstractNumId="9">
    <w:nsid w:val="75A2A8D4"/>
    <w:multiLevelType w:val="hybridMultilevel"/>
    <w:lvl w:ilvl="0">
      <w:lvlJc w:val="left"/>
      <w:lvlText w:val="(%1)"/>
      <w:numFmt w:val="decimal"/>
      <w:start w:val="7"/>
    </w:lvl>
    <w:lvl w:ilvl="1">
      <w:lvlJc w:val="left"/>
      <w:lvlText w:val="%2"/>
      <w:numFmt w:val="decimal"/>
      <w:start w:val="1"/>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9"/>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4"/>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6"/>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0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85" Type="http://schemas.openxmlformats.org/officeDocument/2006/relationships/hyperlink" Target="https://www.sec.gov/Archives/edgar/data/871763/000095017022015153/man-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2022-11-07T06:53:23Z</dcterms:created>
  <dcterms:modified xsi:type="dcterms:W3CDTF">2022-11-07T06:53:23Z</dcterms:modified>
</cp:coreProperties>
</file>