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10, 2019</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729"/>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0"/>
        </w:trPr>
        <w:tc>
          <w:tcPr>
            <w:tcW w:w="488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Pr>
          <w:p>
            <w:pPr>
              <w:spacing w:after="0"/>
              <w:rPr>
                <w:sz w:val="23"/>
                <w:szCs w:val="23"/>
                <w:color w:val="auto"/>
              </w:rPr>
            </w:pPr>
          </w:p>
        </w:tc>
        <w:tc>
          <w:tcPr>
            <w:tcW w:w="3640" w:type="dxa"/>
            <w:vAlign w:val="bottom"/>
          </w:tcPr>
          <w:p>
            <w:pPr>
              <w:jc w:val="right"/>
              <w:ind w:right="2310"/>
              <w:spacing w:after="0"/>
              <w:rPr>
                <w:sz w:val="20"/>
                <w:szCs w:val="20"/>
                <w:color w:val="auto"/>
              </w:rPr>
            </w:pPr>
            <w:r>
              <w:rPr>
                <w:rFonts w:ascii="Arial" w:cs="Arial" w:eastAsia="Arial" w:hAnsi="Arial"/>
                <w:sz w:val="18"/>
                <w:szCs w:val="18"/>
                <w:b w:val="1"/>
                <w:bCs w:val="1"/>
                <w:color w:val="auto"/>
              </w:rPr>
              <w:t>53212</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1"/>
                <w:szCs w:val="21"/>
                <w:color w:val="auto"/>
              </w:rPr>
            </w:pPr>
          </w:p>
        </w:tc>
        <w:tc>
          <w:tcPr>
            <w:tcW w:w="3640" w:type="dxa"/>
            <w:vAlign w:val="bottom"/>
          </w:tcPr>
          <w:p>
            <w:pPr>
              <w:jc w:val="center"/>
              <w:ind w:right="1510"/>
              <w:spacing w:after="0"/>
              <w:rPr>
                <w:sz w:val="20"/>
                <w:szCs w:val="20"/>
                <w:color w:val="auto"/>
              </w:rPr>
            </w:pPr>
            <w:r>
              <w:rPr>
                <w:rFonts w:ascii="Arial" w:cs="Arial" w:eastAsia="Arial" w:hAnsi="Arial"/>
                <w:sz w:val="18"/>
                <w:szCs w:val="18"/>
                <w:b w:val="1"/>
                <w:bCs w:val="1"/>
                <w:color w:val="auto"/>
                <w:w w:val="94"/>
              </w:rPr>
              <w:t>(Zip Code)</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10" w:lineRule="exact"/>
        <w:rPr>
          <w:sz w:val="24"/>
          <w:szCs w:val="24"/>
          <w:color w:val="auto"/>
        </w:rPr>
      </w:pPr>
    </w:p>
    <w:p>
      <w:pPr>
        <w:ind w:left="380" w:hanging="345"/>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41" w:lineRule="exact"/>
        <w:rPr>
          <w:rFonts w:ascii="Arial" w:cs="Arial" w:eastAsia="Arial" w:hAnsi="Arial"/>
          <w:sz w:val="22"/>
          <w:szCs w:val="22"/>
          <w:color w:val="auto"/>
        </w:rPr>
      </w:pPr>
    </w:p>
    <w:p>
      <w:pPr>
        <w:ind w:left="380" w:hanging="345"/>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1" w:lineRule="exact"/>
        <w:rPr>
          <w:rFonts w:ascii="Arial" w:cs="Arial" w:eastAsia="Arial" w:hAnsi="Arial"/>
          <w:sz w:val="22"/>
          <w:szCs w:val="22"/>
          <w:color w:val="auto"/>
        </w:rPr>
      </w:pPr>
    </w:p>
    <w:p>
      <w:pPr>
        <w:ind w:left="380" w:hanging="345"/>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1" w:lineRule="exact"/>
        <w:rPr>
          <w:rFonts w:ascii="Arial" w:cs="Arial" w:eastAsia="Arial" w:hAnsi="Arial"/>
          <w:sz w:val="22"/>
          <w:szCs w:val="22"/>
          <w:color w:val="auto"/>
        </w:rPr>
      </w:pPr>
    </w:p>
    <w:p>
      <w:pPr>
        <w:ind w:left="380" w:hanging="345"/>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29" w:lineRule="exact"/>
        <w:rPr>
          <w:sz w:val="24"/>
          <w:szCs w:val="24"/>
          <w:color w:val="auto"/>
        </w:rPr>
      </w:pPr>
    </w:p>
    <w:p>
      <w:pPr>
        <w:ind w:right="6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44" w:lineRule="exact"/>
        <w:rPr>
          <w:sz w:val="24"/>
          <w:szCs w:val="24"/>
          <w:color w:val="auto"/>
        </w:rPr>
      </w:pPr>
    </w:p>
    <w:p>
      <w:pPr>
        <w:ind w:right="140"/>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7"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8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6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800" w:type="dxa"/>
            <w:vAlign w:val="bottom"/>
            <w:tcBorders>
              <w:left w:val="single" w:sz="8" w:color="00000A"/>
              <w:bottom w:val="single" w:sz="8" w:color="00000A"/>
              <w:right w:val="single" w:sz="8" w:color="00000A"/>
            </w:tcBorders>
          </w:tcPr>
          <w:p>
            <w:pPr>
              <w:spacing w:after="0"/>
              <w:rPr>
                <w:sz w:val="2"/>
                <w:szCs w:val="2"/>
                <w:color w:val="auto"/>
              </w:rPr>
            </w:pPr>
          </w:p>
        </w:tc>
        <w:tc>
          <w:tcPr>
            <w:tcW w:w="2460" w:type="dxa"/>
            <w:vAlign w:val="bottom"/>
            <w:tcBorders>
              <w:bottom w:val="single" w:sz="8" w:color="00000A"/>
              <w:right w:val="single" w:sz="8" w:color="00000A"/>
            </w:tcBorders>
          </w:tcPr>
          <w:p>
            <w:pPr>
              <w:spacing w:after="0"/>
              <w:rPr>
                <w:sz w:val="2"/>
                <w:szCs w:val="2"/>
                <w:color w:val="auto"/>
              </w:rPr>
            </w:pPr>
          </w:p>
        </w:tc>
        <w:tc>
          <w:tcPr>
            <w:tcW w:w="3660" w:type="dxa"/>
            <w:vAlign w:val="bottom"/>
            <w:tcBorders>
              <w:bottom w:val="single" w:sz="8" w:color="00000A"/>
              <w:right w:val="single" w:sz="8" w:color="00000A"/>
            </w:tcBorders>
          </w:tcPr>
          <w:p>
            <w:pPr>
              <w:spacing w:after="0"/>
              <w:rPr>
                <w:sz w:val="2"/>
                <w:szCs w:val="2"/>
                <w:color w:val="auto"/>
              </w:rPr>
            </w:pPr>
          </w:p>
        </w:tc>
      </w:tr>
      <w:tr>
        <w:trPr>
          <w:trHeight w:val="237"/>
        </w:trPr>
        <w:tc>
          <w:tcPr>
            <w:tcW w:w="38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2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MAN</w:t>
            </w:r>
          </w:p>
        </w:tc>
        <w:tc>
          <w:tcPr>
            <w:tcW w:w="36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800" w:type="dxa"/>
            <w:vAlign w:val="bottom"/>
            <w:tcBorders>
              <w:left w:val="single" w:sz="8" w:color="00000A"/>
              <w:bottom w:val="single" w:sz="8" w:color="00000A"/>
              <w:right w:val="single" w:sz="8" w:color="00000A"/>
            </w:tcBorders>
          </w:tcPr>
          <w:p>
            <w:pPr>
              <w:spacing w:after="0"/>
              <w:rPr>
                <w:sz w:val="2"/>
                <w:szCs w:val="2"/>
                <w:color w:val="auto"/>
              </w:rPr>
            </w:pPr>
          </w:p>
        </w:tc>
        <w:tc>
          <w:tcPr>
            <w:tcW w:w="2460" w:type="dxa"/>
            <w:vAlign w:val="bottom"/>
            <w:tcBorders>
              <w:bottom w:val="single" w:sz="8" w:color="00000A"/>
              <w:right w:val="single" w:sz="8" w:color="00000A"/>
            </w:tcBorders>
          </w:tcPr>
          <w:p>
            <w:pPr>
              <w:spacing w:after="0"/>
              <w:rPr>
                <w:sz w:val="2"/>
                <w:szCs w:val="2"/>
                <w:color w:val="auto"/>
              </w:rPr>
            </w:pPr>
          </w:p>
        </w:tc>
        <w:tc>
          <w:tcPr>
            <w:tcW w:w="366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8"/>
        <w:spacing w:after="0" w:line="311" w:lineRule="auto"/>
        <w:rPr>
          <w:sz w:val="20"/>
          <w:szCs w:val="20"/>
          <w:color w:val="auto"/>
        </w:rPr>
      </w:pPr>
      <w:r>
        <w:rPr>
          <w:rFonts w:ascii="Arial" w:cs="Arial" w:eastAsia="Arial" w:hAnsi="Arial"/>
          <w:sz w:val="18"/>
          <w:szCs w:val="18"/>
          <w:color w:val="auto"/>
        </w:rPr>
        <w:t>At our 2019 Annual Meeting, our shareholders voted on proposals to: (1) elect eleven individuals nominated by the Board of Directors of the Company to serve until 2020; (2) ratify the appointment of Deloitte &amp; Touche LLP as our independent auditors for 2019; and (3) provide an advisory vote on the compensation of our named executive officers. The final voting results on these proposals are as follows: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6"/>
              </w:rPr>
              <w:t>Broker</w:t>
            </w:r>
          </w:p>
        </w:tc>
      </w:tr>
      <w:tr>
        <w:trPr>
          <w:trHeight w:val="230"/>
        </w:trPr>
        <w:tc>
          <w:tcPr>
            <w:tcW w:w="4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6"/>
              </w:rPr>
              <w:t>For</w:t>
            </w:r>
          </w:p>
        </w:tc>
        <w:tc>
          <w:tcPr>
            <w:tcW w:w="4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Against</w:t>
            </w:r>
          </w:p>
        </w:tc>
        <w:tc>
          <w:tcPr>
            <w:tcW w:w="1800" w:type="dxa"/>
            <w:vAlign w:val="bottom"/>
            <w:gridSpan w:val="3"/>
          </w:tcPr>
          <w:p>
            <w:pPr>
              <w:ind w:left="300"/>
              <w:spacing w:after="0"/>
              <w:rPr>
                <w:sz w:val="20"/>
                <w:szCs w:val="20"/>
                <w:color w:val="auto"/>
              </w:rPr>
            </w:pPr>
            <w:r>
              <w:rPr>
                <w:rFonts w:ascii="Arial" w:cs="Arial" w:eastAsia="Arial" w:hAnsi="Arial"/>
                <w:sz w:val="18"/>
                <w:szCs w:val="18"/>
                <w:b w:val="1"/>
                <w:bCs w:val="1"/>
                <w:color w:val="auto"/>
              </w:rPr>
              <w:t>Abstain</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20"/>
        </w:trPr>
        <w:tc>
          <w:tcPr>
            <w:tcW w:w="4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91"/>
        </w:trPr>
        <w:tc>
          <w:tcPr>
            <w:tcW w:w="4400" w:type="dxa"/>
            <w:vAlign w:val="bottom"/>
          </w:tcPr>
          <w:p>
            <w:pPr>
              <w:spacing w:after="0"/>
              <w:rPr>
                <w:sz w:val="20"/>
                <w:szCs w:val="20"/>
                <w:color w:val="auto"/>
              </w:rPr>
            </w:pPr>
            <w:r>
              <w:rPr>
                <w:rFonts w:ascii="Arial" w:cs="Arial" w:eastAsia="Arial" w:hAnsi="Arial"/>
                <w:sz w:val="18"/>
                <w:szCs w:val="18"/>
                <w:color w:val="auto"/>
              </w:rPr>
              <w:t>1. a) Election of Gina R. Boswell</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8"/>
              </w:rPr>
              <w:t>48,783,702</w:t>
            </w:r>
          </w:p>
        </w:tc>
        <w:tc>
          <w:tcPr>
            <w:tcW w:w="10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702,521</w:t>
            </w:r>
          </w:p>
        </w:tc>
        <w:tc>
          <w:tcPr>
            <w:tcW w:w="400" w:type="dxa"/>
            <w:vAlign w:val="bottom"/>
          </w:tcPr>
          <w:p>
            <w:pPr>
              <w:spacing w:after="0"/>
              <w:rPr>
                <w:sz w:val="24"/>
                <w:szCs w:val="24"/>
                <w:color w:val="auto"/>
              </w:rPr>
            </w:pP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41,627</w:t>
            </w: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2,337,529</w:t>
            </w:r>
          </w:p>
        </w:tc>
      </w:tr>
      <w:tr>
        <w:trPr>
          <w:trHeight w:val="567"/>
        </w:trPr>
        <w:tc>
          <w:tcPr>
            <w:tcW w:w="4400" w:type="dxa"/>
            <w:vAlign w:val="bottom"/>
          </w:tcPr>
          <w:p>
            <w:pPr>
              <w:ind w:left="160"/>
              <w:spacing w:after="0"/>
              <w:rPr>
                <w:sz w:val="20"/>
                <w:szCs w:val="20"/>
                <w:color w:val="auto"/>
              </w:rPr>
            </w:pPr>
            <w:r>
              <w:rPr>
                <w:rFonts w:ascii="Arial" w:cs="Arial" w:eastAsia="Arial" w:hAnsi="Arial"/>
                <w:sz w:val="18"/>
                <w:szCs w:val="18"/>
                <w:color w:val="auto"/>
              </w:rPr>
              <w:t>b) Election of Cari M. Dominguez</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8"/>
              </w:rPr>
              <w:t>49,069,165</w:t>
            </w:r>
          </w:p>
        </w:tc>
        <w:tc>
          <w:tcPr>
            <w:tcW w:w="10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419,542</w:t>
            </w:r>
          </w:p>
        </w:tc>
        <w:tc>
          <w:tcPr>
            <w:tcW w:w="400" w:type="dxa"/>
            <w:vAlign w:val="bottom"/>
          </w:tcPr>
          <w:p>
            <w:pPr>
              <w:spacing w:after="0"/>
              <w:rPr>
                <w:sz w:val="24"/>
                <w:szCs w:val="24"/>
                <w:color w:val="auto"/>
              </w:rPr>
            </w:pP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39,143</w:t>
            </w: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2,337,529</w:t>
            </w:r>
          </w:p>
        </w:tc>
      </w:tr>
      <w:tr>
        <w:trPr>
          <w:trHeight w:val="567"/>
        </w:trPr>
        <w:tc>
          <w:tcPr>
            <w:tcW w:w="4400" w:type="dxa"/>
            <w:vAlign w:val="bottom"/>
          </w:tcPr>
          <w:p>
            <w:pPr>
              <w:ind w:left="160"/>
              <w:spacing w:after="0"/>
              <w:rPr>
                <w:sz w:val="20"/>
                <w:szCs w:val="20"/>
                <w:color w:val="auto"/>
              </w:rPr>
            </w:pPr>
            <w:r>
              <w:rPr>
                <w:rFonts w:ascii="Arial" w:cs="Arial" w:eastAsia="Arial" w:hAnsi="Arial"/>
                <w:sz w:val="18"/>
                <w:szCs w:val="18"/>
                <w:color w:val="auto"/>
              </w:rPr>
              <w:t>c) Election of William Downe</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8"/>
              </w:rPr>
              <w:t>49,399,329</w:t>
            </w:r>
          </w:p>
        </w:tc>
        <w:tc>
          <w:tcPr>
            <w:tcW w:w="10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86,249</w:t>
            </w:r>
          </w:p>
        </w:tc>
        <w:tc>
          <w:tcPr>
            <w:tcW w:w="400" w:type="dxa"/>
            <w:vAlign w:val="bottom"/>
          </w:tcPr>
          <w:p>
            <w:pPr>
              <w:spacing w:after="0"/>
              <w:rPr>
                <w:sz w:val="24"/>
                <w:szCs w:val="24"/>
                <w:color w:val="auto"/>
              </w:rPr>
            </w:pP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42,272</w:t>
            </w: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2,337,529</w:t>
            </w:r>
          </w:p>
        </w:tc>
      </w:tr>
      <w:tr>
        <w:trPr>
          <w:trHeight w:val="567"/>
        </w:trPr>
        <w:tc>
          <w:tcPr>
            <w:tcW w:w="4400" w:type="dxa"/>
            <w:vAlign w:val="bottom"/>
          </w:tcPr>
          <w:p>
            <w:pPr>
              <w:ind w:left="160"/>
              <w:spacing w:after="0"/>
              <w:rPr>
                <w:sz w:val="20"/>
                <w:szCs w:val="20"/>
                <w:color w:val="auto"/>
              </w:rPr>
            </w:pPr>
            <w:r>
              <w:rPr>
                <w:rFonts w:ascii="Arial" w:cs="Arial" w:eastAsia="Arial" w:hAnsi="Arial"/>
                <w:sz w:val="18"/>
                <w:szCs w:val="18"/>
                <w:color w:val="auto"/>
              </w:rPr>
              <w:t>d) Election of John F. Ferraro</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8"/>
              </w:rPr>
              <w:t>49,454,952</w:t>
            </w:r>
          </w:p>
        </w:tc>
        <w:tc>
          <w:tcPr>
            <w:tcW w:w="10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27,247</w:t>
            </w:r>
          </w:p>
        </w:tc>
        <w:tc>
          <w:tcPr>
            <w:tcW w:w="400" w:type="dxa"/>
            <w:vAlign w:val="bottom"/>
          </w:tcPr>
          <w:p>
            <w:pPr>
              <w:spacing w:after="0"/>
              <w:rPr>
                <w:sz w:val="24"/>
                <w:szCs w:val="24"/>
                <w:color w:val="auto"/>
              </w:rPr>
            </w:pP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45,651</w:t>
            </w: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2,337,529</w:t>
            </w:r>
          </w:p>
        </w:tc>
      </w:tr>
      <w:tr>
        <w:trPr>
          <w:trHeight w:val="567"/>
        </w:trPr>
        <w:tc>
          <w:tcPr>
            <w:tcW w:w="4400" w:type="dxa"/>
            <w:vAlign w:val="bottom"/>
          </w:tcPr>
          <w:p>
            <w:pPr>
              <w:ind w:left="160"/>
              <w:spacing w:after="0"/>
              <w:rPr>
                <w:sz w:val="20"/>
                <w:szCs w:val="20"/>
                <w:color w:val="auto"/>
              </w:rPr>
            </w:pPr>
            <w:r>
              <w:rPr>
                <w:rFonts w:ascii="Arial" w:cs="Arial" w:eastAsia="Arial" w:hAnsi="Arial"/>
                <w:sz w:val="18"/>
                <w:szCs w:val="18"/>
                <w:color w:val="auto"/>
              </w:rPr>
              <w:t>e) Election of Patricia Hemingway Hall</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8"/>
              </w:rPr>
              <w:t>47,437,272</w:t>
            </w: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9"/>
              </w:rPr>
              <w:t>2,048,146</w:t>
            </w: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42,432</w:t>
            </w: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2,337,529</w:t>
            </w:r>
          </w:p>
        </w:tc>
      </w:tr>
      <w:tr>
        <w:trPr>
          <w:trHeight w:val="567"/>
        </w:trPr>
        <w:tc>
          <w:tcPr>
            <w:tcW w:w="4400" w:type="dxa"/>
            <w:vAlign w:val="bottom"/>
          </w:tcPr>
          <w:p>
            <w:pPr>
              <w:ind w:left="160"/>
              <w:spacing w:after="0"/>
              <w:rPr>
                <w:sz w:val="20"/>
                <w:szCs w:val="20"/>
                <w:color w:val="auto"/>
              </w:rPr>
            </w:pPr>
            <w:r>
              <w:rPr>
                <w:rFonts w:ascii="Arial" w:cs="Arial" w:eastAsia="Arial" w:hAnsi="Arial"/>
                <w:sz w:val="18"/>
                <w:szCs w:val="18"/>
                <w:color w:val="auto"/>
              </w:rPr>
              <w:t>f) Election of Julie M. Howard</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8"/>
              </w:rPr>
              <w:t>34,885,156</w:t>
            </w: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0"/>
              </w:rPr>
              <w:t>14,600,027</w:t>
            </w: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42,667</w:t>
            </w: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2,337,529</w:t>
            </w:r>
          </w:p>
        </w:tc>
      </w:tr>
      <w:tr>
        <w:trPr>
          <w:trHeight w:val="567"/>
        </w:trPr>
        <w:tc>
          <w:tcPr>
            <w:tcW w:w="4400" w:type="dxa"/>
            <w:vAlign w:val="bottom"/>
          </w:tcPr>
          <w:p>
            <w:pPr>
              <w:ind w:left="160"/>
              <w:spacing w:after="0"/>
              <w:rPr>
                <w:sz w:val="20"/>
                <w:szCs w:val="20"/>
                <w:color w:val="auto"/>
              </w:rPr>
            </w:pPr>
            <w:r>
              <w:rPr>
                <w:rFonts w:ascii="Arial" w:cs="Arial" w:eastAsia="Arial" w:hAnsi="Arial"/>
                <w:sz w:val="18"/>
                <w:szCs w:val="18"/>
                <w:color w:val="auto"/>
              </w:rPr>
              <w:t>g) Election of Ulice Payne, Jr.</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8"/>
              </w:rPr>
              <w:t>49,119,668</w:t>
            </w:r>
          </w:p>
        </w:tc>
        <w:tc>
          <w:tcPr>
            <w:tcW w:w="10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365,100</w:t>
            </w:r>
          </w:p>
        </w:tc>
        <w:tc>
          <w:tcPr>
            <w:tcW w:w="400" w:type="dxa"/>
            <w:vAlign w:val="bottom"/>
          </w:tcPr>
          <w:p>
            <w:pPr>
              <w:spacing w:after="0"/>
              <w:rPr>
                <w:sz w:val="24"/>
                <w:szCs w:val="24"/>
                <w:color w:val="auto"/>
              </w:rPr>
            </w:pP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43,082</w:t>
            </w: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2,337,529</w:t>
            </w:r>
          </w:p>
        </w:tc>
      </w:tr>
      <w:tr>
        <w:trPr>
          <w:trHeight w:val="567"/>
        </w:trPr>
        <w:tc>
          <w:tcPr>
            <w:tcW w:w="4400" w:type="dxa"/>
            <w:vAlign w:val="bottom"/>
          </w:tcPr>
          <w:p>
            <w:pPr>
              <w:ind w:left="160"/>
              <w:spacing w:after="0"/>
              <w:rPr>
                <w:sz w:val="20"/>
                <w:szCs w:val="20"/>
                <w:color w:val="auto"/>
              </w:rPr>
            </w:pPr>
            <w:r>
              <w:rPr>
                <w:rFonts w:ascii="Arial" w:cs="Arial" w:eastAsia="Arial" w:hAnsi="Arial"/>
                <w:sz w:val="18"/>
                <w:szCs w:val="18"/>
                <w:color w:val="auto"/>
              </w:rPr>
              <w:t>h) Election of Jonas Prising</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8"/>
              </w:rPr>
              <w:t>47,426,632</w:t>
            </w: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9"/>
              </w:rPr>
              <w:t>1,932,000</w:t>
            </w: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92"/>
              </w:rPr>
              <w:t>169,218</w:t>
            </w: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2,337,529</w:t>
            </w:r>
          </w:p>
        </w:tc>
      </w:tr>
      <w:tr>
        <w:trPr>
          <w:trHeight w:val="567"/>
        </w:trPr>
        <w:tc>
          <w:tcPr>
            <w:tcW w:w="4400" w:type="dxa"/>
            <w:vAlign w:val="bottom"/>
          </w:tcPr>
          <w:p>
            <w:pPr>
              <w:ind w:left="160"/>
              <w:spacing w:after="0"/>
              <w:rPr>
                <w:sz w:val="20"/>
                <w:szCs w:val="20"/>
                <w:color w:val="auto"/>
              </w:rPr>
            </w:pPr>
            <w:r>
              <w:rPr>
                <w:rFonts w:ascii="Arial" w:cs="Arial" w:eastAsia="Arial" w:hAnsi="Arial"/>
                <w:sz w:val="18"/>
                <w:szCs w:val="18"/>
                <w:color w:val="auto"/>
              </w:rPr>
              <w:t>i) Election of Paul Read</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8"/>
              </w:rPr>
              <w:t>49,463,708</w:t>
            </w:r>
          </w:p>
        </w:tc>
        <w:tc>
          <w:tcPr>
            <w:tcW w:w="10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21,376</w:t>
            </w:r>
          </w:p>
        </w:tc>
        <w:tc>
          <w:tcPr>
            <w:tcW w:w="400" w:type="dxa"/>
            <w:vAlign w:val="bottom"/>
          </w:tcPr>
          <w:p>
            <w:pPr>
              <w:spacing w:after="0"/>
              <w:rPr>
                <w:sz w:val="24"/>
                <w:szCs w:val="24"/>
                <w:color w:val="auto"/>
              </w:rPr>
            </w:pP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42,766</w:t>
            </w: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2,337,529</w:t>
            </w:r>
          </w:p>
        </w:tc>
      </w:tr>
      <w:tr>
        <w:trPr>
          <w:trHeight w:val="567"/>
        </w:trPr>
        <w:tc>
          <w:tcPr>
            <w:tcW w:w="4400" w:type="dxa"/>
            <w:vAlign w:val="bottom"/>
          </w:tcPr>
          <w:p>
            <w:pPr>
              <w:ind w:left="160"/>
              <w:spacing w:after="0"/>
              <w:rPr>
                <w:sz w:val="20"/>
                <w:szCs w:val="20"/>
                <w:color w:val="auto"/>
              </w:rPr>
            </w:pPr>
            <w:r>
              <w:rPr>
                <w:rFonts w:ascii="Arial" w:cs="Arial" w:eastAsia="Arial" w:hAnsi="Arial"/>
                <w:sz w:val="18"/>
                <w:szCs w:val="18"/>
                <w:color w:val="auto"/>
              </w:rPr>
              <w:t>j) Election of Elizabeth P. Sartain</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8"/>
              </w:rPr>
              <w:t>48,829,513</w:t>
            </w:r>
          </w:p>
        </w:tc>
        <w:tc>
          <w:tcPr>
            <w:tcW w:w="10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655,713</w:t>
            </w:r>
          </w:p>
        </w:tc>
        <w:tc>
          <w:tcPr>
            <w:tcW w:w="400" w:type="dxa"/>
            <w:vAlign w:val="bottom"/>
          </w:tcPr>
          <w:p>
            <w:pPr>
              <w:spacing w:after="0"/>
              <w:rPr>
                <w:sz w:val="24"/>
                <w:szCs w:val="24"/>
                <w:color w:val="auto"/>
              </w:rPr>
            </w:pP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42,624</w:t>
            </w: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2,337,529</w:t>
            </w:r>
          </w:p>
        </w:tc>
      </w:tr>
      <w:tr>
        <w:trPr>
          <w:trHeight w:val="567"/>
        </w:trPr>
        <w:tc>
          <w:tcPr>
            <w:tcW w:w="4400" w:type="dxa"/>
            <w:vAlign w:val="bottom"/>
          </w:tcPr>
          <w:p>
            <w:pPr>
              <w:ind w:left="160"/>
              <w:spacing w:after="0"/>
              <w:rPr>
                <w:sz w:val="20"/>
                <w:szCs w:val="20"/>
                <w:color w:val="auto"/>
              </w:rPr>
            </w:pPr>
            <w:r>
              <w:rPr>
                <w:rFonts w:ascii="Arial" w:cs="Arial" w:eastAsia="Arial" w:hAnsi="Arial"/>
                <w:sz w:val="18"/>
                <w:szCs w:val="18"/>
                <w:color w:val="auto"/>
              </w:rPr>
              <w:t>k) Election of Michael J. Van Handel</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8"/>
              </w:rPr>
              <w:t>49,383,099</w:t>
            </w:r>
          </w:p>
        </w:tc>
        <w:tc>
          <w:tcPr>
            <w:tcW w:w="10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101,333</w:t>
            </w:r>
          </w:p>
        </w:tc>
        <w:tc>
          <w:tcPr>
            <w:tcW w:w="400" w:type="dxa"/>
            <w:vAlign w:val="bottom"/>
          </w:tcPr>
          <w:p>
            <w:pPr>
              <w:spacing w:after="0"/>
              <w:rPr>
                <w:sz w:val="24"/>
                <w:szCs w:val="24"/>
                <w:color w:val="auto"/>
              </w:rPr>
            </w:pP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43,418</w:t>
            </w: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2,337,529</w:t>
            </w:r>
          </w:p>
        </w:tc>
      </w:tr>
      <w:tr>
        <w:trPr>
          <w:trHeight w:val="553"/>
        </w:trPr>
        <w:tc>
          <w:tcPr>
            <w:tcW w:w="4400" w:type="dxa"/>
            <w:vAlign w:val="bottom"/>
          </w:tcPr>
          <w:p>
            <w:pPr>
              <w:spacing w:after="0"/>
              <w:rPr>
                <w:sz w:val="20"/>
                <w:szCs w:val="20"/>
                <w:color w:val="auto"/>
              </w:rPr>
            </w:pPr>
            <w:r>
              <w:rPr>
                <w:rFonts w:ascii="Arial" w:cs="Arial" w:eastAsia="Arial" w:hAnsi="Arial"/>
                <w:sz w:val="18"/>
                <w:szCs w:val="18"/>
                <w:color w:val="auto"/>
              </w:rPr>
              <w:t>2. Ratification of the appointment of Deloitte &amp; Touche</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LLP as our independent auditors for 2019</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8"/>
              </w:rPr>
              <w:t>51,311,571</w:t>
            </w:r>
          </w:p>
        </w:tc>
        <w:tc>
          <w:tcPr>
            <w:tcW w:w="10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514,076</w:t>
            </w:r>
          </w:p>
        </w:tc>
        <w:tc>
          <w:tcPr>
            <w:tcW w:w="400" w:type="dxa"/>
            <w:vAlign w:val="bottom"/>
          </w:tcPr>
          <w:p>
            <w:pPr>
              <w:spacing w:after="0"/>
              <w:rPr>
                <w:sz w:val="20"/>
                <w:szCs w:val="20"/>
                <w:color w:val="auto"/>
              </w:rPr>
            </w:pP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39,732</w:t>
            </w:r>
          </w:p>
        </w:tc>
        <w:tc>
          <w:tcPr>
            <w:tcW w:w="9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553"/>
        </w:trPr>
        <w:tc>
          <w:tcPr>
            <w:tcW w:w="4400" w:type="dxa"/>
            <w:vAlign w:val="bottom"/>
          </w:tcPr>
          <w:p>
            <w:pPr>
              <w:spacing w:after="0"/>
              <w:rPr>
                <w:sz w:val="20"/>
                <w:szCs w:val="20"/>
                <w:color w:val="auto"/>
              </w:rPr>
            </w:pPr>
            <w:r>
              <w:rPr>
                <w:rFonts w:ascii="Arial" w:cs="Arial" w:eastAsia="Arial" w:hAnsi="Arial"/>
                <w:sz w:val="18"/>
                <w:szCs w:val="18"/>
                <w:color w:val="auto"/>
              </w:rPr>
              <w:t>3. Advisory vote on the compensation of our named</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executive officers</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8"/>
              </w:rPr>
              <w:t>46,773,568</w:t>
            </w: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9"/>
              </w:rPr>
              <w:t>2,694,747</w:t>
            </w: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59,535</w:t>
            </w:r>
          </w:p>
        </w:tc>
        <w:tc>
          <w:tcPr>
            <w:tcW w:w="9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2,337,529</w:t>
            </w:r>
          </w:p>
        </w:tc>
      </w:tr>
    </w:tbl>
    <w:p>
      <w:pPr>
        <w:sectPr>
          <w:pgSz w:w="11900" w:h="16838" w:orient="portrait"/>
          <w:cols w:equalWidth="0" w:num="1">
            <w:col w:w="11340"/>
          </w:cols>
          <w:pgMar w:left="240" w:top="63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95" w:lineRule="auto"/>
        <w:rPr>
          <w:sz w:val="20"/>
          <w:szCs w:val="20"/>
          <w:color w:val="auto"/>
        </w:rPr>
      </w:pPr>
      <w:r>
        <w:rPr>
          <w:rFonts w:ascii="Arial" w:cs="Arial" w:eastAsia="Arial" w:hAnsi="Arial"/>
          <w:sz w:val="18"/>
          <w:szCs w:val="18"/>
          <w:color w:val="auto"/>
        </w:rPr>
        <w:t>On May 10, 2019 we issued a press release announcing that our Board of Directors declared a semi-annual dividend of $1.09 per share. The dividend will be paid on June 14, 2019 to shareholders of record as of the close of business on June 3, 2019. The press release is attached hereto as Exhibit 99.1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gridSpan w:val="3"/>
          </w:tcPr>
          <w:p>
            <w:pPr>
              <w:ind w:left="480"/>
              <w:spacing w:after="0"/>
              <w:rPr>
                <w:sz w:val="20"/>
                <w:szCs w:val="20"/>
                <w:color w:val="auto"/>
              </w:rPr>
            </w:pPr>
            <w:r>
              <w:rPr>
                <w:rFonts w:ascii="Arial" w:cs="Arial" w:eastAsia="Arial" w:hAnsi="Arial"/>
                <w:sz w:val="18"/>
                <w:szCs w:val="18"/>
                <w:b w:val="1"/>
                <w:bCs w:val="1"/>
                <w:color w:val="auto"/>
              </w:rPr>
              <w:t>Exhibits</w:t>
            </w:r>
          </w:p>
        </w:tc>
      </w:tr>
      <w:tr>
        <w:trPr>
          <w:trHeight w:val="608"/>
        </w:trPr>
        <w:tc>
          <w:tcPr>
            <w:tcW w:w="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20" w:type="dxa"/>
            <w:vAlign w:val="bottom"/>
          </w:tcPr>
          <w:p>
            <w:pPr>
              <w:spacing w:after="0"/>
              <w:rPr>
                <w:sz w:val="24"/>
                <w:szCs w:val="24"/>
                <w:color w:val="auto"/>
              </w:rPr>
            </w:pPr>
          </w:p>
        </w:tc>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03"/>
        </w:trPr>
        <w:tc>
          <w:tcPr>
            <w:tcW w:w="360" w:type="dxa"/>
            <w:vAlign w:val="bottom"/>
            <w:gridSpan w:val="2"/>
          </w:tcPr>
          <w:p>
            <w:pPr>
              <w:ind w:left="40"/>
              <w:spacing w:after="0" w:line="202"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20" w:type="dxa"/>
            <w:vAlign w:val="bottom"/>
            <w:gridSpan w:val="2"/>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May 10, 2019</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940" w:type="dxa"/>
            <w:vAlign w:val="bottom"/>
            <w:gridSpan w:val="2"/>
          </w:tcPr>
          <w:p>
            <w:pPr>
              <w:ind w:left="194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486"/>
        </w:trPr>
        <w:tc>
          <w:tcPr>
            <w:tcW w:w="3440" w:type="dxa"/>
            <w:vAlign w:val="bottom"/>
          </w:tcPr>
          <w:p>
            <w:pPr>
              <w:spacing w:after="0"/>
              <w:rPr>
                <w:sz w:val="20"/>
                <w:szCs w:val="20"/>
                <w:color w:val="auto"/>
              </w:rPr>
            </w:pPr>
            <w:r>
              <w:rPr>
                <w:rFonts w:ascii="Arial" w:cs="Arial" w:eastAsia="Arial" w:hAnsi="Arial"/>
                <w:sz w:val="18"/>
                <w:szCs w:val="18"/>
                <w:color w:val="auto"/>
              </w:rPr>
              <w:t>Dated: May 10, 2019</w:t>
            </w:r>
          </w:p>
        </w:tc>
        <w:tc>
          <w:tcPr>
            <w:tcW w:w="280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0" w:type="dxa"/>
            <w:vAlign w:val="bottom"/>
            <w:vMerge w:val="restart"/>
          </w:tcPr>
          <w:p>
            <w:pPr>
              <w:ind w:left="194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800" w:type="dxa"/>
            <w:vAlign w:val="bottom"/>
            <w:vMerge w:val="continue"/>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2800" w:type="dxa"/>
            <w:vAlign w:val="bottom"/>
          </w:tcPr>
          <w:p>
            <w:pPr>
              <w:ind w:left="1940"/>
              <w:spacing w:after="0"/>
              <w:rPr>
                <w:sz w:val="20"/>
                <w:szCs w:val="20"/>
                <w:color w:val="auto"/>
              </w:rPr>
            </w:pPr>
            <w:r>
              <w:rPr>
                <w:rFonts w:ascii="Arial" w:cs="Arial" w:eastAsia="Arial" w:hAnsi="Arial"/>
                <w:sz w:val="18"/>
                <w:szCs w:val="18"/>
                <w:color w:val="auto"/>
              </w:rPr>
              <w:t>Title:</w:t>
            </w:r>
          </w:p>
        </w:tc>
        <w:tc>
          <w:tcPr>
            <w:tcW w:w="514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174625</wp:posOffset>
            </wp:positionV>
            <wp:extent cx="1758315"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4760" w:val="left"/>
        </w:tabs>
        <w:rPr>
          <w:sz w:val="20"/>
          <w:szCs w:val="20"/>
          <w:color w:val="auto"/>
        </w:rPr>
      </w:pPr>
      <w:r>
        <w:rPr>
          <w:rFonts w:ascii="Arial" w:cs="Arial" w:eastAsia="Arial" w:hAnsi="Arial"/>
          <w:sz w:val="18"/>
          <w:szCs w:val="18"/>
          <w:b w:val="1"/>
          <w:bCs w:val="1"/>
          <w:color w:val="auto"/>
        </w:rPr>
        <w:t>FOR IMMEDIATE RELEASE</w:t>
      </w:r>
      <w:r>
        <w:rPr>
          <w:sz w:val="20"/>
          <w:szCs w:val="20"/>
          <w:color w:val="auto"/>
        </w:rPr>
        <w:tab/>
      </w:r>
      <w:r>
        <w:rPr>
          <w:rFonts w:ascii="Arial" w:cs="Arial" w:eastAsia="Arial" w:hAnsi="Arial"/>
          <w:sz w:val="17"/>
          <w:szCs w:val="17"/>
          <w:b w:val="1"/>
          <w:bCs w:val="1"/>
          <w:color w:val="auto"/>
        </w:rPr>
        <w:t xml:space="preserve">CONTACT: </w:t>
      </w:r>
      <w:r>
        <w:rPr>
          <w:rFonts w:ascii="Arial" w:cs="Arial" w:eastAsia="Arial" w:hAnsi="Arial"/>
          <w:sz w:val="17"/>
          <w:szCs w:val="17"/>
          <w:color w:val="auto"/>
        </w:rPr>
        <w:t>Jack McGinnis</w:t>
      </w:r>
    </w:p>
    <w:p>
      <w:pPr>
        <w:spacing w:after="0" w:line="8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+1.414.906.7977</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Jack.mcginnis@manpowergroup.com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Increases Dividend 7.9 Percent</w:t>
      </w:r>
    </w:p>
    <w:p>
      <w:pPr>
        <w:spacing w:after="0" w:line="26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 xml:space="preserve">MILWAUKEE (May 10, 2019) – </w:t>
      </w:r>
      <w:r>
        <w:rPr>
          <w:rFonts w:ascii="Arial" w:cs="Arial" w:eastAsia="Arial" w:hAnsi="Arial"/>
          <w:sz w:val="18"/>
          <w:szCs w:val="18"/>
          <w:color w:val="auto"/>
        </w:rPr>
        <w:t>The Board of Directors of ManpowerGroup (NYSE: MAN) has declared a semi-annual dividend of $1.09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a 7.9 percent increase from the most recent dividend of $1.01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dividend is payable on June 14, 2019 to shareholders of record as of the close of business on June 3, 2019.</w:t>
      </w:r>
    </w:p>
    <w:p>
      <w:pPr>
        <w:spacing w:after="0" w:line="225" w:lineRule="exact"/>
        <w:rPr>
          <w:sz w:val="20"/>
          <w:szCs w:val="20"/>
          <w:color w:val="auto"/>
        </w:rPr>
      </w:pPr>
    </w:p>
    <w:p>
      <w:pPr>
        <w:ind w:right="1320"/>
        <w:spacing w:after="0" w:line="262" w:lineRule="auto"/>
        <w:rPr>
          <w:sz w:val="20"/>
          <w:szCs w:val="20"/>
          <w:color w:val="auto"/>
        </w:rPr>
      </w:pPr>
      <w:r>
        <w:rPr>
          <w:rFonts w:ascii="Arial" w:cs="Arial" w:eastAsia="Arial" w:hAnsi="Arial"/>
          <w:sz w:val="18"/>
          <w:szCs w:val="18"/>
          <w:color w:val="auto"/>
        </w:rPr>
        <w:t>Additional financial information about ManpowerGroup, including stock history and annual shareholder reports, can be found at http://investor.manpowergroup.com.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Right Management® and ManpowerGroup® Solutions – creates substantially more value for candidates and clients across 80 countries and territories and has done so for over 70 years. In 2019, ManpowerGroup was named one of the World's Most Ethical Companies for the tenth year and one of Fortune's Most Admired Companies for the seventeenth year, confirming our position as the most trusted and admired brand in the industry. See how ManpowerGroup is powering the future of work: www.manpowergroup.com</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ManpowerGroup • 100 Manpower Place, Milwaukee, WI 53212 • USA • Phone +1.414.961.1000 • www.manpowergroup.com</w:t>
      </w:r>
    </w:p>
    <w:sectPr>
      <w:pgSz w:w="11900" w:h="16838" w:orient="portrait"/>
      <w:cols w:equalWidth="0" w:num="1">
        <w:col w:w="11420"/>
      </w:cols>
      <w:pgMar w:left="240" w:top="7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2019-12-28T12:22:12Z</dcterms:created>
  <dcterms:modified xsi:type="dcterms:W3CDTF">2019-12-28T12:22:12Z</dcterms:modified>
</cp:coreProperties>
</file>