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1 )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ManpowerGroup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56418H100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5020"/>
        <w:spacing w:after="0"/>
        <w:rPr>
          <w:sz w:val="20"/>
          <w:szCs w:val="20"/>
          <w:color w:val="auto"/>
        </w:rPr>
      </w:pPr>
      <w:r>
        <w:rPr>
          <w:rFonts w:ascii="Arial" w:cs="Arial" w:eastAsia="Arial" w:hAnsi="Arial"/>
          <w:sz w:val="22"/>
          <w:szCs w:val="22"/>
          <w:color w:val="auto"/>
        </w:rPr>
        <w:t>July 30,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56418H100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100"/>
              <w:spacing w:after="0"/>
              <w:rPr>
                <w:sz w:val="20"/>
                <w:szCs w:val="20"/>
                <w:color w:val="auto"/>
              </w:rPr>
            </w:pPr>
            <w:r>
              <w:rPr>
                <w:rFonts w:ascii="Arial" w:cs="Arial" w:eastAsia="Arial" w:hAnsi="Arial"/>
                <w:sz w:val="22"/>
                <w:szCs w:val="22"/>
                <w:color w:val="auto"/>
                <w:w w:val="99"/>
              </w:rPr>
              <w:t>NAMES OF REPORTING PERSONS</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Capital World Investors</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95-1411037</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 [ ]</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5760" w:type="dxa"/>
            <w:vAlign w:val="bottom"/>
          </w:tcPr>
          <w:p>
            <w:pPr>
              <w:ind w:left="320"/>
              <w:spacing w:after="0"/>
              <w:rPr>
                <w:sz w:val="20"/>
                <w:szCs w:val="20"/>
                <w:color w:val="auto"/>
              </w:rPr>
            </w:pPr>
            <w:r>
              <w:rPr>
                <w:rFonts w:ascii="Arial" w:cs="Arial" w:eastAsia="Arial" w:hAnsi="Arial"/>
                <w:sz w:val="22"/>
                <w:szCs w:val="22"/>
                <w:color w:val="auto"/>
              </w:rPr>
              <w:t>5,743,426</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60"/>
              <w:spacing w:after="0" w:line="243" w:lineRule="exact"/>
              <w:rPr>
                <w:sz w:val="20"/>
                <w:szCs w:val="20"/>
                <w:color w:val="auto"/>
              </w:rPr>
            </w:pPr>
            <w:r>
              <w:rPr>
                <w:rFonts w:ascii="Arial" w:cs="Arial" w:eastAsia="Arial" w:hAnsi="Arial"/>
                <w:sz w:val="22"/>
                <w:szCs w:val="22"/>
                <w:color w:val="auto"/>
              </w:rPr>
              <w:t>6. SHARED VOTING POWER</w:t>
            </w:r>
          </w:p>
        </w:tc>
        <w:tc>
          <w:tcPr>
            <w:tcW w:w="5760" w:type="dxa"/>
            <w:vAlign w:val="bottom"/>
          </w:tcPr>
          <w:p>
            <w:pPr>
              <w:ind w:left="32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5,743,426</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5,743,426 Beneficial ownership disclaimed pursuant to Rule 13d-4</w:t>
            </w: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10.5%</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620" w:right="7540" w:hanging="707"/>
        <w:spacing w:after="0" w:line="334" w:lineRule="auto"/>
        <w:tabs>
          <w:tab w:leader="none" w:pos="162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ManpowerGroup Inc.</w:t>
      </w:r>
    </w:p>
    <w:p>
      <w:pPr>
        <w:spacing w:after="0" w:line="12" w:lineRule="exact"/>
        <w:rPr>
          <w:rFonts w:ascii="Arial" w:cs="Arial" w:eastAsia="Arial" w:hAnsi="Arial"/>
          <w:sz w:val="19"/>
          <w:szCs w:val="19"/>
          <w:b w:val="1"/>
          <w:bCs w:val="1"/>
          <w:color w:val="auto"/>
        </w:rPr>
      </w:pPr>
    </w:p>
    <w:p>
      <w:pPr>
        <w:ind w:left="1620" w:right="5000" w:hanging="707"/>
        <w:spacing w:after="0" w:line="334" w:lineRule="auto"/>
        <w:tabs>
          <w:tab w:leader="none" w:pos="162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Issuer's Principal Executive Offices </w:t>
      </w:r>
      <w:r>
        <w:rPr>
          <w:rFonts w:ascii="Arial" w:cs="Arial" w:eastAsia="Arial" w:hAnsi="Arial"/>
          <w:sz w:val="19"/>
          <w:szCs w:val="19"/>
          <w:color w:val="auto"/>
        </w:rPr>
        <w:t>100 Manpower Place, Milwaukee, WI 53212-4030</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jc w:val="both"/>
        <w:ind w:left="1620" w:right="734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Capital World Investors</w:t>
      </w:r>
    </w:p>
    <w:p>
      <w:pPr>
        <w:spacing w:after="0" w:line="12" w:lineRule="exact"/>
        <w:rPr>
          <w:rFonts w:ascii="Arial" w:cs="Arial" w:eastAsia="Arial" w:hAnsi="Arial"/>
          <w:sz w:val="19"/>
          <w:szCs w:val="19"/>
          <w:b w:val="1"/>
          <w:bCs w:val="1"/>
          <w:color w:val="auto"/>
        </w:rPr>
      </w:pPr>
    </w:p>
    <w:p>
      <w:pPr>
        <w:ind w:left="1620" w:right="400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333 South Hope Street, 55th Fl, Los Angeles, CA 90071</w:t>
      </w:r>
    </w:p>
    <w:p>
      <w:pPr>
        <w:spacing w:after="0" w:line="12" w:lineRule="exact"/>
        <w:rPr>
          <w:rFonts w:ascii="Arial" w:cs="Arial" w:eastAsia="Arial" w:hAnsi="Arial"/>
          <w:sz w:val="19"/>
          <w:szCs w:val="19"/>
          <w:b w:val="1"/>
          <w:bCs w:val="1"/>
          <w:color w:val="auto"/>
        </w:rPr>
      </w:pPr>
    </w:p>
    <w:p>
      <w:pPr>
        <w:ind w:left="1620" w:right="836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N/A</w:t>
      </w:r>
    </w:p>
    <w:p>
      <w:pPr>
        <w:spacing w:after="0" w:line="12" w:lineRule="exact"/>
        <w:rPr>
          <w:rFonts w:ascii="Arial" w:cs="Arial" w:eastAsia="Arial" w:hAnsi="Arial"/>
          <w:sz w:val="19"/>
          <w:szCs w:val="19"/>
          <w:b w:val="1"/>
          <w:bCs w:val="1"/>
          <w:color w:val="auto"/>
        </w:rPr>
      </w:pPr>
    </w:p>
    <w:p>
      <w:pPr>
        <w:ind w:left="1620" w:right="700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620" w:right="794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56418H100</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ectPr>
          <w:pgSz w:w="11900" w:h="16838" w:orient="portrait"/>
          <w:cols w:equalWidth="0" w:num="1">
            <w:col w:w="11020"/>
          </w:cols>
          <w:pgMar w:left="400" w:top="423" w:right="479" w:bottom="0" w:gutter="0" w:footer="0" w:header="0"/>
        </w:sectPr>
      </w:pPr>
    </w:p>
    <w:p>
      <w:pPr>
        <w:spacing w:after="0" w:line="131"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[X]</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22"/>
          <w:szCs w:val="22"/>
          <w:color w:val="auto"/>
        </w:rPr>
        <w:t>[ ]</w:t>
      </w:r>
    </w:p>
    <w:p>
      <w:pPr>
        <w:spacing w:after="0" w:line="368"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22"/>
          <w:szCs w:val="22"/>
          <w:color w:val="auto"/>
        </w:rPr>
        <w:t>[ ]</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left="8"/>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ind w:left="8" w:right="560"/>
        <w:spacing w:after="0" w:line="250" w:lineRule="auto"/>
        <w:rPr>
          <w:sz w:val="20"/>
          <w:szCs w:val="20"/>
          <w:color w:val="auto"/>
        </w:rPr>
      </w:pPr>
      <w:r>
        <w:rPr>
          <w:rFonts w:ascii="Arial" w:cs="Arial" w:eastAsia="Arial" w:hAnsi="Arial"/>
          <w:sz w:val="22"/>
          <w:szCs w:val="22"/>
          <w:color w:val="auto"/>
        </w:rPr>
        <w:t>Investment Company registered under Section 8 of the Investment Company Act of 1940 (15 U.S.C. 80a-8).</w:t>
      </w:r>
    </w:p>
    <w:p>
      <w:pPr>
        <w:spacing w:after="0" w:line="94" w:lineRule="exact"/>
        <w:rPr>
          <w:sz w:val="20"/>
          <w:szCs w:val="20"/>
          <w:color w:val="auto"/>
        </w:rPr>
      </w:pPr>
    </w:p>
    <w:p>
      <w:pPr>
        <w:ind w:left="8"/>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left="8" w:right="44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ind w:left="8" w:right="240"/>
        <w:spacing w:after="0" w:line="250" w:lineRule="auto"/>
        <w:rPr>
          <w:sz w:val="20"/>
          <w:szCs w:val="20"/>
          <w:color w:val="auto"/>
        </w:rPr>
      </w:pPr>
      <w:r>
        <w:rPr>
          <w:rFonts w:ascii="Arial" w:cs="Arial" w:eastAsia="Arial" w:hAnsi="Arial"/>
          <w:sz w:val="22"/>
          <w:szCs w:val="22"/>
          <w:color w:val="auto"/>
        </w:rPr>
        <w:t>A savings association as defined in Section 3(b) of the Federal Deposit Insurance Act (12 U.S.C. 1813);</w:t>
      </w:r>
    </w:p>
    <w:p>
      <w:pPr>
        <w:spacing w:after="0" w:line="94" w:lineRule="exact"/>
        <w:rPr>
          <w:sz w:val="20"/>
          <w:szCs w:val="20"/>
          <w:color w:val="auto"/>
        </w:rPr>
      </w:pPr>
    </w:p>
    <w:p>
      <w:pPr>
        <w:ind w:left="8"/>
        <w:spacing w:after="0"/>
        <w:rPr>
          <w:sz w:val="20"/>
          <w:szCs w:val="20"/>
          <w:color w:val="auto"/>
        </w:rPr>
      </w:pPr>
      <w:r>
        <w:rPr>
          <w:rFonts w:ascii="Arial" w:cs="Arial" w:eastAsia="Arial" w:hAnsi="Arial"/>
          <w:sz w:val="19"/>
          <w:szCs w:val="19"/>
          <w:color w:val="auto"/>
        </w:rPr>
        <w:t>A church plan that is excluded from the definition of an investment company under Section 3(c)</w:t>
      </w:r>
    </w:p>
    <w:p>
      <w:pPr>
        <w:spacing w:after="0" w:line="43" w:lineRule="exact"/>
        <w:rPr>
          <w:sz w:val="20"/>
          <w:szCs w:val="20"/>
          <w:color w:val="auto"/>
        </w:rPr>
      </w:pPr>
    </w:p>
    <w:p>
      <w:pPr>
        <w:ind w:left="8" w:right="3040" w:hanging="8"/>
        <w:spacing w:after="0" w:line="456" w:lineRule="auto"/>
        <w:tabs>
          <w:tab w:leader="none" w:pos="422" w:val="left"/>
        </w:tabs>
        <w:numPr>
          <w:ilvl w:val="0"/>
          <w:numId w:val="4"/>
        </w:numPr>
        <w:rPr>
          <w:rFonts w:ascii="Arial" w:cs="Arial" w:eastAsia="Arial" w:hAnsi="Arial"/>
          <w:sz w:val="19"/>
          <w:szCs w:val="19"/>
          <w:color w:val="auto"/>
        </w:rPr>
      </w:pPr>
      <w:r>
        <w:rPr>
          <w:rFonts w:ascii="Arial" w:cs="Arial" w:eastAsia="Arial" w:hAnsi="Arial"/>
          <w:sz w:val="19"/>
          <w:szCs w:val="19"/>
          <w:color w:val="auto"/>
        </w:rPr>
        <w:t>of the Investment Company Act of 1940 (15 U.S.C. 80a-3); Group, in accordance with Rule 240.13d-1(b)(1)(ii)(J).</w:t>
      </w:r>
    </w:p>
    <w:p>
      <w:pPr>
        <w:spacing w:after="0" w:line="285" w:lineRule="exact"/>
        <w:rPr>
          <w:sz w:val="20"/>
          <w:szCs w:val="20"/>
          <w:color w:val="auto"/>
        </w:rPr>
      </w:pPr>
    </w:p>
    <w:p>
      <w:pPr>
        <w:sectPr>
          <w:pgSz w:w="11900" w:h="16838" w:orient="portrait"/>
          <w:cols w:equalWidth="0" w:num="2">
            <w:col w:w="1980" w:space="432"/>
            <w:col w:w="8608"/>
          </w:cols>
          <w:pgMar w:left="400" w:top="423" w:right="479" w:bottom="0" w:gutter="0" w:footer="0" w:header="0"/>
          <w:type w:val="continuous"/>
        </w:sectPr>
      </w:pPr>
    </w:p>
    <w:p>
      <w:pPr>
        <w:ind w:right="66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23" w:right="479" w:bottom="0" w:gutter="0" w:footer="0" w:header="0"/>
          <w:type w:val="continuous"/>
        </w:sectPr>
      </w:pPr>
    </w:p>
    <w:p>
      <w:pPr>
        <w:spacing w:after="0" w:line="94" w:lineRule="exact"/>
        <w:rPr>
          <w:sz w:val="20"/>
          <w:szCs w:val="20"/>
          <w:color w:val="auto"/>
        </w:rPr>
      </w:pPr>
    </w:p>
    <w:p>
      <w:pPr>
        <w:ind w:left="1620" w:hanging="707"/>
        <w:spacing w:after="0"/>
        <w:tabs>
          <w:tab w:leader="none" w:pos="162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620"/>
        <w:spacing w:after="0"/>
        <w:rPr>
          <w:rFonts w:ascii="Arial" w:cs="Arial" w:eastAsia="Arial" w:hAnsi="Arial"/>
          <w:sz w:val="22"/>
          <w:szCs w:val="22"/>
          <w:color w:val="auto"/>
        </w:rPr>
      </w:pPr>
      <w:r>
        <w:rPr>
          <w:rFonts w:ascii="Arial" w:cs="Arial" w:eastAsia="Arial" w:hAnsi="Arial"/>
          <w:sz w:val="22"/>
          <w:szCs w:val="22"/>
          <w:color w:val="auto"/>
        </w:rPr>
        <w:t>5,743,426 **</w:t>
      </w:r>
    </w:p>
    <w:p>
      <w:pPr>
        <w:spacing w:after="0" w:line="125" w:lineRule="exact"/>
        <w:rPr>
          <w:rFonts w:ascii="Arial" w:cs="Arial" w:eastAsia="Arial" w:hAnsi="Arial"/>
          <w:sz w:val="22"/>
          <w:szCs w:val="22"/>
          <w:color w:val="auto"/>
        </w:rPr>
      </w:pPr>
    </w:p>
    <w:p>
      <w:pPr>
        <w:ind w:left="1620" w:hanging="707"/>
        <w:spacing w:after="0"/>
        <w:tabs>
          <w:tab w:leader="none" w:pos="162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620"/>
        <w:spacing w:after="0"/>
        <w:rPr>
          <w:rFonts w:ascii="Arial" w:cs="Arial" w:eastAsia="Arial" w:hAnsi="Arial"/>
          <w:sz w:val="22"/>
          <w:szCs w:val="22"/>
          <w:color w:val="auto"/>
        </w:rPr>
      </w:pPr>
      <w:r>
        <w:rPr>
          <w:rFonts w:ascii="Arial" w:cs="Arial" w:eastAsia="Arial" w:hAnsi="Arial"/>
          <w:sz w:val="22"/>
          <w:szCs w:val="22"/>
          <w:color w:val="auto"/>
        </w:rPr>
        <w:t>10.5%</w:t>
      </w:r>
    </w:p>
    <w:p>
      <w:pPr>
        <w:spacing w:after="0" w:line="125" w:lineRule="exact"/>
        <w:rPr>
          <w:rFonts w:ascii="Arial" w:cs="Arial" w:eastAsia="Arial" w:hAnsi="Arial"/>
          <w:sz w:val="22"/>
          <w:szCs w:val="22"/>
          <w:color w:val="auto"/>
        </w:rPr>
      </w:pPr>
    </w:p>
    <w:p>
      <w:pPr>
        <w:ind w:left="1620" w:hanging="707"/>
        <w:spacing w:after="0"/>
        <w:tabs>
          <w:tab w:leader="none" w:pos="162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2420" w:hanging="805"/>
        <w:spacing w:after="0"/>
        <w:tabs>
          <w:tab w:leader="none" w:pos="2420" w:val="left"/>
        </w:tabs>
        <w:numPr>
          <w:ilvl w:val="1"/>
          <w:numId w:val="5"/>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2420" w:hanging="805"/>
        <w:spacing w:after="0"/>
        <w:tabs>
          <w:tab w:leader="none" w:pos="2420" w:val="left"/>
        </w:tabs>
        <w:numPr>
          <w:ilvl w:val="1"/>
          <w:numId w:val="5"/>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125" w:lineRule="exact"/>
        <w:rPr>
          <w:rFonts w:ascii="Arial" w:cs="Arial" w:eastAsia="Arial" w:hAnsi="Arial"/>
          <w:sz w:val="22"/>
          <w:szCs w:val="22"/>
          <w:color w:val="auto"/>
        </w:rPr>
      </w:pPr>
    </w:p>
    <w:p>
      <w:pPr>
        <w:ind w:left="2420" w:hanging="805"/>
        <w:spacing w:after="0" w:line="183" w:lineRule="auto"/>
        <w:tabs>
          <w:tab w:leader="none" w:pos="242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sole power to dispose or to direct the disposition of</w:t>
      </w:r>
    </w:p>
    <w:p>
      <w:pPr>
        <w:spacing w:after="0" w:line="103" w:lineRule="exact"/>
        <w:rPr>
          <w:rFonts w:ascii="Arial" w:cs="Arial" w:eastAsia="Arial" w:hAnsi="Arial"/>
          <w:sz w:val="39"/>
          <w:szCs w:val="39"/>
          <w:color w:val="auto"/>
          <w:vertAlign w:val="subscript"/>
        </w:rPr>
      </w:pPr>
    </w:p>
    <w:p>
      <w:pPr>
        <w:ind w:left="2420" w:right="780" w:hanging="805"/>
        <w:spacing w:after="0" w:line="183" w:lineRule="auto"/>
        <w:tabs>
          <w:tab w:leader="none" w:pos="242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9"/>
          <w:szCs w:val="19"/>
          <w:color w:val="auto"/>
        </w:rPr>
        <w:t>5,743,426</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5,743,426</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6" w:lineRule="exact"/>
        <w:rPr>
          <w:sz w:val="20"/>
          <w:szCs w:val="20"/>
          <w:color w:val="auto"/>
        </w:rPr>
      </w:pPr>
    </w:p>
    <w:p>
      <w:pPr>
        <w:sectPr>
          <w:pgSz w:w="11900" w:h="16838" w:orient="portrait"/>
          <w:cols w:equalWidth="0" w:num="2">
            <w:col w:w="6600" w:space="260"/>
            <w:col w:w="4160"/>
          </w:cols>
          <w:pgMar w:left="400" w:top="423" w:right="479" w:bottom="0" w:gutter="0" w:footer="0" w:header="0"/>
          <w:type w:val="continuous"/>
        </w:sectPr>
      </w:pPr>
    </w:p>
    <w:p>
      <w:pPr>
        <w:ind w:right="100"/>
        <w:spacing w:after="0" w:line="287" w:lineRule="auto"/>
        <w:rPr>
          <w:sz w:val="20"/>
          <w:szCs w:val="20"/>
          <w:color w:val="auto"/>
        </w:rPr>
      </w:pPr>
      <w:r>
        <w:rPr>
          <w:rFonts w:ascii="Arial" w:cs="Arial" w:eastAsia="Arial" w:hAnsi="Arial"/>
          <w:sz w:val="19"/>
          <w:szCs w:val="19"/>
          <w:color w:val="auto"/>
        </w:rPr>
        <w:t>**Capital World Investors ("CWI") is a division of Capital Research and Management Company ("CRMC"), as well as its investment management subsidiaries and affiliates Capital Bank and Trust Company, Capital International, Inc., Capital International Limited, Capital International Sarl, Capital International K.K., and Capital Group Private Client Services, Inc. (together with CRMC, the "investment management entities"). CWI's divisions of each of the investment management entities</w:t>
      </w:r>
    </w:p>
    <w:p>
      <w:pPr>
        <w:sectPr>
          <w:pgSz w:w="11900" w:h="16838" w:orient="portrait"/>
          <w:cols w:equalWidth="0" w:num="1">
            <w:col w:w="11020"/>
          </w:cols>
          <w:pgMar w:left="400" w:top="423" w:right="479" w:bottom="0" w:gutter="0" w:footer="0" w:header="0"/>
          <w:type w:val="continuous"/>
        </w:sectPr>
      </w:pPr>
    </w:p>
    <w:bookmarkStart w:id="3" w:name="page4"/>
    <w:bookmarkEnd w:id="3"/>
    <w:p>
      <w:pPr>
        <w:ind w:right="440"/>
        <w:spacing w:after="0" w:line="274" w:lineRule="auto"/>
        <w:rPr>
          <w:sz w:val="20"/>
          <w:szCs w:val="20"/>
          <w:color w:val="auto"/>
        </w:rPr>
      </w:pPr>
      <w:r>
        <w:rPr>
          <w:rFonts w:ascii="Arial" w:cs="Arial" w:eastAsia="Arial" w:hAnsi="Arial"/>
          <w:sz w:val="21"/>
          <w:szCs w:val="21"/>
          <w:color w:val="auto"/>
        </w:rPr>
        <w:t>collectively provide investment management services under the name "Capital World Investors." CWI is deemed to be the beneficial owner of 5,743,426 shares or 10.5% of the 54,525,722 shares believed to be outstanding.</w:t>
      </w:r>
    </w:p>
    <w:p>
      <w:pPr>
        <w:spacing w:after="0" w:line="6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920" w:right="28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pacing w:after="0" w:line="6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ind w:left="920" w:right="36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18" w:right="499" w:bottom="1440" w:gutter="0" w:footer="0" w:header="0"/>
        </w:sectPr>
      </w:pPr>
    </w:p>
    <w:bookmarkStart w:id="4" w:name="page5"/>
    <w:bookmarkEnd w:id="4"/>
    <w:p>
      <w:pPr>
        <w:ind w:left="388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1020"/>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Capital World Investors</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Erik A. Vayntrub</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Date: August 10, 2021</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Name: Erik A. Vayntrub</w:t>
      </w:r>
    </w:p>
    <w:p>
      <w:pPr>
        <w:spacing w:after="0" w:line="44" w:lineRule="exact"/>
        <w:rPr>
          <w:sz w:val="20"/>
          <w:szCs w:val="20"/>
          <w:color w:val="auto"/>
        </w:rPr>
      </w:pPr>
    </w:p>
    <w:p>
      <w:pPr>
        <w:ind w:left="600"/>
        <w:spacing w:after="0" w:line="250" w:lineRule="auto"/>
        <w:rPr>
          <w:sz w:val="20"/>
          <w:szCs w:val="20"/>
          <w:color w:val="auto"/>
        </w:rPr>
      </w:pPr>
      <w:r>
        <w:rPr>
          <w:rFonts w:ascii="Arial" w:cs="Arial" w:eastAsia="Arial" w:hAnsi="Arial"/>
          <w:sz w:val="22"/>
          <w:szCs w:val="22"/>
          <w:color w:val="auto"/>
        </w:rPr>
        <w:t>Title: Senior Vice President and Senior Counsel, Fund Business Management Group, Capital Research and Management Company</w:t>
      </w:r>
    </w:p>
    <w:sectPr>
      <w:pgSz w:w="11900" w:h="16838" w:orient="portrait"/>
      <w:cols w:equalWidth="0" w:num="1">
        <w:col w:w="9840"/>
      </w:cols>
      <w:pgMar w:left="1440" w:top="409"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decimal"/>
      <w:start w:val="14"/>
    </w:lvl>
  </w:abstractNum>
  <w:abstractNum w:abstractNumId="4">
    <w:nsid w:val="46E87CC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2021-08-10T09:06:37Z</dcterms:created>
  <dcterms:modified xsi:type="dcterms:W3CDTF">2021-08-10T09:06:37Z</dcterms:modified>
</cp:coreProperties>
</file>