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the Issuer to satisfy the tax withholding obligations on shares acquired on February 16, 2023 in settlement of performance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2023-02-21T20:38:00Z</dcterms:created>
  <dcterms:modified xsi:type="dcterms:W3CDTF">2023-02-21T20:38:00Z</dcterms:modified>
</cp:coreProperties>
</file>