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Pursuant to Rules 424(b)(3) and 424(c)</w:t>
      </w:r>
    </w:p>
    <w:p>
      <w:pPr>
        <w:spacing w:after="0" w:line="21"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333-71040</w:t>
      </w:r>
    </w:p>
    <w:p>
      <w:pPr>
        <w:spacing w:after="0" w:line="206"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Prospectus Supplement No. 8 Dated August 12, 2002</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(to Prospectus dated December 7, 2001)</w:t>
      </w:r>
    </w:p>
    <w:p>
      <w:pPr>
        <w:spacing w:after="0" w:line="27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$435,367,000</w:t>
      </w:r>
    </w:p>
    <w:p>
      <w:pPr>
        <w:spacing w:after="0" w:line="331" w:lineRule="exact"/>
        <w:rPr>
          <w:sz w:val="24"/>
          <w:szCs w:val="24"/>
          <w:color w:val="auto"/>
        </w:rPr>
      </w:pPr>
    </w:p>
    <w:p>
      <w:pPr>
        <w:jc w:val="center"/>
        <w:spacing w:after="0"/>
        <w:rPr>
          <w:sz w:val="20"/>
          <w:szCs w:val="20"/>
          <w:color w:val="auto"/>
        </w:rPr>
      </w:pPr>
      <w:r>
        <w:rPr>
          <w:rFonts w:ascii="Arial" w:cs="Arial" w:eastAsia="Arial" w:hAnsi="Arial"/>
          <w:sz w:val="43"/>
          <w:szCs w:val="43"/>
          <w:color w:val="auto"/>
        </w:rPr>
        <w:t>Manpower Inc.</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Zero Coupon Convertible Debentures Due August 17, 2021</w:t>
      </w:r>
    </w:p>
    <w:p>
      <w:pPr>
        <w:jc w:val="center"/>
        <w:spacing w:after="0" w:line="237" w:lineRule="auto"/>
        <w:rPr>
          <w:sz w:val="20"/>
          <w:szCs w:val="20"/>
          <w:color w:val="auto"/>
        </w:rPr>
      </w:pPr>
      <w:r>
        <w:rPr>
          <w:rFonts w:ascii="Arial" w:cs="Arial" w:eastAsia="Arial" w:hAnsi="Arial"/>
          <w:sz w:val="32"/>
          <w:szCs w:val="32"/>
          <w:b w:val="1"/>
          <w:bCs w:val="1"/>
          <w:color w:val="auto"/>
        </w:rPr>
        <w:t>and</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The Common Stock Issuable Upon Conversion Thereof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3114040</wp:posOffset>
            </wp:positionH>
            <wp:positionV relativeFrom="paragraph">
              <wp:posOffset>129540</wp:posOffset>
            </wp:positionV>
            <wp:extent cx="102933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29335" cy="8890"/>
                    </a:xfrm>
                    <a:prstGeom prst="rect">
                      <a:avLst/>
                    </a:prstGeom>
                    <a:noFill/>
                  </pic:spPr>
                </pic:pic>
              </a:graphicData>
            </a:graphic>
          </wp:anchor>
        </w:drawing>
      </w:r>
    </w:p>
    <w:p>
      <w:pPr>
        <w:spacing w:after="0" w:line="200" w:lineRule="exact"/>
        <w:rPr>
          <w:sz w:val="24"/>
          <w:szCs w:val="24"/>
          <w:color w:val="auto"/>
        </w:rPr>
      </w:pPr>
    </w:p>
    <w:p>
      <w:pPr>
        <w:spacing w:after="0" w:line="220" w:lineRule="exact"/>
        <w:rPr>
          <w:sz w:val="24"/>
          <w:szCs w:val="24"/>
          <w:color w:val="auto"/>
        </w:rPr>
      </w:pPr>
    </w:p>
    <w:p>
      <w:pPr>
        <w:ind w:right="100" w:firstLine="432"/>
        <w:spacing w:after="0" w:line="287" w:lineRule="auto"/>
        <w:rPr>
          <w:sz w:val="20"/>
          <w:szCs w:val="20"/>
          <w:color w:val="auto"/>
        </w:rPr>
      </w:pPr>
      <w:r>
        <w:rPr>
          <w:rFonts w:ascii="Arial" w:cs="Arial" w:eastAsia="Arial" w:hAnsi="Arial"/>
          <w:sz w:val="19"/>
          <w:szCs w:val="19"/>
          <w:color w:val="auto"/>
        </w:rPr>
        <w:t>Our prospectus dated December 7, 2001, as supplemented through the date hereof, relating to the offer for resale by certain of our securityholders of up to $435,367,000 aggregate principal amount due at maturity of zero coupon convertible debentures due August 17, 2021 of Manpower Inc., and the shares of our common stock issuable upon conversion of the debentures, is hereby supplemented to include the following information in the "Selling Securityholders" section on pages 38-44 of the prospectus.</w:t>
      </w:r>
    </w:p>
    <w:p>
      <w:pPr>
        <w:spacing w:after="0" w:line="13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ADDITIONAL SELLING SECURITYHOLDERS</w:t>
      </w:r>
    </w:p>
    <w:p>
      <w:pPr>
        <w:spacing w:after="0" w:line="212" w:lineRule="exact"/>
        <w:rPr>
          <w:sz w:val="24"/>
          <w:szCs w:val="24"/>
          <w:color w:val="auto"/>
        </w:rPr>
      </w:pPr>
    </w:p>
    <w:p>
      <w:pPr>
        <w:ind w:right="200" w:firstLine="428"/>
        <w:spacing w:after="0" w:line="251" w:lineRule="auto"/>
        <w:rPr>
          <w:sz w:val="20"/>
          <w:szCs w:val="20"/>
          <w:color w:val="auto"/>
        </w:rPr>
      </w:pPr>
      <w:r>
        <w:rPr>
          <w:rFonts w:ascii="Arial" w:cs="Arial" w:eastAsia="Arial" w:hAnsi="Arial"/>
          <w:sz w:val="22"/>
          <w:szCs w:val="22"/>
          <w:color w:val="auto"/>
        </w:rPr>
        <w:t>The following represents additional selling securityholders for the table appearing in the "Selling Securityholders" section of the prospectus.</w:t>
      </w:r>
    </w:p>
    <w:p>
      <w:pPr>
        <w:spacing w:after="0" w:line="264" w:lineRule="exact"/>
        <w:rPr>
          <w:sz w:val="24"/>
          <w:szCs w:val="24"/>
          <w:color w:val="auto"/>
        </w:rPr>
      </w:pPr>
    </w:p>
    <w:tbl>
      <w:tblPr>
        <w:tblLayout w:type="fixed"/>
        <w:tblInd w:w="100" w:type="dxa"/>
        <w:tblCellMar>
          <w:top w:w="0" w:type="dxa"/>
          <w:left w:w="0" w:type="dxa"/>
          <w:bottom w:w="0" w:type="dxa"/>
          <w:right w:w="0" w:type="dxa"/>
        </w:tblCellMar>
      </w:tblPr>
      <w:tr>
        <w:trPr>
          <w:trHeight w:val="161"/>
        </w:trPr>
        <w:tc>
          <w:tcPr>
            <w:tcW w:w="7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89"/>
              </w:rPr>
              <w:t>Principal Amount at</w:t>
            </w:r>
          </w:p>
        </w:tc>
        <w:tc>
          <w:tcPr>
            <w:tcW w:w="5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49"/>
        </w:trPr>
        <w:tc>
          <w:tcPr>
            <w:tcW w:w="7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Maturity</w:t>
            </w:r>
          </w:p>
        </w:tc>
        <w:tc>
          <w:tcPr>
            <w:tcW w:w="5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4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87"/>
              </w:rPr>
              <w:t>Number of Shares of</w:t>
            </w:r>
          </w:p>
        </w:tc>
        <w:tc>
          <w:tcPr>
            <w:tcW w:w="920" w:type="dxa"/>
            <w:vAlign w:val="bottom"/>
          </w:tcPr>
          <w:p>
            <w:pPr>
              <w:spacing w:after="0"/>
              <w:rPr>
                <w:sz w:val="12"/>
                <w:szCs w:val="12"/>
                <w:color w:val="auto"/>
              </w:rPr>
            </w:pPr>
          </w:p>
        </w:tc>
      </w:tr>
      <w:tr>
        <w:trPr>
          <w:trHeight w:val="149"/>
        </w:trPr>
        <w:tc>
          <w:tcPr>
            <w:tcW w:w="7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of Debentures</w:t>
            </w:r>
          </w:p>
        </w:tc>
        <w:tc>
          <w:tcPr>
            <w:tcW w:w="1440" w:type="dxa"/>
            <w:vAlign w:val="bottom"/>
            <w:gridSpan w:val="3"/>
          </w:tcPr>
          <w:p>
            <w:pPr>
              <w:jc w:val="center"/>
              <w:ind w:left="217"/>
              <w:spacing w:after="0" w:line="149" w:lineRule="exact"/>
              <w:rPr>
                <w:sz w:val="20"/>
                <w:szCs w:val="20"/>
                <w:color w:val="auto"/>
              </w:rPr>
            </w:pPr>
            <w:r>
              <w:rPr>
                <w:rFonts w:ascii="Arial" w:cs="Arial" w:eastAsia="Arial" w:hAnsi="Arial"/>
                <w:sz w:val="14"/>
                <w:szCs w:val="14"/>
                <w:b w:val="1"/>
                <w:bCs w:val="1"/>
                <w:color w:val="auto"/>
                <w:w w:val="84"/>
              </w:rPr>
              <w:t>Percentage of</w:t>
            </w:r>
          </w:p>
        </w:tc>
        <w:tc>
          <w:tcPr>
            <w:tcW w:w="164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88"/>
              </w:rPr>
              <w:t>Common Stock That</w:t>
            </w: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Percentage of</w:t>
            </w:r>
          </w:p>
        </w:tc>
      </w:tr>
      <w:tr>
        <w:trPr>
          <w:trHeight w:val="149"/>
        </w:trPr>
        <w:tc>
          <w:tcPr>
            <w:tcW w:w="7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Beneficially Owned</w:t>
            </w:r>
          </w:p>
        </w:tc>
        <w:tc>
          <w:tcPr>
            <w:tcW w:w="520" w:type="dxa"/>
            <w:vAlign w:val="bottom"/>
          </w:tcPr>
          <w:p>
            <w:pPr>
              <w:spacing w:after="0"/>
              <w:rPr>
                <w:sz w:val="12"/>
                <w:szCs w:val="12"/>
                <w:color w:val="auto"/>
              </w:rPr>
            </w:pPr>
          </w:p>
        </w:tc>
        <w:tc>
          <w:tcPr>
            <w:tcW w:w="9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Debentures</w:t>
            </w:r>
          </w:p>
        </w:tc>
        <w:tc>
          <w:tcPr>
            <w:tcW w:w="320" w:type="dxa"/>
            <w:vAlign w:val="bottom"/>
          </w:tcPr>
          <w:p>
            <w:pPr>
              <w:spacing w:after="0"/>
              <w:rPr>
                <w:sz w:val="12"/>
                <w:szCs w:val="12"/>
                <w:color w:val="auto"/>
              </w:rPr>
            </w:pPr>
          </w:p>
        </w:tc>
        <w:tc>
          <w:tcPr>
            <w:tcW w:w="13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9"/>
              </w:rPr>
              <w:t>May Be</w:t>
            </w: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Common Stock</w:t>
            </w:r>
          </w:p>
        </w:tc>
      </w:tr>
      <w:tr>
        <w:trPr>
          <w:trHeight w:val="148"/>
        </w:trPr>
        <w:tc>
          <w:tcPr>
            <w:tcW w:w="760" w:type="dxa"/>
            <w:vAlign w:val="bottom"/>
          </w:tcPr>
          <w:p>
            <w:pPr>
              <w:spacing w:after="0"/>
              <w:rPr>
                <w:sz w:val="12"/>
                <w:szCs w:val="12"/>
                <w:color w:val="auto"/>
              </w:rPr>
            </w:pPr>
          </w:p>
        </w:tc>
        <w:tc>
          <w:tcPr>
            <w:tcW w:w="1980" w:type="dxa"/>
            <w:vAlign w:val="bottom"/>
            <w:gridSpan w:val="2"/>
          </w:tcPr>
          <w:p>
            <w:pPr>
              <w:spacing w:after="0" w:line="148" w:lineRule="exact"/>
              <w:rPr>
                <w:sz w:val="20"/>
                <w:szCs w:val="20"/>
                <w:color w:val="auto"/>
              </w:rPr>
            </w:pPr>
            <w:r>
              <w:rPr>
                <w:rFonts w:ascii="Arial" w:cs="Arial" w:eastAsia="Arial" w:hAnsi="Arial"/>
                <w:sz w:val="14"/>
                <w:szCs w:val="14"/>
                <w:b w:val="1"/>
                <w:bCs w:val="1"/>
                <w:color w:val="auto"/>
              </w:rPr>
              <w:t>Name and Address (7)</w:t>
            </w:r>
          </w:p>
        </w:tc>
        <w:tc>
          <w:tcPr>
            <w:tcW w:w="420" w:type="dxa"/>
            <w:vAlign w:val="bottom"/>
          </w:tcPr>
          <w:p>
            <w:pPr>
              <w:spacing w:after="0"/>
              <w:rPr>
                <w:sz w:val="12"/>
                <w:szCs w:val="12"/>
                <w:color w:val="auto"/>
              </w:rPr>
            </w:pPr>
          </w:p>
        </w:tc>
        <w:tc>
          <w:tcPr>
            <w:tcW w:w="140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8"/>
              </w:rPr>
              <w:t>that May Be Sold</w:t>
            </w:r>
          </w:p>
        </w:tc>
        <w:tc>
          <w:tcPr>
            <w:tcW w:w="520" w:type="dxa"/>
            <w:vAlign w:val="bottom"/>
          </w:tcPr>
          <w:p>
            <w:pPr>
              <w:spacing w:after="0"/>
              <w:rPr>
                <w:sz w:val="12"/>
                <w:szCs w:val="12"/>
                <w:color w:val="auto"/>
              </w:rPr>
            </w:pPr>
          </w:p>
        </w:tc>
        <w:tc>
          <w:tcPr>
            <w:tcW w:w="920" w:type="dxa"/>
            <w:vAlign w:val="bottom"/>
            <w:gridSpan w:val="2"/>
          </w:tcPr>
          <w:p>
            <w:pPr>
              <w:jc w:val="center"/>
              <w:ind w:right="200"/>
              <w:spacing w:after="0" w:line="148" w:lineRule="exact"/>
              <w:rPr>
                <w:sz w:val="20"/>
                <w:szCs w:val="20"/>
                <w:color w:val="auto"/>
              </w:rPr>
            </w:pPr>
            <w:r>
              <w:rPr>
                <w:rFonts w:ascii="Arial" w:cs="Arial" w:eastAsia="Arial" w:hAnsi="Arial"/>
                <w:sz w:val="14"/>
                <w:szCs w:val="14"/>
                <w:b w:val="1"/>
                <w:bCs w:val="1"/>
                <w:color w:val="auto"/>
                <w:w w:val="87"/>
              </w:rPr>
              <w:t>Outstanding</w:t>
            </w:r>
          </w:p>
        </w:tc>
        <w:tc>
          <w:tcPr>
            <w:tcW w:w="320" w:type="dxa"/>
            <w:vAlign w:val="bottom"/>
          </w:tcPr>
          <w:p>
            <w:pPr>
              <w:spacing w:after="0"/>
              <w:rPr>
                <w:sz w:val="12"/>
                <w:szCs w:val="12"/>
                <w:color w:val="auto"/>
              </w:rPr>
            </w:pPr>
          </w:p>
        </w:tc>
        <w:tc>
          <w:tcPr>
            <w:tcW w:w="1320" w:type="dxa"/>
            <w:vAlign w:val="bottom"/>
            <w:gridSpan w:val="2"/>
          </w:tcPr>
          <w:p>
            <w:pPr>
              <w:jc w:val="center"/>
              <w:ind w:right="340"/>
              <w:spacing w:after="0" w:line="148" w:lineRule="exact"/>
              <w:rPr>
                <w:sz w:val="20"/>
                <w:szCs w:val="20"/>
                <w:color w:val="auto"/>
              </w:rPr>
            </w:pPr>
            <w:r>
              <w:rPr>
                <w:rFonts w:ascii="Arial" w:cs="Arial" w:eastAsia="Arial" w:hAnsi="Arial"/>
                <w:sz w:val="14"/>
                <w:szCs w:val="14"/>
                <w:b w:val="1"/>
                <w:bCs w:val="1"/>
                <w:color w:val="auto"/>
                <w:w w:val="89"/>
              </w:rPr>
              <w:t>Sold (1)</w:t>
            </w:r>
          </w:p>
        </w:tc>
        <w:tc>
          <w:tcPr>
            <w:tcW w:w="92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6"/>
              </w:rPr>
              <w:t>Outstanding (2)</w:t>
            </w:r>
          </w:p>
        </w:tc>
      </w:tr>
      <w:tr>
        <w:trPr>
          <w:trHeight w:val="20"/>
        </w:trPr>
        <w:tc>
          <w:tcPr>
            <w:tcW w:w="76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r>
      <w:tr>
        <w:trPr>
          <w:trHeight w:val="390"/>
        </w:trPr>
        <w:tc>
          <w:tcPr>
            <w:tcW w:w="2740" w:type="dxa"/>
            <w:vAlign w:val="bottom"/>
            <w:gridSpan w:val="3"/>
          </w:tcPr>
          <w:p>
            <w:pPr>
              <w:spacing w:after="0"/>
              <w:rPr>
                <w:sz w:val="20"/>
                <w:szCs w:val="20"/>
                <w:color w:val="auto"/>
              </w:rPr>
            </w:pPr>
            <w:r>
              <w:rPr>
                <w:rFonts w:ascii="Arial" w:cs="Arial" w:eastAsia="Arial" w:hAnsi="Arial"/>
                <w:sz w:val="18"/>
                <w:szCs w:val="18"/>
                <w:color w:val="auto"/>
              </w:rPr>
              <w:t>Arbitex Master Fund L.P.</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265"/>
              <w:spacing w:after="0"/>
              <w:rPr>
                <w:sz w:val="20"/>
                <w:szCs w:val="20"/>
                <w:color w:val="auto"/>
              </w:rPr>
            </w:pPr>
            <w:r>
              <w:rPr>
                <w:rFonts w:ascii="Arial" w:cs="Arial" w:eastAsia="Arial" w:hAnsi="Arial"/>
                <w:sz w:val="18"/>
                <w:szCs w:val="18"/>
                <w:color w:val="auto"/>
              </w:rPr>
              <w:t>17,500,000</w:t>
            </w:r>
          </w:p>
        </w:tc>
        <w:tc>
          <w:tcPr>
            <w:tcW w:w="1240" w:type="dxa"/>
            <w:vAlign w:val="bottom"/>
            <w:gridSpan w:val="2"/>
          </w:tcPr>
          <w:p>
            <w:pPr>
              <w:jc w:val="center"/>
              <w:ind w:left="437"/>
              <w:spacing w:after="0"/>
              <w:rPr>
                <w:sz w:val="20"/>
                <w:szCs w:val="20"/>
                <w:color w:val="auto"/>
              </w:rPr>
            </w:pPr>
            <w:r>
              <w:rPr>
                <w:rFonts w:ascii="Arial" w:cs="Arial" w:eastAsia="Arial" w:hAnsi="Arial"/>
                <w:sz w:val="18"/>
                <w:szCs w:val="18"/>
                <w:color w:val="auto"/>
                <w:w w:val="87"/>
              </w:rPr>
              <w:t>4.0%</w:t>
            </w:r>
          </w:p>
        </w:tc>
        <w:tc>
          <w:tcPr>
            <w:tcW w:w="200" w:type="dxa"/>
            <w:vAlign w:val="bottom"/>
          </w:tcPr>
          <w:p>
            <w:pPr>
              <w:spacing w:after="0"/>
              <w:rPr>
                <w:sz w:val="24"/>
                <w:szCs w:val="24"/>
                <w:color w:val="auto"/>
              </w:rPr>
            </w:pPr>
          </w:p>
        </w:tc>
        <w:tc>
          <w:tcPr>
            <w:tcW w:w="1280" w:type="dxa"/>
            <w:vAlign w:val="bottom"/>
            <w:gridSpan w:val="2"/>
          </w:tcPr>
          <w:p>
            <w:pPr>
              <w:jc w:val="center"/>
              <w:ind w:left="240"/>
              <w:spacing w:after="0"/>
              <w:rPr>
                <w:sz w:val="20"/>
                <w:szCs w:val="20"/>
                <w:color w:val="auto"/>
              </w:rPr>
            </w:pPr>
            <w:r>
              <w:rPr>
                <w:rFonts w:ascii="Arial" w:cs="Arial" w:eastAsia="Arial" w:hAnsi="Arial"/>
                <w:sz w:val="18"/>
                <w:szCs w:val="18"/>
                <w:color w:val="auto"/>
                <w:w w:val="86"/>
              </w:rPr>
              <w:t>244,228</w:t>
            </w:r>
          </w:p>
        </w:tc>
        <w:tc>
          <w:tcPr>
            <w:tcW w:w="36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2740" w:type="dxa"/>
            <w:vAlign w:val="bottom"/>
            <w:gridSpan w:val="3"/>
          </w:tcPr>
          <w:p>
            <w:pPr>
              <w:ind w:left="180"/>
              <w:spacing w:after="0"/>
              <w:rPr>
                <w:sz w:val="20"/>
                <w:szCs w:val="20"/>
                <w:color w:val="auto"/>
              </w:rPr>
            </w:pPr>
            <w:r>
              <w:rPr>
                <w:rFonts w:ascii="Arial" w:cs="Arial" w:eastAsia="Arial" w:hAnsi="Arial"/>
                <w:sz w:val="18"/>
                <w:szCs w:val="18"/>
                <w:color w:val="auto"/>
              </w:rPr>
              <w:t>c/o HW Capital L.P.</w:t>
            </w:r>
          </w:p>
        </w:tc>
        <w:tc>
          <w:tcPr>
            <w:tcW w:w="4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2740" w:type="dxa"/>
            <w:vAlign w:val="bottom"/>
            <w:gridSpan w:val="3"/>
          </w:tcPr>
          <w:p>
            <w:pPr>
              <w:ind w:left="180"/>
              <w:spacing w:after="0"/>
              <w:rPr>
                <w:sz w:val="20"/>
                <w:szCs w:val="20"/>
                <w:color w:val="auto"/>
              </w:rPr>
            </w:pPr>
            <w:r>
              <w:rPr>
                <w:rFonts w:ascii="Arial" w:cs="Arial" w:eastAsia="Arial" w:hAnsi="Arial"/>
                <w:sz w:val="18"/>
                <w:szCs w:val="18"/>
                <w:color w:val="auto"/>
              </w:rPr>
              <w:t>1601 Elm Street, Suite 4000</w:t>
            </w:r>
          </w:p>
        </w:tc>
        <w:tc>
          <w:tcPr>
            <w:tcW w:w="4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22"/>
        </w:trPr>
        <w:tc>
          <w:tcPr>
            <w:tcW w:w="2740" w:type="dxa"/>
            <w:vAlign w:val="bottom"/>
            <w:gridSpan w:val="3"/>
          </w:tcPr>
          <w:p>
            <w:pPr>
              <w:ind w:left="180"/>
              <w:spacing w:after="0"/>
              <w:rPr>
                <w:sz w:val="20"/>
                <w:szCs w:val="20"/>
                <w:color w:val="auto"/>
              </w:rPr>
            </w:pPr>
            <w:r>
              <w:rPr>
                <w:rFonts w:ascii="Arial" w:cs="Arial" w:eastAsia="Arial" w:hAnsi="Arial"/>
                <w:sz w:val="18"/>
                <w:szCs w:val="18"/>
                <w:color w:val="auto"/>
              </w:rPr>
              <w:t>Dallas, TX 75201</w:t>
            </w:r>
          </w:p>
        </w:tc>
        <w:tc>
          <w:tcPr>
            <w:tcW w:w="4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399"/>
        </w:trPr>
        <w:tc>
          <w:tcPr>
            <w:tcW w:w="2740" w:type="dxa"/>
            <w:vAlign w:val="bottom"/>
            <w:gridSpan w:val="3"/>
          </w:tcPr>
          <w:p>
            <w:pPr>
              <w:spacing w:after="0"/>
              <w:rPr>
                <w:sz w:val="20"/>
                <w:szCs w:val="20"/>
                <w:color w:val="auto"/>
              </w:rPr>
            </w:pPr>
            <w:r>
              <w:rPr>
                <w:rFonts w:ascii="Arial" w:cs="Arial" w:eastAsia="Arial" w:hAnsi="Arial"/>
                <w:sz w:val="18"/>
                <w:szCs w:val="18"/>
                <w:color w:val="auto"/>
              </w:rPr>
              <w:t>KBC Convertible Arbitrage Ltd.</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265"/>
              <w:spacing w:after="0"/>
              <w:rPr>
                <w:sz w:val="20"/>
                <w:szCs w:val="20"/>
                <w:color w:val="auto"/>
              </w:rPr>
            </w:pPr>
            <w:r>
              <w:rPr>
                <w:rFonts w:ascii="Arial" w:cs="Arial" w:eastAsia="Arial" w:hAnsi="Arial"/>
                <w:sz w:val="18"/>
                <w:szCs w:val="18"/>
                <w:color w:val="auto"/>
              </w:rPr>
              <w:t>25,000,000</w:t>
            </w:r>
          </w:p>
        </w:tc>
        <w:tc>
          <w:tcPr>
            <w:tcW w:w="1240" w:type="dxa"/>
            <w:vAlign w:val="bottom"/>
            <w:gridSpan w:val="2"/>
          </w:tcPr>
          <w:p>
            <w:pPr>
              <w:jc w:val="center"/>
              <w:ind w:left="437"/>
              <w:spacing w:after="0"/>
              <w:rPr>
                <w:sz w:val="20"/>
                <w:szCs w:val="20"/>
                <w:color w:val="auto"/>
              </w:rPr>
            </w:pPr>
            <w:r>
              <w:rPr>
                <w:rFonts w:ascii="Arial" w:cs="Arial" w:eastAsia="Arial" w:hAnsi="Arial"/>
                <w:sz w:val="18"/>
                <w:szCs w:val="18"/>
                <w:color w:val="auto"/>
                <w:w w:val="87"/>
              </w:rPr>
              <w:t>5.7%</w:t>
            </w:r>
          </w:p>
        </w:tc>
        <w:tc>
          <w:tcPr>
            <w:tcW w:w="200" w:type="dxa"/>
            <w:vAlign w:val="bottom"/>
          </w:tcPr>
          <w:p>
            <w:pPr>
              <w:spacing w:after="0"/>
              <w:rPr>
                <w:sz w:val="24"/>
                <w:szCs w:val="24"/>
                <w:color w:val="auto"/>
              </w:rPr>
            </w:pPr>
          </w:p>
        </w:tc>
        <w:tc>
          <w:tcPr>
            <w:tcW w:w="1280" w:type="dxa"/>
            <w:vAlign w:val="bottom"/>
            <w:gridSpan w:val="2"/>
          </w:tcPr>
          <w:p>
            <w:pPr>
              <w:jc w:val="center"/>
              <w:ind w:left="240"/>
              <w:spacing w:after="0"/>
              <w:rPr>
                <w:sz w:val="20"/>
                <w:szCs w:val="20"/>
                <w:color w:val="auto"/>
              </w:rPr>
            </w:pPr>
            <w:r>
              <w:rPr>
                <w:rFonts w:ascii="Arial" w:cs="Arial" w:eastAsia="Arial" w:hAnsi="Arial"/>
                <w:sz w:val="18"/>
                <w:szCs w:val="18"/>
                <w:color w:val="auto"/>
                <w:w w:val="86"/>
              </w:rPr>
              <w:t>348,897</w:t>
            </w:r>
          </w:p>
        </w:tc>
        <w:tc>
          <w:tcPr>
            <w:tcW w:w="36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2740" w:type="dxa"/>
            <w:vAlign w:val="bottom"/>
            <w:gridSpan w:val="3"/>
          </w:tcPr>
          <w:p>
            <w:pPr>
              <w:ind w:left="180"/>
              <w:spacing w:after="0"/>
              <w:rPr>
                <w:sz w:val="20"/>
                <w:szCs w:val="20"/>
                <w:color w:val="auto"/>
              </w:rPr>
            </w:pPr>
            <w:r>
              <w:rPr>
                <w:rFonts w:ascii="Arial" w:cs="Arial" w:eastAsia="Arial" w:hAnsi="Arial"/>
                <w:sz w:val="18"/>
                <w:szCs w:val="18"/>
                <w:color w:val="auto"/>
              </w:rPr>
              <w:t>Block C, Abbey Court</w:t>
            </w:r>
          </w:p>
        </w:tc>
        <w:tc>
          <w:tcPr>
            <w:tcW w:w="4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2740" w:type="dxa"/>
            <w:vAlign w:val="bottom"/>
            <w:gridSpan w:val="3"/>
          </w:tcPr>
          <w:p>
            <w:pPr>
              <w:ind w:left="180"/>
              <w:spacing w:after="0"/>
              <w:rPr>
                <w:sz w:val="20"/>
                <w:szCs w:val="20"/>
                <w:color w:val="auto"/>
              </w:rPr>
            </w:pPr>
            <w:r>
              <w:rPr>
                <w:rFonts w:ascii="Arial" w:cs="Arial" w:eastAsia="Arial" w:hAnsi="Arial"/>
                <w:sz w:val="18"/>
                <w:szCs w:val="18"/>
                <w:color w:val="auto"/>
              </w:rPr>
              <w:t>Irish Life Center</w:t>
            </w:r>
          </w:p>
        </w:tc>
        <w:tc>
          <w:tcPr>
            <w:tcW w:w="4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2740" w:type="dxa"/>
            <w:vAlign w:val="bottom"/>
            <w:gridSpan w:val="3"/>
          </w:tcPr>
          <w:p>
            <w:pPr>
              <w:ind w:left="180"/>
              <w:spacing w:after="0"/>
              <w:rPr>
                <w:sz w:val="20"/>
                <w:szCs w:val="20"/>
                <w:color w:val="auto"/>
              </w:rPr>
            </w:pPr>
            <w:r>
              <w:rPr>
                <w:rFonts w:ascii="Arial" w:cs="Arial" w:eastAsia="Arial" w:hAnsi="Arial"/>
                <w:sz w:val="18"/>
                <w:szCs w:val="18"/>
                <w:color w:val="auto"/>
              </w:rPr>
              <w:t>Lower Abbey Street</w:t>
            </w:r>
          </w:p>
        </w:tc>
        <w:tc>
          <w:tcPr>
            <w:tcW w:w="4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22"/>
        </w:trPr>
        <w:tc>
          <w:tcPr>
            <w:tcW w:w="2740" w:type="dxa"/>
            <w:vAlign w:val="bottom"/>
            <w:gridSpan w:val="3"/>
          </w:tcPr>
          <w:p>
            <w:pPr>
              <w:ind w:left="180"/>
              <w:spacing w:after="0"/>
              <w:rPr>
                <w:sz w:val="20"/>
                <w:szCs w:val="20"/>
                <w:color w:val="auto"/>
              </w:rPr>
            </w:pPr>
            <w:r>
              <w:rPr>
                <w:rFonts w:ascii="Arial" w:cs="Arial" w:eastAsia="Arial" w:hAnsi="Arial"/>
                <w:sz w:val="18"/>
                <w:szCs w:val="18"/>
                <w:color w:val="auto"/>
              </w:rPr>
              <w:t>Dublin 1, Ireland</w:t>
            </w:r>
          </w:p>
        </w:tc>
        <w:tc>
          <w:tcPr>
            <w:tcW w:w="4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399"/>
        </w:trPr>
        <w:tc>
          <w:tcPr>
            <w:tcW w:w="2740" w:type="dxa"/>
            <w:vAlign w:val="bottom"/>
            <w:gridSpan w:val="3"/>
          </w:tcPr>
          <w:p>
            <w:pPr>
              <w:spacing w:after="0"/>
              <w:rPr>
                <w:sz w:val="20"/>
                <w:szCs w:val="20"/>
                <w:color w:val="auto"/>
              </w:rPr>
            </w:pPr>
            <w:r>
              <w:rPr>
                <w:rFonts w:ascii="Arial" w:cs="Arial" w:eastAsia="Arial" w:hAnsi="Arial"/>
                <w:sz w:val="18"/>
                <w:szCs w:val="18"/>
                <w:color w:val="auto"/>
              </w:rPr>
              <w:t>KBC Financial Products (Cayman</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265"/>
              <w:spacing w:after="0"/>
              <w:rPr>
                <w:sz w:val="20"/>
                <w:szCs w:val="20"/>
                <w:color w:val="auto"/>
              </w:rPr>
            </w:pPr>
            <w:r>
              <w:rPr>
                <w:rFonts w:ascii="Arial" w:cs="Arial" w:eastAsia="Arial" w:hAnsi="Arial"/>
                <w:sz w:val="18"/>
                <w:szCs w:val="18"/>
                <w:color w:val="auto"/>
              </w:rPr>
              <w:t>40,000,000</w:t>
            </w:r>
          </w:p>
        </w:tc>
        <w:tc>
          <w:tcPr>
            <w:tcW w:w="1240" w:type="dxa"/>
            <w:vAlign w:val="bottom"/>
            <w:gridSpan w:val="2"/>
          </w:tcPr>
          <w:p>
            <w:pPr>
              <w:jc w:val="center"/>
              <w:ind w:left="437"/>
              <w:spacing w:after="0"/>
              <w:rPr>
                <w:sz w:val="20"/>
                <w:szCs w:val="20"/>
                <w:color w:val="auto"/>
              </w:rPr>
            </w:pPr>
            <w:r>
              <w:rPr>
                <w:rFonts w:ascii="Arial" w:cs="Arial" w:eastAsia="Arial" w:hAnsi="Arial"/>
                <w:sz w:val="18"/>
                <w:szCs w:val="18"/>
                <w:color w:val="auto"/>
                <w:w w:val="87"/>
              </w:rPr>
              <w:t>9.2%</w:t>
            </w:r>
          </w:p>
        </w:tc>
        <w:tc>
          <w:tcPr>
            <w:tcW w:w="200" w:type="dxa"/>
            <w:vAlign w:val="bottom"/>
          </w:tcPr>
          <w:p>
            <w:pPr>
              <w:spacing w:after="0"/>
              <w:rPr>
                <w:sz w:val="24"/>
                <w:szCs w:val="24"/>
                <w:color w:val="auto"/>
              </w:rPr>
            </w:pPr>
          </w:p>
        </w:tc>
        <w:tc>
          <w:tcPr>
            <w:tcW w:w="1280" w:type="dxa"/>
            <w:vAlign w:val="bottom"/>
            <w:gridSpan w:val="2"/>
          </w:tcPr>
          <w:p>
            <w:pPr>
              <w:jc w:val="center"/>
              <w:ind w:left="240"/>
              <w:spacing w:after="0"/>
              <w:rPr>
                <w:sz w:val="20"/>
                <w:szCs w:val="20"/>
                <w:color w:val="auto"/>
              </w:rPr>
            </w:pPr>
            <w:r>
              <w:rPr>
                <w:rFonts w:ascii="Arial" w:cs="Arial" w:eastAsia="Arial" w:hAnsi="Arial"/>
                <w:sz w:val="18"/>
                <w:szCs w:val="18"/>
                <w:color w:val="auto"/>
                <w:w w:val="86"/>
              </w:rPr>
              <w:t>558,236</w:t>
            </w:r>
          </w:p>
        </w:tc>
        <w:tc>
          <w:tcPr>
            <w:tcW w:w="36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2740" w:type="dxa"/>
            <w:vAlign w:val="bottom"/>
            <w:gridSpan w:val="3"/>
          </w:tcPr>
          <w:p>
            <w:pPr>
              <w:spacing w:after="0"/>
              <w:rPr>
                <w:sz w:val="20"/>
                <w:szCs w:val="20"/>
                <w:color w:val="auto"/>
              </w:rPr>
            </w:pPr>
            <w:r>
              <w:rPr>
                <w:rFonts w:ascii="Arial" w:cs="Arial" w:eastAsia="Arial" w:hAnsi="Arial"/>
                <w:sz w:val="18"/>
                <w:szCs w:val="18"/>
                <w:color w:val="auto"/>
              </w:rPr>
              <w:t>Island) Limited</w:t>
            </w:r>
          </w:p>
        </w:tc>
        <w:tc>
          <w:tcPr>
            <w:tcW w:w="4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2740" w:type="dxa"/>
            <w:vAlign w:val="bottom"/>
            <w:gridSpan w:val="3"/>
          </w:tcPr>
          <w:p>
            <w:pPr>
              <w:ind w:left="180"/>
              <w:spacing w:after="0"/>
              <w:rPr>
                <w:sz w:val="20"/>
                <w:szCs w:val="20"/>
                <w:color w:val="auto"/>
              </w:rPr>
            </w:pPr>
            <w:r>
              <w:rPr>
                <w:rFonts w:ascii="Arial" w:cs="Arial" w:eastAsia="Arial" w:hAnsi="Arial"/>
                <w:sz w:val="18"/>
                <w:szCs w:val="18"/>
                <w:color w:val="auto"/>
              </w:rPr>
              <w:t>140 East 45 Street</w:t>
            </w:r>
          </w:p>
        </w:tc>
        <w:tc>
          <w:tcPr>
            <w:tcW w:w="4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2740" w:type="dxa"/>
            <w:vAlign w:val="bottom"/>
            <w:gridSpan w:val="3"/>
          </w:tcPr>
          <w:p>
            <w:pPr>
              <w:ind w:left="180"/>
              <w:spacing w:after="0"/>
              <w:rPr>
                <w:sz w:val="20"/>
                <w:szCs w:val="20"/>
                <w:color w:val="auto"/>
              </w:rPr>
            </w:pPr>
            <w:r>
              <w:rPr>
                <w:rFonts w:ascii="Arial" w:cs="Arial" w:eastAsia="Arial" w:hAnsi="Arial"/>
                <w:sz w:val="18"/>
                <w:szCs w:val="18"/>
                <w:color w:val="auto"/>
              </w:rPr>
              <w:t>2 Grand Central Tower</w:t>
            </w:r>
          </w:p>
        </w:tc>
        <w:tc>
          <w:tcPr>
            <w:tcW w:w="4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22"/>
        </w:trPr>
        <w:tc>
          <w:tcPr>
            <w:tcW w:w="2740" w:type="dxa"/>
            <w:vAlign w:val="bottom"/>
            <w:gridSpan w:val="3"/>
          </w:tcPr>
          <w:p>
            <w:pPr>
              <w:ind w:left="180"/>
              <w:spacing w:after="0"/>
              <w:rPr>
                <w:sz w:val="20"/>
                <w:szCs w:val="20"/>
                <w:color w:val="auto"/>
              </w:rPr>
            </w:pPr>
            <w:r>
              <w:rPr>
                <w:rFonts w:ascii="Arial" w:cs="Arial" w:eastAsia="Arial" w:hAnsi="Arial"/>
                <w:sz w:val="18"/>
                <w:szCs w:val="18"/>
                <w:color w:val="auto"/>
              </w:rPr>
              <w:t>New York, NY 10017-3144</w:t>
            </w:r>
          </w:p>
        </w:tc>
        <w:tc>
          <w:tcPr>
            <w:tcW w:w="4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spacing w:after="0"/>
              <w:rPr>
                <w:sz w:val="19"/>
                <w:szCs w:val="19"/>
                <w:color w:val="auto"/>
              </w:rPr>
            </w:pPr>
          </w:p>
        </w:tc>
      </w:tr>
    </w:tbl>
    <w:p>
      <w:pPr>
        <w:spacing w:after="0" w:line="29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 xml:space="preserve">SELLING SECURITYHOLDERS </w:t>
      </w:r>
      <w:r>
        <w:rPr>
          <w:rFonts w:ascii="Arial" w:cs="Arial" w:eastAsia="Arial" w:hAnsi="Arial"/>
          <w:sz w:val="36"/>
          <w:szCs w:val="36"/>
          <w:b w:val="1"/>
          <w:bCs w:val="1"/>
          <w:color w:val="auto"/>
          <w:vertAlign w:val="superscript"/>
        </w:rPr>
        <w:t>(8)</w:t>
      </w:r>
    </w:p>
    <w:p>
      <w:pPr>
        <w:spacing w:after="0" w:line="96" w:lineRule="exact"/>
        <w:rPr>
          <w:sz w:val="24"/>
          <w:szCs w:val="24"/>
          <w:color w:val="auto"/>
        </w:rPr>
      </w:pPr>
    </w:p>
    <w:p>
      <w:pPr>
        <w:ind w:right="980" w:firstLine="428"/>
        <w:spacing w:after="0" w:line="251" w:lineRule="auto"/>
        <w:rPr>
          <w:sz w:val="20"/>
          <w:szCs w:val="20"/>
          <w:color w:val="auto"/>
        </w:rPr>
      </w:pPr>
      <w:r>
        <w:rPr>
          <w:rFonts w:ascii="Arial" w:cs="Arial" w:eastAsia="Arial" w:hAnsi="Arial"/>
          <w:sz w:val="22"/>
          <w:szCs w:val="22"/>
          <w:color w:val="auto"/>
        </w:rPr>
        <w:t>The following represents updated information regarding the selling securityholders listed in the table in the "Selling Securityholders" section of the prospectus.</w:t>
      </w:r>
    </w:p>
    <w:p>
      <w:pPr>
        <w:spacing w:after="0" w:line="183" w:lineRule="exact"/>
        <w:rPr>
          <w:sz w:val="24"/>
          <w:szCs w:val="24"/>
          <w:color w:val="auto"/>
        </w:rPr>
      </w:pPr>
    </w:p>
    <w:tbl>
      <w:tblPr>
        <w:tblLayout w:type="fixed"/>
        <w:tblInd w:w="840" w:type="dxa"/>
        <w:tblCellMar>
          <w:top w:w="0" w:type="dxa"/>
          <w:left w:w="0" w:type="dxa"/>
          <w:bottom w:w="0" w:type="dxa"/>
          <w:right w:w="0" w:type="dxa"/>
        </w:tblCellMar>
      </w:tblPr>
      <w:tr>
        <w:trPr>
          <w:trHeight w:val="161"/>
        </w:trPr>
        <w:tc>
          <w:tcPr>
            <w:tcW w:w="1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89"/>
              </w:rPr>
              <w:t>Principal Amount at</w:t>
            </w:r>
          </w:p>
        </w:tc>
        <w:tc>
          <w:tcPr>
            <w:tcW w:w="4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49"/>
        </w:trPr>
        <w:tc>
          <w:tcPr>
            <w:tcW w:w="12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Maturity</w:t>
            </w:r>
          </w:p>
        </w:tc>
        <w:tc>
          <w:tcPr>
            <w:tcW w:w="4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Number of Shares of</w:t>
            </w:r>
          </w:p>
        </w:tc>
        <w:tc>
          <w:tcPr>
            <w:tcW w:w="920" w:type="dxa"/>
            <w:vAlign w:val="bottom"/>
          </w:tcPr>
          <w:p>
            <w:pPr>
              <w:spacing w:after="0"/>
              <w:rPr>
                <w:sz w:val="12"/>
                <w:szCs w:val="12"/>
                <w:color w:val="auto"/>
              </w:rPr>
            </w:pPr>
          </w:p>
        </w:tc>
      </w:tr>
      <w:tr>
        <w:trPr>
          <w:trHeight w:val="149"/>
        </w:trPr>
        <w:tc>
          <w:tcPr>
            <w:tcW w:w="12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of Debentures</w:t>
            </w:r>
          </w:p>
        </w:tc>
        <w:tc>
          <w:tcPr>
            <w:tcW w:w="1400" w:type="dxa"/>
            <w:vAlign w:val="bottom"/>
            <w:gridSpan w:val="3"/>
          </w:tcPr>
          <w:p>
            <w:pPr>
              <w:jc w:val="center"/>
              <w:ind w:left="192"/>
              <w:spacing w:after="0" w:line="149" w:lineRule="exact"/>
              <w:rPr>
                <w:sz w:val="20"/>
                <w:szCs w:val="20"/>
                <w:color w:val="auto"/>
              </w:rPr>
            </w:pPr>
            <w:r>
              <w:rPr>
                <w:rFonts w:ascii="Arial" w:cs="Arial" w:eastAsia="Arial" w:hAnsi="Arial"/>
                <w:sz w:val="14"/>
                <w:szCs w:val="14"/>
                <w:b w:val="1"/>
                <w:bCs w:val="1"/>
                <w:color w:val="auto"/>
                <w:w w:val="84"/>
              </w:rPr>
              <w:t>Percentage of</w:t>
            </w:r>
          </w:p>
        </w:tc>
        <w:tc>
          <w:tcPr>
            <w:tcW w:w="16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Common Stock That</w:t>
            </w: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Percentage of</w:t>
            </w:r>
          </w:p>
        </w:tc>
      </w:tr>
      <w:tr>
        <w:trPr>
          <w:trHeight w:val="149"/>
        </w:trPr>
        <w:tc>
          <w:tcPr>
            <w:tcW w:w="12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Beneficially Owned</w:t>
            </w:r>
          </w:p>
        </w:tc>
        <w:tc>
          <w:tcPr>
            <w:tcW w:w="480" w:type="dxa"/>
            <w:vAlign w:val="bottom"/>
          </w:tcPr>
          <w:p>
            <w:pPr>
              <w:spacing w:after="0"/>
              <w:rPr>
                <w:sz w:val="12"/>
                <w:szCs w:val="12"/>
                <w:color w:val="auto"/>
              </w:rPr>
            </w:pPr>
          </w:p>
        </w:tc>
        <w:tc>
          <w:tcPr>
            <w:tcW w:w="9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Debentures</w:t>
            </w:r>
          </w:p>
        </w:tc>
        <w:tc>
          <w:tcPr>
            <w:tcW w:w="360" w:type="dxa"/>
            <w:vAlign w:val="bottom"/>
          </w:tcPr>
          <w:p>
            <w:pPr>
              <w:spacing w:after="0"/>
              <w:rPr>
                <w:sz w:val="12"/>
                <w:szCs w:val="12"/>
                <w:color w:val="auto"/>
              </w:rPr>
            </w:pPr>
          </w:p>
        </w:tc>
        <w:tc>
          <w:tcPr>
            <w:tcW w:w="12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9"/>
              </w:rPr>
              <w:t>May Be</w:t>
            </w: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Common Stock</w:t>
            </w:r>
          </w:p>
        </w:tc>
      </w:tr>
      <w:tr>
        <w:trPr>
          <w:trHeight w:val="148"/>
        </w:trPr>
        <w:tc>
          <w:tcPr>
            <w:tcW w:w="1280" w:type="dxa"/>
            <w:vAlign w:val="bottom"/>
          </w:tcPr>
          <w:p>
            <w:pPr>
              <w:spacing w:after="0" w:line="148" w:lineRule="exact"/>
              <w:rPr>
                <w:sz w:val="20"/>
                <w:szCs w:val="20"/>
                <w:color w:val="auto"/>
              </w:rPr>
            </w:pPr>
            <w:r>
              <w:rPr>
                <w:rFonts w:ascii="Arial" w:cs="Arial" w:eastAsia="Arial" w:hAnsi="Arial"/>
                <w:sz w:val="14"/>
                <w:szCs w:val="14"/>
                <w:b w:val="1"/>
                <w:bCs w:val="1"/>
                <w:color w:val="auto"/>
                <w:w w:val="85"/>
              </w:rPr>
              <w:t>Name and Address (7)</w:t>
            </w:r>
          </w:p>
        </w:tc>
        <w:tc>
          <w:tcPr>
            <w:tcW w:w="1080" w:type="dxa"/>
            <w:vAlign w:val="bottom"/>
          </w:tcPr>
          <w:p>
            <w:pPr>
              <w:spacing w:after="0"/>
              <w:rPr>
                <w:sz w:val="12"/>
                <w:szCs w:val="12"/>
                <w:color w:val="auto"/>
              </w:rPr>
            </w:pPr>
          </w:p>
        </w:tc>
        <w:tc>
          <w:tcPr>
            <w:tcW w:w="144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8"/>
              </w:rPr>
              <w:t>that May Be Sold</w:t>
            </w:r>
          </w:p>
        </w:tc>
        <w:tc>
          <w:tcPr>
            <w:tcW w:w="480" w:type="dxa"/>
            <w:vAlign w:val="bottom"/>
          </w:tcPr>
          <w:p>
            <w:pPr>
              <w:spacing w:after="0"/>
              <w:rPr>
                <w:sz w:val="12"/>
                <w:szCs w:val="12"/>
                <w:color w:val="auto"/>
              </w:rPr>
            </w:pPr>
          </w:p>
        </w:tc>
        <w:tc>
          <w:tcPr>
            <w:tcW w:w="920" w:type="dxa"/>
            <w:vAlign w:val="bottom"/>
            <w:gridSpan w:val="2"/>
          </w:tcPr>
          <w:p>
            <w:pPr>
              <w:jc w:val="center"/>
              <w:ind w:right="200"/>
              <w:spacing w:after="0" w:line="148" w:lineRule="exact"/>
              <w:rPr>
                <w:sz w:val="20"/>
                <w:szCs w:val="20"/>
                <w:color w:val="auto"/>
              </w:rPr>
            </w:pPr>
            <w:r>
              <w:rPr>
                <w:rFonts w:ascii="Arial" w:cs="Arial" w:eastAsia="Arial" w:hAnsi="Arial"/>
                <w:sz w:val="14"/>
                <w:szCs w:val="14"/>
                <w:b w:val="1"/>
                <w:bCs w:val="1"/>
                <w:color w:val="auto"/>
                <w:w w:val="87"/>
              </w:rPr>
              <w:t>Outstanding</w:t>
            </w:r>
          </w:p>
        </w:tc>
        <w:tc>
          <w:tcPr>
            <w:tcW w:w="360" w:type="dxa"/>
            <w:vAlign w:val="bottom"/>
          </w:tcPr>
          <w:p>
            <w:pPr>
              <w:spacing w:after="0"/>
              <w:rPr>
                <w:sz w:val="12"/>
                <w:szCs w:val="12"/>
                <w:color w:val="auto"/>
              </w:rPr>
            </w:pPr>
          </w:p>
        </w:tc>
        <w:tc>
          <w:tcPr>
            <w:tcW w:w="1260" w:type="dxa"/>
            <w:vAlign w:val="bottom"/>
            <w:gridSpan w:val="2"/>
          </w:tcPr>
          <w:p>
            <w:pPr>
              <w:jc w:val="center"/>
              <w:ind w:right="420"/>
              <w:spacing w:after="0" w:line="148" w:lineRule="exact"/>
              <w:rPr>
                <w:sz w:val="20"/>
                <w:szCs w:val="20"/>
                <w:color w:val="auto"/>
              </w:rPr>
            </w:pPr>
            <w:r>
              <w:rPr>
                <w:rFonts w:ascii="Arial" w:cs="Arial" w:eastAsia="Arial" w:hAnsi="Arial"/>
                <w:sz w:val="14"/>
                <w:szCs w:val="14"/>
                <w:b w:val="1"/>
                <w:bCs w:val="1"/>
                <w:color w:val="auto"/>
                <w:w w:val="85"/>
              </w:rPr>
              <w:t>Sold (1)</w:t>
            </w:r>
          </w:p>
        </w:tc>
        <w:tc>
          <w:tcPr>
            <w:tcW w:w="92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8"/>
              </w:rPr>
              <w:t>Outstanding (2)</w:t>
            </w:r>
          </w:p>
        </w:tc>
      </w:tr>
      <w:tr>
        <w:trPr>
          <w:trHeight w:val="20"/>
        </w:trPr>
        <w:tc>
          <w:tcPr>
            <w:tcW w:w="128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r>
    </w:tbl>
    <w:p>
      <w:pPr>
        <w:spacing w:after="0" w:line="289" w:lineRule="exact"/>
        <w:rPr>
          <w:sz w:val="24"/>
          <w:szCs w:val="24"/>
          <w:color w:val="auto"/>
        </w:rPr>
      </w:pPr>
    </w:p>
    <w:p>
      <w:pPr>
        <w:ind w:left="20"/>
        <w:spacing w:after="0"/>
        <w:tabs>
          <w:tab w:leader="none" w:pos="3200" w:val="left"/>
          <w:tab w:leader="none" w:pos="4040" w:val="left"/>
          <w:tab w:leader="none" w:pos="5340" w:val="left"/>
          <w:tab w:leader="none" w:pos="6760" w:val="left"/>
          <w:tab w:leader="none" w:pos="7980" w:val="left"/>
        </w:tabs>
        <w:rPr>
          <w:sz w:val="20"/>
          <w:szCs w:val="20"/>
          <w:color w:val="auto"/>
        </w:rPr>
      </w:pPr>
      <w:r>
        <w:rPr>
          <w:rFonts w:ascii="Arial" w:cs="Arial" w:eastAsia="Arial" w:hAnsi="Arial"/>
          <w:sz w:val="18"/>
          <w:szCs w:val="18"/>
          <w:color w:val="auto"/>
        </w:rPr>
        <w:t>Any other holder of notes or future</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0</w:t>
      </w:r>
      <w:r>
        <w:rPr>
          <w:sz w:val="20"/>
          <w:szCs w:val="20"/>
          <w:color w:val="auto"/>
        </w:rPr>
        <w:tab/>
      </w:r>
      <w:r>
        <w:rPr>
          <w:rFonts w:ascii="Arial" w:cs="Arial" w:eastAsia="Arial" w:hAnsi="Arial"/>
          <w:sz w:val="18"/>
          <w:szCs w:val="18"/>
          <w:color w:val="auto"/>
        </w:rPr>
        <w:t>0%</w:t>
      </w:r>
      <w:r>
        <w:rPr>
          <w:sz w:val="20"/>
          <w:szCs w:val="20"/>
          <w:color w:val="auto"/>
        </w:rPr>
        <w:tab/>
      </w:r>
      <w:r>
        <w:rPr>
          <w:rFonts w:ascii="Arial" w:cs="Arial" w:eastAsia="Arial" w:hAnsi="Arial"/>
          <w:sz w:val="18"/>
          <w:szCs w:val="18"/>
          <w:color w:val="auto"/>
        </w:rPr>
        <w:t>0</w:t>
      </w:r>
      <w:r>
        <w:rPr>
          <w:sz w:val="20"/>
          <w:szCs w:val="20"/>
          <w:color w:val="auto"/>
        </w:rPr>
        <w:tab/>
      </w:r>
      <w:r>
        <w:rPr>
          <w:rFonts w:ascii="Arial" w:cs="Arial" w:eastAsia="Arial" w:hAnsi="Arial"/>
          <w:sz w:val="16"/>
          <w:szCs w:val="16"/>
          <w:color w:val="auto"/>
        </w:rPr>
        <w:t>0%</w:t>
      </w:r>
    </w:p>
    <w:p>
      <w:pPr>
        <w:spacing w:after="0" w:line="15" w:lineRule="exact"/>
        <w:rPr>
          <w:sz w:val="24"/>
          <w:szCs w:val="24"/>
          <w:color w:val="auto"/>
        </w:rPr>
      </w:pPr>
    </w:p>
    <w:p>
      <w:pPr>
        <w:ind w:left="20"/>
        <w:spacing w:after="0"/>
        <w:rPr>
          <w:sz w:val="20"/>
          <w:szCs w:val="20"/>
          <w:color w:val="auto"/>
        </w:rPr>
      </w:pPr>
      <w:r>
        <w:rPr>
          <w:rFonts w:ascii="Arial" w:cs="Arial" w:eastAsia="Arial" w:hAnsi="Arial"/>
          <w:sz w:val="18"/>
          <w:szCs w:val="18"/>
          <w:color w:val="auto"/>
        </w:rPr>
        <w:t>transferee, pledgee, donee or successor of</w:t>
      </w:r>
    </w:p>
    <w:p>
      <w:pPr>
        <w:spacing w:after="0" w:line="9" w:lineRule="exact"/>
        <w:rPr>
          <w:sz w:val="24"/>
          <w:szCs w:val="24"/>
          <w:color w:val="auto"/>
        </w:rPr>
      </w:pPr>
    </w:p>
    <w:p>
      <w:pPr>
        <w:ind w:left="20"/>
        <w:spacing w:after="0"/>
        <w:rPr>
          <w:sz w:val="20"/>
          <w:szCs w:val="20"/>
          <w:color w:val="auto"/>
        </w:rPr>
      </w:pPr>
      <w:r>
        <w:rPr>
          <w:rFonts w:ascii="Arial" w:cs="Arial" w:eastAsia="Arial" w:hAnsi="Arial"/>
          <w:sz w:val="18"/>
          <w:szCs w:val="18"/>
          <w:color w:val="auto"/>
        </w:rPr>
        <w:t>any holder (3)(4)</w:t>
      </w:r>
    </w:p>
    <w:p>
      <w:pPr>
        <w:spacing w:after="0" w:line="22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___________________</w:t>
      </w:r>
    </w:p>
    <w:p>
      <w:pPr>
        <w:spacing w:after="0" w:line="21" w:lineRule="exact"/>
        <w:rPr>
          <w:sz w:val="24"/>
          <w:szCs w:val="24"/>
          <w:color w:val="auto"/>
        </w:rPr>
      </w:pPr>
    </w:p>
    <w:p>
      <w:pPr>
        <w:spacing w:after="0"/>
        <w:rPr>
          <w:sz w:val="20"/>
          <w:szCs w:val="20"/>
          <w:color w:val="auto"/>
        </w:rPr>
      </w:pPr>
      <w:r>
        <w:rPr>
          <w:rFonts w:ascii="Arial" w:cs="Arial" w:eastAsia="Arial" w:hAnsi="Arial"/>
          <w:sz w:val="14"/>
          <w:szCs w:val="14"/>
          <w:color w:val="auto"/>
        </w:rPr>
        <w:t>*Less than 1%.</w:t>
      </w:r>
    </w:p>
    <w:p>
      <w:pPr>
        <w:sectPr>
          <w:pgSz w:w="11900" w:h="16838" w:orient="portrait"/>
          <w:cols w:equalWidth="0" w:num="1">
            <w:col w:w="11420"/>
          </w:cols>
          <w:pgMar w:left="240" w:top="233" w:right="239" w:bottom="313" w:gutter="0" w:footer="0" w:header="0"/>
        </w:sectPr>
      </w:pPr>
    </w:p>
    <w:p>
      <w:pPr>
        <w:spacing w:after="0" w:line="197" w:lineRule="exact"/>
        <w:rPr>
          <w:sz w:val="24"/>
          <w:szCs w:val="24"/>
          <w:color w:val="auto"/>
        </w:rPr>
      </w:pPr>
    </w:p>
    <w:p>
      <w:pPr>
        <w:ind w:left="540" w:right="140" w:firstLine="8"/>
        <w:spacing w:after="0" w:line="306" w:lineRule="auto"/>
        <w:tabs>
          <w:tab w:leader="none" w:pos="789" w:val="left"/>
        </w:tabs>
        <w:numPr>
          <w:ilvl w:val="0"/>
          <w:numId w:val="1"/>
        </w:numPr>
        <w:rPr>
          <w:rFonts w:ascii="Arial" w:cs="Arial" w:eastAsia="Arial" w:hAnsi="Arial"/>
          <w:sz w:val="16"/>
          <w:szCs w:val="16"/>
          <w:color w:val="auto"/>
        </w:rPr>
      </w:pPr>
      <w:r>
        <w:rPr>
          <w:rFonts w:ascii="Arial" w:cs="Arial" w:eastAsia="Arial" w:hAnsi="Arial"/>
          <w:sz w:val="16"/>
          <w:szCs w:val="16"/>
          <w:color w:val="auto"/>
        </w:rPr>
        <w:t>Total principal amount at maturity of selling securityholders listed is more than $435,367,000 because certain of the selling securityholders may have transferred debentures pursuant to Rule 144A or otherwise reduced their position prior to selling pursuant to this registration statement. The maximum principal amount at maturity of debentures that may be sold under this prospectus will not exceed $435,367,000.</w:t>
      </w:r>
    </w:p>
    <w:sectPr>
      <w:pgSz w:w="11900" w:h="16838" w:orient="portrait"/>
      <w:cols w:equalWidth="0" w:num="1">
        <w:col w:w="11420"/>
      </w:cols>
      <w:pgMar w:left="240" w:top="233" w:right="239" w:bottom="31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8"/>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2019-12-19T23:40:20Z</dcterms:created>
  <dcterms:modified xsi:type="dcterms:W3CDTF">2019-12-19T23:40:20Z</dcterms:modified>
</cp:coreProperties>
</file>