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Arial" w:cs="Arial" w:eastAsia="Arial" w:hAnsi="Arial"/>
          <w:sz w:val="28"/>
          <w:szCs w:val="28"/>
          <w:b w:val="1"/>
          <w:bCs w:val="1"/>
          <w:color w:val="auto"/>
        </w:rPr>
        <w:t>UNITED STATES</w:t>
      </w:r>
    </w:p>
    <w:p>
      <w:pPr>
        <w:spacing w:after="0" w:line="28"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4"/>
        <w:spacing w:after="0"/>
        <w:rPr>
          <w:sz w:val="20"/>
          <w:szCs w:val="20"/>
          <w:color w:val="auto"/>
        </w:rPr>
      </w:pPr>
      <w:r>
        <w:rPr>
          <w:rFonts w:ascii="Arial" w:cs="Arial" w:eastAsia="Arial" w:hAnsi="Arial"/>
          <w:sz w:val="19"/>
          <w:szCs w:val="19"/>
          <w:b w:val="1"/>
          <w:bCs w:val="1"/>
          <w:color w:val="auto"/>
        </w:rPr>
        <w:t>Washington, D.C. 20549</w:t>
      </w:r>
    </w:p>
    <w:p>
      <w:pPr>
        <w:spacing w:after="0" w:line="91"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FORM 8-K</w:t>
      </w:r>
    </w:p>
    <w:p>
      <w:pPr>
        <w:spacing w:after="0" w:line="139"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CURRENT REPORT</w:t>
      </w:r>
    </w:p>
    <w:p>
      <w:pPr>
        <w:spacing w:after="0" w:line="133"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39" w:lineRule="exact"/>
        <w:rPr>
          <w:sz w:val="24"/>
          <w:szCs w:val="24"/>
          <w:color w:val="auto"/>
        </w:rPr>
      </w:pPr>
    </w:p>
    <w:p>
      <w:pPr>
        <w:jc w:val="center"/>
        <w:ind w:right="-4"/>
        <w:spacing w:after="0"/>
        <w:rPr>
          <w:sz w:val="20"/>
          <w:szCs w:val="20"/>
          <w:color w:val="auto"/>
        </w:rPr>
      </w:pPr>
      <w:r>
        <w:rPr>
          <w:rFonts w:ascii="Arial" w:cs="Arial" w:eastAsia="Arial" w:hAnsi="Arial"/>
          <w:sz w:val="16"/>
          <w:szCs w:val="16"/>
          <w:color w:val="auto"/>
        </w:rPr>
        <w:t>Date of Report (Date of earliest event reported): July 20, 2020</w:t>
      </w:r>
    </w:p>
    <w:p>
      <w:pPr>
        <w:spacing w:after="0" w:line="110" w:lineRule="exact"/>
        <w:rPr>
          <w:sz w:val="24"/>
          <w:szCs w:val="24"/>
          <w:color w:val="auto"/>
        </w:rPr>
      </w:pPr>
    </w:p>
    <w:p>
      <w:pPr>
        <w:jc w:val="center"/>
        <w:ind w:right="-4"/>
        <w:spacing w:after="0"/>
        <w:rPr>
          <w:sz w:val="20"/>
          <w:szCs w:val="20"/>
          <w:color w:val="auto"/>
        </w:rPr>
      </w:pPr>
      <w:r>
        <w:rPr>
          <w:rFonts w:ascii="Arial" w:cs="Arial" w:eastAsia="Arial" w:hAnsi="Arial"/>
          <w:sz w:val="38"/>
          <w:szCs w:val="38"/>
          <w:b w:val="1"/>
          <w:bCs w:val="1"/>
          <w:color w:val="auto"/>
        </w:rPr>
        <w:t>MANPOWERGROUP INC.</w:t>
      </w:r>
    </w:p>
    <w:p>
      <w:pPr>
        <w:spacing w:after="0" w:line="40" w:lineRule="exact"/>
        <w:rPr>
          <w:sz w:val="24"/>
          <w:szCs w:val="24"/>
          <w:color w:val="auto"/>
        </w:rPr>
      </w:pPr>
    </w:p>
    <w:p>
      <w:pPr>
        <w:jc w:val="center"/>
        <w:ind w:right="-4"/>
        <w:spacing w:after="0"/>
        <w:rPr>
          <w:sz w:val="20"/>
          <w:szCs w:val="20"/>
          <w:color w:val="auto"/>
        </w:rPr>
      </w:pPr>
      <w:r>
        <w:rPr>
          <w:rFonts w:ascii="Arial" w:cs="Arial" w:eastAsia="Arial" w:hAnsi="Arial"/>
          <w:sz w:val="16"/>
          <w:szCs w:val="16"/>
          <w:color w:val="auto"/>
        </w:rPr>
        <w:t>(Exact name of registrant as specified in its charter)</w:t>
      </w:r>
    </w:p>
    <w:p>
      <w:pPr>
        <w:spacing w:after="0" w:line="117" w:lineRule="exact"/>
        <w:rPr>
          <w:sz w:val="24"/>
          <w:szCs w:val="24"/>
          <w:color w:val="auto"/>
        </w:rPr>
      </w:pPr>
    </w:p>
    <w:tbl>
      <w:tblPr>
        <w:tblLayout w:type="fixed"/>
        <w:tblInd w:w="5" w:type="dxa"/>
        <w:tblCellMar>
          <w:top w:w="0" w:type="dxa"/>
          <w:left w:w="0" w:type="dxa"/>
          <w:bottom w:w="0" w:type="dxa"/>
          <w:right w:w="0" w:type="dxa"/>
        </w:tblCellMar>
      </w:tblPr>
      <w:tr>
        <w:trPr>
          <w:trHeight w:val="204"/>
        </w:trPr>
        <w:tc>
          <w:tcPr>
            <w:tcW w:w="436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w w:val="84"/>
              </w:rPr>
              <w:t>Wisconsin</w:t>
            </w:r>
          </w:p>
        </w:tc>
        <w:tc>
          <w:tcPr>
            <w:tcW w:w="3080" w:type="dxa"/>
            <w:vAlign w:val="bottom"/>
            <w:gridSpan w:val="3"/>
          </w:tcPr>
          <w:p>
            <w:pPr>
              <w:jc w:val="right"/>
              <w:ind w:right="1540"/>
              <w:spacing w:after="0"/>
              <w:rPr>
                <w:sz w:val="20"/>
                <w:szCs w:val="20"/>
                <w:color w:val="auto"/>
              </w:rPr>
            </w:pPr>
            <w:r>
              <w:rPr>
                <w:rFonts w:ascii="Arial" w:cs="Arial" w:eastAsia="Arial" w:hAnsi="Arial"/>
                <w:sz w:val="16"/>
                <w:szCs w:val="16"/>
                <w:b w:val="1"/>
                <w:bCs w:val="1"/>
                <w:color w:val="auto"/>
              </w:rPr>
              <w:t>1-10686</w:t>
            </w:r>
          </w:p>
        </w:tc>
        <w:tc>
          <w:tcPr>
            <w:tcW w:w="220" w:type="dxa"/>
            <w:vAlign w:val="bottom"/>
          </w:tcPr>
          <w:p>
            <w:pPr>
              <w:spacing w:after="0"/>
              <w:rPr>
                <w:sz w:val="17"/>
                <w:szCs w:val="17"/>
                <w:color w:val="auto"/>
              </w:rPr>
            </w:pPr>
          </w:p>
        </w:tc>
        <w:tc>
          <w:tcPr>
            <w:tcW w:w="3600" w:type="dxa"/>
            <w:vAlign w:val="bottom"/>
          </w:tcPr>
          <w:p>
            <w:pPr>
              <w:jc w:val="right"/>
              <w:ind w:right="1341"/>
              <w:spacing w:after="0"/>
              <w:rPr>
                <w:sz w:val="20"/>
                <w:szCs w:val="20"/>
                <w:color w:val="auto"/>
              </w:rPr>
            </w:pPr>
            <w:r>
              <w:rPr>
                <w:rFonts w:ascii="Arial" w:cs="Arial" w:eastAsia="Arial" w:hAnsi="Arial"/>
                <w:sz w:val="16"/>
                <w:szCs w:val="16"/>
                <w:b w:val="1"/>
                <w:bCs w:val="1"/>
                <w:color w:val="auto"/>
              </w:rPr>
              <w:t>39-1672779</w:t>
            </w:r>
          </w:p>
        </w:tc>
      </w:tr>
      <w:tr>
        <w:trPr>
          <w:trHeight w:val="198"/>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(State or other jurisdiction of incorporation)</w:t>
            </w:r>
          </w:p>
        </w:tc>
        <w:tc>
          <w:tcPr>
            <w:tcW w:w="2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gridSpan w:val="3"/>
          </w:tcPr>
          <w:p>
            <w:pPr>
              <w:jc w:val="center"/>
              <w:ind w:right="520"/>
              <w:spacing w:after="0"/>
              <w:rPr>
                <w:sz w:val="20"/>
                <w:szCs w:val="20"/>
                <w:color w:val="auto"/>
              </w:rPr>
            </w:pPr>
            <w:r>
              <w:rPr>
                <w:rFonts w:ascii="Arial" w:cs="Arial" w:eastAsia="Arial" w:hAnsi="Arial"/>
                <w:sz w:val="16"/>
                <w:szCs w:val="16"/>
                <w:b w:val="1"/>
                <w:bCs w:val="1"/>
                <w:color w:val="auto"/>
                <w:w w:val="90"/>
              </w:rPr>
              <w:t>(Commission File Number)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(IRS Employer Identification No.)</w:t>
            </w:r>
          </w:p>
        </w:tc>
      </w:tr>
      <w:tr>
        <w:trPr>
          <w:trHeight w:val="288"/>
        </w:trPr>
        <w:tc>
          <w:tcPr>
            <w:tcW w:w="4360" w:type="dxa"/>
            <w:vAlign w:val="bottom"/>
            <w:gridSpan w:val="3"/>
          </w:tcPr>
          <w:p>
            <w:pPr>
              <w:jc w:val="center"/>
              <w:ind w:left="961"/>
              <w:spacing w:after="0"/>
              <w:rPr>
                <w:sz w:val="20"/>
                <w:szCs w:val="20"/>
                <w:color w:val="auto"/>
              </w:rPr>
            </w:pPr>
            <w:r>
              <w:rPr>
                <w:rFonts w:ascii="Arial" w:cs="Arial" w:eastAsia="Arial" w:hAnsi="Arial"/>
                <w:sz w:val="16"/>
                <w:szCs w:val="16"/>
                <w:b w:val="1"/>
                <w:bCs w:val="1"/>
                <w:color w:val="auto"/>
                <w:w w:val="89"/>
              </w:rPr>
              <w:t>100 Manpower Place</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5"/>
        </w:trPr>
        <w:tc>
          <w:tcPr>
            <w:tcW w:w="4360" w:type="dxa"/>
            <w:vAlign w:val="bottom"/>
            <w:tcBorders>
              <w:bottom w:val="single" w:sz="8" w:color="auto"/>
            </w:tcBorders>
            <w:gridSpan w:val="3"/>
          </w:tcPr>
          <w:p>
            <w:pPr>
              <w:jc w:val="center"/>
              <w:ind w:left="961"/>
              <w:spacing w:after="0"/>
              <w:rPr>
                <w:sz w:val="20"/>
                <w:szCs w:val="20"/>
                <w:color w:val="auto"/>
              </w:rPr>
            </w:pPr>
            <w:r>
              <w:rPr>
                <w:rFonts w:ascii="Arial" w:cs="Arial" w:eastAsia="Arial" w:hAnsi="Arial"/>
                <w:sz w:val="16"/>
                <w:szCs w:val="16"/>
                <w:b w:val="1"/>
                <w:bCs w:val="1"/>
                <w:color w:val="auto"/>
                <w:w w:val="89"/>
              </w:rPr>
              <w:t>Milwaukee, Wisconsin</w:t>
            </w:r>
          </w:p>
        </w:tc>
        <w:tc>
          <w:tcPr>
            <w:tcW w:w="104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jc w:val="right"/>
              <w:ind w:right="2421"/>
              <w:spacing w:after="0"/>
              <w:rPr>
                <w:sz w:val="20"/>
                <w:szCs w:val="20"/>
                <w:color w:val="auto"/>
              </w:rPr>
            </w:pPr>
            <w:r>
              <w:rPr>
                <w:rFonts w:ascii="Arial" w:cs="Arial" w:eastAsia="Arial" w:hAnsi="Arial"/>
                <w:sz w:val="16"/>
                <w:szCs w:val="16"/>
                <w:b w:val="1"/>
                <w:bCs w:val="1"/>
                <w:color w:val="auto"/>
              </w:rPr>
              <w:t>53212</w:t>
            </w:r>
          </w:p>
        </w:tc>
      </w:tr>
      <w:tr>
        <w:trPr>
          <w:trHeight w:val="197"/>
        </w:trPr>
        <w:tc>
          <w:tcPr>
            <w:tcW w:w="4360" w:type="dxa"/>
            <w:vAlign w:val="bottom"/>
            <w:gridSpan w:val="3"/>
          </w:tcPr>
          <w:p>
            <w:pPr>
              <w:jc w:val="center"/>
              <w:ind w:left="961"/>
              <w:spacing w:after="0"/>
              <w:rPr>
                <w:sz w:val="20"/>
                <w:szCs w:val="20"/>
                <w:color w:val="auto"/>
              </w:rPr>
            </w:pPr>
            <w:r>
              <w:rPr>
                <w:rFonts w:ascii="Arial" w:cs="Arial" w:eastAsia="Arial" w:hAnsi="Arial"/>
                <w:sz w:val="16"/>
                <w:szCs w:val="16"/>
                <w:b w:val="1"/>
                <w:bCs w:val="1"/>
                <w:color w:val="auto"/>
                <w:w w:val="87"/>
              </w:rPr>
              <w:t>(Address of principal executive offices)</w:t>
            </w: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jc w:val="center"/>
              <w:ind w:right="1721"/>
              <w:spacing w:after="0"/>
              <w:rPr>
                <w:sz w:val="20"/>
                <w:szCs w:val="20"/>
                <w:color w:val="auto"/>
              </w:rPr>
            </w:pPr>
            <w:r>
              <w:rPr>
                <w:rFonts w:ascii="Arial" w:cs="Arial" w:eastAsia="Arial" w:hAnsi="Arial"/>
                <w:sz w:val="16"/>
                <w:szCs w:val="16"/>
                <w:b w:val="1"/>
                <w:bCs w:val="1"/>
                <w:color w:val="auto"/>
                <w:w w:val="90"/>
              </w:rPr>
              <w:t>(Zip Code)</w:t>
            </w:r>
          </w:p>
        </w:tc>
      </w:tr>
    </w:tbl>
    <w:p>
      <w:pPr>
        <w:spacing w:after="0" w:line="102" w:lineRule="exact"/>
        <w:rPr>
          <w:sz w:val="24"/>
          <w:szCs w:val="24"/>
          <w:color w:val="auto"/>
        </w:rPr>
      </w:pPr>
    </w:p>
    <w:p>
      <w:pPr>
        <w:ind w:left="3465"/>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135" w:lineRule="exact"/>
        <w:rPr>
          <w:sz w:val="24"/>
          <w:szCs w:val="24"/>
          <w:color w:val="auto"/>
        </w:rPr>
      </w:pPr>
    </w:p>
    <w:p>
      <w:pPr>
        <w:ind w:left="3665"/>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35" w:lineRule="exact"/>
        <w:rPr>
          <w:sz w:val="24"/>
          <w:szCs w:val="24"/>
          <w:color w:val="auto"/>
        </w:rPr>
      </w:pPr>
    </w:p>
    <w:p>
      <w:pPr>
        <w:ind w:left="5"/>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ind w:left="5"/>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8" w:lineRule="exact"/>
        <w:rPr>
          <w:sz w:val="24"/>
          <w:szCs w:val="24"/>
          <w:color w:val="auto"/>
        </w:rPr>
      </w:pPr>
    </w:p>
    <w:tbl>
      <w:tblPr>
        <w:tblLayout w:type="fixed"/>
        <w:tblInd w:w="15" w:type="dxa"/>
        <w:tblCellMar>
          <w:top w:w="0" w:type="dxa"/>
          <w:left w:w="0" w:type="dxa"/>
          <w:bottom w:w="0" w:type="dxa"/>
          <w:right w:w="0" w:type="dxa"/>
        </w:tblCellMar>
      </w:tblPr>
      <w:tr>
        <w:trPr>
          <w:trHeight w:val="201"/>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Title of each class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Name of each exchange on which registered</w:t>
            </w:r>
          </w:p>
        </w:tc>
      </w:tr>
      <w:tr>
        <w:trPr>
          <w:trHeight w:val="181"/>
        </w:trPr>
        <w:tc>
          <w:tcPr>
            <w:tcW w:w="3760" w:type="dxa"/>
            <w:vAlign w:val="bottom"/>
            <w:tcBorders>
              <w:left w:val="single" w:sz="8" w:color="auto"/>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w w:val="89"/>
              </w:rPr>
              <w:t>Common Stock, $.01 par value</w:t>
            </w:r>
          </w:p>
        </w:tc>
        <w:tc>
          <w:tcPr>
            <w:tcW w:w="3760" w:type="dxa"/>
            <w:vAlign w:val="bottom"/>
            <w:tcBorders>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rPr>
              <w:t>MAN</w:t>
            </w:r>
          </w:p>
        </w:tc>
        <w:tc>
          <w:tcPr>
            <w:tcW w:w="3740" w:type="dxa"/>
            <w:vAlign w:val="bottom"/>
            <w:tcBorders>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w w:val="89"/>
              </w:rPr>
              <w:t>New York Stock Exchange</w:t>
            </w:r>
          </w:p>
        </w:tc>
      </w:tr>
    </w:tbl>
    <w:p>
      <w:pPr>
        <w:spacing w:after="0" w:line="177" w:lineRule="exact"/>
        <w:rPr>
          <w:sz w:val="24"/>
          <w:szCs w:val="24"/>
          <w:color w:val="auto"/>
        </w:rPr>
      </w:pPr>
    </w:p>
    <w:p>
      <w:pPr>
        <w:ind w:left="5" w:right="24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ind w:left="5"/>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left="5" w:right="320"/>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530860</wp:posOffset>
            </wp:positionV>
            <wp:extent cx="714946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387" w:right="319" w:bottom="1440" w:gutter="0" w:footer="0" w:header="0"/>
        </w:sectPr>
      </w:pPr>
    </w:p>
    <w:bookmarkStart w:id="1" w:name="page2"/>
    <w:bookmarkEnd w:id="1"/>
    <w:p>
      <w:pPr>
        <w:ind w:left="20"/>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22" w:lineRule="exact"/>
        <w:rPr>
          <w:sz w:val="20"/>
          <w:szCs w:val="20"/>
          <w:color w:val="auto"/>
        </w:rPr>
      </w:pPr>
    </w:p>
    <w:p>
      <w:pPr>
        <w:ind w:right="340"/>
        <w:spacing w:after="0" w:line="282" w:lineRule="auto"/>
        <w:rPr>
          <w:sz w:val="20"/>
          <w:szCs w:val="20"/>
          <w:color w:val="auto"/>
        </w:rPr>
      </w:pPr>
      <w:r>
        <w:rPr>
          <w:rFonts w:ascii="Arial" w:cs="Arial" w:eastAsia="Arial" w:hAnsi="Arial"/>
          <w:sz w:val="15"/>
          <w:szCs w:val="15"/>
          <w:i w:val="1"/>
          <w:iCs w:val="1"/>
          <w:color w:val="auto"/>
        </w:rPr>
        <w:t>The information in this Item 2.02, including exhibit 99.1 attached herto,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13"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On July 20, 2020, we issued a press release announcing our results of operations for the three and six months ended June 30, 2020. A copy of the press release is attached hereto as Exhibit 99.1 and is incorporated herein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9.01.Exhibits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360" w:type="dxa"/>
            <w:vAlign w:val="bottom"/>
            <w:gridSpan w:val="3"/>
          </w:tcPr>
          <w:p>
            <w:pPr>
              <w:spacing w:after="0"/>
              <w:rPr>
                <w:sz w:val="20"/>
                <w:szCs w:val="20"/>
                <w:color w:val="auto"/>
              </w:rPr>
            </w:pPr>
            <w:r>
              <w:rPr>
                <w:rFonts w:ascii="Arial" w:cs="Arial" w:eastAsia="Arial" w:hAnsi="Arial"/>
                <w:sz w:val="13"/>
                <w:szCs w:val="13"/>
                <w:b w:val="1"/>
                <w:bCs w:val="1"/>
                <w:color w:val="auto"/>
              </w:rPr>
              <w:t>Exhibit No.</w:t>
            </w:r>
          </w:p>
        </w:tc>
        <w:tc>
          <w:tcPr>
            <w:tcW w:w="9900" w:type="dxa"/>
            <w:vAlign w:val="bottom"/>
          </w:tcPr>
          <w:p>
            <w:pPr>
              <w:spacing w:after="0"/>
              <w:rPr>
                <w:sz w:val="20"/>
                <w:szCs w:val="20"/>
                <w:color w:val="auto"/>
              </w:rPr>
            </w:pPr>
            <w:r>
              <w:rPr>
                <w:rFonts w:ascii="Arial" w:cs="Arial" w:eastAsia="Arial" w:hAnsi="Arial"/>
                <w:sz w:val="13"/>
                <w:szCs w:val="13"/>
                <w:b w:val="1"/>
                <w:bCs w:val="1"/>
                <w:color w:val="auto"/>
              </w:rPr>
              <w:t>Description</w:t>
            </w:r>
          </w:p>
        </w:tc>
      </w:tr>
      <w:tr>
        <w:trPr>
          <w:trHeight w:val="169"/>
        </w:trPr>
        <w:tc>
          <w:tcPr>
            <w:tcW w:w="20" w:type="dxa"/>
            <w:vAlign w:val="bottom"/>
          </w:tcPr>
          <w:p>
            <w:pPr>
              <w:spacing w:after="0"/>
              <w:rPr>
                <w:sz w:val="14"/>
                <w:szCs w:val="14"/>
                <w:color w:val="auto"/>
              </w:rPr>
            </w:pPr>
          </w:p>
        </w:tc>
        <w:tc>
          <w:tcPr>
            <w:tcW w:w="1220" w:type="dxa"/>
            <w:vAlign w:val="bottom"/>
            <w:tcBorders>
              <w:top w:val="single" w:sz="8" w:color="auto"/>
            </w:tcBorders>
          </w:tcPr>
          <w:p>
            <w:pPr>
              <w:spacing w:after="0" w:line="168" w:lineRule="exact"/>
              <w:rPr>
                <w:sz w:val="20"/>
                <w:szCs w:val="20"/>
                <w:color w:val="auto"/>
              </w:rPr>
            </w:pPr>
            <w:r>
              <w:rPr>
                <w:rFonts w:ascii="Arial" w:cs="Arial" w:eastAsia="Arial" w:hAnsi="Arial"/>
                <w:sz w:val="16"/>
                <w:szCs w:val="16"/>
                <w:color w:val="auto"/>
              </w:rPr>
              <w:t>99.1</w:t>
            </w:r>
          </w:p>
        </w:tc>
        <w:tc>
          <w:tcPr>
            <w:tcW w:w="120" w:type="dxa"/>
            <w:vAlign w:val="bottom"/>
          </w:tcPr>
          <w:p>
            <w:pPr>
              <w:spacing w:after="0"/>
              <w:rPr>
                <w:sz w:val="14"/>
                <w:szCs w:val="14"/>
                <w:color w:val="auto"/>
              </w:rPr>
            </w:pPr>
          </w:p>
        </w:tc>
        <w:tc>
          <w:tcPr>
            <w:tcW w:w="9900" w:type="dxa"/>
            <w:vAlign w:val="bottom"/>
            <w:tcBorders>
              <w:top w:val="single" w:sz="8" w:color="auto"/>
            </w:tcBorders>
          </w:tcPr>
          <w:p>
            <w:pPr>
              <w:spacing w:after="0" w:line="168" w:lineRule="exact"/>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Press Release dated July 20, 2020</w:t>
              </w:r>
            </w:hyperlink>
          </w:p>
        </w:tc>
      </w:tr>
      <w:tr>
        <w:trPr>
          <w:trHeight w:val="189"/>
        </w:trPr>
        <w:tc>
          <w:tcPr>
            <w:tcW w:w="1240" w:type="dxa"/>
            <w:vAlign w:val="bottom"/>
            <w:gridSpan w:val="2"/>
          </w:tcPr>
          <w:p>
            <w:pPr>
              <w:spacing w:after="0"/>
              <w:rPr>
                <w:sz w:val="20"/>
                <w:szCs w:val="20"/>
                <w:color w:val="auto"/>
              </w:rPr>
            </w:pPr>
            <w:r>
              <w:rPr>
                <w:rFonts w:ascii="Arial" w:cs="Arial" w:eastAsia="Arial" w:hAnsi="Arial"/>
                <w:sz w:val="16"/>
                <w:szCs w:val="16"/>
                <w:color w:val="auto"/>
              </w:rPr>
              <w:t>99.2</w:t>
            </w:r>
          </w:p>
        </w:tc>
        <w:tc>
          <w:tcPr>
            <w:tcW w:w="120" w:type="dxa"/>
            <w:vAlign w:val="bottom"/>
          </w:tcPr>
          <w:p>
            <w:pPr>
              <w:spacing w:after="0"/>
              <w:rPr>
                <w:sz w:val="16"/>
                <w:szCs w:val="16"/>
                <w:color w:val="auto"/>
              </w:rPr>
            </w:pPr>
          </w:p>
        </w:tc>
        <w:tc>
          <w:tcPr>
            <w:tcW w:w="9900" w:type="dxa"/>
            <w:vAlign w:val="bottom"/>
          </w:tcPr>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Presentation materials for July 20, 2020 Conference Call</w:t>
              </w:r>
            </w:hyperlink>
          </w:p>
        </w:tc>
      </w:tr>
      <w:tr>
        <w:trPr>
          <w:trHeight w:val="200"/>
        </w:trPr>
        <w:tc>
          <w:tcPr>
            <w:tcW w:w="1240" w:type="dxa"/>
            <w:vAlign w:val="bottom"/>
            <w:gridSpan w:val="2"/>
          </w:tcPr>
          <w:p>
            <w:pPr>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7"/>
                <w:szCs w:val="17"/>
                <w:color w:val="auto"/>
              </w:rPr>
            </w:pPr>
          </w:p>
        </w:tc>
        <w:tc>
          <w:tcPr>
            <w:tcW w:w="9900" w:type="dxa"/>
            <w:vAlign w:val="bottom"/>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r>
      <w:tr>
        <w:trPr>
          <w:trHeight w:val="1424"/>
        </w:trPr>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-6985</wp:posOffset>
            </wp:positionV>
            <wp:extent cx="76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w:t>
      </w:r>
    </w:p>
    <w:p>
      <w:pPr>
        <w:spacing w:after="0" w:line="198" w:lineRule="exact"/>
        <w:rPr>
          <w:sz w:val="20"/>
          <w:szCs w:val="20"/>
          <w:color w:val="auto"/>
        </w:rPr>
      </w:pPr>
    </w:p>
    <w:p>
      <w:pPr>
        <w:ind w:right="320" w:firstLine="539"/>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5940" w:type="dxa"/>
            <w:vAlign w:val="bottom"/>
            <w:gridSpan w:val="2"/>
          </w:tcPr>
          <w:p>
            <w:pPr>
              <w:ind w:left="120"/>
              <w:spacing w:after="0"/>
              <w:rPr>
                <w:sz w:val="20"/>
                <w:szCs w:val="20"/>
                <w:color w:val="auto"/>
              </w:rPr>
            </w:pPr>
            <w:r>
              <w:rPr>
                <w:rFonts w:ascii="Arial" w:cs="Arial" w:eastAsia="Arial" w:hAnsi="Arial"/>
                <w:sz w:val="16"/>
                <w:szCs w:val="16"/>
                <w:color w:val="auto"/>
              </w:rPr>
              <w:t>MANPOWERGROUP INC.</w:t>
            </w:r>
          </w:p>
        </w:tc>
      </w:tr>
      <w:tr>
        <w:trPr>
          <w:trHeight w:val="378"/>
        </w:trPr>
        <w:tc>
          <w:tcPr>
            <w:tcW w:w="5320" w:type="dxa"/>
            <w:vAlign w:val="bottom"/>
            <w:gridSpan w:val="2"/>
          </w:tcPr>
          <w:p>
            <w:pPr>
              <w:spacing w:after="0"/>
              <w:rPr>
                <w:sz w:val="20"/>
                <w:szCs w:val="20"/>
                <w:color w:val="auto"/>
              </w:rPr>
            </w:pPr>
            <w:r>
              <w:rPr>
                <w:rFonts w:ascii="Arial" w:cs="Arial" w:eastAsia="Arial" w:hAnsi="Arial"/>
                <w:sz w:val="16"/>
                <w:szCs w:val="16"/>
                <w:color w:val="auto"/>
                <w:w w:val="90"/>
              </w:rPr>
              <w:t>Dated:July 20, 2020</w:t>
            </w:r>
          </w:p>
        </w:tc>
        <w:tc>
          <w:tcPr>
            <w:tcW w:w="820" w:type="dxa"/>
            <w:vAlign w:val="bottom"/>
          </w:tcPr>
          <w:p>
            <w:pPr>
              <w:ind w:left="120"/>
              <w:spacing w:after="0"/>
              <w:rPr>
                <w:sz w:val="20"/>
                <w:szCs w:val="20"/>
                <w:color w:val="auto"/>
              </w:rPr>
            </w:pPr>
            <w:r>
              <w:rPr>
                <w:rFonts w:ascii="Arial" w:cs="Arial" w:eastAsia="Arial" w:hAnsi="Arial"/>
                <w:sz w:val="16"/>
                <w:szCs w:val="16"/>
                <w:color w:val="auto"/>
              </w:rPr>
              <w:t>By:</w:t>
            </w:r>
          </w:p>
        </w:tc>
        <w:tc>
          <w:tcPr>
            <w:tcW w:w="5120" w:type="dxa"/>
            <w:vAlign w:val="bottom"/>
          </w:tcPr>
          <w:p>
            <w:pPr>
              <w:ind w:left="60"/>
              <w:spacing w:after="0"/>
              <w:rPr>
                <w:sz w:val="20"/>
                <w:szCs w:val="20"/>
                <w:color w:val="auto"/>
              </w:rPr>
            </w:pPr>
            <w:r>
              <w:rPr>
                <w:rFonts w:ascii="Arial" w:cs="Arial" w:eastAsia="Arial" w:hAnsi="Arial"/>
                <w:sz w:val="16"/>
                <w:szCs w:val="16"/>
                <w:color w:val="auto"/>
              </w:rPr>
              <w:t>/s/ John T. McGinnis</w:t>
            </w:r>
          </w:p>
        </w:tc>
      </w:tr>
      <w:tr>
        <w:trPr>
          <w:trHeight w:val="170"/>
        </w:trPr>
        <w:tc>
          <w:tcPr>
            <w:tcW w:w="720" w:type="dxa"/>
            <w:vAlign w:val="bottom"/>
          </w:tcPr>
          <w:p>
            <w:pPr>
              <w:spacing w:after="0"/>
              <w:rPr>
                <w:sz w:val="14"/>
                <w:szCs w:val="14"/>
                <w:color w:val="auto"/>
              </w:rPr>
            </w:pPr>
          </w:p>
        </w:tc>
        <w:tc>
          <w:tcPr>
            <w:tcW w:w="4600" w:type="dxa"/>
            <w:vAlign w:val="bottom"/>
            <w:tcBorders>
              <w:top w:val="single" w:sz="8" w:color="auto"/>
            </w:tcBorders>
          </w:tcPr>
          <w:p>
            <w:pPr>
              <w:spacing w:after="0"/>
              <w:rPr>
                <w:sz w:val="14"/>
                <w:szCs w:val="14"/>
                <w:color w:val="auto"/>
              </w:rPr>
            </w:pPr>
          </w:p>
        </w:tc>
        <w:tc>
          <w:tcPr>
            <w:tcW w:w="820" w:type="dxa"/>
            <w:vAlign w:val="bottom"/>
          </w:tcPr>
          <w:p>
            <w:pPr>
              <w:ind w:left="120"/>
              <w:spacing w:after="0" w:line="170" w:lineRule="exact"/>
              <w:rPr>
                <w:sz w:val="20"/>
                <w:szCs w:val="20"/>
                <w:color w:val="auto"/>
              </w:rPr>
            </w:pPr>
            <w:r>
              <w:rPr>
                <w:rFonts w:ascii="Arial" w:cs="Arial" w:eastAsia="Arial" w:hAnsi="Arial"/>
                <w:sz w:val="16"/>
                <w:szCs w:val="16"/>
                <w:color w:val="auto"/>
              </w:rPr>
              <w:t>Name:</w:t>
            </w:r>
          </w:p>
        </w:tc>
        <w:tc>
          <w:tcPr>
            <w:tcW w:w="5120" w:type="dxa"/>
            <w:vAlign w:val="bottom"/>
            <w:tcBorders>
              <w:top w:val="single" w:sz="8" w:color="auto"/>
            </w:tcBorders>
          </w:tcPr>
          <w:p>
            <w:pPr>
              <w:ind w:left="60"/>
              <w:spacing w:after="0" w:line="170" w:lineRule="exact"/>
              <w:rPr>
                <w:sz w:val="20"/>
                <w:szCs w:val="20"/>
                <w:color w:val="auto"/>
              </w:rPr>
            </w:pPr>
            <w:r>
              <w:rPr>
                <w:rFonts w:ascii="Arial" w:cs="Arial" w:eastAsia="Arial" w:hAnsi="Arial"/>
                <w:sz w:val="16"/>
                <w:szCs w:val="16"/>
                <w:color w:val="auto"/>
              </w:rPr>
              <w:t>John T. McGinnis</w:t>
            </w:r>
          </w:p>
        </w:tc>
      </w:tr>
      <w:tr>
        <w:trPr>
          <w:trHeight w:val="189"/>
        </w:trPr>
        <w:tc>
          <w:tcPr>
            <w:tcW w:w="7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820" w:type="dxa"/>
            <w:vAlign w:val="bottom"/>
          </w:tcPr>
          <w:p>
            <w:pPr>
              <w:ind w:left="120"/>
              <w:spacing w:after="0"/>
              <w:rPr>
                <w:sz w:val="20"/>
                <w:szCs w:val="20"/>
                <w:color w:val="auto"/>
              </w:rPr>
            </w:pPr>
            <w:r>
              <w:rPr>
                <w:rFonts w:ascii="Arial" w:cs="Arial" w:eastAsia="Arial" w:hAnsi="Arial"/>
                <w:sz w:val="16"/>
                <w:szCs w:val="16"/>
                <w:color w:val="auto"/>
              </w:rPr>
              <w:t>Title:</w:t>
            </w:r>
          </w:p>
        </w:tc>
        <w:tc>
          <w:tcPr>
            <w:tcW w:w="5120" w:type="dxa"/>
            <w:vAlign w:val="bottom"/>
          </w:tcPr>
          <w:p>
            <w:pPr>
              <w:ind w:left="60"/>
              <w:spacing w:after="0"/>
              <w:rPr>
                <w:sz w:val="20"/>
                <w:szCs w:val="20"/>
                <w:color w:val="auto"/>
              </w:rPr>
            </w:pPr>
            <w:r>
              <w:rPr>
                <w:rFonts w:ascii="Arial" w:cs="Arial" w:eastAsia="Arial" w:hAnsi="Arial"/>
                <w:sz w:val="16"/>
                <w:szCs w:val="16"/>
                <w:color w:val="auto"/>
              </w:rPr>
              <w:t>Executive Vice President and</w:t>
            </w:r>
          </w:p>
        </w:tc>
      </w:tr>
      <w:tr>
        <w:trPr>
          <w:trHeight w:val="200"/>
        </w:trPr>
        <w:tc>
          <w:tcPr>
            <w:tcW w:w="7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120" w:type="dxa"/>
            <w:vAlign w:val="bottom"/>
          </w:tcPr>
          <w:p>
            <w:pPr>
              <w:ind w:left="6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60"/>
          </w:cols>
          <w:pgMar w:left="320" w:top="312" w:right="319" w:bottom="1440" w:gutter="0" w:footer="0" w:header="0"/>
        </w:sectPr>
      </w:pPr>
    </w:p>
    <w:bookmarkStart w:id="3" w:name="page4"/>
    <w:bookmarkEnd w:id="3"/>
    <w:p>
      <w:pPr>
        <w:ind w:left="10440"/>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163830</wp:posOffset>
            </wp:positionV>
            <wp:extent cx="1336675" cy="713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6675" cy="713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674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4"/>
          <w:szCs w:val="14"/>
          <w:b w:val="1"/>
          <w:bCs w:val="1"/>
          <w:color w:val="auto"/>
        </w:rPr>
        <w:t>Contact:</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Jack McGinnis</w:t>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+1.414.906.7977</w:t>
      </w:r>
    </w:p>
    <w:p>
      <w:pPr>
        <w:spacing w:after="0" w:line="5" w:lineRule="exact"/>
        <w:rPr>
          <w:sz w:val="20"/>
          <w:szCs w:val="20"/>
          <w:color w:val="auto"/>
        </w:rPr>
      </w:pPr>
    </w:p>
    <w:p>
      <w:pPr>
        <w:ind w:left="6760"/>
        <w:spacing w:after="0"/>
        <w:rPr>
          <w:sz w:val="20"/>
          <w:szCs w:val="20"/>
          <w:color w:val="auto"/>
        </w:rPr>
      </w:pPr>
      <w:r>
        <w:rPr>
          <w:rFonts w:ascii="Arial" w:cs="Arial" w:eastAsia="Arial" w:hAnsi="Arial"/>
          <w:sz w:val="16"/>
          <w:szCs w:val="16"/>
          <w:u w:val="single" w:color="auto"/>
          <w:color w:val="0000FF"/>
        </w:rPr>
        <w:t>jack.mcginnis@manpowergroup.com</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ManpowerGroup Reports 2</w:t>
      </w:r>
      <w:r>
        <w:rPr>
          <w:rFonts w:ascii="Arial" w:cs="Arial" w:eastAsia="Arial" w:hAnsi="Arial"/>
          <w:sz w:val="16"/>
          <w:szCs w:val="16"/>
          <w:b w:val="1"/>
          <w:bCs w:val="1"/>
          <w:color w:val="auto"/>
        </w:rPr>
        <w:t>nd</w:t>
      </w:r>
      <w:r>
        <w:rPr>
          <w:rFonts w:ascii="Arial" w:cs="Arial" w:eastAsia="Arial" w:hAnsi="Arial"/>
          <w:sz w:val="19"/>
          <w:szCs w:val="19"/>
          <w:b w:val="1"/>
          <w:bCs w:val="1"/>
          <w:color w:val="auto"/>
        </w:rPr>
        <w:t xml:space="preserve"> Quarter 2020 Results</w:t>
      </w:r>
    </w:p>
    <w:p>
      <w:pPr>
        <w:spacing w:after="0" w:line="222" w:lineRule="exact"/>
        <w:rPr>
          <w:sz w:val="20"/>
          <w:szCs w:val="20"/>
          <w:color w:val="auto"/>
        </w:rPr>
      </w:pPr>
    </w:p>
    <w:p>
      <w:pPr>
        <w:ind w:left="580" w:hanging="396"/>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Second quarter results materially impacted by COVID-19 crisis</w:t>
      </w:r>
    </w:p>
    <w:p>
      <w:pPr>
        <w:spacing w:after="0" w:line="5" w:lineRule="exact"/>
        <w:rPr>
          <w:rFonts w:ascii="Arial" w:cs="Arial" w:eastAsia="Arial" w:hAnsi="Arial"/>
          <w:sz w:val="17"/>
          <w:szCs w:val="17"/>
          <w:color w:val="auto"/>
        </w:rPr>
      </w:pPr>
    </w:p>
    <w:p>
      <w:pPr>
        <w:ind w:left="580" w:hanging="396"/>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Progressive monthly improvement in revenue trends during the second quarter</w:t>
      </w:r>
    </w:p>
    <w:p>
      <w:pPr>
        <w:spacing w:after="0" w:line="5" w:lineRule="exact"/>
        <w:rPr>
          <w:rFonts w:ascii="Arial" w:cs="Arial" w:eastAsia="Arial" w:hAnsi="Arial"/>
          <w:sz w:val="17"/>
          <w:szCs w:val="17"/>
          <w:color w:val="auto"/>
        </w:rPr>
      </w:pPr>
    </w:p>
    <w:p>
      <w:pPr>
        <w:ind w:left="580" w:right="20" w:hanging="396"/>
        <w:spacing w:after="0" w:line="232" w:lineRule="auto"/>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positioning during this downturn aided by our diversity of businesses, with Experis and Talent Solutions experiencing lower declines than Manpower brand</w:t>
      </w:r>
    </w:p>
    <w:p>
      <w:pPr>
        <w:ind w:left="580" w:hanging="396"/>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Ended the quarter with $1.4 billion of cash and cash equivalents and $600 million of untapped revolving credit facility</w:t>
      </w:r>
    </w:p>
    <w:p>
      <w:pPr>
        <w:spacing w:after="0" w:line="5" w:lineRule="exact"/>
        <w:rPr>
          <w:rFonts w:ascii="Arial" w:cs="Arial" w:eastAsia="Arial" w:hAnsi="Arial"/>
          <w:sz w:val="17"/>
          <w:szCs w:val="17"/>
          <w:color w:val="auto"/>
        </w:rPr>
      </w:pPr>
    </w:p>
    <w:p>
      <w:pPr>
        <w:ind w:left="580" w:hanging="396"/>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Net losses for the second quarter of $64 million include non-cash goodwill and other impairment charges of $73 million</w:t>
      </w:r>
    </w:p>
    <w:p>
      <w:pPr>
        <w:spacing w:after="0" w:line="5" w:lineRule="exact"/>
        <w:rPr>
          <w:rFonts w:ascii="Arial" w:cs="Arial" w:eastAsia="Arial" w:hAnsi="Arial"/>
          <w:sz w:val="17"/>
          <w:szCs w:val="17"/>
          <w:color w:val="auto"/>
        </w:rPr>
      </w:pPr>
    </w:p>
    <w:p>
      <w:pPr>
        <w:ind w:left="580" w:right="20" w:hanging="396"/>
        <w:spacing w:after="0" w:line="232" w:lineRule="auto"/>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Strong cost management in light of significant decreases in gross profit – SG&amp;A costs reduced 16% in constant currency year over year excluding impairments</w:t>
      </w:r>
    </w:p>
    <w:p>
      <w:pPr>
        <w:ind w:left="580" w:hanging="396"/>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Stable dividend declared and paid during the second quarter</w:t>
      </w:r>
    </w:p>
    <w:p>
      <w:pPr>
        <w:spacing w:after="0" w:line="5" w:lineRule="exact"/>
        <w:rPr>
          <w:rFonts w:ascii="Arial" w:cs="Arial" w:eastAsia="Arial" w:hAnsi="Arial"/>
          <w:sz w:val="17"/>
          <w:szCs w:val="17"/>
          <w:color w:val="auto"/>
        </w:rPr>
      </w:pPr>
    </w:p>
    <w:p>
      <w:pPr>
        <w:ind w:left="580" w:hanging="396"/>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Significant increase in free cash flow and continued improvement in Days Sales Outstanding during the quarter</w:t>
      </w:r>
    </w:p>
    <w:p>
      <w:pPr>
        <w:spacing w:after="0" w:line="374" w:lineRule="exact"/>
        <w:rPr>
          <w:sz w:val="20"/>
          <w:szCs w:val="20"/>
          <w:color w:val="auto"/>
        </w:rPr>
      </w:pPr>
    </w:p>
    <w:p>
      <w:pPr>
        <w:jc w:val="both"/>
        <w:spacing w:after="0" w:line="241" w:lineRule="auto"/>
        <w:rPr>
          <w:sz w:val="20"/>
          <w:szCs w:val="20"/>
          <w:color w:val="auto"/>
        </w:rPr>
      </w:pPr>
      <w:r>
        <w:rPr>
          <w:rFonts w:ascii="Arial" w:cs="Arial" w:eastAsia="Arial" w:hAnsi="Arial"/>
          <w:sz w:val="17"/>
          <w:szCs w:val="17"/>
          <w:b w:val="1"/>
          <w:bCs w:val="1"/>
          <w:color w:val="auto"/>
        </w:rPr>
        <w:t xml:space="preserve">MILWAUKEE, July 20, 2020 -- </w:t>
      </w:r>
      <w:r>
        <w:rPr>
          <w:rFonts w:ascii="Arial" w:cs="Arial" w:eastAsia="Arial" w:hAnsi="Arial"/>
          <w:sz w:val="17"/>
          <w:szCs w:val="17"/>
          <w:color w:val="auto"/>
        </w:rPr>
        <w:t>ManpowerGroup (NYSE: MAN) today reported net losses of $1.10 per diluted share for the three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June 30, 2020 compared to net earnings of $2.11 per diluted share in the prior year period. Net losses in the quarter were $64.4 million compared to net earnings of $127.3 million a year earlier. Revenues for the second quarter were $3.7 billion, a 30% decline from the prior year period.</w:t>
      </w:r>
    </w:p>
    <w:p>
      <w:pPr>
        <w:spacing w:after="0" w:line="1" w:lineRule="exact"/>
        <w:rPr>
          <w:sz w:val="20"/>
          <w:szCs w:val="20"/>
          <w:color w:val="auto"/>
        </w:rPr>
      </w:pPr>
    </w:p>
    <w:p>
      <w:pPr>
        <w:jc w:val="both"/>
        <w:ind w:right="20" w:firstLine="665"/>
        <w:spacing w:after="0" w:line="232" w:lineRule="auto"/>
        <w:rPr>
          <w:sz w:val="20"/>
          <w:szCs w:val="20"/>
          <w:color w:val="auto"/>
        </w:rPr>
      </w:pPr>
      <w:r>
        <w:rPr>
          <w:rFonts w:ascii="Arial" w:cs="Arial" w:eastAsia="Arial" w:hAnsi="Arial"/>
          <w:sz w:val="17"/>
          <w:szCs w:val="17"/>
          <w:color w:val="auto"/>
        </w:rPr>
        <w:t>The current year quarter included special items consisting of goodwill and other impairment, and discrete tax items, which reduced earnings per share by $1.28. Excluding these items, adjusted earnings per diluted share was $0.18 for the period.</w:t>
      </w:r>
    </w:p>
    <w:p>
      <w:pPr>
        <w:spacing w:after="0" w:line="1" w:lineRule="exact"/>
        <w:rPr>
          <w:sz w:val="20"/>
          <w:szCs w:val="20"/>
          <w:color w:val="auto"/>
        </w:rPr>
      </w:pPr>
    </w:p>
    <w:p>
      <w:pPr>
        <w:jc w:val="both"/>
        <w:ind w:firstLine="779"/>
        <w:spacing w:after="0" w:line="232" w:lineRule="auto"/>
        <w:rPr>
          <w:sz w:val="20"/>
          <w:szCs w:val="20"/>
          <w:color w:val="auto"/>
        </w:rPr>
      </w:pPr>
      <w:r>
        <w:rPr>
          <w:rFonts w:ascii="Arial" w:cs="Arial" w:eastAsia="Arial" w:hAnsi="Arial"/>
          <w:sz w:val="17"/>
          <w:szCs w:val="17"/>
          <w:color w:val="auto"/>
        </w:rPr>
        <w:t>Financial results in the quarter were also impacted by the stronger U.S. dollar relative to foreign currencies compared to the prior year period. Earnings per share in the quarter were negatively impacted 2 cents by changes in foreign currencies compared to the prior year. On a constant currency basis, revenues decreased 28%. Excluding the impact of the special items, on a constant currency basis, net earnings per diluted share decreased 91%.</w:t>
      </w:r>
    </w:p>
    <w:p>
      <w:pPr>
        <w:spacing w:after="0" w:line="1" w:lineRule="exact"/>
        <w:rPr>
          <w:sz w:val="20"/>
          <w:szCs w:val="20"/>
          <w:color w:val="auto"/>
        </w:rPr>
      </w:pPr>
    </w:p>
    <w:p>
      <w:pPr>
        <w:jc w:val="both"/>
        <w:ind w:right="20" w:firstLine="779"/>
        <w:spacing w:after="0" w:line="248" w:lineRule="auto"/>
        <w:rPr>
          <w:sz w:val="20"/>
          <w:szCs w:val="20"/>
          <w:color w:val="auto"/>
        </w:rPr>
      </w:pPr>
      <w:r>
        <w:rPr>
          <w:rFonts w:ascii="Arial" w:cs="Arial" w:eastAsia="Arial" w:hAnsi="Arial"/>
          <w:sz w:val="17"/>
          <w:szCs w:val="17"/>
          <w:color w:val="auto"/>
        </w:rPr>
        <w:t>Cash and cash equivalents at the end of the quarter equaled $1.4 billion, representing a $300 million increase from the preceding quarter, reflecting our committed focus on collections and working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286385</wp:posOffset>
            </wp:positionV>
            <wp:extent cx="716407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4" w:name="page5"/>
    <w:bookmarkEnd w:id="4"/>
    <w:p>
      <w:pPr>
        <w:jc w:val="both"/>
        <w:ind w:right="20"/>
        <w:spacing w:after="0" w:line="232" w:lineRule="auto"/>
        <w:rPr>
          <w:sz w:val="20"/>
          <w:szCs w:val="20"/>
          <w:color w:val="auto"/>
        </w:rPr>
      </w:pPr>
      <w:r>
        <w:rPr>
          <w:rFonts w:ascii="Arial" w:cs="Arial" w:eastAsia="Arial" w:hAnsi="Arial"/>
          <w:sz w:val="17"/>
          <w:szCs w:val="17"/>
          <w:color w:val="auto"/>
        </w:rPr>
        <w:t>capital management. With this ongoing focus, our Days Sales Outstanding improved year over year. A $600 million revolving credit facility, which expires in 2023, remained unused during the quarter and, combined with our existing cash position, provides significant liquidity. Free cash flow was very strong at $577 million in the six months year to date, representing an increase of $428 million from the year ago period excluding CICE receivable sales in 2019.</w:t>
      </w:r>
    </w:p>
    <w:p>
      <w:pPr>
        <w:spacing w:after="0" w:line="1" w:lineRule="exact"/>
        <w:rPr>
          <w:sz w:val="20"/>
          <w:szCs w:val="20"/>
          <w:color w:val="auto"/>
        </w:rPr>
      </w:pPr>
    </w:p>
    <w:p>
      <w:pPr>
        <w:jc w:val="both"/>
        <w:ind w:firstLine="791"/>
        <w:spacing w:after="0"/>
        <w:rPr>
          <w:sz w:val="20"/>
          <w:szCs w:val="20"/>
          <w:color w:val="auto"/>
        </w:rPr>
      </w:pPr>
      <w:r>
        <w:rPr>
          <w:rFonts w:ascii="Arial" w:cs="Arial" w:eastAsia="Arial" w:hAnsi="Arial"/>
          <w:sz w:val="17"/>
          <w:szCs w:val="17"/>
          <w:color w:val="auto"/>
        </w:rPr>
        <w:t>Jonas Prising, ManpowerGroup Chairman &amp; CEO, said, “The world continues to be impacted by COVID-19 which started as a health crisis and evolved to become a global economic and social crisis. While certain regions continue to deal with the pandemic at elevated levels, elsewhere lockdowns are easing, economies are slowly re-opening and people are returning to work. I am thankful and proud of our talented colleagues for providing the highest levels of support to our clients and candidates during this extremely challenging period. In this environment, we will continue to focus on operational excellence, including managing costs prudently to offset gross profit declines while continuing to invest in our transformation. This is how we will continue to progress our key strategic initiatives and position us for further success when we emerge from these crises.”</w:t>
      </w:r>
    </w:p>
    <w:p>
      <w:pPr>
        <w:spacing w:after="0" w:line="152" w:lineRule="exact"/>
        <w:rPr>
          <w:sz w:val="20"/>
          <w:szCs w:val="20"/>
          <w:color w:val="auto"/>
        </w:rPr>
      </w:pPr>
    </w:p>
    <w:p>
      <w:pPr>
        <w:jc w:val="both"/>
        <w:ind w:right="20" w:firstLine="791"/>
        <w:spacing w:after="0" w:line="232" w:lineRule="auto"/>
        <w:rPr>
          <w:sz w:val="20"/>
          <w:szCs w:val="20"/>
          <w:color w:val="auto"/>
        </w:rPr>
      </w:pPr>
      <w:r>
        <w:rPr>
          <w:rFonts w:ascii="Arial" w:cs="Arial" w:eastAsia="Arial" w:hAnsi="Arial"/>
          <w:sz w:val="17"/>
          <w:szCs w:val="17"/>
          <w:color w:val="auto"/>
        </w:rPr>
        <w:t>“We anticipate diluted earnings per share in the third quarter will be between $0.59 and $0.67, which includes an estimated unfavorable currency impact of 1 cent and an elevated effective tax rate due to the French Business Tax which will have an unfavorable impact of 7 cents. Our third quarter guidance reflects our assumptions as of today and does not anticipate any major rollbacks of economic reopening activities in any of our largest markets.”</w:t>
      </w:r>
    </w:p>
    <w:p>
      <w:pPr>
        <w:spacing w:after="0" w:line="1" w:lineRule="exact"/>
        <w:rPr>
          <w:sz w:val="20"/>
          <w:szCs w:val="20"/>
          <w:color w:val="auto"/>
        </w:rPr>
      </w:pPr>
    </w:p>
    <w:p>
      <w:pPr>
        <w:jc w:val="both"/>
        <w:ind w:firstLine="791"/>
        <w:spacing w:after="0" w:line="232" w:lineRule="auto"/>
        <w:rPr>
          <w:sz w:val="20"/>
          <w:szCs w:val="20"/>
          <w:color w:val="auto"/>
        </w:rPr>
      </w:pPr>
      <w:r>
        <w:rPr>
          <w:rFonts w:ascii="Arial" w:cs="Arial" w:eastAsia="Arial" w:hAnsi="Arial"/>
          <w:sz w:val="17"/>
          <w:szCs w:val="17"/>
          <w:color w:val="auto"/>
        </w:rPr>
        <w:t>Net losses for the six months ended June 30, 2020 were $62.7 million, or net loss of $1.07 per diluted share compared to net earnings of $180.8 million, or net earnings of $2.98 per diluted share in the prior year. The year to date period included special items and restructuring costs which reduced earnings per share by $2.07. The prior year-to-date period included special items and restructuring costs which reduced earnings per share by 46 cents. Revenues for the six-month period were $ 8.4 billion, a decrease of 20% from the prior year or a decrease of 17% in constant currency. Earnings per share for the six-month period were negatively impacted 2 cents by changes in foreign currencies compared to the prior year, or 5 cents excluding the special items and restructuring costs.</w:t>
      </w:r>
    </w:p>
    <w:p>
      <w:pPr>
        <w:spacing w:after="0" w:line="2" w:lineRule="exact"/>
        <w:rPr>
          <w:sz w:val="20"/>
          <w:szCs w:val="20"/>
          <w:color w:val="auto"/>
        </w:rPr>
      </w:pPr>
    </w:p>
    <w:p>
      <w:pPr>
        <w:jc w:val="both"/>
        <w:ind w:firstLine="778"/>
        <w:spacing w:after="0"/>
        <w:rPr>
          <w:sz w:val="20"/>
          <w:szCs w:val="20"/>
          <w:color w:val="auto"/>
        </w:rPr>
      </w:pPr>
      <w:r>
        <w:rPr>
          <w:rFonts w:ascii="Arial" w:cs="Arial" w:eastAsia="Arial" w:hAnsi="Arial"/>
          <w:sz w:val="17"/>
          <w:szCs w:val="17"/>
          <w:color w:val="auto"/>
        </w:rPr>
        <w:t xml:space="preserve">In conjunction with its second quarter earnings release, ManpowerGroup will broadcast its conference call live over the Internet on July 20, 2020 at 7:30 a.m. CDT (8:30 a.m. EDT). Interested parties are invited to listen to the webcast and view the presentation by logging on to </w:t>
      </w:r>
      <w:r>
        <w:rPr>
          <w:rFonts w:ascii="Arial" w:cs="Arial" w:eastAsia="Arial" w:hAnsi="Arial"/>
          <w:sz w:val="17"/>
          <w:szCs w:val="17"/>
          <w:u w:val="single" w:color="auto"/>
          <w:color w:val="0000FF"/>
        </w:rPr>
        <w:t>http://investor.manpowergroup.com/</w:t>
      </w:r>
      <w:r>
        <w:rPr>
          <w:rFonts w:ascii="Arial" w:cs="Arial" w:eastAsia="Arial" w:hAnsi="Arial"/>
          <w:sz w:val="17"/>
          <w:szCs w:val="17"/>
          <w:color w:val="0000FF"/>
        </w:rPr>
        <w:t xml:space="preserve"> </w:t>
      </w:r>
      <w:r>
        <w:rPr>
          <w:rFonts w:ascii="Arial" w:cs="Arial" w:eastAsia="Arial" w:hAnsi="Arial"/>
          <w:sz w:val="17"/>
          <w:szCs w:val="17"/>
          <w:color w:val="000000"/>
        </w:rPr>
        <w:t>in the section titled “Investor Relations.”</w:t>
      </w:r>
    </w:p>
    <w:p>
      <w:pPr>
        <w:spacing w:after="0" w:line="88" w:lineRule="exact"/>
        <w:rPr>
          <w:sz w:val="20"/>
          <w:szCs w:val="20"/>
          <w:color w:val="auto"/>
        </w:rPr>
      </w:pPr>
    </w:p>
    <w:p>
      <w:pPr>
        <w:ind w:left="780"/>
        <w:spacing w:after="0"/>
        <w:rPr>
          <w:sz w:val="20"/>
          <w:szCs w:val="20"/>
          <w:color w:val="auto"/>
        </w:rPr>
      </w:pPr>
      <w:r>
        <w:rPr>
          <w:rFonts w:ascii="Arial" w:cs="Arial" w:eastAsia="Arial" w:hAnsi="Arial"/>
          <w:sz w:val="17"/>
          <w:szCs w:val="17"/>
          <w:color w:val="auto"/>
        </w:rPr>
        <w:t xml:space="preserve">Supplemental financial information referenced in the conference call can be found at </w:t>
      </w:r>
      <w:r>
        <w:rPr>
          <w:rFonts w:ascii="Arial" w:cs="Arial" w:eastAsia="Arial" w:hAnsi="Arial"/>
          <w:sz w:val="17"/>
          <w:szCs w:val="17"/>
          <w:u w:val="single" w:color="auto"/>
          <w:color w:val="0000FF"/>
        </w:rPr>
        <w:t>http://investor.manpowergroup.com/</w:t>
      </w:r>
      <w:r>
        <w:rPr>
          <w:rFonts w:ascii="Arial" w:cs="Arial" w:eastAsia="Arial" w:hAnsi="Arial"/>
          <w:sz w:val="17"/>
          <w:szCs w:val="17"/>
          <w:color w:val="auto"/>
        </w:rPr>
        <w:t xml:space="preserve"> .</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p>
    <w:p>
      <w:pPr>
        <w:spacing w:after="0" w:line="226"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 xml:space="preserve">ManpowerGroup® (NYSE: </w:t>
      </w:r>
      <w:r>
        <w:rPr>
          <w:rFonts w:ascii="Arial" w:cs="Arial" w:eastAsia="Arial" w:hAnsi="Arial"/>
          <w:sz w:val="16"/>
          <w:szCs w:val="16"/>
          <w:u w:val="single" w:color="auto"/>
          <w:color w:val="auto"/>
        </w:rPr>
        <w:t>MAN</w:t>
      </w:r>
      <w:r>
        <w:rPr>
          <w:rFonts w:ascii="Arial" w:cs="Arial" w:eastAsia="Arial" w:hAnsi="Arial"/>
          <w:sz w:val="16"/>
          <w:szCs w:val="16"/>
          <w:color w:val="auto"/>
        </w:rPr>
        <w:t>),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294005</wp:posOffset>
            </wp:positionV>
            <wp:extent cx="716407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15240"/>
                    </a:xfrm>
                    <a:prstGeom prst="rect">
                      <a:avLst/>
                    </a:prstGeom>
                    <a:noFill/>
                  </pic:spPr>
                </pic:pic>
              </a:graphicData>
            </a:graphic>
          </wp:anchor>
        </w:drawing>
      </w:r>
    </w:p>
    <w:p>
      <w:pPr>
        <w:sectPr>
          <w:pgSz w:w="11900" w:h="16838" w:orient="portrait"/>
          <w:cols w:equalWidth="0" w:num="1">
            <w:col w:w="11260"/>
          </w:cols>
          <w:pgMar w:left="320" w:top="326" w:right="319" w:bottom="1440" w:gutter="0" w:footer="0" w:header="0"/>
        </w:sectPr>
      </w:pPr>
    </w:p>
    <w:bookmarkStart w:id="5" w:name="page6"/>
    <w:bookmarkEnd w:id="5"/>
    <w:p>
      <w:pPr>
        <w:jc w:val="both"/>
        <w:spacing w:after="0" w:line="234" w:lineRule="auto"/>
        <w:rPr>
          <w:sz w:val="20"/>
          <w:szCs w:val="20"/>
          <w:color w:val="auto"/>
        </w:rPr>
      </w:pPr>
      <w:r>
        <w:rPr>
          <w:rFonts w:ascii="Arial" w:cs="Arial" w:eastAsia="Arial" w:hAnsi="Arial"/>
          <w:sz w:val="16"/>
          <w:szCs w:val="16"/>
          <w:color w:val="auto"/>
        </w:rPr>
        <w:t>talent while finding meaningful, sustainable employment for millions of people across a wide range of industries and skills. Our expert family of brands – Manpower, Experis and Talent Solutions – creates substantially more value for candidates and clients across more than 75 countries and territories and has done so for over 70 years. We are recognized consistently for our diversity - as a best place to work for Women, Inclusion, Equality and Disability and in 2020 ManpowerGroup was named one of the World's Most Ethical Companies for the eleventh year - all confirming our position as the brand of choice for in-demand talent.</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96"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This news release contains statements, including statements regarding the anticipated financial and operational impacts of the COVID-19 pandemic and related economic conditions and the Company’s efforts to respond to such impacts, that are forward-looking in nature and, accordingly, are subject to risks and uncertainties regarding the Company’s expected future results. The Company’s actual results may differ materially from those described or contemplated in the forward-looking statements due to numerous factors. These factors include those found in the Company’s reports filed with the SEC, including the information under the heading “Risk Factors” in its Annual Report on Form 10-K for the year ended December 31, 2019, as well as the risks and uncertainties arising from the COVID-19 global pandemic and related governmental actions that are included under the heading “Risk Factors” in the Company’s Quarterly Report on Form 10-Q for the quarter ended March 31, 2020, which information is incorporated herein by reference.</w:t>
      </w:r>
    </w:p>
    <w:p>
      <w:pPr>
        <w:spacing w:after="0" w:line="29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484505</wp:posOffset>
            </wp:positionV>
            <wp:extent cx="716407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1524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6" w:name="page7"/>
    <w:bookmarkEnd w:id="6"/>
    <w:p>
      <w:pPr>
        <w:jc w:val="center"/>
        <w:ind w:right="-4"/>
        <w:spacing w:after="0"/>
        <w:rPr>
          <w:sz w:val="20"/>
          <w:szCs w:val="20"/>
          <w:color w:val="auto"/>
        </w:rPr>
      </w:pPr>
      <w:r>
        <w:rPr>
          <w:rFonts w:ascii="Arial" w:cs="Arial" w:eastAsia="Arial" w:hAnsi="Arial"/>
          <w:sz w:val="16"/>
          <w:szCs w:val="16"/>
          <w:color w:val="auto"/>
        </w:rPr>
        <w:t>ManpowerGroup</w:t>
      </w:r>
    </w:p>
    <w:p>
      <w:pPr>
        <w:spacing w:after="0" w:line="1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Results of Operations</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(In millions, except per share data)</w:t>
      </w:r>
    </w:p>
    <w:p>
      <w:pPr>
        <w:spacing w:after="0" w:line="25" w:lineRule="exact"/>
        <w:rPr>
          <w:sz w:val="20"/>
          <w:szCs w:val="20"/>
          <w:color w:val="auto"/>
        </w:rPr>
      </w:pPr>
    </w:p>
    <w:tbl>
      <w:tblPr>
        <w:tblLayout w:type="fixed"/>
        <w:tblInd w:w="5" w:type="dxa"/>
        <w:tblCellMar>
          <w:top w:w="0" w:type="dxa"/>
          <w:left w:w="0" w:type="dxa"/>
          <w:bottom w:w="0" w:type="dxa"/>
          <w:right w:w="0" w:type="dxa"/>
        </w:tblCellMar>
      </w:tblPr>
      <w:tr>
        <w:trPr>
          <w:trHeight w:val="205"/>
        </w:trPr>
        <w:tc>
          <w:tcPr>
            <w:tcW w:w="4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center"/>
              <w:ind w:right="661"/>
              <w:spacing w:after="0"/>
              <w:rPr>
                <w:sz w:val="20"/>
                <w:szCs w:val="20"/>
                <w:color w:val="auto"/>
              </w:rPr>
            </w:pPr>
            <w:r>
              <w:rPr>
                <w:rFonts w:ascii="Arial" w:cs="Arial" w:eastAsia="Arial" w:hAnsi="Arial"/>
                <w:sz w:val="16"/>
                <w:szCs w:val="16"/>
                <w:b w:val="1"/>
                <w:bCs w:val="1"/>
                <w:color w:val="auto"/>
                <w:w w:val="89"/>
              </w:rPr>
              <w:t>Three Months Ended June 30</w:t>
            </w:r>
          </w:p>
        </w:tc>
        <w:tc>
          <w:tcPr>
            <w:tcW w:w="9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Variance</w:t>
            </w:r>
          </w:p>
        </w:tc>
        <w:tc>
          <w:tcPr>
            <w:tcW w:w="9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821"/>
              <w:spacing w:after="0"/>
              <w:rPr>
                <w:sz w:val="20"/>
                <w:szCs w:val="20"/>
                <w:color w:val="auto"/>
              </w:rPr>
            </w:pPr>
            <w:r>
              <w:rPr>
                <w:rFonts w:ascii="Arial" w:cs="Arial" w:eastAsia="Arial" w:hAnsi="Arial"/>
                <w:sz w:val="16"/>
                <w:szCs w:val="16"/>
                <w:b w:val="1"/>
                <w:bCs w:val="1"/>
                <w:color w:val="auto"/>
                <w:w w:val="95"/>
              </w:rPr>
              <w:t>Amount</w:t>
            </w:r>
          </w:p>
        </w:tc>
        <w:tc>
          <w:tcPr>
            <w:tcW w:w="980" w:type="dxa"/>
            <w:vAlign w:val="bottom"/>
          </w:tcPr>
          <w:p>
            <w:pPr>
              <w:jc w:val="right"/>
              <w:ind w:right="241"/>
              <w:spacing w:after="0"/>
              <w:rPr>
                <w:sz w:val="20"/>
                <w:szCs w:val="20"/>
                <w:color w:val="auto"/>
              </w:rPr>
            </w:pPr>
            <w:r>
              <w:rPr>
                <w:rFonts w:ascii="Arial" w:cs="Arial" w:eastAsia="Arial" w:hAnsi="Arial"/>
                <w:sz w:val="16"/>
                <w:szCs w:val="16"/>
                <w:b w:val="1"/>
                <w:bCs w:val="1"/>
                <w:color w:val="auto"/>
                <w:w w:val="92"/>
              </w:rPr>
              <w:t>Constant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81"/>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381"/>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781"/>
              <w:spacing w:after="0"/>
              <w:rPr>
                <w:sz w:val="20"/>
                <w:szCs w:val="20"/>
                <w:color w:val="auto"/>
              </w:rPr>
            </w:pPr>
            <w:r>
              <w:rPr>
                <w:rFonts w:ascii="Arial" w:cs="Arial" w:eastAsia="Arial" w:hAnsi="Arial"/>
                <w:sz w:val="16"/>
                <w:szCs w:val="16"/>
                <w:b w:val="1"/>
                <w:bCs w:val="1"/>
                <w:color w:val="auto"/>
                <w:w w:val="88"/>
              </w:rPr>
              <w:t>Reported</w:t>
            </w:r>
          </w:p>
        </w:tc>
        <w:tc>
          <w:tcPr>
            <w:tcW w:w="11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3"/>
              </w:rPr>
              <w:t>Currency</w:t>
            </w:r>
          </w:p>
        </w:tc>
        <w:tc>
          <w:tcPr>
            <w:tcW w:w="0" w:type="dxa"/>
            <w:vAlign w:val="bottom"/>
          </w:tcPr>
          <w:p>
            <w:pPr>
              <w:spacing w:after="0"/>
              <w:rPr>
                <w:sz w:val="1"/>
                <w:szCs w:val="1"/>
                <w:color w:val="auto"/>
              </w:rPr>
            </w:pPr>
          </w:p>
        </w:tc>
      </w:tr>
      <w:tr>
        <w:trPr>
          <w:trHeight w:val="193"/>
        </w:trPr>
        <w:tc>
          <w:tcPr>
            <w:tcW w:w="4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3"/>
          </w:tcPr>
          <w:p>
            <w:pPr>
              <w:jc w:val="center"/>
              <w:ind w:left="701"/>
              <w:spacing w:after="0"/>
              <w:rPr>
                <w:sz w:val="20"/>
                <w:szCs w:val="20"/>
                <w:color w:val="auto"/>
              </w:rPr>
            </w:pPr>
            <w:r>
              <w:rPr>
                <w:rFonts w:ascii="Arial" w:cs="Arial" w:eastAsia="Arial" w:hAnsi="Arial"/>
                <w:sz w:val="16"/>
                <w:szCs w:val="16"/>
                <w:color w:val="auto"/>
                <w:w w:val="90"/>
              </w:rPr>
              <w:t>(Unaudited)</w:t>
            </w:r>
          </w:p>
        </w:tc>
        <w:tc>
          <w:tcPr>
            <w:tcW w:w="15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Revenues from services (a)</w:t>
            </w:r>
          </w:p>
        </w:tc>
        <w:tc>
          <w:tcPr>
            <w:tcW w:w="1360" w:type="dxa"/>
            <w:vAlign w:val="bottom"/>
            <w:gridSpan w:val="2"/>
            <w:shd w:val="clear" w:color="auto" w:fill="CFF0FC"/>
          </w:tcPr>
          <w:p>
            <w:pPr>
              <w:jc w:val="right"/>
              <w:ind w:right="107"/>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3,742.2</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5,373.1</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-30.4%</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01"/>
        </w:trPr>
        <w:tc>
          <w:tcPr>
            <w:tcW w:w="4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services</w:t>
            </w:r>
          </w:p>
        </w:tc>
        <w:tc>
          <w:tcPr>
            <w:tcW w:w="11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3,165.5</w:t>
            </w:r>
          </w:p>
        </w:tc>
        <w:tc>
          <w:tcPr>
            <w:tcW w:w="2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4,502.7</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Arial" w:cs="Arial" w:eastAsia="Arial" w:hAnsi="Arial"/>
                <w:sz w:val="16"/>
                <w:szCs w:val="16"/>
                <w:color w:val="auto"/>
              </w:rPr>
              <w:t>-29.7%</w:t>
            </w:r>
          </w:p>
        </w:tc>
        <w:tc>
          <w:tcPr>
            <w:tcW w:w="11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193"/>
        </w:trPr>
        <w:tc>
          <w:tcPr>
            <w:tcW w:w="42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Gross profit</w:t>
            </w:r>
          </w:p>
        </w:tc>
        <w:tc>
          <w:tcPr>
            <w:tcW w:w="1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576.7</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870.4</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-33.8%</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189"/>
        </w:trPr>
        <w:tc>
          <w:tcPr>
            <w:tcW w:w="4280" w:type="dxa"/>
            <w:vAlign w:val="bottom"/>
          </w:tcPr>
          <w:p>
            <w:pPr>
              <w:ind w:left="220"/>
              <w:spacing w:after="0"/>
              <w:rPr>
                <w:sz w:val="20"/>
                <w:szCs w:val="20"/>
                <w:color w:val="auto"/>
              </w:rPr>
            </w:pPr>
            <w:r>
              <w:rPr>
                <w:rFonts w:ascii="Arial" w:cs="Arial" w:eastAsia="Arial" w:hAnsi="Arial"/>
                <w:sz w:val="16"/>
                <w:szCs w:val="16"/>
                <w:color w:val="auto"/>
              </w:rPr>
              <w:t>Selling and administrative expenses, excluding</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80" w:type="dxa"/>
            <w:vAlign w:val="bottom"/>
          </w:tcPr>
          <w:p>
            <w:pPr>
              <w:ind w:left="220"/>
              <w:spacing w:after="0"/>
              <w:rPr>
                <w:sz w:val="20"/>
                <w:szCs w:val="20"/>
                <w:color w:val="auto"/>
              </w:rPr>
            </w:pPr>
            <w:r>
              <w:rPr>
                <w:rFonts w:ascii="Arial" w:cs="Arial" w:eastAsia="Arial" w:hAnsi="Arial"/>
                <w:sz w:val="16"/>
                <w:szCs w:val="16"/>
                <w:color w:val="auto"/>
              </w:rPr>
              <w:t>goodwill impairment charges</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559.9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675.6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341"/>
              <w:spacing w:after="0"/>
              <w:rPr>
                <w:sz w:val="20"/>
                <w:szCs w:val="20"/>
                <w:color w:val="auto"/>
              </w:rPr>
            </w:pPr>
            <w:r>
              <w:rPr>
                <w:rFonts w:ascii="Arial" w:cs="Arial" w:eastAsia="Arial" w:hAnsi="Arial"/>
                <w:sz w:val="16"/>
                <w:szCs w:val="16"/>
                <w:color w:val="auto"/>
              </w:rPr>
              <w:t>-17.1%</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02"/>
        </w:trPr>
        <w:tc>
          <w:tcPr>
            <w:tcW w:w="42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Goodwill impairment charges (b)</w:t>
            </w:r>
          </w:p>
        </w:tc>
        <w:tc>
          <w:tcPr>
            <w:tcW w:w="110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66.8</w:t>
            </w:r>
          </w:p>
        </w:tc>
        <w:tc>
          <w:tcPr>
            <w:tcW w:w="2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64.0</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4.2%</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3"/>
        </w:trPr>
        <w:tc>
          <w:tcPr>
            <w:tcW w:w="428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626.7</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739.6</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341"/>
              <w:spacing w:after="0"/>
              <w:rPr>
                <w:sz w:val="20"/>
                <w:szCs w:val="20"/>
                <w:color w:val="auto"/>
              </w:rPr>
            </w:pPr>
            <w:r>
              <w:rPr>
                <w:rFonts w:ascii="Arial" w:cs="Arial" w:eastAsia="Arial" w:hAnsi="Arial"/>
                <w:sz w:val="16"/>
                <w:szCs w:val="16"/>
                <w:color w:val="auto"/>
              </w:rPr>
              <w:t>-15.3%</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01"/>
        </w:trPr>
        <w:tc>
          <w:tcPr>
            <w:tcW w:w="42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Operating (loss) profit</w:t>
            </w: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(50.0)</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130.8</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481"/>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1"/>
        </w:trPr>
        <w:tc>
          <w:tcPr>
            <w:tcW w:w="4280" w:type="dxa"/>
            <w:vAlign w:val="bottom"/>
          </w:tcPr>
          <w:p>
            <w:pPr>
              <w:spacing w:after="0"/>
              <w:rPr>
                <w:sz w:val="20"/>
                <w:szCs w:val="20"/>
                <w:color w:val="auto"/>
              </w:rPr>
            </w:pPr>
            <w:r>
              <w:rPr>
                <w:rFonts w:ascii="Arial" w:cs="Arial" w:eastAsia="Arial" w:hAnsi="Arial"/>
                <w:sz w:val="16"/>
                <w:szCs w:val="16"/>
                <w:color w:val="auto"/>
              </w:rPr>
              <w:t>Interest and other expenses (income), net</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(70.2)</w:t>
            </w:r>
          </w:p>
        </w:tc>
        <w:tc>
          <w:tcPr>
            <w:tcW w:w="280" w:type="dxa"/>
            <w:vAlign w:val="bottom"/>
          </w:tcPr>
          <w:p>
            <w:pPr>
              <w:spacing w:after="0"/>
              <w:rPr>
                <w:sz w:val="17"/>
                <w:szCs w:val="17"/>
                <w:color w:val="auto"/>
              </w:rPr>
            </w:pPr>
          </w:p>
        </w:tc>
        <w:tc>
          <w:tcPr>
            <w:tcW w:w="1500" w:type="dxa"/>
            <w:vAlign w:val="bottom"/>
          </w:tcPr>
          <w:p>
            <w:pPr>
              <w:jc w:val="right"/>
              <w:ind w:right="481"/>
              <w:spacing w:after="0"/>
              <w:rPr>
                <w:sz w:val="20"/>
                <w:szCs w:val="20"/>
                <w:color w:val="auto"/>
              </w:rPr>
            </w:pPr>
            <w:r>
              <w:rPr>
                <w:rFonts w:ascii="Arial" w:cs="Arial" w:eastAsia="Arial" w:hAnsi="Arial"/>
                <w:sz w:val="16"/>
                <w:szCs w:val="16"/>
                <w:color w:val="auto"/>
              </w:rPr>
              <w:t>N/A</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28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(Loss) earnings before income taxes</w:t>
            </w:r>
          </w:p>
        </w:tc>
        <w:tc>
          <w:tcPr>
            <w:tcW w:w="110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(55.8)</w:t>
            </w:r>
          </w:p>
        </w:tc>
        <w:tc>
          <w:tcPr>
            <w:tcW w:w="26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201.0</w:t>
            </w:r>
          </w:p>
        </w:tc>
        <w:tc>
          <w:tcPr>
            <w:tcW w:w="26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1500" w:type="dxa"/>
            <w:vAlign w:val="bottom"/>
            <w:tcBorders>
              <w:top w:val="single" w:sz="8" w:color="CFF0FC"/>
            </w:tcBorders>
            <w:shd w:val="clear" w:color="auto" w:fill="CFF0FC"/>
          </w:tcPr>
          <w:p>
            <w:pPr>
              <w:jc w:val="right"/>
              <w:ind w:right="481"/>
              <w:spacing w:after="0"/>
              <w:rPr>
                <w:sz w:val="20"/>
                <w:szCs w:val="20"/>
                <w:color w:val="auto"/>
              </w:rPr>
            </w:pPr>
            <w:r>
              <w:rPr>
                <w:rFonts w:ascii="Arial" w:cs="Arial" w:eastAsia="Arial" w:hAnsi="Arial"/>
                <w:sz w:val="16"/>
                <w:szCs w:val="16"/>
                <w:color w:val="auto"/>
              </w:rPr>
              <w:t>N/A</w:t>
            </w:r>
          </w:p>
        </w:tc>
        <w:tc>
          <w:tcPr>
            <w:tcW w:w="1140" w:type="dxa"/>
            <w:vAlign w:val="bottom"/>
            <w:tcBorders>
              <w:top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1"/>
        </w:trPr>
        <w:tc>
          <w:tcPr>
            <w:tcW w:w="4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Provision for income taxes</w:t>
            </w:r>
          </w:p>
        </w:tc>
        <w:tc>
          <w:tcPr>
            <w:tcW w:w="11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2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Arial" w:cs="Arial" w:eastAsia="Arial" w:hAnsi="Arial"/>
                <w:sz w:val="16"/>
                <w:szCs w:val="16"/>
                <w:color w:val="auto"/>
              </w:rPr>
              <w:t>-88.4%</w:t>
            </w:r>
          </w:p>
        </w:tc>
        <w:tc>
          <w:tcPr>
            <w:tcW w:w="9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2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Net (loss) earnings</w:t>
            </w:r>
          </w:p>
        </w:tc>
        <w:tc>
          <w:tcPr>
            <w:tcW w:w="11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(64.4)</w:t>
            </w:r>
          </w:p>
        </w:tc>
        <w:tc>
          <w:tcPr>
            <w:tcW w:w="2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127.3</w:t>
            </w: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500" w:type="dxa"/>
            <w:vAlign w:val="bottom"/>
            <w:tcBorders>
              <w:bottom w:val="single" w:sz="8" w:color="CFF0FC"/>
            </w:tcBorders>
            <w:shd w:val="clear" w:color="auto" w:fill="CFF0FC"/>
          </w:tcPr>
          <w:p>
            <w:pPr>
              <w:jc w:val="right"/>
              <w:ind w:right="481"/>
              <w:spacing w:after="0"/>
              <w:rPr>
                <w:sz w:val="20"/>
                <w:szCs w:val="20"/>
                <w:color w:val="auto"/>
              </w:rPr>
            </w:pPr>
            <w:r>
              <w:rPr>
                <w:rFonts w:ascii="Arial" w:cs="Arial" w:eastAsia="Arial" w:hAnsi="Arial"/>
                <w:sz w:val="16"/>
                <w:szCs w:val="16"/>
                <w:color w:val="auto"/>
              </w:rPr>
              <w:t>N/A</w:t>
            </w:r>
          </w:p>
        </w:tc>
        <w:tc>
          <w:tcPr>
            <w:tcW w:w="11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6"/>
                <w:szCs w:val="16"/>
                <w:color w:val="auto"/>
              </w:rPr>
              <w:t>Net (loss) earnings per share - basic</w:t>
            </w:r>
          </w:p>
        </w:tc>
        <w:tc>
          <w:tcPr>
            <w:tcW w:w="13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vMerge w:val="restart"/>
          </w:tcPr>
          <w:p>
            <w:pPr>
              <w:jc w:val="right"/>
              <w:ind w:right="481"/>
              <w:spacing w:after="0"/>
              <w:rPr>
                <w:sz w:val="20"/>
                <w:szCs w:val="20"/>
                <w:color w:val="auto"/>
              </w:rPr>
            </w:pPr>
            <w:r>
              <w:rPr>
                <w:rFonts w:ascii="Arial" w:cs="Arial" w:eastAsia="Arial" w:hAnsi="Arial"/>
                <w:sz w:val="16"/>
                <w:szCs w:val="16"/>
                <w:color w:val="auto"/>
              </w:rPr>
              <w:t>N/A</w:t>
            </w: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80" w:type="dxa"/>
            <w:vAlign w:val="bottom"/>
            <w:tcBorders>
              <w:bottom w:val="single" w:sz="8" w:color="CFF0FC"/>
            </w:tcBorders>
            <w:vMerge w:val="continue"/>
          </w:tcPr>
          <w:p>
            <w:pPr>
              <w:spacing w:after="0"/>
              <w:rPr>
                <w:sz w:val="18"/>
                <w:szCs w:val="18"/>
                <w:color w:val="auto"/>
              </w:rPr>
            </w:pPr>
          </w:p>
        </w:tc>
        <w:tc>
          <w:tcPr>
            <w:tcW w:w="110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(1.11)</w:t>
            </w:r>
          </w:p>
        </w:tc>
        <w:tc>
          <w:tcPr>
            <w:tcW w:w="26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2.12</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500" w:type="dxa"/>
            <w:vAlign w:val="bottom"/>
            <w:tcBorders>
              <w:bottom w:val="single" w:sz="8" w:color="CFF0FC"/>
            </w:tcBorders>
            <w:vMerge w:val="continue"/>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280" w:type="dxa"/>
            <w:vAlign w:val="bottom"/>
            <w:tcBorders>
              <w:bottom w:val="single" w:sz="8" w:color="CFF0FC"/>
            </w:tcBorders>
            <w:shd w:val="clear" w:color="auto" w:fill="CFF0FC"/>
          </w:tcPr>
          <w:p>
            <w:pPr>
              <w:spacing w:after="0" w:line="175" w:lineRule="exact"/>
              <w:rPr>
                <w:sz w:val="20"/>
                <w:szCs w:val="20"/>
                <w:color w:val="auto"/>
              </w:rPr>
            </w:pPr>
            <w:r>
              <w:rPr>
                <w:rFonts w:ascii="Arial" w:cs="Arial" w:eastAsia="Arial" w:hAnsi="Arial"/>
                <w:sz w:val="16"/>
                <w:szCs w:val="16"/>
                <w:color w:val="auto"/>
              </w:rPr>
              <w:t>Net (loss) earnings per share - diluted</w:t>
            </w:r>
          </w:p>
        </w:tc>
        <w:tc>
          <w:tcPr>
            <w:tcW w:w="1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line="177" w:lineRule="exact"/>
              <w:rPr>
                <w:sz w:val="20"/>
                <w:szCs w:val="20"/>
                <w:color w:val="auto"/>
              </w:rPr>
            </w:pPr>
            <w:r>
              <w:rPr>
                <w:rFonts w:ascii="Arial" w:cs="Arial" w:eastAsia="Arial" w:hAnsi="Arial"/>
                <w:sz w:val="16"/>
                <w:szCs w:val="16"/>
                <w:color w:val="auto"/>
              </w:rPr>
              <w:t>(1.10)</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line="177" w:lineRule="exact"/>
              <w:rPr>
                <w:sz w:val="20"/>
                <w:szCs w:val="20"/>
                <w:color w:val="auto"/>
              </w:rPr>
            </w:pPr>
            <w:r>
              <w:rPr>
                <w:rFonts w:ascii="Arial" w:cs="Arial" w:eastAsia="Arial" w:hAnsi="Arial"/>
                <w:sz w:val="16"/>
                <w:szCs w:val="16"/>
                <w:color w:val="auto"/>
              </w:rPr>
              <w:t>2.11</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500" w:type="dxa"/>
            <w:vAlign w:val="bottom"/>
            <w:tcBorders>
              <w:bottom w:val="single" w:sz="8" w:color="CFF0FC"/>
            </w:tcBorders>
            <w:shd w:val="clear" w:color="auto" w:fill="CFF0FC"/>
          </w:tcPr>
          <w:p>
            <w:pPr>
              <w:jc w:val="right"/>
              <w:ind w:right="481"/>
              <w:spacing w:after="0" w:line="175" w:lineRule="exact"/>
              <w:rPr>
                <w:sz w:val="20"/>
                <w:szCs w:val="20"/>
                <w:color w:val="auto"/>
              </w:rPr>
            </w:pPr>
            <w:r>
              <w:rPr>
                <w:rFonts w:ascii="Arial" w:cs="Arial" w:eastAsia="Arial" w:hAnsi="Arial"/>
                <w:sz w:val="16"/>
                <w:szCs w:val="16"/>
                <w:color w:val="auto"/>
              </w:rPr>
              <w:t>N/A</w:t>
            </w:r>
          </w:p>
        </w:tc>
        <w:tc>
          <w:tcPr>
            <w:tcW w:w="1140" w:type="dxa"/>
            <w:vAlign w:val="bottom"/>
            <w:tcBorders>
              <w:bottom w:val="single" w:sz="8" w:color="CFF0FC"/>
            </w:tcBorders>
            <w:gridSpan w:val="2"/>
            <w:shd w:val="clear" w:color="auto" w:fill="CFF0FC"/>
          </w:tcPr>
          <w:p>
            <w:pPr>
              <w:jc w:val="right"/>
              <w:ind w:right="180"/>
              <w:spacing w:after="0" w:line="175"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6"/>
                <w:szCs w:val="16"/>
                <w:color w:val="auto"/>
              </w:rPr>
              <w:t>Weighted average shares - basic</w:t>
            </w: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vMerge w:val="restart"/>
          </w:tcPr>
          <w:p>
            <w:pPr>
              <w:jc w:val="right"/>
              <w:ind w:right="341"/>
              <w:spacing w:after="0"/>
              <w:rPr>
                <w:sz w:val="20"/>
                <w:szCs w:val="20"/>
                <w:color w:val="auto"/>
              </w:rPr>
            </w:pPr>
            <w:r>
              <w:rPr>
                <w:rFonts w:ascii="Arial" w:cs="Arial" w:eastAsia="Arial" w:hAnsi="Arial"/>
                <w:sz w:val="16"/>
                <w:szCs w:val="16"/>
                <w:color w:val="auto"/>
              </w:rPr>
              <w:t>-3.0%</w:t>
            </w: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80" w:type="dxa"/>
            <w:vAlign w:val="bottom"/>
            <w:tcBorders>
              <w:bottom w:val="single" w:sz="8" w:color="CFF0FC"/>
            </w:tcBorders>
            <w:vMerge w:val="continue"/>
          </w:tcPr>
          <w:p>
            <w:pPr>
              <w:spacing w:after="0"/>
              <w:rPr>
                <w:sz w:val="18"/>
                <w:szCs w:val="18"/>
                <w:color w:val="auto"/>
              </w:rPr>
            </w:pPr>
          </w:p>
        </w:tc>
        <w:tc>
          <w:tcPr>
            <w:tcW w:w="1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58.2</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60.0</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500" w:type="dxa"/>
            <w:vAlign w:val="bottom"/>
            <w:tcBorders>
              <w:bottom w:val="single" w:sz="8" w:color="CFF0FC"/>
            </w:tcBorders>
            <w:vMerge w:val="continue"/>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280" w:type="dxa"/>
            <w:vAlign w:val="bottom"/>
            <w:tcBorders>
              <w:bottom w:val="single" w:sz="8" w:color="CFF0FC"/>
            </w:tcBorders>
            <w:shd w:val="clear" w:color="auto" w:fill="CFF0FC"/>
          </w:tcPr>
          <w:p>
            <w:pPr>
              <w:spacing w:after="0" w:line="175" w:lineRule="exact"/>
              <w:rPr>
                <w:sz w:val="20"/>
                <w:szCs w:val="20"/>
                <w:color w:val="auto"/>
              </w:rPr>
            </w:pPr>
            <w:r>
              <w:rPr>
                <w:rFonts w:ascii="Arial" w:cs="Arial" w:eastAsia="Arial" w:hAnsi="Arial"/>
                <w:sz w:val="16"/>
                <w:szCs w:val="16"/>
                <w:color w:val="auto"/>
              </w:rPr>
              <w:t>Weighted average shares - diluted</w:t>
            </w:r>
          </w:p>
        </w:tc>
        <w:tc>
          <w:tcPr>
            <w:tcW w:w="1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line="177" w:lineRule="exact"/>
              <w:rPr>
                <w:sz w:val="20"/>
                <w:szCs w:val="20"/>
                <w:color w:val="auto"/>
              </w:rPr>
            </w:pPr>
            <w:r>
              <w:rPr>
                <w:rFonts w:ascii="Arial" w:cs="Arial" w:eastAsia="Arial" w:hAnsi="Arial"/>
                <w:sz w:val="16"/>
                <w:szCs w:val="16"/>
                <w:color w:val="auto"/>
              </w:rPr>
              <w:t>58.5</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77" w:lineRule="exact"/>
              <w:rPr>
                <w:sz w:val="20"/>
                <w:szCs w:val="20"/>
                <w:color w:val="auto"/>
              </w:rPr>
            </w:pPr>
            <w:r>
              <w:rPr>
                <w:rFonts w:ascii="Arial" w:cs="Arial" w:eastAsia="Arial" w:hAnsi="Arial"/>
                <w:sz w:val="16"/>
                <w:szCs w:val="16"/>
                <w:color w:val="auto"/>
              </w:rPr>
              <w:t>60.4</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500" w:type="dxa"/>
            <w:vAlign w:val="bottom"/>
            <w:tcBorders>
              <w:bottom w:val="single" w:sz="8" w:color="CFF0FC"/>
            </w:tcBorders>
            <w:shd w:val="clear" w:color="auto" w:fill="CFF0FC"/>
          </w:tcPr>
          <w:p>
            <w:pPr>
              <w:jc w:val="right"/>
              <w:ind w:right="341"/>
              <w:spacing w:after="0" w:line="175" w:lineRule="exact"/>
              <w:rPr>
                <w:sz w:val="20"/>
                <w:szCs w:val="20"/>
                <w:color w:val="auto"/>
              </w:rPr>
            </w:pPr>
            <w:r>
              <w:rPr>
                <w:rFonts w:ascii="Arial" w:cs="Arial" w:eastAsia="Arial" w:hAnsi="Arial"/>
                <w:sz w:val="16"/>
                <w:szCs w:val="16"/>
                <w:color w:val="auto"/>
              </w:rPr>
              <w:t>-3.1%</w:t>
            </w:r>
          </w:p>
        </w:tc>
        <w:tc>
          <w:tcPr>
            <w:tcW w:w="9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both"/>
        <w:ind w:left="525" w:hanging="525"/>
        <w:spacing w:after="0" w:line="257" w:lineRule="auto"/>
        <w:tabs>
          <w:tab w:leader="none" w:pos="525"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$2.8 million and $4.1 million for the three months ended June 30, 2020 and 2019, respectively. These fees are primarily based on revenues generated by the franchise offices, which were $128.1 million and $163.2 million for the three months ended June 30, 2020 and 2019, respectively.</w:t>
      </w:r>
    </w:p>
    <w:p>
      <w:pPr>
        <w:spacing w:after="0" w:line="165" w:lineRule="exact"/>
        <w:rPr>
          <w:rFonts w:ascii="Arial" w:cs="Arial" w:eastAsia="Arial" w:hAnsi="Arial"/>
          <w:sz w:val="16"/>
          <w:szCs w:val="16"/>
          <w:color w:val="auto"/>
        </w:rPr>
      </w:pPr>
    </w:p>
    <w:p>
      <w:pPr>
        <w:ind w:left="525" w:hanging="525"/>
        <w:spacing w:after="0"/>
        <w:tabs>
          <w:tab w:leader="none" w:pos="52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goodwill impairment charges for both the three months ended June 30, 2020 and 2019 relate to our investment in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311785</wp:posOffset>
            </wp:positionV>
            <wp:extent cx="716407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15240"/>
                    </a:xfrm>
                    <a:prstGeom prst="rect">
                      <a:avLst/>
                    </a:prstGeom>
                    <a:noFill/>
                  </pic:spPr>
                </pic:pic>
              </a:graphicData>
            </a:graphic>
          </wp:anchor>
        </w:drawing>
      </w:r>
    </w:p>
    <w:p>
      <w:pPr>
        <w:sectPr>
          <w:pgSz w:w="11900" w:h="16838" w:orient="portrait"/>
          <w:cols w:equalWidth="0" w:num="1">
            <w:col w:w="11265"/>
          </w:cols>
          <w:pgMar w:left="315" w:top="316" w:right="319" w:bottom="1440" w:gutter="0" w:footer="0" w:header="0"/>
        </w:sectPr>
      </w:pPr>
    </w:p>
    <w:bookmarkStart w:id="7" w:name="page8"/>
    <w:bookmarkEnd w:id="7"/>
    <w:p>
      <w:pPr>
        <w:ind w:left="5085"/>
        <w:spacing w:after="0"/>
        <w:rPr>
          <w:sz w:val="20"/>
          <w:szCs w:val="20"/>
          <w:color w:val="auto"/>
        </w:rPr>
      </w:pPr>
      <w:r>
        <w:rPr>
          <w:rFonts w:ascii="Arial" w:cs="Arial" w:eastAsia="Arial" w:hAnsi="Arial"/>
          <w:sz w:val="16"/>
          <w:szCs w:val="16"/>
          <w:color w:val="auto"/>
        </w:rPr>
        <w:t>ManpowerGroup</w:t>
      </w:r>
    </w:p>
    <w:p>
      <w:pPr>
        <w:spacing w:after="0" w:line="41" w:lineRule="exact"/>
        <w:rPr>
          <w:sz w:val="20"/>
          <w:szCs w:val="20"/>
          <w:color w:val="auto"/>
        </w:rPr>
      </w:pPr>
    </w:p>
    <w:p>
      <w:pPr>
        <w:ind w:left="4905"/>
        <w:spacing w:after="0"/>
        <w:rPr>
          <w:sz w:val="20"/>
          <w:szCs w:val="20"/>
          <w:color w:val="auto"/>
        </w:rPr>
      </w:pPr>
      <w:r>
        <w:rPr>
          <w:rFonts w:ascii="Arial" w:cs="Arial" w:eastAsia="Arial" w:hAnsi="Arial"/>
          <w:sz w:val="16"/>
          <w:szCs w:val="16"/>
          <w:color w:val="auto"/>
        </w:rPr>
        <w:t>Operating Unit Results</w:t>
      </w:r>
    </w:p>
    <w:p>
      <w:pPr>
        <w:spacing w:after="0" w:line="29" w:lineRule="exact"/>
        <w:rPr>
          <w:sz w:val="20"/>
          <w:szCs w:val="20"/>
          <w:color w:val="auto"/>
        </w:rPr>
      </w:pPr>
    </w:p>
    <w:p>
      <w:pPr>
        <w:jc w:val="center"/>
        <w:ind w:right="15"/>
        <w:spacing w:after="0"/>
        <w:rPr>
          <w:sz w:val="20"/>
          <w:szCs w:val="20"/>
          <w:color w:val="auto"/>
        </w:rPr>
      </w:pPr>
      <w:r>
        <w:rPr>
          <w:rFonts w:ascii="Arial" w:cs="Arial" w:eastAsia="Arial" w:hAnsi="Arial"/>
          <w:sz w:val="16"/>
          <w:szCs w:val="16"/>
          <w:color w:val="auto"/>
        </w:rPr>
        <w:t>(In millions)</w:t>
      </w:r>
    </w:p>
    <w:p>
      <w:pPr>
        <w:spacing w:after="0" w:line="250" w:lineRule="exact"/>
        <w:rPr>
          <w:sz w:val="20"/>
          <w:szCs w:val="20"/>
          <w:color w:val="auto"/>
        </w:rPr>
      </w:pPr>
    </w:p>
    <w:tbl>
      <w:tblPr>
        <w:tblLayout w:type="fixed"/>
        <w:tblInd w:w="5" w:type="dxa"/>
        <w:tblCellMar>
          <w:top w:w="0" w:type="dxa"/>
          <w:left w:w="0" w:type="dxa"/>
          <w:bottom w:w="0" w:type="dxa"/>
          <w:right w:w="0" w:type="dxa"/>
        </w:tblCellMar>
      </w:tblPr>
      <w:tr>
        <w:trPr>
          <w:trHeight w:val="205"/>
        </w:trPr>
        <w:tc>
          <w:tcPr>
            <w:tcW w:w="4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center"/>
              <w:ind w:right="661"/>
              <w:spacing w:after="0"/>
              <w:rPr>
                <w:sz w:val="20"/>
                <w:szCs w:val="20"/>
                <w:color w:val="auto"/>
              </w:rPr>
            </w:pPr>
            <w:r>
              <w:rPr>
                <w:rFonts w:ascii="Arial" w:cs="Arial" w:eastAsia="Arial" w:hAnsi="Arial"/>
                <w:sz w:val="16"/>
                <w:szCs w:val="16"/>
                <w:b w:val="1"/>
                <w:bCs w:val="1"/>
                <w:color w:val="auto"/>
                <w:w w:val="89"/>
              </w:rPr>
              <w:t>Three Months Ended June 30</w:t>
            </w:r>
          </w:p>
        </w:tc>
        <w:tc>
          <w:tcPr>
            <w:tcW w:w="9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Variance</w:t>
            </w:r>
          </w:p>
        </w:tc>
        <w:tc>
          <w:tcPr>
            <w:tcW w:w="9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821"/>
              <w:spacing w:after="0"/>
              <w:rPr>
                <w:sz w:val="20"/>
                <w:szCs w:val="20"/>
                <w:color w:val="auto"/>
              </w:rPr>
            </w:pPr>
            <w:r>
              <w:rPr>
                <w:rFonts w:ascii="Arial" w:cs="Arial" w:eastAsia="Arial" w:hAnsi="Arial"/>
                <w:sz w:val="16"/>
                <w:szCs w:val="16"/>
                <w:b w:val="1"/>
                <w:bCs w:val="1"/>
                <w:color w:val="auto"/>
                <w:w w:val="95"/>
              </w:rPr>
              <w:t>Amount</w:t>
            </w:r>
          </w:p>
        </w:tc>
        <w:tc>
          <w:tcPr>
            <w:tcW w:w="980" w:type="dxa"/>
            <w:vAlign w:val="bottom"/>
          </w:tcPr>
          <w:p>
            <w:pPr>
              <w:jc w:val="right"/>
              <w:ind w:right="241"/>
              <w:spacing w:after="0"/>
              <w:rPr>
                <w:sz w:val="20"/>
                <w:szCs w:val="20"/>
                <w:color w:val="auto"/>
              </w:rPr>
            </w:pPr>
            <w:r>
              <w:rPr>
                <w:rFonts w:ascii="Arial" w:cs="Arial" w:eastAsia="Arial" w:hAnsi="Arial"/>
                <w:sz w:val="16"/>
                <w:szCs w:val="16"/>
                <w:b w:val="1"/>
                <w:bCs w:val="1"/>
                <w:color w:val="auto"/>
                <w:w w:val="92"/>
              </w:rPr>
              <w:t>Constant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81"/>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381"/>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781"/>
              <w:spacing w:after="0"/>
              <w:rPr>
                <w:sz w:val="20"/>
                <w:szCs w:val="20"/>
                <w:color w:val="auto"/>
              </w:rPr>
            </w:pPr>
            <w:r>
              <w:rPr>
                <w:rFonts w:ascii="Arial" w:cs="Arial" w:eastAsia="Arial" w:hAnsi="Arial"/>
                <w:sz w:val="16"/>
                <w:szCs w:val="16"/>
                <w:b w:val="1"/>
                <w:bCs w:val="1"/>
                <w:color w:val="auto"/>
                <w:w w:val="88"/>
              </w:rPr>
              <w:t>Reported</w:t>
            </w:r>
          </w:p>
        </w:tc>
        <w:tc>
          <w:tcPr>
            <w:tcW w:w="11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3"/>
              </w:rPr>
              <w:t>Currency</w:t>
            </w:r>
          </w:p>
        </w:tc>
        <w:tc>
          <w:tcPr>
            <w:tcW w:w="0" w:type="dxa"/>
            <w:vAlign w:val="bottom"/>
          </w:tcPr>
          <w:p>
            <w:pPr>
              <w:spacing w:after="0"/>
              <w:rPr>
                <w:sz w:val="1"/>
                <w:szCs w:val="1"/>
                <w:color w:val="auto"/>
              </w:rPr>
            </w:pPr>
          </w:p>
        </w:tc>
      </w:tr>
      <w:tr>
        <w:trPr>
          <w:trHeight w:val="193"/>
        </w:trPr>
        <w:tc>
          <w:tcPr>
            <w:tcW w:w="4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3"/>
          </w:tcPr>
          <w:p>
            <w:pPr>
              <w:jc w:val="center"/>
              <w:ind w:left="701"/>
              <w:spacing w:after="0"/>
              <w:rPr>
                <w:sz w:val="20"/>
                <w:szCs w:val="20"/>
                <w:color w:val="auto"/>
              </w:rPr>
            </w:pPr>
            <w:r>
              <w:rPr>
                <w:rFonts w:ascii="Arial" w:cs="Arial" w:eastAsia="Arial" w:hAnsi="Arial"/>
                <w:sz w:val="16"/>
                <w:szCs w:val="16"/>
                <w:color w:val="auto"/>
                <w:w w:val="90"/>
              </w:rPr>
              <w:t>(Unaudited)</w:t>
            </w:r>
          </w:p>
        </w:tc>
        <w:tc>
          <w:tcPr>
            <w:tcW w:w="15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FF0FC"/>
          </w:tcPr>
          <w:p>
            <w:pPr>
              <w:spacing w:after="0"/>
              <w:rPr>
                <w:sz w:val="20"/>
                <w:szCs w:val="20"/>
                <w:color w:val="auto"/>
              </w:rPr>
            </w:pPr>
            <w:r>
              <w:rPr>
                <w:rFonts w:ascii="Arial" w:cs="Arial" w:eastAsia="Arial" w:hAnsi="Arial"/>
                <w:sz w:val="16"/>
                <w:szCs w:val="16"/>
                <w:color w:val="auto"/>
              </w:rPr>
              <w:t>Revenues from Services:</w:t>
            </w: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00" w:type="dxa"/>
            <w:vAlign w:val="bottom"/>
          </w:tcPr>
          <w:p>
            <w:pPr>
              <w:ind w:left="220"/>
              <w:spacing w:after="0"/>
              <w:rPr>
                <w:sz w:val="20"/>
                <w:szCs w:val="20"/>
                <w:color w:val="auto"/>
              </w:rPr>
            </w:pPr>
            <w:r>
              <w:rPr>
                <w:rFonts w:ascii="Arial" w:cs="Arial" w:eastAsia="Arial" w:hAnsi="Arial"/>
                <w:sz w:val="16"/>
                <w:szCs w:val="16"/>
                <w:color w:val="auto"/>
              </w:rPr>
              <w:t>Americas:</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United States (a)</w:t>
            </w:r>
          </w:p>
        </w:tc>
        <w:tc>
          <w:tcPr>
            <w:tcW w:w="1540" w:type="dxa"/>
            <w:vAlign w:val="bottom"/>
            <w:gridSpan w:val="2"/>
            <w:shd w:val="clear" w:color="auto" w:fill="CFF0FC"/>
          </w:tcPr>
          <w:p>
            <w:pPr>
              <w:jc w:val="right"/>
              <w:ind w:right="107"/>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515.9</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652.7</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-21.0%</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1"/>
        </w:trPr>
        <w:tc>
          <w:tcPr>
            <w:tcW w:w="410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Other Americas</w:t>
            </w:r>
          </w:p>
        </w:tc>
        <w:tc>
          <w:tcPr>
            <w:tcW w:w="12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320.7</w:t>
            </w:r>
          </w:p>
        </w:tc>
        <w:tc>
          <w:tcPr>
            <w:tcW w:w="2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415.5</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Arial" w:cs="Arial" w:eastAsia="Arial" w:hAnsi="Arial"/>
                <w:sz w:val="16"/>
                <w:szCs w:val="16"/>
                <w:color w:val="auto"/>
              </w:rPr>
              <w:t>-22.8%</w:t>
            </w:r>
          </w:p>
        </w:tc>
        <w:tc>
          <w:tcPr>
            <w:tcW w:w="11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3"/>
        </w:trPr>
        <w:tc>
          <w:tcPr>
            <w:tcW w:w="41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836.6</w:t>
            </w:r>
          </w:p>
        </w:tc>
        <w:tc>
          <w:tcPr>
            <w:tcW w:w="2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1,068.2</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-21.7%</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192"/>
        </w:trPr>
        <w:tc>
          <w:tcPr>
            <w:tcW w:w="4100" w:type="dxa"/>
            <w:vAlign w:val="bottom"/>
          </w:tcPr>
          <w:p>
            <w:pPr>
              <w:ind w:left="220"/>
              <w:spacing w:after="0"/>
              <w:rPr>
                <w:sz w:val="20"/>
                <w:szCs w:val="20"/>
                <w:color w:val="auto"/>
              </w:rPr>
            </w:pPr>
            <w:r>
              <w:rPr>
                <w:rFonts w:ascii="Arial" w:cs="Arial" w:eastAsia="Arial" w:hAnsi="Arial"/>
                <w:sz w:val="16"/>
                <w:szCs w:val="16"/>
                <w:color w:val="auto"/>
              </w:rPr>
              <w:t>Southern Europe:</w:t>
            </w: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France</w:t>
            </w: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736.0</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1,425.3</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-48.4%</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201"/>
        </w:trPr>
        <w:tc>
          <w:tcPr>
            <w:tcW w:w="4100" w:type="dxa"/>
            <w:vAlign w:val="bottom"/>
          </w:tcPr>
          <w:p>
            <w:pPr>
              <w:ind w:left="420"/>
              <w:spacing w:after="0"/>
              <w:rPr>
                <w:sz w:val="20"/>
                <w:szCs w:val="20"/>
                <w:color w:val="auto"/>
              </w:rPr>
            </w:pPr>
            <w:r>
              <w:rPr>
                <w:rFonts w:ascii="Arial" w:cs="Arial" w:eastAsia="Arial" w:hAnsi="Arial"/>
                <w:sz w:val="16"/>
                <w:szCs w:val="16"/>
                <w:color w:val="auto"/>
              </w:rPr>
              <w:t>Italy</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268.5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394.4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341"/>
              <w:spacing w:after="0"/>
              <w:rPr>
                <w:sz w:val="20"/>
                <w:szCs w:val="20"/>
                <w:color w:val="auto"/>
              </w:rPr>
            </w:pPr>
            <w:r>
              <w:rPr>
                <w:rFonts w:ascii="Arial" w:cs="Arial" w:eastAsia="Arial" w:hAnsi="Arial"/>
                <w:sz w:val="16"/>
                <w:szCs w:val="16"/>
                <w:color w:val="auto"/>
              </w:rPr>
              <w:t>-31.9%</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01"/>
        </w:trPr>
        <w:tc>
          <w:tcPr>
            <w:tcW w:w="41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Other Southern Europe</w:t>
            </w:r>
          </w:p>
        </w:tc>
        <w:tc>
          <w:tcPr>
            <w:tcW w:w="128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466.3</w:t>
            </w:r>
          </w:p>
        </w:tc>
        <w:tc>
          <w:tcPr>
            <w:tcW w:w="2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574.6</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-18.9%</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193"/>
        </w:trPr>
        <w:tc>
          <w:tcPr>
            <w:tcW w:w="4100" w:type="dxa"/>
            <w:vAlign w:val="bottom"/>
            <w:tcBorders>
              <w:bottom w:val="single" w:sz="8" w:color="CFF0FC"/>
            </w:tcBorders>
          </w:tcPr>
          <w:p>
            <w:pPr>
              <w:spacing w:after="0"/>
              <w:rPr>
                <w:sz w:val="16"/>
                <w:szCs w:val="16"/>
                <w:color w:val="auto"/>
              </w:rPr>
            </w:pPr>
          </w:p>
        </w:tc>
        <w:tc>
          <w:tcPr>
            <w:tcW w:w="128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1,470.8</w:t>
            </w:r>
          </w:p>
        </w:tc>
        <w:tc>
          <w:tcPr>
            <w:tcW w:w="2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2,394.3</w:t>
            </w:r>
          </w:p>
        </w:tc>
        <w:tc>
          <w:tcPr>
            <w:tcW w:w="260" w:type="dxa"/>
            <w:vAlign w:val="bottom"/>
            <w:tcBorders>
              <w:bottom w:val="single" w:sz="8" w:color="CFF0FC"/>
            </w:tcBorders>
          </w:tcPr>
          <w:p>
            <w:pPr>
              <w:spacing w:after="0"/>
              <w:rPr>
                <w:sz w:val="16"/>
                <w:szCs w:val="16"/>
                <w:color w:val="auto"/>
              </w:rPr>
            </w:pPr>
          </w:p>
        </w:tc>
        <w:tc>
          <w:tcPr>
            <w:tcW w:w="280" w:type="dxa"/>
            <w:vAlign w:val="bottom"/>
            <w:tcBorders>
              <w:bottom w:val="single" w:sz="8" w:color="CFF0FC"/>
            </w:tcBorders>
          </w:tcPr>
          <w:p>
            <w:pPr>
              <w:spacing w:after="0"/>
              <w:rPr>
                <w:sz w:val="16"/>
                <w:szCs w:val="16"/>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Arial" w:cs="Arial" w:eastAsia="Arial" w:hAnsi="Arial"/>
                <w:sz w:val="16"/>
                <w:szCs w:val="16"/>
                <w:color w:val="auto"/>
              </w:rPr>
              <w:t>-38.6%</w:t>
            </w:r>
          </w:p>
        </w:tc>
        <w:tc>
          <w:tcPr>
            <w:tcW w:w="11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193"/>
        </w:trPr>
        <w:tc>
          <w:tcPr>
            <w:tcW w:w="4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Northern Europe</w:t>
            </w:r>
          </w:p>
        </w:tc>
        <w:tc>
          <w:tcPr>
            <w:tcW w:w="1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865.7</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1,194.1</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-27.5%</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01"/>
        </w:trPr>
        <w:tc>
          <w:tcPr>
            <w:tcW w:w="410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APME</w:t>
            </w:r>
          </w:p>
        </w:tc>
        <w:tc>
          <w:tcPr>
            <w:tcW w:w="12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569.1</w:t>
            </w:r>
          </w:p>
        </w:tc>
        <w:tc>
          <w:tcPr>
            <w:tcW w:w="2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716.5</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Arial" w:cs="Arial" w:eastAsia="Arial" w:hAnsi="Arial"/>
                <w:sz w:val="16"/>
                <w:szCs w:val="16"/>
                <w:color w:val="auto"/>
              </w:rPr>
              <w:t>-20.6%</w:t>
            </w:r>
          </w:p>
        </w:tc>
        <w:tc>
          <w:tcPr>
            <w:tcW w:w="11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193"/>
        </w:trPr>
        <w:tc>
          <w:tcPr>
            <w:tcW w:w="410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3,742.2</w:t>
            </w:r>
          </w:p>
        </w:tc>
        <w:tc>
          <w:tcPr>
            <w:tcW w:w="2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5,373.1</w:t>
            </w: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500" w:type="dxa"/>
            <w:vAlign w:val="bottom"/>
            <w:tcBorders>
              <w:bottom w:val="single" w:sz="8" w:color="CFF0FC"/>
            </w:tcBorders>
            <w:shd w:val="clear" w:color="auto" w:fill="CFF0FC"/>
          </w:tcPr>
          <w:p>
            <w:pPr>
              <w:jc w:val="right"/>
              <w:ind w:right="341"/>
              <w:spacing w:after="0"/>
              <w:rPr>
                <w:sz w:val="20"/>
                <w:szCs w:val="20"/>
                <w:color w:val="auto"/>
              </w:rPr>
            </w:pPr>
            <w:r>
              <w:rPr>
                <w:rFonts w:ascii="Arial" w:cs="Arial" w:eastAsia="Arial" w:hAnsi="Arial"/>
                <w:sz w:val="16"/>
                <w:szCs w:val="16"/>
                <w:color w:val="auto"/>
              </w:rPr>
              <w:t>-30.4%</w:t>
            </w:r>
          </w:p>
        </w:tc>
        <w:tc>
          <w:tcPr>
            <w:tcW w:w="11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6"/>
                <w:szCs w:val="16"/>
                <w:color w:val="auto"/>
              </w:rPr>
              <w:t>Operating Unit Profit (Loss):</w:t>
            </w: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10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Americas:</w:t>
            </w: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00" w:type="dxa"/>
            <w:vAlign w:val="bottom"/>
          </w:tcPr>
          <w:p>
            <w:pPr>
              <w:ind w:left="420"/>
              <w:spacing w:after="0"/>
              <w:rPr>
                <w:sz w:val="20"/>
                <w:szCs w:val="20"/>
                <w:color w:val="auto"/>
              </w:rPr>
            </w:pPr>
            <w:r>
              <w:rPr>
                <w:rFonts w:ascii="Arial" w:cs="Arial" w:eastAsia="Arial" w:hAnsi="Arial"/>
                <w:sz w:val="16"/>
                <w:szCs w:val="16"/>
                <w:color w:val="auto"/>
              </w:rPr>
              <w:t>United States</w:t>
            </w:r>
          </w:p>
        </w:tc>
        <w:tc>
          <w:tcPr>
            <w:tcW w:w="1540" w:type="dxa"/>
            <w:vAlign w:val="bottom"/>
            <w:gridSpan w:val="2"/>
          </w:tcPr>
          <w:p>
            <w:pPr>
              <w:jc w:val="right"/>
              <w:ind w:right="107"/>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9.2</w:t>
            </w:r>
          </w:p>
        </w:tc>
        <w:tc>
          <w:tcPr>
            <w:tcW w:w="26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37.7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341"/>
              <w:spacing w:after="0"/>
              <w:rPr>
                <w:sz w:val="20"/>
                <w:szCs w:val="20"/>
                <w:color w:val="auto"/>
              </w:rPr>
            </w:pPr>
            <w:r>
              <w:rPr>
                <w:rFonts w:ascii="Arial" w:cs="Arial" w:eastAsia="Arial" w:hAnsi="Arial"/>
                <w:sz w:val="16"/>
                <w:szCs w:val="16"/>
                <w:color w:val="auto"/>
              </w:rPr>
              <w:t>-75.5%</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201"/>
        </w:trPr>
        <w:tc>
          <w:tcPr>
            <w:tcW w:w="41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Other Americas</w:t>
            </w:r>
          </w:p>
        </w:tc>
        <w:tc>
          <w:tcPr>
            <w:tcW w:w="128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2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-41.2%</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193"/>
        </w:trPr>
        <w:tc>
          <w:tcPr>
            <w:tcW w:w="4100" w:type="dxa"/>
            <w:vAlign w:val="bottom"/>
            <w:tcBorders>
              <w:bottom w:val="single" w:sz="8" w:color="CFF0FC"/>
            </w:tcBorders>
          </w:tcPr>
          <w:p>
            <w:pPr>
              <w:spacing w:after="0"/>
              <w:rPr>
                <w:sz w:val="16"/>
                <w:szCs w:val="16"/>
                <w:color w:val="auto"/>
              </w:rPr>
            </w:pPr>
          </w:p>
        </w:tc>
        <w:tc>
          <w:tcPr>
            <w:tcW w:w="128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2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w:t>
            </w:r>
          </w:p>
        </w:tc>
        <w:tc>
          <w:tcPr>
            <w:tcW w:w="260" w:type="dxa"/>
            <w:vAlign w:val="bottom"/>
            <w:tcBorders>
              <w:bottom w:val="single" w:sz="8" w:color="CFF0FC"/>
            </w:tcBorders>
          </w:tcPr>
          <w:p>
            <w:pPr>
              <w:spacing w:after="0"/>
              <w:rPr>
                <w:sz w:val="16"/>
                <w:szCs w:val="16"/>
                <w:color w:val="auto"/>
              </w:rPr>
            </w:pPr>
          </w:p>
        </w:tc>
        <w:tc>
          <w:tcPr>
            <w:tcW w:w="280" w:type="dxa"/>
            <w:vAlign w:val="bottom"/>
            <w:tcBorders>
              <w:bottom w:val="single" w:sz="8" w:color="CFF0FC"/>
            </w:tcBorders>
          </w:tcPr>
          <w:p>
            <w:pPr>
              <w:spacing w:after="0"/>
              <w:rPr>
                <w:sz w:val="16"/>
                <w:szCs w:val="16"/>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Arial" w:cs="Arial" w:eastAsia="Arial" w:hAnsi="Arial"/>
                <w:sz w:val="16"/>
                <w:szCs w:val="16"/>
                <w:color w:val="auto"/>
              </w:rPr>
              <w:t>-64.5%</w:t>
            </w:r>
          </w:p>
        </w:tc>
        <w:tc>
          <w:tcPr>
            <w:tcW w:w="11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193"/>
        </w:trPr>
        <w:tc>
          <w:tcPr>
            <w:tcW w:w="4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Southern Europe:</w:t>
            </w:r>
          </w:p>
        </w:tc>
        <w:tc>
          <w:tcPr>
            <w:tcW w:w="1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100" w:type="dxa"/>
            <w:vAlign w:val="bottom"/>
          </w:tcPr>
          <w:p>
            <w:pPr>
              <w:ind w:left="420"/>
              <w:spacing w:after="0"/>
              <w:rPr>
                <w:sz w:val="20"/>
                <w:szCs w:val="20"/>
                <w:color w:val="auto"/>
              </w:rPr>
            </w:pPr>
            <w:r>
              <w:rPr>
                <w:rFonts w:ascii="Arial" w:cs="Arial" w:eastAsia="Arial" w:hAnsi="Arial"/>
                <w:sz w:val="16"/>
                <w:szCs w:val="16"/>
                <w:color w:val="auto"/>
              </w:rPr>
              <w:t>France</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481"/>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1"/>
        </w:trPr>
        <w:tc>
          <w:tcPr>
            <w:tcW w:w="41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Italy</w:t>
            </w: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-63.0%</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01"/>
        </w:trPr>
        <w:tc>
          <w:tcPr>
            <w:tcW w:w="410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Other Southern Europe</w:t>
            </w:r>
          </w:p>
        </w:tc>
        <w:tc>
          <w:tcPr>
            <w:tcW w:w="12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2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Arial" w:cs="Arial" w:eastAsia="Arial" w:hAnsi="Arial"/>
                <w:sz w:val="16"/>
                <w:szCs w:val="16"/>
                <w:color w:val="auto"/>
              </w:rPr>
              <w:t>-80.8%</w:t>
            </w:r>
          </w:p>
        </w:tc>
        <w:tc>
          <w:tcPr>
            <w:tcW w:w="11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193"/>
        </w:trPr>
        <w:tc>
          <w:tcPr>
            <w:tcW w:w="41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2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123.6</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-90.2%</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193"/>
        </w:trPr>
        <w:tc>
          <w:tcPr>
            <w:tcW w:w="4100" w:type="dxa"/>
            <w:vAlign w:val="bottom"/>
          </w:tcPr>
          <w:p>
            <w:pPr>
              <w:ind w:left="220"/>
              <w:spacing w:after="0"/>
              <w:rPr>
                <w:sz w:val="20"/>
                <w:szCs w:val="20"/>
                <w:color w:val="auto"/>
              </w:rPr>
            </w:pPr>
            <w:r>
              <w:rPr>
                <w:rFonts w:ascii="Arial" w:cs="Arial" w:eastAsia="Arial" w:hAnsi="Arial"/>
                <w:sz w:val="16"/>
                <w:szCs w:val="16"/>
                <w:color w:val="auto"/>
              </w:rPr>
              <w:t>Northern Europe</w:t>
            </w: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0.3</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25.6</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341"/>
              <w:spacing w:after="0"/>
              <w:rPr>
                <w:sz w:val="20"/>
                <w:szCs w:val="20"/>
                <w:color w:val="auto"/>
              </w:rPr>
            </w:pPr>
            <w:r>
              <w:rPr>
                <w:rFonts w:ascii="Arial" w:cs="Arial" w:eastAsia="Arial" w:hAnsi="Arial"/>
                <w:sz w:val="16"/>
                <w:szCs w:val="16"/>
                <w:color w:val="auto"/>
              </w:rPr>
              <w:t>-98.7%</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-96.9%</w:t>
            </w:r>
          </w:p>
        </w:tc>
        <w:tc>
          <w:tcPr>
            <w:tcW w:w="0" w:type="dxa"/>
            <w:vAlign w:val="bottom"/>
          </w:tcPr>
          <w:p>
            <w:pPr>
              <w:spacing w:after="0"/>
              <w:rPr>
                <w:sz w:val="1"/>
                <w:szCs w:val="1"/>
                <w:color w:val="auto"/>
              </w:rPr>
            </w:pPr>
          </w:p>
        </w:tc>
      </w:tr>
      <w:tr>
        <w:trPr>
          <w:trHeight w:val="201"/>
        </w:trPr>
        <w:tc>
          <w:tcPr>
            <w:tcW w:w="4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APME</w:t>
            </w:r>
          </w:p>
        </w:tc>
        <w:tc>
          <w:tcPr>
            <w:tcW w:w="128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2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29.7</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-39.4%</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193"/>
        </w:trPr>
        <w:tc>
          <w:tcPr>
            <w:tcW w:w="4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50.1</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234.4</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FF0FC"/>
          </w:tcPr>
          <w:p>
            <w:pPr>
              <w:spacing w:after="0"/>
              <w:rPr>
                <w:sz w:val="20"/>
                <w:szCs w:val="20"/>
                <w:color w:val="auto"/>
              </w:rPr>
            </w:pPr>
            <w:r>
              <w:rPr>
                <w:rFonts w:ascii="Arial" w:cs="Arial" w:eastAsia="Arial" w:hAnsi="Arial"/>
                <w:sz w:val="16"/>
                <w:szCs w:val="16"/>
                <w:color w:val="auto"/>
              </w:rPr>
              <w:t>Corporate expenses</w:t>
            </w: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(26.6)</w:t>
            </w:r>
          </w:p>
        </w:tc>
        <w:tc>
          <w:tcPr>
            <w:tcW w:w="2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(31.9)</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00" w:type="dxa"/>
            <w:vAlign w:val="bottom"/>
          </w:tcPr>
          <w:p>
            <w:pPr>
              <w:spacing w:after="0"/>
              <w:rPr>
                <w:sz w:val="20"/>
                <w:szCs w:val="20"/>
                <w:color w:val="auto"/>
              </w:rPr>
            </w:pPr>
            <w:r>
              <w:rPr>
                <w:rFonts w:ascii="Arial" w:cs="Arial" w:eastAsia="Arial" w:hAnsi="Arial"/>
                <w:sz w:val="16"/>
                <w:szCs w:val="16"/>
                <w:color w:val="auto"/>
              </w:rPr>
              <w:t>Goodwill impairment charges</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(66.8)</w:t>
            </w:r>
          </w:p>
        </w:tc>
        <w:tc>
          <w:tcPr>
            <w:tcW w:w="22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(64.0)</w:t>
            </w: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 amortization expense</w:t>
            </w: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(6.7)</w:t>
            </w:r>
          </w:p>
        </w:tc>
        <w:tc>
          <w:tcPr>
            <w:tcW w:w="2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(7.7)</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100" w:type="dxa"/>
            <w:vAlign w:val="bottom"/>
          </w:tcPr>
          <w:p>
            <w:pPr>
              <w:ind w:left="220"/>
              <w:spacing w:after="0"/>
              <w:rPr>
                <w:sz w:val="20"/>
                <w:szCs w:val="20"/>
                <w:color w:val="auto"/>
              </w:rPr>
            </w:pPr>
            <w:r>
              <w:rPr>
                <w:rFonts w:ascii="Arial" w:cs="Arial" w:eastAsia="Arial" w:hAnsi="Arial"/>
                <w:sz w:val="16"/>
                <w:szCs w:val="16"/>
                <w:color w:val="auto"/>
              </w:rPr>
              <w:t>Operating (loss) profit</w:t>
            </w:r>
          </w:p>
        </w:tc>
        <w:tc>
          <w:tcPr>
            <w:tcW w:w="12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130.8</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481"/>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2"/>
        </w:trPr>
        <w:tc>
          <w:tcPr>
            <w:tcW w:w="4100" w:type="dxa"/>
            <w:vAlign w:val="bottom"/>
            <w:shd w:val="clear" w:color="auto" w:fill="CFF0FC"/>
          </w:tcPr>
          <w:p>
            <w:pPr>
              <w:spacing w:after="0"/>
              <w:rPr>
                <w:sz w:val="20"/>
                <w:szCs w:val="20"/>
                <w:color w:val="auto"/>
              </w:rPr>
            </w:pPr>
            <w:r>
              <w:rPr>
                <w:rFonts w:ascii="Arial" w:cs="Arial" w:eastAsia="Arial" w:hAnsi="Arial"/>
                <w:sz w:val="16"/>
                <w:szCs w:val="16"/>
                <w:color w:val="auto"/>
              </w:rPr>
              <w:t>Interest and other (expenses) income, net (b)</w:t>
            </w: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(5.8)</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70.2</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00" w:type="dxa"/>
            <w:vAlign w:val="bottom"/>
          </w:tcPr>
          <w:p>
            <w:pPr>
              <w:ind w:left="220"/>
              <w:spacing w:after="0"/>
              <w:rPr>
                <w:sz w:val="20"/>
                <w:szCs w:val="20"/>
                <w:color w:val="auto"/>
              </w:rPr>
            </w:pPr>
            <w:r>
              <w:rPr>
                <w:rFonts w:ascii="Arial" w:cs="Arial" w:eastAsia="Arial" w:hAnsi="Arial"/>
                <w:sz w:val="16"/>
                <w:szCs w:val="16"/>
                <w:color w:val="auto"/>
              </w:rPr>
              <w:t>(Loss) earnings before income taxes</w:t>
            </w:r>
          </w:p>
        </w:tc>
        <w:tc>
          <w:tcPr>
            <w:tcW w:w="12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(55.8)</w:t>
            </w:r>
          </w:p>
        </w:tc>
        <w:tc>
          <w:tcPr>
            <w:tcW w:w="26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201.0</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525" w:right="60" w:hanging="525"/>
        <w:spacing w:after="0" w:line="257" w:lineRule="auto"/>
        <w:tabs>
          <w:tab w:leader="none" w:pos="52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$2.4 million and $3.7 million for the three months ended June 30, 2020 and 2019, respectively. These fees are primarily based on revenues generated by the franchise offices, which were $122.3 million and $154.3 million for the three months ended June 30, 2020 and 2019, respectively.</w:t>
      </w:r>
    </w:p>
    <w:p>
      <w:pPr>
        <w:spacing w:after="0" w:line="47" w:lineRule="exact"/>
        <w:rPr>
          <w:rFonts w:ascii="Arial" w:cs="Arial" w:eastAsia="Arial" w:hAnsi="Arial"/>
          <w:sz w:val="16"/>
          <w:szCs w:val="16"/>
          <w:color w:val="auto"/>
        </w:rPr>
      </w:pPr>
    </w:p>
    <w:p>
      <w:pPr>
        <w:ind w:left="525" w:hanging="525"/>
        <w:spacing w:after="0"/>
        <w:tabs>
          <w:tab w:leader="none" w:pos="52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components of interest and other expenses (income), net were:</w:t>
      </w:r>
    </w:p>
    <w:p>
      <w:pPr>
        <w:spacing w:after="0" w:line="25" w:lineRule="exact"/>
        <w:rPr>
          <w:sz w:val="20"/>
          <w:szCs w:val="20"/>
          <w:color w:val="auto"/>
        </w:rPr>
      </w:pPr>
    </w:p>
    <w:tbl>
      <w:tblPr>
        <w:tblLayout w:type="fixed"/>
        <w:tblInd w:w="5" w:type="dxa"/>
        <w:tblCellMar>
          <w:top w:w="0" w:type="dxa"/>
          <w:left w:w="0" w:type="dxa"/>
          <w:bottom w:w="0" w:type="dxa"/>
          <w:right w:w="0" w:type="dxa"/>
        </w:tblCellMar>
      </w:tblPr>
      <w:tr>
        <w:trPr>
          <w:trHeight w:val="205"/>
        </w:trPr>
        <w:tc>
          <w:tcPr>
            <w:tcW w:w="7740" w:type="dxa"/>
            <w:vAlign w:val="bottom"/>
            <w:tcBorders>
              <w:bottom w:val="single" w:sz="8" w:color="CFF0FC"/>
            </w:tcBorders>
          </w:tcPr>
          <w:p>
            <w:pPr>
              <w:spacing w:after="0"/>
              <w:rPr>
                <w:sz w:val="17"/>
                <w:szCs w:val="17"/>
                <w:color w:val="auto"/>
              </w:rPr>
            </w:pP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100" w:type="dxa"/>
            <w:vAlign w:val="bottom"/>
            <w:shd w:val="clear" w:color="auto" w:fill="CFF0FC"/>
          </w:tcPr>
          <w:p>
            <w:pPr>
              <w:jc w:val="right"/>
              <w:ind w:right="944"/>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740" w:type="dxa"/>
            <w:vAlign w:val="bottom"/>
          </w:tcPr>
          <w:p>
            <w:pPr>
              <w:spacing w:after="0"/>
              <w:rPr>
                <w:sz w:val="20"/>
                <w:szCs w:val="20"/>
                <w:color w:val="auto"/>
              </w:rPr>
            </w:pPr>
            <w:r>
              <w:rPr>
                <w:rFonts w:ascii="Arial" w:cs="Arial" w:eastAsia="Arial" w:hAnsi="Arial"/>
                <w:sz w:val="16"/>
                <w:szCs w:val="16"/>
                <w:color w:val="auto"/>
              </w:rPr>
              <w:t>Interest income</w:t>
            </w:r>
          </w:p>
        </w:tc>
        <w:tc>
          <w:tcPr>
            <w:tcW w:w="1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Foreign exchange loss (gain)</w:t>
            </w:r>
          </w:p>
        </w:tc>
        <w:tc>
          <w:tcPr>
            <w:tcW w:w="11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spacing w:after="0"/>
              <w:rPr>
                <w:sz w:val="20"/>
                <w:szCs w:val="20"/>
                <w:color w:val="auto"/>
              </w:rPr>
            </w:pPr>
            <w:r>
              <w:rPr>
                <w:rFonts w:ascii="Arial" w:cs="Arial" w:eastAsia="Arial" w:hAnsi="Arial"/>
                <w:sz w:val="16"/>
                <w:szCs w:val="16"/>
                <w:color w:val="auto"/>
              </w:rPr>
              <w:t>Miscellaneous income (c)</w:t>
            </w:r>
          </w:p>
        </w:tc>
        <w:tc>
          <w:tcPr>
            <w:tcW w:w="1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(79.8)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74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944"/>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16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7740" w:type="dxa"/>
            <w:vAlign w:val="bottom"/>
          </w:tcPr>
          <w:p>
            <w:pPr>
              <w:spacing w:after="0"/>
              <w:rPr>
                <w:sz w:val="20"/>
                <w:szCs w:val="20"/>
                <w:color w:val="auto"/>
              </w:rPr>
            </w:pPr>
            <w:r>
              <w:rPr>
                <w:rFonts w:ascii="Arial" w:cs="Arial" w:eastAsia="Arial" w:hAnsi="Arial"/>
                <w:sz w:val="16"/>
                <w:szCs w:val="16"/>
                <w:color w:val="auto"/>
                <w:w w:val="95"/>
              </w:rPr>
              <w:t>(c)   2019 includes an $80.0 million gain related to our acquisition of the remaining controlling interest of our Swiss</w:t>
            </w:r>
          </w:p>
        </w:tc>
        <w:tc>
          <w:tcPr>
            <w:tcW w:w="1100" w:type="dxa"/>
            <w:vAlign w:val="bottom"/>
          </w:tcPr>
          <w:p>
            <w:pPr>
              <w:jc w:val="right"/>
              <w:ind w:right="284"/>
              <w:spacing w:after="0"/>
              <w:rPr>
                <w:sz w:val="20"/>
                <w:szCs w:val="20"/>
                <w:color w:val="auto"/>
              </w:rPr>
            </w:pPr>
            <w:r>
              <w:rPr>
                <w:rFonts w:ascii="Arial" w:cs="Arial" w:eastAsia="Arial" w:hAnsi="Arial"/>
                <w:sz w:val="16"/>
                <w:szCs w:val="16"/>
                <w:color w:val="auto"/>
              </w:rPr>
              <w:t>franchise.</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77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7157085</wp:posOffset>
            </wp:positionH>
            <wp:positionV relativeFrom="paragraph">
              <wp:posOffset>-6985</wp:posOffset>
            </wp:positionV>
            <wp:extent cx="76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762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5"/>
          </w:cols>
          <w:pgMar w:left="315" w:top="316" w:right="299" w:bottom="1440" w:gutter="0" w:footer="0" w:header="0"/>
        </w:sectPr>
      </w:pPr>
    </w:p>
    <w:bookmarkStart w:id="8" w:name="page9"/>
    <w:bookmarkEnd w:id="8"/>
    <w:p>
      <w:pPr>
        <w:jc w:val="center"/>
        <w:ind w:right="-4"/>
        <w:spacing w:after="0"/>
        <w:rPr>
          <w:sz w:val="20"/>
          <w:szCs w:val="20"/>
          <w:color w:val="auto"/>
        </w:rPr>
      </w:pPr>
      <w:r>
        <w:rPr>
          <w:rFonts w:ascii="Arial" w:cs="Arial" w:eastAsia="Arial" w:hAnsi="Arial"/>
          <w:sz w:val="16"/>
          <w:szCs w:val="16"/>
          <w:color w:val="auto"/>
        </w:rPr>
        <w:t>ManpowerGroup</w:t>
      </w:r>
    </w:p>
    <w:p>
      <w:pPr>
        <w:spacing w:after="0" w:line="1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Results of Operations</w:t>
      </w:r>
    </w:p>
    <w:p>
      <w:pPr>
        <w:spacing w:after="0" w:line="5" w:lineRule="exact"/>
        <w:rPr>
          <w:sz w:val="20"/>
          <w:szCs w:val="20"/>
          <w:color w:val="auto"/>
        </w:rPr>
      </w:pPr>
    </w:p>
    <w:p>
      <w:pPr>
        <w:jc w:val="center"/>
        <w:ind w:right="-24"/>
        <w:spacing w:after="0"/>
        <w:rPr>
          <w:sz w:val="20"/>
          <w:szCs w:val="20"/>
          <w:color w:val="auto"/>
        </w:rPr>
      </w:pPr>
      <w:r>
        <w:rPr>
          <w:rFonts w:ascii="Arial" w:cs="Arial" w:eastAsia="Arial" w:hAnsi="Arial"/>
          <w:sz w:val="16"/>
          <w:szCs w:val="16"/>
          <w:color w:val="auto"/>
        </w:rPr>
        <w:t>(In millions, except per share data)</w:t>
      </w:r>
    </w:p>
    <w:p>
      <w:pPr>
        <w:spacing w:after="0" w:line="25" w:lineRule="exact"/>
        <w:rPr>
          <w:sz w:val="20"/>
          <w:szCs w:val="20"/>
          <w:color w:val="auto"/>
        </w:rPr>
      </w:pPr>
    </w:p>
    <w:tbl>
      <w:tblPr>
        <w:tblLayout w:type="fixed"/>
        <w:tblInd w:w="5" w:type="dxa"/>
        <w:tblCellMar>
          <w:top w:w="0" w:type="dxa"/>
          <w:left w:w="0" w:type="dxa"/>
          <w:bottom w:w="0" w:type="dxa"/>
          <w:right w:w="0" w:type="dxa"/>
        </w:tblCellMar>
      </w:tblPr>
      <w:tr>
        <w:trPr>
          <w:trHeight w:val="205"/>
        </w:trPr>
        <w:tc>
          <w:tcPr>
            <w:tcW w:w="4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center"/>
              <w:ind w:right="701"/>
              <w:spacing w:after="0"/>
              <w:rPr>
                <w:sz w:val="20"/>
                <w:szCs w:val="20"/>
                <w:color w:val="auto"/>
              </w:rPr>
            </w:pPr>
            <w:r>
              <w:rPr>
                <w:rFonts w:ascii="Arial" w:cs="Arial" w:eastAsia="Arial" w:hAnsi="Arial"/>
                <w:sz w:val="16"/>
                <w:szCs w:val="16"/>
                <w:b w:val="1"/>
                <w:bCs w:val="1"/>
                <w:color w:val="auto"/>
                <w:w w:val="89"/>
              </w:rPr>
              <w:t>Six Months Ended June 30</w:t>
            </w:r>
          </w:p>
        </w:tc>
        <w:tc>
          <w:tcPr>
            <w:tcW w:w="9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Variance</w:t>
            </w:r>
          </w:p>
        </w:tc>
        <w:tc>
          <w:tcPr>
            <w:tcW w:w="9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821"/>
              <w:spacing w:after="0"/>
              <w:rPr>
                <w:sz w:val="20"/>
                <w:szCs w:val="20"/>
                <w:color w:val="auto"/>
              </w:rPr>
            </w:pPr>
            <w:r>
              <w:rPr>
                <w:rFonts w:ascii="Arial" w:cs="Arial" w:eastAsia="Arial" w:hAnsi="Arial"/>
                <w:sz w:val="16"/>
                <w:szCs w:val="16"/>
                <w:b w:val="1"/>
                <w:bCs w:val="1"/>
                <w:color w:val="auto"/>
                <w:w w:val="95"/>
              </w:rPr>
              <w:t>Amount</w:t>
            </w:r>
          </w:p>
        </w:tc>
        <w:tc>
          <w:tcPr>
            <w:tcW w:w="980" w:type="dxa"/>
            <w:vAlign w:val="bottom"/>
          </w:tcPr>
          <w:p>
            <w:pPr>
              <w:jc w:val="right"/>
              <w:ind w:right="241"/>
              <w:spacing w:after="0"/>
              <w:rPr>
                <w:sz w:val="20"/>
                <w:szCs w:val="20"/>
                <w:color w:val="auto"/>
              </w:rPr>
            </w:pPr>
            <w:r>
              <w:rPr>
                <w:rFonts w:ascii="Arial" w:cs="Arial" w:eastAsia="Arial" w:hAnsi="Arial"/>
                <w:sz w:val="16"/>
                <w:szCs w:val="16"/>
                <w:b w:val="1"/>
                <w:bCs w:val="1"/>
                <w:color w:val="auto"/>
                <w:w w:val="92"/>
              </w:rPr>
              <w:t>Constant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81"/>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81"/>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781"/>
              <w:spacing w:after="0"/>
              <w:rPr>
                <w:sz w:val="20"/>
                <w:szCs w:val="20"/>
                <w:color w:val="auto"/>
              </w:rPr>
            </w:pPr>
            <w:r>
              <w:rPr>
                <w:rFonts w:ascii="Arial" w:cs="Arial" w:eastAsia="Arial" w:hAnsi="Arial"/>
                <w:sz w:val="16"/>
                <w:szCs w:val="16"/>
                <w:b w:val="1"/>
                <w:bCs w:val="1"/>
                <w:color w:val="auto"/>
                <w:w w:val="88"/>
              </w:rPr>
              <w:t>Reported</w:t>
            </w:r>
          </w:p>
        </w:tc>
        <w:tc>
          <w:tcPr>
            <w:tcW w:w="11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3"/>
              </w:rPr>
              <w:t>Currency</w:t>
            </w:r>
          </w:p>
        </w:tc>
        <w:tc>
          <w:tcPr>
            <w:tcW w:w="0" w:type="dxa"/>
            <w:vAlign w:val="bottom"/>
          </w:tcPr>
          <w:p>
            <w:pPr>
              <w:spacing w:after="0"/>
              <w:rPr>
                <w:sz w:val="1"/>
                <w:szCs w:val="1"/>
                <w:color w:val="auto"/>
              </w:rPr>
            </w:pPr>
          </w:p>
        </w:tc>
      </w:tr>
      <w:tr>
        <w:trPr>
          <w:trHeight w:val="193"/>
        </w:trPr>
        <w:tc>
          <w:tcPr>
            <w:tcW w:w="4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3"/>
          </w:tcPr>
          <w:p>
            <w:pPr>
              <w:jc w:val="center"/>
              <w:ind w:left="661"/>
              <w:spacing w:after="0"/>
              <w:rPr>
                <w:sz w:val="20"/>
                <w:szCs w:val="20"/>
                <w:color w:val="auto"/>
              </w:rPr>
            </w:pPr>
            <w:r>
              <w:rPr>
                <w:rFonts w:ascii="Arial" w:cs="Arial" w:eastAsia="Arial" w:hAnsi="Arial"/>
                <w:sz w:val="16"/>
                <w:szCs w:val="16"/>
                <w:color w:val="auto"/>
                <w:w w:val="90"/>
              </w:rPr>
              <w:t>(Unaudited)</w:t>
            </w:r>
          </w:p>
        </w:tc>
        <w:tc>
          <w:tcPr>
            <w:tcW w:w="15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Revenues from services (a)</w:t>
            </w:r>
          </w:p>
        </w:tc>
        <w:tc>
          <w:tcPr>
            <w:tcW w:w="1360" w:type="dxa"/>
            <w:vAlign w:val="bottom"/>
            <w:gridSpan w:val="2"/>
            <w:shd w:val="clear" w:color="auto" w:fill="CFF0FC"/>
          </w:tcPr>
          <w:p>
            <w:pPr>
              <w:jc w:val="right"/>
              <w:ind w:right="107"/>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8,361.3</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10,418.0</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-19.7%</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01"/>
        </w:trPr>
        <w:tc>
          <w:tcPr>
            <w:tcW w:w="4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services</w:t>
            </w:r>
          </w:p>
        </w:tc>
        <w:tc>
          <w:tcPr>
            <w:tcW w:w="11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7,060.6</w:t>
            </w:r>
          </w:p>
        </w:tc>
        <w:tc>
          <w:tcPr>
            <w:tcW w:w="2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8,742.8</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Arial" w:cs="Arial" w:eastAsia="Arial" w:hAnsi="Arial"/>
                <w:sz w:val="16"/>
                <w:szCs w:val="16"/>
                <w:color w:val="auto"/>
              </w:rPr>
              <w:t>-19.2%</w:t>
            </w:r>
          </w:p>
        </w:tc>
        <w:tc>
          <w:tcPr>
            <w:tcW w:w="11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193"/>
        </w:trPr>
        <w:tc>
          <w:tcPr>
            <w:tcW w:w="42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Gross profit</w:t>
            </w:r>
          </w:p>
        </w:tc>
        <w:tc>
          <w:tcPr>
            <w:tcW w:w="1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1,300.7</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1,675.2</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-22.4%</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189"/>
        </w:trPr>
        <w:tc>
          <w:tcPr>
            <w:tcW w:w="4280" w:type="dxa"/>
            <w:vAlign w:val="bottom"/>
          </w:tcPr>
          <w:p>
            <w:pPr>
              <w:ind w:left="220"/>
              <w:spacing w:after="0"/>
              <w:rPr>
                <w:sz w:val="20"/>
                <w:szCs w:val="20"/>
                <w:color w:val="auto"/>
              </w:rPr>
            </w:pPr>
            <w:r>
              <w:rPr>
                <w:rFonts w:ascii="Arial" w:cs="Arial" w:eastAsia="Arial" w:hAnsi="Arial"/>
                <w:sz w:val="16"/>
                <w:szCs w:val="16"/>
                <w:color w:val="auto"/>
              </w:rPr>
              <w:t>Selling and administrative expenses, excluding</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80" w:type="dxa"/>
            <w:vAlign w:val="bottom"/>
          </w:tcPr>
          <w:p>
            <w:pPr>
              <w:ind w:left="220"/>
              <w:spacing w:after="0"/>
              <w:rPr>
                <w:sz w:val="20"/>
                <w:szCs w:val="20"/>
                <w:color w:val="auto"/>
              </w:rPr>
            </w:pPr>
            <w:r>
              <w:rPr>
                <w:rFonts w:ascii="Arial" w:cs="Arial" w:eastAsia="Arial" w:hAnsi="Arial"/>
                <w:sz w:val="16"/>
                <w:szCs w:val="16"/>
                <w:color w:val="auto"/>
              </w:rPr>
              <w:t>goodwill impairment charges</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1,246.2</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1,374.9</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341"/>
              <w:spacing w:after="0"/>
              <w:rPr>
                <w:sz w:val="20"/>
                <w:szCs w:val="20"/>
                <w:color w:val="auto"/>
              </w:rPr>
            </w:pPr>
            <w:r>
              <w:rPr>
                <w:rFonts w:ascii="Arial" w:cs="Arial" w:eastAsia="Arial" w:hAnsi="Arial"/>
                <w:sz w:val="16"/>
                <w:szCs w:val="16"/>
                <w:color w:val="auto"/>
              </w:rPr>
              <w:t>-9.4%</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2"/>
        </w:trPr>
        <w:tc>
          <w:tcPr>
            <w:tcW w:w="42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Goodwill impairment charges (b)</w:t>
            </w:r>
          </w:p>
        </w:tc>
        <w:tc>
          <w:tcPr>
            <w:tcW w:w="110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66.8</w:t>
            </w:r>
          </w:p>
        </w:tc>
        <w:tc>
          <w:tcPr>
            <w:tcW w:w="26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64.0</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4.2%</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3"/>
        </w:trPr>
        <w:tc>
          <w:tcPr>
            <w:tcW w:w="428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1,313.0</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1,438.9</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341"/>
              <w:spacing w:after="0"/>
              <w:rPr>
                <w:sz w:val="20"/>
                <w:szCs w:val="20"/>
                <w:color w:val="auto"/>
              </w:rPr>
            </w:pPr>
            <w:r>
              <w:rPr>
                <w:rFonts w:ascii="Arial" w:cs="Arial" w:eastAsia="Arial" w:hAnsi="Arial"/>
                <w:sz w:val="16"/>
                <w:szCs w:val="16"/>
                <w:color w:val="auto"/>
              </w:rPr>
              <w:t>-8.8%</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1"/>
        </w:trPr>
        <w:tc>
          <w:tcPr>
            <w:tcW w:w="42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Operating (loss) profit</w:t>
            </w: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(12.3)</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236.3</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481"/>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1"/>
        </w:trPr>
        <w:tc>
          <w:tcPr>
            <w:tcW w:w="4280" w:type="dxa"/>
            <w:vAlign w:val="bottom"/>
          </w:tcPr>
          <w:p>
            <w:pPr>
              <w:spacing w:after="0"/>
              <w:rPr>
                <w:sz w:val="20"/>
                <w:szCs w:val="20"/>
                <w:color w:val="auto"/>
              </w:rPr>
            </w:pPr>
            <w:r>
              <w:rPr>
                <w:rFonts w:ascii="Arial" w:cs="Arial" w:eastAsia="Arial" w:hAnsi="Arial"/>
                <w:sz w:val="16"/>
                <w:szCs w:val="16"/>
                <w:color w:val="auto"/>
              </w:rPr>
              <w:t>Interest and other expenses (income), net</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26.3</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(58.3)</w:t>
            </w:r>
          </w:p>
        </w:tc>
        <w:tc>
          <w:tcPr>
            <w:tcW w:w="280" w:type="dxa"/>
            <w:vAlign w:val="bottom"/>
          </w:tcPr>
          <w:p>
            <w:pPr>
              <w:spacing w:after="0"/>
              <w:rPr>
                <w:sz w:val="17"/>
                <w:szCs w:val="17"/>
                <w:color w:val="auto"/>
              </w:rPr>
            </w:pPr>
          </w:p>
        </w:tc>
        <w:tc>
          <w:tcPr>
            <w:tcW w:w="1500" w:type="dxa"/>
            <w:vAlign w:val="bottom"/>
          </w:tcPr>
          <w:p>
            <w:pPr>
              <w:jc w:val="right"/>
              <w:ind w:right="481"/>
              <w:spacing w:after="0"/>
              <w:rPr>
                <w:sz w:val="20"/>
                <w:szCs w:val="20"/>
                <w:color w:val="auto"/>
              </w:rPr>
            </w:pPr>
            <w:r>
              <w:rPr>
                <w:rFonts w:ascii="Arial" w:cs="Arial" w:eastAsia="Arial" w:hAnsi="Arial"/>
                <w:sz w:val="16"/>
                <w:szCs w:val="16"/>
                <w:color w:val="auto"/>
              </w:rPr>
              <w:t>N/A</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28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(Loss) earnings before income taxes</w:t>
            </w:r>
          </w:p>
        </w:tc>
        <w:tc>
          <w:tcPr>
            <w:tcW w:w="110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(38.6)</w:t>
            </w:r>
          </w:p>
        </w:tc>
        <w:tc>
          <w:tcPr>
            <w:tcW w:w="26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294.6</w:t>
            </w:r>
          </w:p>
        </w:tc>
        <w:tc>
          <w:tcPr>
            <w:tcW w:w="26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1500" w:type="dxa"/>
            <w:vAlign w:val="bottom"/>
            <w:tcBorders>
              <w:top w:val="single" w:sz="8" w:color="CFF0FC"/>
            </w:tcBorders>
            <w:shd w:val="clear" w:color="auto" w:fill="CFF0FC"/>
          </w:tcPr>
          <w:p>
            <w:pPr>
              <w:jc w:val="right"/>
              <w:ind w:right="481"/>
              <w:spacing w:after="0"/>
              <w:rPr>
                <w:sz w:val="20"/>
                <w:szCs w:val="20"/>
                <w:color w:val="auto"/>
              </w:rPr>
            </w:pPr>
            <w:r>
              <w:rPr>
                <w:rFonts w:ascii="Arial" w:cs="Arial" w:eastAsia="Arial" w:hAnsi="Arial"/>
                <w:sz w:val="16"/>
                <w:szCs w:val="16"/>
                <w:color w:val="auto"/>
              </w:rPr>
              <w:t>N/A</w:t>
            </w:r>
          </w:p>
        </w:tc>
        <w:tc>
          <w:tcPr>
            <w:tcW w:w="1140" w:type="dxa"/>
            <w:vAlign w:val="bottom"/>
            <w:tcBorders>
              <w:top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1"/>
        </w:trPr>
        <w:tc>
          <w:tcPr>
            <w:tcW w:w="4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Provision for income taxes</w:t>
            </w:r>
          </w:p>
        </w:tc>
        <w:tc>
          <w:tcPr>
            <w:tcW w:w="11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2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Arial" w:cs="Arial" w:eastAsia="Arial" w:hAnsi="Arial"/>
                <w:sz w:val="16"/>
                <w:szCs w:val="16"/>
                <w:color w:val="auto"/>
              </w:rPr>
              <w:t>-78.8%</w:t>
            </w:r>
          </w:p>
        </w:tc>
        <w:tc>
          <w:tcPr>
            <w:tcW w:w="9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2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Net (loss) earnings</w:t>
            </w:r>
          </w:p>
        </w:tc>
        <w:tc>
          <w:tcPr>
            <w:tcW w:w="11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(62.7)</w:t>
            </w:r>
          </w:p>
        </w:tc>
        <w:tc>
          <w:tcPr>
            <w:tcW w:w="2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180.8</w:t>
            </w: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500" w:type="dxa"/>
            <w:vAlign w:val="bottom"/>
            <w:tcBorders>
              <w:bottom w:val="single" w:sz="8" w:color="CFF0FC"/>
            </w:tcBorders>
            <w:shd w:val="clear" w:color="auto" w:fill="CFF0FC"/>
          </w:tcPr>
          <w:p>
            <w:pPr>
              <w:jc w:val="right"/>
              <w:ind w:right="481"/>
              <w:spacing w:after="0"/>
              <w:rPr>
                <w:sz w:val="20"/>
                <w:szCs w:val="20"/>
                <w:color w:val="auto"/>
              </w:rPr>
            </w:pPr>
            <w:r>
              <w:rPr>
                <w:rFonts w:ascii="Arial" w:cs="Arial" w:eastAsia="Arial" w:hAnsi="Arial"/>
                <w:sz w:val="16"/>
                <w:szCs w:val="16"/>
                <w:color w:val="auto"/>
              </w:rPr>
              <w:t>N/A</w:t>
            </w:r>
          </w:p>
        </w:tc>
        <w:tc>
          <w:tcPr>
            <w:tcW w:w="11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6"/>
                <w:szCs w:val="16"/>
                <w:color w:val="auto"/>
              </w:rPr>
              <w:t>Net (loss) earnings per share - basic</w:t>
            </w:r>
          </w:p>
        </w:tc>
        <w:tc>
          <w:tcPr>
            <w:tcW w:w="13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vMerge w:val="restart"/>
          </w:tcPr>
          <w:p>
            <w:pPr>
              <w:jc w:val="right"/>
              <w:ind w:right="481"/>
              <w:spacing w:after="0"/>
              <w:rPr>
                <w:sz w:val="20"/>
                <w:szCs w:val="20"/>
                <w:color w:val="auto"/>
              </w:rPr>
            </w:pPr>
            <w:r>
              <w:rPr>
                <w:rFonts w:ascii="Arial" w:cs="Arial" w:eastAsia="Arial" w:hAnsi="Arial"/>
                <w:sz w:val="16"/>
                <w:szCs w:val="16"/>
                <w:color w:val="auto"/>
              </w:rPr>
              <w:t>N/A</w:t>
            </w: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80" w:type="dxa"/>
            <w:vAlign w:val="bottom"/>
            <w:tcBorders>
              <w:bottom w:val="single" w:sz="8" w:color="CFF0FC"/>
            </w:tcBorders>
            <w:vMerge w:val="continue"/>
          </w:tcPr>
          <w:p>
            <w:pPr>
              <w:spacing w:after="0"/>
              <w:rPr>
                <w:sz w:val="18"/>
                <w:szCs w:val="18"/>
                <w:color w:val="auto"/>
              </w:rPr>
            </w:pPr>
          </w:p>
        </w:tc>
        <w:tc>
          <w:tcPr>
            <w:tcW w:w="110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(1.07)</w:t>
            </w:r>
          </w:p>
        </w:tc>
        <w:tc>
          <w:tcPr>
            <w:tcW w:w="26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3.00</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500" w:type="dxa"/>
            <w:vAlign w:val="bottom"/>
            <w:tcBorders>
              <w:bottom w:val="single" w:sz="8" w:color="CFF0FC"/>
            </w:tcBorders>
            <w:vMerge w:val="continue"/>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280" w:type="dxa"/>
            <w:vAlign w:val="bottom"/>
            <w:tcBorders>
              <w:bottom w:val="single" w:sz="8" w:color="CFF0FC"/>
            </w:tcBorders>
            <w:shd w:val="clear" w:color="auto" w:fill="CFF0FC"/>
          </w:tcPr>
          <w:p>
            <w:pPr>
              <w:spacing w:after="0" w:line="175" w:lineRule="exact"/>
              <w:rPr>
                <w:sz w:val="20"/>
                <w:szCs w:val="20"/>
                <w:color w:val="auto"/>
              </w:rPr>
            </w:pPr>
            <w:r>
              <w:rPr>
                <w:rFonts w:ascii="Arial" w:cs="Arial" w:eastAsia="Arial" w:hAnsi="Arial"/>
                <w:sz w:val="16"/>
                <w:szCs w:val="16"/>
                <w:color w:val="auto"/>
              </w:rPr>
              <w:t>Net (loss) earnings per share - diluted</w:t>
            </w:r>
          </w:p>
        </w:tc>
        <w:tc>
          <w:tcPr>
            <w:tcW w:w="1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line="177" w:lineRule="exact"/>
              <w:rPr>
                <w:sz w:val="20"/>
                <w:szCs w:val="20"/>
                <w:color w:val="auto"/>
              </w:rPr>
            </w:pPr>
            <w:r>
              <w:rPr>
                <w:rFonts w:ascii="Arial" w:cs="Arial" w:eastAsia="Arial" w:hAnsi="Arial"/>
                <w:sz w:val="16"/>
                <w:szCs w:val="16"/>
                <w:color w:val="auto"/>
              </w:rPr>
              <w:t>(1.07)</w:t>
            </w:r>
          </w:p>
        </w:tc>
        <w:tc>
          <w:tcPr>
            <w:tcW w:w="2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line="177" w:lineRule="exact"/>
              <w:rPr>
                <w:sz w:val="20"/>
                <w:szCs w:val="20"/>
                <w:color w:val="auto"/>
              </w:rPr>
            </w:pPr>
            <w:r>
              <w:rPr>
                <w:rFonts w:ascii="Arial" w:cs="Arial" w:eastAsia="Arial" w:hAnsi="Arial"/>
                <w:sz w:val="16"/>
                <w:szCs w:val="16"/>
                <w:color w:val="auto"/>
              </w:rPr>
              <w:t>2.98</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500" w:type="dxa"/>
            <w:vAlign w:val="bottom"/>
            <w:tcBorders>
              <w:bottom w:val="single" w:sz="8" w:color="CFF0FC"/>
            </w:tcBorders>
            <w:shd w:val="clear" w:color="auto" w:fill="CFF0FC"/>
          </w:tcPr>
          <w:p>
            <w:pPr>
              <w:jc w:val="right"/>
              <w:ind w:right="481"/>
              <w:spacing w:after="0" w:line="175" w:lineRule="exact"/>
              <w:rPr>
                <w:sz w:val="20"/>
                <w:szCs w:val="20"/>
                <w:color w:val="auto"/>
              </w:rPr>
            </w:pPr>
            <w:r>
              <w:rPr>
                <w:rFonts w:ascii="Arial" w:cs="Arial" w:eastAsia="Arial" w:hAnsi="Arial"/>
                <w:sz w:val="16"/>
                <w:szCs w:val="16"/>
                <w:color w:val="auto"/>
              </w:rPr>
              <w:t>N/A</w:t>
            </w:r>
          </w:p>
        </w:tc>
        <w:tc>
          <w:tcPr>
            <w:tcW w:w="1140" w:type="dxa"/>
            <w:vAlign w:val="bottom"/>
            <w:tcBorders>
              <w:bottom w:val="single" w:sz="8" w:color="CFF0FC"/>
            </w:tcBorders>
            <w:gridSpan w:val="2"/>
            <w:shd w:val="clear" w:color="auto" w:fill="CFF0FC"/>
          </w:tcPr>
          <w:p>
            <w:pPr>
              <w:jc w:val="right"/>
              <w:ind w:right="180"/>
              <w:spacing w:after="0" w:line="175"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6"/>
                <w:szCs w:val="16"/>
                <w:color w:val="auto"/>
              </w:rPr>
              <w:t>Weighted average shares - basic</w:t>
            </w: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vMerge w:val="restart"/>
          </w:tcPr>
          <w:p>
            <w:pPr>
              <w:jc w:val="right"/>
              <w:ind w:right="341"/>
              <w:spacing w:after="0"/>
              <w:rPr>
                <w:sz w:val="20"/>
                <w:szCs w:val="20"/>
                <w:color w:val="auto"/>
              </w:rPr>
            </w:pPr>
            <w:r>
              <w:rPr>
                <w:rFonts w:ascii="Arial" w:cs="Arial" w:eastAsia="Arial" w:hAnsi="Arial"/>
                <w:sz w:val="16"/>
                <w:szCs w:val="16"/>
                <w:color w:val="auto"/>
              </w:rPr>
              <w:t>-3.0%</w:t>
            </w: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80" w:type="dxa"/>
            <w:vAlign w:val="bottom"/>
            <w:tcBorders>
              <w:bottom w:val="single" w:sz="8" w:color="CFF0FC"/>
            </w:tcBorders>
            <w:vMerge w:val="continue"/>
          </w:tcPr>
          <w:p>
            <w:pPr>
              <w:spacing w:after="0"/>
              <w:rPr>
                <w:sz w:val="18"/>
                <w:szCs w:val="18"/>
                <w:color w:val="auto"/>
              </w:rPr>
            </w:pPr>
          </w:p>
        </w:tc>
        <w:tc>
          <w:tcPr>
            <w:tcW w:w="1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58.5</w:t>
            </w: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60.3</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500" w:type="dxa"/>
            <w:vAlign w:val="bottom"/>
            <w:tcBorders>
              <w:bottom w:val="single" w:sz="8" w:color="CFF0FC"/>
            </w:tcBorders>
            <w:vMerge w:val="continue"/>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280" w:type="dxa"/>
            <w:vAlign w:val="bottom"/>
            <w:tcBorders>
              <w:bottom w:val="single" w:sz="8" w:color="CFF0FC"/>
            </w:tcBorders>
            <w:shd w:val="clear" w:color="auto" w:fill="CFF0FC"/>
          </w:tcPr>
          <w:p>
            <w:pPr>
              <w:spacing w:after="0" w:line="175" w:lineRule="exact"/>
              <w:rPr>
                <w:sz w:val="20"/>
                <w:szCs w:val="20"/>
                <w:color w:val="auto"/>
              </w:rPr>
            </w:pPr>
            <w:r>
              <w:rPr>
                <w:rFonts w:ascii="Arial" w:cs="Arial" w:eastAsia="Arial" w:hAnsi="Arial"/>
                <w:sz w:val="16"/>
                <w:szCs w:val="16"/>
                <w:color w:val="auto"/>
              </w:rPr>
              <w:t>Weighted average shares - diluted</w:t>
            </w:r>
          </w:p>
        </w:tc>
        <w:tc>
          <w:tcPr>
            <w:tcW w:w="1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line="177" w:lineRule="exact"/>
              <w:rPr>
                <w:sz w:val="20"/>
                <w:szCs w:val="20"/>
                <w:color w:val="auto"/>
              </w:rPr>
            </w:pPr>
            <w:r>
              <w:rPr>
                <w:rFonts w:ascii="Arial" w:cs="Arial" w:eastAsia="Arial" w:hAnsi="Arial"/>
                <w:sz w:val="16"/>
                <w:szCs w:val="16"/>
                <w:color w:val="auto"/>
              </w:rPr>
              <w:t>58.7</w:t>
            </w:r>
          </w:p>
        </w:tc>
        <w:tc>
          <w:tcPr>
            <w:tcW w:w="2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line="177" w:lineRule="exact"/>
              <w:rPr>
                <w:sz w:val="20"/>
                <w:szCs w:val="20"/>
                <w:color w:val="auto"/>
              </w:rPr>
            </w:pPr>
            <w:r>
              <w:rPr>
                <w:rFonts w:ascii="Arial" w:cs="Arial" w:eastAsia="Arial" w:hAnsi="Arial"/>
                <w:sz w:val="16"/>
                <w:szCs w:val="16"/>
                <w:color w:val="auto"/>
              </w:rPr>
              <w:t>60.7</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500" w:type="dxa"/>
            <w:vAlign w:val="bottom"/>
            <w:tcBorders>
              <w:bottom w:val="single" w:sz="8" w:color="CFF0FC"/>
            </w:tcBorders>
            <w:shd w:val="clear" w:color="auto" w:fill="CFF0FC"/>
          </w:tcPr>
          <w:p>
            <w:pPr>
              <w:jc w:val="right"/>
              <w:ind w:right="341"/>
              <w:spacing w:after="0" w:line="175" w:lineRule="exact"/>
              <w:rPr>
                <w:sz w:val="20"/>
                <w:szCs w:val="20"/>
                <w:color w:val="auto"/>
              </w:rPr>
            </w:pPr>
            <w:r>
              <w:rPr>
                <w:rFonts w:ascii="Arial" w:cs="Arial" w:eastAsia="Arial" w:hAnsi="Arial"/>
                <w:sz w:val="16"/>
                <w:szCs w:val="16"/>
                <w:color w:val="auto"/>
              </w:rPr>
              <w:t>-3.2%</w:t>
            </w:r>
          </w:p>
        </w:tc>
        <w:tc>
          <w:tcPr>
            <w:tcW w:w="9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left="525" w:hanging="525"/>
        <w:spacing w:after="0" w:line="257" w:lineRule="auto"/>
        <w:tabs>
          <w:tab w:leader="none" w:pos="525"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$6.1 million and $9.7 million for the six months ended June 30, 2020 and 2019, respectively. These fees are primarily based on revenues generated by the franchise offices, which were $210.4 million and $406.2 million for the six months ended June 30, 2020 and 2019, respectively.</w:t>
      </w:r>
    </w:p>
    <w:p>
      <w:pPr>
        <w:spacing w:after="0" w:line="165" w:lineRule="exact"/>
        <w:rPr>
          <w:rFonts w:ascii="Arial" w:cs="Arial" w:eastAsia="Arial" w:hAnsi="Arial"/>
          <w:sz w:val="16"/>
          <w:szCs w:val="16"/>
          <w:color w:val="auto"/>
        </w:rPr>
      </w:pPr>
    </w:p>
    <w:p>
      <w:pPr>
        <w:ind w:left="525" w:hanging="525"/>
        <w:spacing w:after="0"/>
        <w:tabs>
          <w:tab w:leader="none" w:pos="52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goodwill impairment charges for both the six months ended June 30, 2020 and 2019 relate to our investment in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672465</wp:posOffset>
            </wp:positionV>
            <wp:extent cx="716407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15240"/>
                    </a:xfrm>
                    <a:prstGeom prst="rect">
                      <a:avLst/>
                    </a:prstGeom>
                    <a:noFill/>
                  </pic:spPr>
                </pic:pic>
              </a:graphicData>
            </a:graphic>
          </wp:anchor>
        </w:drawing>
      </w:r>
    </w:p>
    <w:p>
      <w:pPr>
        <w:sectPr>
          <w:pgSz w:w="11900" w:h="16838" w:orient="portrait"/>
          <w:cols w:equalWidth="0" w:num="1">
            <w:col w:w="11265"/>
          </w:cols>
          <w:pgMar w:left="315" w:top="316" w:right="319" w:bottom="1440" w:gutter="0" w:footer="0" w:header="0"/>
        </w:sectPr>
      </w:pPr>
    </w:p>
    <w:bookmarkStart w:id="9" w:name="page10"/>
    <w:bookmarkEnd w:id="9"/>
    <w:p>
      <w:pPr>
        <w:ind w:left="5085"/>
        <w:spacing w:after="0"/>
        <w:rPr>
          <w:sz w:val="20"/>
          <w:szCs w:val="20"/>
          <w:color w:val="auto"/>
        </w:rPr>
      </w:pPr>
      <w:r>
        <w:rPr>
          <w:rFonts w:ascii="Arial" w:cs="Arial" w:eastAsia="Arial" w:hAnsi="Arial"/>
          <w:sz w:val="16"/>
          <w:szCs w:val="16"/>
          <w:color w:val="auto"/>
        </w:rPr>
        <w:t>ManpowerGroup</w:t>
      </w:r>
    </w:p>
    <w:p>
      <w:pPr>
        <w:spacing w:after="0" w:line="41" w:lineRule="exact"/>
        <w:rPr>
          <w:sz w:val="20"/>
          <w:szCs w:val="20"/>
          <w:color w:val="auto"/>
        </w:rPr>
      </w:pPr>
    </w:p>
    <w:p>
      <w:pPr>
        <w:ind w:left="4905"/>
        <w:spacing w:after="0"/>
        <w:rPr>
          <w:sz w:val="20"/>
          <w:szCs w:val="20"/>
          <w:color w:val="auto"/>
        </w:rPr>
      </w:pPr>
      <w:r>
        <w:rPr>
          <w:rFonts w:ascii="Arial" w:cs="Arial" w:eastAsia="Arial" w:hAnsi="Arial"/>
          <w:sz w:val="16"/>
          <w:szCs w:val="16"/>
          <w:color w:val="auto"/>
        </w:rPr>
        <w:t>Operating Unit Results</w:t>
      </w:r>
    </w:p>
    <w:p>
      <w:pPr>
        <w:spacing w:after="0" w:line="29" w:lineRule="exact"/>
        <w:rPr>
          <w:sz w:val="20"/>
          <w:szCs w:val="20"/>
          <w:color w:val="auto"/>
        </w:rPr>
      </w:pPr>
    </w:p>
    <w:p>
      <w:pPr>
        <w:jc w:val="center"/>
        <w:ind w:right="15"/>
        <w:spacing w:after="0"/>
        <w:rPr>
          <w:sz w:val="20"/>
          <w:szCs w:val="20"/>
          <w:color w:val="auto"/>
        </w:rPr>
      </w:pPr>
      <w:r>
        <w:rPr>
          <w:rFonts w:ascii="Arial" w:cs="Arial" w:eastAsia="Arial" w:hAnsi="Arial"/>
          <w:sz w:val="16"/>
          <w:szCs w:val="16"/>
          <w:color w:val="auto"/>
        </w:rPr>
        <w:t>(In millions)</w:t>
      </w:r>
    </w:p>
    <w:p>
      <w:pPr>
        <w:spacing w:after="0" w:line="226" w:lineRule="exact"/>
        <w:rPr>
          <w:sz w:val="20"/>
          <w:szCs w:val="20"/>
          <w:color w:val="auto"/>
        </w:rPr>
      </w:pPr>
    </w:p>
    <w:tbl>
      <w:tblPr>
        <w:tblLayout w:type="fixed"/>
        <w:tblInd w:w="5" w:type="dxa"/>
        <w:tblCellMar>
          <w:top w:w="0" w:type="dxa"/>
          <w:left w:w="0" w:type="dxa"/>
          <w:bottom w:w="0" w:type="dxa"/>
          <w:right w:w="0" w:type="dxa"/>
        </w:tblCellMar>
      </w:tblPr>
      <w:tr>
        <w:trPr>
          <w:trHeight w:val="205"/>
        </w:trPr>
        <w:tc>
          <w:tcPr>
            <w:tcW w:w="4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center"/>
              <w:ind w:right="701"/>
              <w:spacing w:after="0"/>
              <w:rPr>
                <w:sz w:val="20"/>
                <w:szCs w:val="20"/>
                <w:color w:val="auto"/>
              </w:rPr>
            </w:pPr>
            <w:r>
              <w:rPr>
                <w:rFonts w:ascii="Arial" w:cs="Arial" w:eastAsia="Arial" w:hAnsi="Arial"/>
                <w:sz w:val="16"/>
                <w:szCs w:val="16"/>
                <w:b w:val="1"/>
                <w:bCs w:val="1"/>
                <w:color w:val="auto"/>
                <w:w w:val="89"/>
              </w:rPr>
              <w:t>Six Months Ended June 30</w:t>
            </w:r>
          </w:p>
        </w:tc>
        <w:tc>
          <w:tcPr>
            <w:tcW w:w="9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Variance</w:t>
            </w:r>
          </w:p>
        </w:tc>
        <w:tc>
          <w:tcPr>
            <w:tcW w:w="9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821"/>
              <w:spacing w:after="0"/>
              <w:rPr>
                <w:sz w:val="20"/>
                <w:szCs w:val="20"/>
                <w:color w:val="auto"/>
              </w:rPr>
            </w:pPr>
            <w:r>
              <w:rPr>
                <w:rFonts w:ascii="Arial" w:cs="Arial" w:eastAsia="Arial" w:hAnsi="Arial"/>
                <w:sz w:val="16"/>
                <w:szCs w:val="16"/>
                <w:b w:val="1"/>
                <w:bCs w:val="1"/>
                <w:color w:val="auto"/>
                <w:w w:val="95"/>
              </w:rPr>
              <w:t>Amount</w:t>
            </w:r>
          </w:p>
        </w:tc>
        <w:tc>
          <w:tcPr>
            <w:tcW w:w="980" w:type="dxa"/>
            <w:vAlign w:val="bottom"/>
          </w:tcPr>
          <w:p>
            <w:pPr>
              <w:jc w:val="right"/>
              <w:ind w:right="241"/>
              <w:spacing w:after="0"/>
              <w:rPr>
                <w:sz w:val="20"/>
                <w:szCs w:val="20"/>
                <w:color w:val="auto"/>
              </w:rPr>
            </w:pPr>
            <w:r>
              <w:rPr>
                <w:rFonts w:ascii="Arial" w:cs="Arial" w:eastAsia="Arial" w:hAnsi="Arial"/>
                <w:sz w:val="16"/>
                <w:szCs w:val="16"/>
                <w:b w:val="1"/>
                <w:bCs w:val="1"/>
                <w:color w:val="auto"/>
                <w:w w:val="92"/>
              </w:rPr>
              <w:t>Constant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81"/>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81"/>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781"/>
              <w:spacing w:after="0"/>
              <w:rPr>
                <w:sz w:val="20"/>
                <w:szCs w:val="20"/>
                <w:color w:val="auto"/>
              </w:rPr>
            </w:pPr>
            <w:r>
              <w:rPr>
                <w:rFonts w:ascii="Arial" w:cs="Arial" w:eastAsia="Arial" w:hAnsi="Arial"/>
                <w:sz w:val="16"/>
                <w:szCs w:val="16"/>
                <w:b w:val="1"/>
                <w:bCs w:val="1"/>
                <w:color w:val="auto"/>
                <w:w w:val="88"/>
              </w:rPr>
              <w:t>Reported</w:t>
            </w:r>
          </w:p>
        </w:tc>
        <w:tc>
          <w:tcPr>
            <w:tcW w:w="11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3"/>
              </w:rPr>
              <w:t>Currency</w:t>
            </w:r>
          </w:p>
        </w:tc>
        <w:tc>
          <w:tcPr>
            <w:tcW w:w="0" w:type="dxa"/>
            <w:vAlign w:val="bottom"/>
          </w:tcPr>
          <w:p>
            <w:pPr>
              <w:spacing w:after="0"/>
              <w:rPr>
                <w:sz w:val="1"/>
                <w:szCs w:val="1"/>
                <w:color w:val="auto"/>
              </w:rPr>
            </w:pPr>
          </w:p>
        </w:tc>
      </w:tr>
      <w:tr>
        <w:trPr>
          <w:trHeight w:val="193"/>
        </w:trPr>
        <w:tc>
          <w:tcPr>
            <w:tcW w:w="4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3"/>
          </w:tcPr>
          <w:p>
            <w:pPr>
              <w:jc w:val="center"/>
              <w:ind w:left="661"/>
              <w:spacing w:after="0"/>
              <w:rPr>
                <w:sz w:val="20"/>
                <w:szCs w:val="20"/>
                <w:color w:val="auto"/>
              </w:rPr>
            </w:pPr>
            <w:r>
              <w:rPr>
                <w:rFonts w:ascii="Arial" w:cs="Arial" w:eastAsia="Arial" w:hAnsi="Arial"/>
                <w:sz w:val="16"/>
                <w:szCs w:val="16"/>
                <w:color w:val="auto"/>
                <w:w w:val="90"/>
              </w:rPr>
              <w:t>(Unaudited)</w:t>
            </w:r>
          </w:p>
        </w:tc>
        <w:tc>
          <w:tcPr>
            <w:tcW w:w="15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FF0FC"/>
          </w:tcPr>
          <w:p>
            <w:pPr>
              <w:spacing w:after="0"/>
              <w:rPr>
                <w:sz w:val="20"/>
                <w:szCs w:val="20"/>
                <w:color w:val="auto"/>
              </w:rPr>
            </w:pPr>
            <w:r>
              <w:rPr>
                <w:rFonts w:ascii="Arial" w:cs="Arial" w:eastAsia="Arial" w:hAnsi="Arial"/>
                <w:sz w:val="16"/>
                <w:szCs w:val="16"/>
                <w:color w:val="auto"/>
              </w:rPr>
              <w:t>Revenues from Services:</w:t>
            </w: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00" w:type="dxa"/>
            <w:vAlign w:val="bottom"/>
          </w:tcPr>
          <w:p>
            <w:pPr>
              <w:ind w:left="220"/>
              <w:spacing w:after="0"/>
              <w:rPr>
                <w:sz w:val="20"/>
                <w:szCs w:val="20"/>
                <w:color w:val="auto"/>
              </w:rPr>
            </w:pPr>
            <w:r>
              <w:rPr>
                <w:rFonts w:ascii="Arial" w:cs="Arial" w:eastAsia="Arial" w:hAnsi="Arial"/>
                <w:sz w:val="16"/>
                <w:szCs w:val="16"/>
                <w:color w:val="auto"/>
              </w:rPr>
              <w:t>Americas:</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United States (a)</w:t>
            </w:r>
          </w:p>
        </w:tc>
        <w:tc>
          <w:tcPr>
            <w:tcW w:w="1540" w:type="dxa"/>
            <w:vAlign w:val="bottom"/>
            <w:gridSpan w:val="2"/>
            <w:shd w:val="clear" w:color="auto" w:fill="CFF0FC"/>
          </w:tcPr>
          <w:p>
            <w:pPr>
              <w:jc w:val="right"/>
              <w:ind w:right="107"/>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1,126.8</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1,275.9</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-11.7%</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1"/>
        </w:trPr>
        <w:tc>
          <w:tcPr>
            <w:tcW w:w="410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Other Americas</w:t>
            </w:r>
          </w:p>
        </w:tc>
        <w:tc>
          <w:tcPr>
            <w:tcW w:w="12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720.8</w:t>
            </w:r>
          </w:p>
        </w:tc>
        <w:tc>
          <w:tcPr>
            <w:tcW w:w="2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822.5</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Arial" w:cs="Arial" w:eastAsia="Arial" w:hAnsi="Arial"/>
                <w:sz w:val="16"/>
                <w:szCs w:val="16"/>
                <w:color w:val="auto"/>
              </w:rPr>
              <w:t>-12.4%</w:t>
            </w:r>
          </w:p>
        </w:tc>
        <w:tc>
          <w:tcPr>
            <w:tcW w:w="11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3"/>
        </w:trPr>
        <w:tc>
          <w:tcPr>
            <w:tcW w:w="41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1,847.6</w:t>
            </w:r>
          </w:p>
        </w:tc>
        <w:tc>
          <w:tcPr>
            <w:tcW w:w="26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2,098.4</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-12.0%</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92"/>
        </w:trPr>
        <w:tc>
          <w:tcPr>
            <w:tcW w:w="4100" w:type="dxa"/>
            <w:vAlign w:val="bottom"/>
          </w:tcPr>
          <w:p>
            <w:pPr>
              <w:ind w:left="220"/>
              <w:spacing w:after="0"/>
              <w:rPr>
                <w:sz w:val="20"/>
                <w:szCs w:val="20"/>
                <w:color w:val="auto"/>
              </w:rPr>
            </w:pPr>
            <w:r>
              <w:rPr>
                <w:rFonts w:ascii="Arial" w:cs="Arial" w:eastAsia="Arial" w:hAnsi="Arial"/>
                <w:sz w:val="16"/>
                <w:szCs w:val="16"/>
                <w:color w:val="auto"/>
              </w:rPr>
              <w:t>Southern Europe:</w:t>
            </w: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France</w:t>
            </w: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1,829.8</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2,731.4</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-33.0%</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01"/>
        </w:trPr>
        <w:tc>
          <w:tcPr>
            <w:tcW w:w="4100" w:type="dxa"/>
            <w:vAlign w:val="bottom"/>
          </w:tcPr>
          <w:p>
            <w:pPr>
              <w:ind w:left="420"/>
              <w:spacing w:after="0"/>
              <w:rPr>
                <w:sz w:val="20"/>
                <w:szCs w:val="20"/>
                <w:color w:val="auto"/>
              </w:rPr>
            </w:pPr>
            <w:r>
              <w:rPr>
                <w:rFonts w:ascii="Arial" w:cs="Arial" w:eastAsia="Arial" w:hAnsi="Arial"/>
                <w:sz w:val="16"/>
                <w:szCs w:val="16"/>
                <w:color w:val="auto"/>
              </w:rPr>
              <w:t>Italy</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596.2</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750.8</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341"/>
              <w:spacing w:after="0"/>
              <w:rPr>
                <w:sz w:val="20"/>
                <w:szCs w:val="20"/>
                <w:color w:val="auto"/>
              </w:rPr>
            </w:pPr>
            <w:r>
              <w:rPr>
                <w:rFonts w:ascii="Arial" w:cs="Arial" w:eastAsia="Arial" w:hAnsi="Arial"/>
                <w:sz w:val="16"/>
                <w:szCs w:val="16"/>
                <w:color w:val="auto"/>
              </w:rPr>
              <w:t>-20.6%</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01"/>
        </w:trPr>
        <w:tc>
          <w:tcPr>
            <w:tcW w:w="41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Other Southern Europe</w:t>
            </w:r>
          </w:p>
        </w:tc>
        <w:tc>
          <w:tcPr>
            <w:tcW w:w="128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989.5</w:t>
            </w:r>
          </w:p>
        </w:tc>
        <w:tc>
          <w:tcPr>
            <w:tcW w:w="26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1,020.9</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-3.1%</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3"/>
        </w:trPr>
        <w:tc>
          <w:tcPr>
            <w:tcW w:w="4100" w:type="dxa"/>
            <w:vAlign w:val="bottom"/>
            <w:tcBorders>
              <w:bottom w:val="single" w:sz="8" w:color="CFF0FC"/>
            </w:tcBorders>
          </w:tcPr>
          <w:p>
            <w:pPr>
              <w:spacing w:after="0"/>
              <w:rPr>
                <w:sz w:val="16"/>
                <w:szCs w:val="16"/>
                <w:color w:val="auto"/>
              </w:rPr>
            </w:pPr>
          </w:p>
        </w:tc>
        <w:tc>
          <w:tcPr>
            <w:tcW w:w="128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3,415.5</w:t>
            </w:r>
          </w:p>
        </w:tc>
        <w:tc>
          <w:tcPr>
            <w:tcW w:w="26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4,503.1</w:t>
            </w:r>
          </w:p>
        </w:tc>
        <w:tc>
          <w:tcPr>
            <w:tcW w:w="260" w:type="dxa"/>
            <w:vAlign w:val="bottom"/>
            <w:tcBorders>
              <w:bottom w:val="single" w:sz="8" w:color="CFF0FC"/>
            </w:tcBorders>
          </w:tcPr>
          <w:p>
            <w:pPr>
              <w:spacing w:after="0"/>
              <w:rPr>
                <w:sz w:val="16"/>
                <w:szCs w:val="16"/>
                <w:color w:val="auto"/>
              </w:rPr>
            </w:pPr>
          </w:p>
        </w:tc>
        <w:tc>
          <w:tcPr>
            <w:tcW w:w="280" w:type="dxa"/>
            <w:vAlign w:val="bottom"/>
            <w:tcBorders>
              <w:bottom w:val="single" w:sz="8" w:color="CFF0FC"/>
            </w:tcBorders>
          </w:tcPr>
          <w:p>
            <w:pPr>
              <w:spacing w:after="0"/>
              <w:rPr>
                <w:sz w:val="16"/>
                <w:szCs w:val="16"/>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Arial" w:cs="Arial" w:eastAsia="Arial" w:hAnsi="Arial"/>
                <w:sz w:val="16"/>
                <w:szCs w:val="16"/>
                <w:color w:val="auto"/>
              </w:rPr>
              <w:t>-24.2%</w:t>
            </w:r>
          </w:p>
        </w:tc>
        <w:tc>
          <w:tcPr>
            <w:tcW w:w="11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193"/>
        </w:trPr>
        <w:tc>
          <w:tcPr>
            <w:tcW w:w="4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Northern Europe</w:t>
            </w:r>
          </w:p>
        </w:tc>
        <w:tc>
          <w:tcPr>
            <w:tcW w:w="1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1,934.2</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2,394.6</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-19.2%</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1"/>
        </w:trPr>
        <w:tc>
          <w:tcPr>
            <w:tcW w:w="410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APME</w:t>
            </w:r>
          </w:p>
        </w:tc>
        <w:tc>
          <w:tcPr>
            <w:tcW w:w="12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1,164.0</w:t>
            </w:r>
          </w:p>
        </w:tc>
        <w:tc>
          <w:tcPr>
            <w:tcW w:w="2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1,421.9</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Arial" w:cs="Arial" w:eastAsia="Arial" w:hAnsi="Arial"/>
                <w:sz w:val="16"/>
                <w:szCs w:val="16"/>
                <w:color w:val="auto"/>
              </w:rPr>
              <w:t>-18.1%</w:t>
            </w:r>
          </w:p>
        </w:tc>
        <w:tc>
          <w:tcPr>
            <w:tcW w:w="11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193"/>
        </w:trPr>
        <w:tc>
          <w:tcPr>
            <w:tcW w:w="410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8,361.3</w:t>
            </w:r>
          </w:p>
        </w:tc>
        <w:tc>
          <w:tcPr>
            <w:tcW w:w="2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10,418.0</w:t>
            </w: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500" w:type="dxa"/>
            <w:vAlign w:val="bottom"/>
            <w:tcBorders>
              <w:bottom w:val="single" w:sz="8" w:color="CFF0FC"/>
            </w:tcBorders>
            <w:shd w:val="clear" w:color="auto" w:fill="CFF0FC"/>
          </w:tcPr>
          <w:p>
            <w:pPr>
              <w:jc w:val="right"/>
              <w:ind w:right="341"/>
              <w:spacing w:after="0"/>
              <w:rPr>
                <w:sz w:val="20"/>
                <w:szCs w:val="20"/>
                <w:color w:val="auto"/>
              </w:rPr>
            </w:pPr>
            <w:r>
              <w:rPr>
                <w:rFonts w:ascii="Arial" w:cs="Arial" w:eastAsia="Arial" w:hAnsi="Arial"/>
                <w:sz w:val="16"/>
                <w:szCs w:val="16"/>
                <w:color w:val="auto"/>
              </w:rPr>
              <w:t>-19.7%</w:t>
            </w:r>
          </w:p>
        </w:tc>
        <w:tc>
          <w:tcPr>
            <w:tcW w:w="11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6"/>
                <w:szCs w:val="16"/>
                <w:color w:val="auto"/>
              </w:rPr>
              <w:t>Operating Unit Profit (Loss):</w:t>
            </w: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10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Americas:</w:t>
            </w: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00" w:type="dxa"/>
            <w:vAlign w:val="bottom"/>
          </w:tcPr>
          <w:p>
            <w:pPr>
              <w:ind w:left="420"/>
              <w:spacing w:after="0"/>
              <w:rPr>
                <w:sz w:val="20"/>
                <w:szCs w:val="20"/>
                <w:color w:val="auto"/>
              </w:rPr>
            </w:pPr>
            <w:r>
              <w:rPr>
                <w:rFonts w:ascii="Arial" w:cs="Arial" w:eastAsia="Arial" w:hAnsi="Arial"/>
                <w:sz w:val="16"/>
                <w:szCs w:val="16"/>
                <w:color w:val="auto"/>
              </w:rPr>
              <w:t>United States</w:t>
            </w:r>
          </w:p>
        </w:tc>
        <w:tc>
          <w:tcPr>
            <w:tcW w:w="1540" w:type="dxa"/>
            <w:vAlign w:val="bottom"/>
            <w:gridSpan w:val="2"/>
          </w:tcPr>
          <w:p>
            <w:pPr>
              <w:jc w:val="right"/>
              <w:ind w:right="107"/>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11.5</w:t>
            </w:r>
          </w:p>
        </w:tc>
        <w:tc>
          <w:tcPr>
            <w:tcW w:w="260" w:type="dxa"/>
            <w:vAlign w:val="bottom"/>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54.3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341"/>
              <w:spacing w:after="0"/>
              <w:rPr>
                <w:sz w:val="20"/>
                <w:szCs w:val="20"/>
                <w:color w:val="auto"/>
              </w:rPr>
            </w:pPr>
            <w:r>
              <w:rPr>
                <w:rFonts w:ascii="Arial" w:cs="Arial" w:eastAsia="Arial" w:hAnsi="Arial"/>
                <w:sz w:val="16"/>
                <w:szCs w:val="16"/>
                <w:color w:val="auto"/>
              </w:rPr>
              <w:t>-78.7%</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201"/>
        </w:trPr>
        <w:tc>
          <w:tcPr>
            <w:tcW w:w="41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Other Americas</w:t>
            </w:r>
          </w:p>
        </w:tc>
        <w:tc>
          <w:tcPr>
            <w:tcW w:w="128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24.8</w:t>
            </w:r>
          </w:p>
        </w:tc>
        <w:tc>
          <w:tcPr>
            <w:tcW w:w="26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33.0</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-25.0%</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193"/>
        </w:trPr>
        <w:tc>
          <w:tcPr>
            <w:tcW w:w="4100" w:type="dxa"/>
            <w:vAlign w:val="bottom"/>
            <w:tcBorders>
              <w:bottom w:val="single" w:sz="8" w:color="CFF0FC"/>
            </w:tcBorders>
          </w:tcPr>
          <w:p>
            <w:pPr>
              <w:spacing w:after="0"/>
              <w:rPr>
                <w:sz w:val="16"/>
                <w:szCs w:val="16"/>
                <w:color w:val="auto"/>
              </w:rPr>
            </w:pPr>
          </w:p>
        </w:tc>
        <w:tc>
          <w:tcPr>
            <w:tcW w:w="128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26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w:t>
            </w:r>
          </w:p>
        </w:tc>
        <w:tc>
          <w:tcPr>
            <w:tcW w:w="260" w:type="dxa"/>
            <w:vAlign w:val="bottom"/>
            <w:tcBorders>
              <w:bottom w:val="single" w:sz="8" w:color="CFF0FC"/>
            </w:tcBorders>
          </w:tcPr>
          <w:p>
            <w:pPr>
              <w:spacing w:after="0"/>
              <w:rPr>
                <w:sz w:val="16"/>
                <w:szCs w:val="16"/>
                <w:color w:val="auto"/>
              </w:rPr>
            </w:pPr>
          </w:p>
        </w:tc>
        <w:tc>
          <w:tcPr>
            <w:tcW w:w="280" w:type="dxa"/>
            <w:vAlign w:val="bottom"/>
            <w:tcBorders>
              <w:bottom w:val="single" w:sz="8" w:color="CFF0FC"/>
            </w:tcBorders>
          </w:tcPr>
          <w:p>
            <w:pPr>
              <w:spacing w:after="0"/>
              <w:rPr>
                <w:sz w:val="16"/>
                <w:szCs w:val="16"/>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Arial" w:cs="Arial" w:eastAsia="Arial" w:hAnsi="Arial"/>
                <w:sz w:val="16"/>
                <w:szCs w:val="16"/>
                <w:color w:val="auto"/>
              </w:rPr>
              <w:t>-58.4%</w:t>
            </w:r>
          </w:p>
        </w:tc>
        <w:tc>
          <w:tcPr>
            <w:tcW w:w="11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193"/>
        </w:trPr>
        <w:tc>
          <w:tcPr>
            <w:tcW w:w="4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Southern Europe:</w:t>
            </w:r>
          </w:p>
        </w:tc>
        <w:tc>
          <w:tcPr>
            <w:tcW w:w="1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100" w:type="dxa"/>
            <w:vAlign w:val="bottom"/>
          </w:tcPr>
          <w:p>
            <w:pPr>
              <w:ind w:left="420"/>
              <w:spacing w:after="0"/>
              <w:rPr>
                <w:sz w:val="20"/>
                <w:szCs w:val="20"/>
                <w:color w:val="auto"/>
              </w:rPr>
            </w:pPr>
            <w:r>
              <w:rPr>
                <w:rFonts w:ascii="Arial" w:cs="Arial" w:eastAsia="Arial" w:hAnsi="Arial"/>
                <w:sz w:val="16"/>
                <w:szCs w:val="16"/>
                <w:color w:val="auto"/>
              </w:rPr>
              <w:t>France</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131.0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341"/>
              <w:spacing w:after="0"/>
              <w:rPr>
                <w:sz w:val="20"/>
                <w:szCs w:val="20"/>
                <w:color w:val="auto"/>
              </w:rPr>
            </w:pPr>
            <w:r>
              <w:rPr>
                <w:rFonts w:ascii="Arial" w:cs="Arial" w:eastAsia="Arial" w:hAnsi="Arial"/>
                <w:sz w:val="16"/>
                <w:szCs w:val="16"/>
                <w:color w:val="auto"/>
              </w:rPr>
              <w:t>-72.9%</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201"/>
        </w:trPr>
        <w:tc>
          <w:tcPr>
            <w:tcW w:w="41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Italy</w:t>
            </w: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-49.8%</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01"/>
        </w:trPr>
        <w:tc>
          <w:tcPr>
            <w:tcW w:w="410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Other Southern Europe</w:t>
            </w:r>
          </w:p>
        </w:tc>
        <w:tc>
          <w:tcPr>
            <w:tcW w:w="12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2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Arial" w:cs="Arial" w:eastAsia="Arial" w:hAnsi="Arial"/>
                <w:sz w:val="16"/>
                <w:szCs w:val="16"/>
                <w:color w:val="auto"/>
              </w:rPr>
              <w:t>-85.0%</w:t>
            </w:r>
          </w:p>
        </w:tc>
        <w:tc>
          <w:tcPr>
            <w:tcW w:w="11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193"/>
        </w:trPr>
        <w:tc>
          <w:tcPr>
            <w:tcW w:w="41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65.1</w:t>
            </w:r>
          </w:p>
        </w:tc>
        <w:tc>
          <w:tcPr>
            <w:tcW w:w="26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210.2</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-69.1%</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193"/>
        </w:trPr>
        <w:tc>
          <w:tcPr>
            <w:tcW w:w="4100" w:type="dxa"/>
            <w:vAlign w:val="bottom"/>
          </w:tcPr>
          <w:p>
            <w:pPr>
              <w:ind w:left="220"/>
              <w:spacing w:after="0"/>
              <w:rPr>
                <w:sz w:val="20"/>
                <w:szCs w:val="20"/>
                <w:color w:val="auto"/>
              </w:rPr>
            </w:pPr>
            <w:r>
              <w:rPr>
                <w:rFonts w:ascii="Arial" w:cs="Arial" w:eastAsia="Arial" w:hAnsi="Arial"/>
                <w:sz w:val="16"/>
                <w:szCs w:val="16"/>
                <w:color w:val="auto"/>
              </w:rPr>
              <w:t>Northern Europe</w:t>
            </w: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(13.8)</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27.5</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481"/>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1"/>
        </w:trPr>
        <w:tc>
          <w:tcPr>
            <w:tcW w:w="4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APME</w:t>
            </w:r>
          </w:p>
        </w:tc>
        <w:tc>
          <w:tcPr>
            <w:tcW w:w="128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34.9</w:t>
            </w:r>
          </w:p>
        </w:tc>
        <w:tc>
          <w:tcPr>
            <w:tcW w:w="26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50.3</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-30.5%</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193"/>
        </w:trPr>
        <w:tc>
          <w:tcPr>
            <w:tcW w:w="4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122.5</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375.3</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FF0FC"/>
          </w:tcPr>
          <w:p>
            <w:pPr>
              <w:spacing w:after="0"/>
              <w:rPr>
                <w:sz w:val="20"/>
                <w:szCs w:val="20"/>
                <w:color w:val="auto"/>
              </w:rPr>
            </w:pPr>
            <w:r>
              <w:rPr>
                <w:rFonts w:ascii="Arial" w:cs="Arial" w:eastAsia="Arial" w:hAnsi="Arial"/>
                <w:sz w:val="16"/>
                <w:szCs w:val="16"/>
                <w:color w:val="auto"/>
              </w:rPr>
              <w:t>Corporate expenses</w:t>
            </w: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(54.4)</w:t>
            </w: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(59.8)</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00" w:type="dxa"/>
            <w:vAlign w:val="bottom"/>
          </w:tcPr>
          <w:p>
            <w:pPr>
              <w:spacing w:after="0"/>
              <w:rPr>
                <w:sz w:val="20"/>
                <w:szCs w:val="20"/>
                <w:color w:val="auto"/>
              </w:rPr>
            </w:pPr>
            <w:r>
              <w:rPr>
                <w:rFonts w:ascii="Arial" w:cs="Arial" w:eastAsia="Arial" w:hAnsi="Arial"/>
                <w:sz w:val="16"/>
                <w:szCs w:val="16"/>
                <w:color w:val="auto"/>
              </w:rPr>
              <w:t>Goodwill impairment charges</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(66.8)</w:t>
            </w:r>
          </w:p>
        </w:tc>
        <w:tc>
          <w:tcPr>
            <w:tcW w:w="26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(64.0)</w:t>
            </w: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 amortization expense</w:t>
            </w: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(13.6)</w:t>
            </w: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(15.2)</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100" w:type="dxa"/>
            <w:vAlign w:val="bottom"/>
          </w:tcPr>
          <w:p>
            <w:pPr>
              <w:ind w:left="220"/>
              <w:spacing w:after="0"/>
              <w:rPr>
                <w:sz w:val="20"/>
                <w:szCs w:val="20"/>
                <w:color w:val="auto"/>
              </w:rPr>
            </w:pPr>
            <w:r>
              <w:rPr>
                <w:rFonts w:ascii="Arial" w:cs="Arial" w:eastAsia="Arial" w:hAnsi="Arial"/>
                <w:sz w:val="16"/>
                <w:szCs w:val="16"/>
                <w:color w:val="auto"/>
              </w:rPr>
              <w:t>Operating (loss) profit</w:t>
            </w:r>
          </w:p>
        </w:tc>
        <w:tc>
          <w:tcPr>
            <w:tcW w:w="12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2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236.3</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481"/>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2"/>
        </w:trPr>
        <w:tc>
          <w:tcPr>
            <w:tcW w:w="4100" w:type="dxa"/>
            <w:vAlign w:val="bottom"/>
            <w:shd w:val="clear" w:color="auto" w:fill="CFF0FC"/>
          </w:tcPr>
          <w:p>
            <w:pPr>
              <w:spacing w:after="0"/>
              <w:rPr>
                <w:sz w:val="20"/>
                <w:szCs w:val="20"/>
                <w:color w:val="auto"/>
              </w:rPr>
            </w:pPr>
            <w:r>
              <w:rPr>
                <w:rFonts w:ascii="Arial" w:cs="Arial" w:eastAsia="Arial" w:hAnsi="Arial"/>
                <w:sz w:val="16"/>
                <w:szCs w:val="16"/>
                <w:color w:val="auto"/>
              </w:rPr>
              <w:t>Interest and other (expenses) income, net (b)</w:t>
            </w: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(26.3)</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58.3</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00" w:type="dxa"/>
            <w:vAlign w:val="bottom"/>
          </w:tcPr>
          <w:p>
            <w:pPr>
              <w:ind w:left="220"/>
              <w:spacing w:after="0"/>
              <w:rPr>
                <w:sz w:val="20"/>
                <w:szCs w:val="20"/>
                <w:color w:val="auto"/>
              </w:rPr>
            </w:pPr>
            <w:r>
              <w:rPr>
                <w:rFonts w:ascii="Arial" w:cs="Arial" w:eastAsia="Arial" w:hAnsi="Arial"/>
                <w:sz w:val="16"/>
                <w:szCs w:val="16"/>
                <w:color w:val="auto"/>
              </w:rPr>
              <w:t>(Loss) earnings before income taxes</w:t>
            </w:r>
          </w:p>
        </w:tc>
        <w:tc>
          <w:tcPr>
            <w:tcW w:w="12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(38.6)</w:t>
            </w:r>
          </w:p>
        </w:tc>
        <w:tc>
          <w:tcPr>
            <w:tcW w:w="26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294.6</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left="525" w:right="40" w:hanging="525"/>
        <w:spacing w:after="0" w:line="257" w:lineRule="auto"/>
        <w:tabs>
          <w:tab w:leader="none" w:pos="525"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$5.4 million and $7.3 million for the six months ended June 30, 2020 and 2019, respectively. These fees are primarily based on revenues generated by the franchise offices, which were $198.8 million and $311.2 million for the six months ended June 30, 2020 and 2019, respectively.</w:t>
      </w:r>
    </w:p>
    <w:p>
      <w:pPr>
        <w:spacing w:after="0" w:line="47" w:lineRule="exact"/>
        <w:rPr>
          <w:rFonts w:ascii="Arial" w:cs="Arial" w:eastAsia="Arial" w:hAnsi="Arial"/>
          <w:sz w:val="16"/>
          <w:szCs w:val="16"/>
          <w:color w:val="auto"/>
        </w:rPr>
      </w:pPr>
    </w:p>
    <w:p>
      <w:pPr>
        <w:ind w:left="525" w:hanging="525"/>
        <w:spacing w:after="0"/>
        <w:tabs>
          <w:tab w:leader="none" w:pos="52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components of interest and other expenses (income), net were:</w:t>
      </w:r>
    </w:p>
    <w:p>
      <w:pPr>
        <w:spacing w:after="0" w:line="16" w:lineRule="exact"/>
        <w:rPr>
          <w:sz w:val="20"/>
          <w:szCs w:val="20"/>
          <w:color w:val="auto"/>
        </w:rPr>
      </w:pPr>
    </w:p>
    <w:tbl>
      <w:tblPr>
        <w:tblLayout w:type="fixed"/>
        <w:tblInd w:w="5" w:type="dxa"/>
        <w:tblCellMar>
          <w:top w:w="0" w:type="dxa"/>
          <w:left w:w="0" w:type="dxa"/>
          <w:bottom w:w="0" w:type="dxa"/>
          <w:right w:w="0" w:type="dxa"/>
        </w:tblCellMar>
      </w:tblPr>
      <w:tr>
        <w:trPr>
          <w:trHeight w:val="191"/>
        </w:trPr>
        <w:tc>
          <w:tcPr>
            <w:tcW w:w="7740" w:type="dxa"/>
            <w:vAlign w:val="bottom"/>
            <w:tcBorders>
              <w:bottom w:val="single" w:sz="8" w:color="CFF0FC"/>
            </w:tcBorders>
          </w:tcPr>
          <w:p>
            <w:pPr>
              <w:spacing w:after="0"/>
              <w:rPr>
                <w:sz w:val="16"/>
                <w:szCs w:val="16"/>
                <w:color w:val="auto"/>
              </w:rPr>
            </w:pP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100" w:type="dxa"/>
            <w:vAlign w:val="bottom"/>
            <w:shd w:val="clear" w:color="auto" w:fill="CFF0FC"/>
          </w:tcPr>
          <w:p>
            <w:pPr>
              <w:jc w:val="right"/>
              <w:ind w:right="944"/>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740" w:type="dxa"/>
            <w:vAlign w:val="bottom"/>
          </w:tcPr>
          <w:p>
            <w:pPr>
              <w:spacing w:after="0"/>
              <w:rPr>
                <w:sz w:val="20"/>
                <w:szCs w:val="20"/>
                <w:color w:val="auto"/>
              </w:rPr>
            </w:pPr>
            <w:r>
              <w:rPr>
                <w:rFonts w:ascii="Arial" w:cs="Arial" w:eastAsia="Arial" w:hAnsi="Arial"/>
                <w:sz w:val="16"/>
                <w:szCs w:val="16"/>
                <w:color w:val="auto"/>
              </w:rPr>
              <w:t>Interest income</w:t>
            </w:r>
          </w:p>
        </w:tc>
        <w:tc>
          <w:tcPr>
            <w:tcW w:w="1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Foreign exchange loss</w:t>
            </w:r>
          </w:p>
        </w:tc>
        <w:tc>
          <w:tcPr>
            <w:tcW w:w="11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spacing w:after="0"/>
              <w:rPr>
                <w:sz w:val="20"/>
                <w:szCs w:val="20"/>
                <w:color w:val="auto"/>
              </w:rPr>
            </w:pPr>
            <w:r>
              <w:rPr>
                <w:rFonts w:ascii="Arial" w:cs="Arial" w:eastAsia="Arial" w:hAnsi="Arial"/>
                <w:sz w:val="16"/>
                <w:szCs w:val="16"/>
                <w:color w:val="auto"/>
              </w:rPr>
              <w:t>Miscellaneous expense (income) (c)</w:t>
            </w:r>
          </w:p>
        </w:tc>
        <w:tc>
          <w:tcPr>
            <w:tcW w:w="1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(79.5)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74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944"/>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w:t>
            </w:r>
          </w:p>
        </w:tc>
        <w:tc>
          <w:tcPr>
            <w:tcW w:w="16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7740" w:type="dxa"/>
            <w:vAlign w:val="bottom"/>
          </w:tcPr>
          <w:p>
            <w:pPr>
              <w:ind w:left="20"/>
              <w:spacing w:after="0"/>
              <w:rPr>
                <w:sz w:val="20"/>
                <w:szCs w:val="20"/>
                <w:color w:val="auto"/>
              </w:rPr>
            </w:pPr>
            <w:r>
              <w:rPr>
                <w:rFonts w:ascii="Arial" w:cs="Arial" w:eastAsia="Arial" w:hAnsi="Arial"/>
                <w:sz w:val="16"/>
                <w:szCs w:val="16"/>
                <w:color w:val="auto"/>
                <w:w w:val="95"/>
              </w:rPr>
              <w:t>(c)   2019 includes an $80.0 million gain related to our acquisition of the remaining controlling interest of our Swiss</w:t>
            </w:r>
          </w:p>
        </w:tc>
        <w:tc>
          <w:tcPr>
            <w:tcW w:w="1100" w:type="dxa"/>
            <w:vAlign w:val="bottom"/>
          </w:tcPr>
          <w:p>
            <w:pPr>
              <w:jc w:val="right"/>
              <w:ind w:right="264"/>
              <w:spacing w:after="0"/>
              <w:rPr>
                <w:sz w:val="20"/>
                <w:szCs w:val="20"/>
                <w:color w:val="auto"/>
              </w:rPr>
            </w:pPr>
            <w:r>
              <w:rPr>
                <w:rFonts w:ascii="Arial" w:cs="Arial" w:eastAsia="Arial" w:hAnsi="Arial"/>
                <w:sz w:val="16"/>
                <w:szCs w:val="16"/>
                <w:color w:val="auto"/>
              </w:rPr>
              <w:t>franchise.</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77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7157085</wp:posOffset>
            </wp:positionH>
            <wp:positionV relativeFrom="paragraph">
              <wp:posOffset>-6985</wp:posOffset>
            </wp:positionV>
            <wp:extent cx="76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762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5"/>
          </w:cols>
          <w:pgMar w:left="315" w:top="316" w:right="299" w:bottom="1440" w:gutter="0" w:footer="0" w:header="0"/>
        </w:sectPr>
      </w:pPr>
    </w:p>
    <w:bookmarkStart w:id="10" w:name="page11"/>
    <w:bookmarkEnd w:id="10"/>
    <w:p>
      <w:pPr>
        <w:ind w:left="5080"/>
        <w:spacing w:after="0"/>
        <w:rPr>
          <w:sz w:val="20"/>
          <w:szCs w:val="20"/>
          <w:color w:val="auto"/>
        </w:rPr>
      </w:pPr>
      <w:r>
        <w:rPr>
          <w:rFonts w:ascii="Arial" w:cs="Arial" w:eastAsia="Arial" w:hAnsi="Arial"/>
          <w:sz w:val="16"/>
          <w:szCs w:val="16"/>
          <w:color w:val="auto"/>
        </w:rPr>
        <w:t>ManpowerGroup</w:t>
      </w:r>
    </w:p>
    <w:p>
      <w:pPr>
        <w:spacing w:after="0" w:line="41"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Consolidated Balance Sheets</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Jun. 30</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9"/>
              </w:rPr>
              <w:t>Dec.31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740" w:type="dxa"/>
            <w:vAlign w:val="bottom"/>
          </w:tcPr>
          <w:p>
            <w:pPr>
              <w:spacing w:after="0"/>
              <w:rPr>
                <w:sz w:val="17"/>
                <w:szCs w:val="17"/>
                <w:color w:val="auto"/>
              </w:rPr>
            </w:pPr>
          </w:p>
        </w:tc>
        <w:tc>
          <w:tcPr>
            <w:tcW w:w="102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gridSpan w:val="4"/>
          </w:tcPr>
          <w:p>
            <w:pPr>
              <w:jc w:val="right"/>
              <w:ind w:right="89"/>
              <w:spacing w:after="0"/>
              <w:rPr>
                <w:sz w:val="20"/>
                <w:szCs w:val="20"/>
                <w:color w:val="auto"/>
              </w:rPr>
            </w:pPr>
            <w:r>
              <w:rPr>
                <w:rFonts w:ascii="Arial" w:cs="Arial" w:eastAsia="Arial" w:hAnsi="Arial"/>
                <w:sz w:val="16"/>
                <w:szCs w:val="16"/>
                <w:color w:val="auto"/>
              </w:rPr>
              <w:t>(Unaudited)</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spacing w:after="0"/>
              <w:rPr>
                <w:sz w:val="20"/>
                <w:szCs w:val="20"/>
                <w:color w:val="auto"/>
              </w:rPr>
            </w:pPr>
            <w:r>
              <w:rPr>
                <w:rFonts w:ascii="Arial" w:cs="Arial" w:eastAsia="Arial" w:hAnsi="Arial"/>
                <w:sz w:val="16"/>
                <w:szCs w:val="16"/>
                <w:color w:val="auto"/>
              </w:rPr>
              <w:t>Current assets:</w:t>
            </w: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Cash and cash equivalents</w:t>
            </w:r>
          </w:p>
        </w:tc>
        <w:tc>
          <w:tcPr>
            <w:tcW w:w="1020" w:type="dxa"/>
            <w:vAlign w:val="bottom"/>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1,438.6</w:t>
            </w:r>
          </w:p>
        </w:tc>
        <w:tc>
          <w:tcPr>
            <w:tcW w:w="28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249"/>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1,025.8</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4,224.6</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5,273.1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Prepaid expenses and other assets</w:t>
            </w:r>
          </w:p>
        </w:tc>
        <w:tc>
          <w:tcPr>
            <w:tcW w:w="10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229.5</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185.6</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740" w:type="dxa"/>
            <w:vAlign w:val="bottom"/>
          </w:tcPr>
          <w:p>
            <w:pPr>
              <w:ind w:left="420"/>
              <w:spacing w:after="0"/>
              <w:rPr>
                <w:sz w:val="20"/>
                <w:szCs w:val="20"/>
                <w:color w:val="auto"/>
              </w:rPr>
            </w:pPr>
            <w:r>
              <w:rPr>
                <w:rFonts w:ascii="Arial" w:cs="Arial" w:eastAsia="Arial" w:hAnsi="Arial"/>
                <w:sz w:val="16"/>
                <w:szCs w:val="16"/>
                <w:color w:val="auto"/>
              </w:rPr>
              <w:t>Total current assets</w:t>
            </w: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5,892.7</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6,484.5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assets:</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1,178.2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1,260.1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Intangible assets, net</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255.1</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268.6</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Arial" w:cs="Arial" w:eastAsia="Arial" w:hAnsi="Arial"/>
                <w:sz w:val="16"/>
                <w:szCs w:val="16"/>
                <w:color w:val="auto"/>
              </w:rPr>
              <w:t>Operating lease right-of-use asset</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409.1</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448.5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Other assets</w:t>
            </w:r>
          </w:p>
        </w:tc>
        <w:tc>
          <w:tcPr>
            <w:tcW w:w="10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588.1</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618.8</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740" w:type="dxa"/>
            <w:vAlign w:val="bottom"/>
          </w:tcPr>
          <w:p>
            <w:pPr>
              <w:ind w:left="420"/>
              <w:spacing w:after="0"/>
              <w:rPr>
                <w:sz w:val="20"/>
                <w:szCs w:val="20"/>
                <w:color w:val="auto"/>
              </w:rPr>
            </w:pPr>
            <w:r>
              <w:rPr>
                <w:rFonts w:ascii="Arial" w:cs="Arial" w:eastAsia="Arial" w:hAnsi="Arial"/>
                <w:sz w:val="16"/>
                <w:szCs w:val="16"/>
                <w:color w:val="auto"/>
              </w:rPr>
              <w:t>Total other assets</w:t>
            </w: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2,430.5</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2,596.0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Property and equipment:</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Arial" w:cs="Arial" w:eastAsia="Arial" w:hAnsi="Arial"/>
                <w:sz w:val="16"/>
                <w:szCs w:val="16"/>
                <w:color w:val="auto"/>
              </w:rPr>
              <w:t>Land, buildings, leasehold improvements and equipment</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593.9</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605.5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Less: accumulated depreciation and amortization</w:t>
            </w:r>
          </w:p>
        </w:tc>
        <w:tc>
          <w:tcPr>
            <w:tcW w:w="10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457.5</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462.2</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4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Net property and equipment</w:t>
            </w: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136.4</w:t>
            </w:r>
          </w:p>
        </w:tc>
        <w:tc>
          <w:tcPr>
            <w:tcW w:w="2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w:t>
            </w:r>
          </w:p>
        </w:tc>
        <w:tc>
          <w:tcPr>
            <w:tcW w:w="120" w:type="dxa"/>
            <w:vAlign w:val="bottom"/>
            <w:tcBorders>
              <w:bottom w:val="single" w:sz="8" w:color="CFF0F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4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6"/>
                <w:szCs w:val="16"/>
                <w:color w:val="auto"/>
              </w:rPr>
              <w:t>Total assets</w:t>
            </w:r>
          </w:p>
        </w:tc>
        <w:tc>
          <w:tcPr>
            <w:tcW w:w="1020" w:type="dxa"/>
            <w:vAlign w:val="bottom"/>
            <w:tcBorders>
              <w:bottom w:val="single" w:sz="8" w:color="auto"/>
            </w:tcBorders>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8,459.6</w:t>
            </w:r>
          </w:p>
        </w:tc>
        <w:tc>
          <w:tcPr>
            <w:tcW w:w="28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9,223.8</w:t>
            </w:r>
          </w:p>
        </w:tc>
        <w:tc>
          <w:tcPr>
            <w:tcW w:w="120" w:type="dxa"/>
            <w:vAlign w:val="bottom"/>
            <w:tcBorders>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4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Current liabilities:</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020" w:type="dxa"/>
            <w:vAlign w:val="bottom"/>
          </w:tcPr>
          <w:p>
            <w:pPr>
              <w:jc w:val="right"/>
              <w:ind w:right="86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3"/>
              </w:rPr>
              <w:t>2,243.5</w:t>
            </w:r>
          </w:p>
        </w:tc>
        <w:tc>
          <w:tcPr>
            <w:tcW w:w="280" w:type="dxa"/>
            <w:vAlign w:val="bottom"/>
          </w:tcPr>
          <w:p>
            <w:pPr>
              <w:spacing w:after="0"/>
              <w:rPr>
                <w:sz w:val="17"/>
                <w:szCs w:val="17"/>
                <w:color w:val="auto"/>
              </w:rPr>
            </w:pPr>
          </w:p>
        </w:tc>
        <w:tc>
          <w:tcPr>
            <w:tcW w:w="380" w:type="dxa"/>
            <w:vAlign w:val="bottom"/>
            <w:gridSpan w:val="2"/>
          </w:tcPr>
          <w:p>
            <w:pPr>
              <w:jc w:val="right"/>
              <w:ind w:right="249"/>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2,474.9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Employee compensation payable</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161.7</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206.4</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Arial" w:cs="Arial" w:eastAsia="Arial" w:hAnsi="Arial"/>
                <w:sz w:val="16"/>
                <w:szCs w:val="16"/>
                <w:color w:val="auto"/>
              </w:rPr>
              <w:t>Accrued liabilities</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499.6</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545.4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Accrued payroll taxes and insurance</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572.8</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649.7</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Arial" w:cs="Arial" w:eastAsia="Arial" w:hAnsi="Arial"/>
                <w:sz w:val="16"/>
                <w:szCs w:val="16"/>
                <w:color w:val="auto"/>
              </w:rPr>
              <w:t>Value added taxes payable</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419.5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504.0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Short-term borrowings and current maturities of long-term debt</w:t>
            </w:r>
          </w:p>
        </w:tc>
        <w:tc>
          <w:tcPr>
            <w:tcW w:w="10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40.5</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61.0</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740" w:type="dxa"/>
            <w:vAlign w:val="bottom"/>
          </w:tcPr>
          <w:p>
            <w:pPr>
              <w:ind w:left="420"/>
              <w:spacing w:after="0"/>
              <w:rPr>
                <w:sz w:val="20"/>
                <w:szCs w:val="20"/>
                <w:color w:val="auto"/>
              </w:rPr>
            </w:pPr>
            <w:r>
              <w:rPr>
                <w:rFonts w:ascii="Arial" w:cs="Arial" w:eastAsia="Arial" w:hAnsi="Arial"/>
                <w:sz w:val="16"/>
                <w:szCs w:val="16"/>
                <w:color w:val="auto"/>
              </w:rPr>
              <w:t>Total current liabilities</w:t>
            </w: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3,937.6</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4,441.4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liabilities:</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Arial" w:cs="Arial" w:eastAsia="Arial" w:hAnsi="Arial"/>
                <w:sz w:val="16"/>
                <w:szCs w:val="16"/>
                <w:color w:val="auto"/>
              </w:rPr>
              <w:t>Long-term debt</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1,014.3</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1,012.4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Long-term operating lease liability</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308.5</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336.7</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Other long-term liabilities</w:t>
            </w:r>
          </w:p>
        </w:tc>
        <w:tc>
          <w:tcPr>
            <w:tcW w:w="10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656.4</w:t>
            </w:r>
          </w:p>
        </w:tc>
        <w:tc>
          <w:tcPr>
            <w:tcW w:w="2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671.8</w:t>
            </w:r>
          </w:p>
        </w:tc>
        <w:tc>
          <w:tcPr>
            <w:tcW w:w="12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Total other liabilities</w:t>
            </w:r>
          </w:p>
        </w:tc>
        <w:tc>
          <w:tcPr>
            <w:tcW w:w="10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1,979.2</w:t>
            </w: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2,020.9</w:t>
            </w:r>
          </w:p>
        </w:tc>
        <w:tc>
          <w:tcPr>
            <w:tcW w:w="12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74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ManpowerGroup shareholders' equity</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Capital in excess of par value</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3,388.0</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3,370.6</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3,368.2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3,494.1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Accumulated other comprehensive loss</w:t>
            </w:r>
          </w:p>
        </w:tc>
        <w:tc>
          <w:tcPr>
            <w:tcW w:w="10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(479.1)</w:t>
            </w: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(441.0)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Arial" w:cs="Arial" w:eastAsia="Arial" w:hAnsi="Arial"/>
                <w:sz w:val="16"/>
                <w:szCs w:val="16"/>
                <w:color w:val="auto"/>
              </w:rPr>
              <w:t>Treasury stock, at cost</w:t>
            </w:r>
          </w:p>
        </w:tc>
        <w:tc>
          <w:tcPr>
            <w:tcW w:w="10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(3,752.3)</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(3,681.9)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4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ManpowerGroup shareholders' equity</w:t>
            </w:r>
          </w:p>
        </w:tc>
        <w:tc>
          <w:tcPr>
            <w:tcW w:w="1020" w:type="dxa"/>
            <w:vAlign w:val="bottom"/>
            <w:tcBorders>
              <w:top w:val="single" w:sz="8" w:color="auto"/>
              <w:bottom w:val="single" w:sz="8" w:color="auto"/>
            </w:tcBorders>
            <w:shd w:val="clear" w:color="auto" w:fill="CFF0FC"/>
          </w:tcPr>
          <w:p>
            <w:pPr>
              <w:spacing w:after="0"/>
              <w:rPr>
                <w:sz w:val="16"/>
                <w:szCs w:val="16"/>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2,526.0</w:t>
            </w:r>
          </w:p>
        </w:tc>
        <w:tc>
          <w:tcPr>
            <w:tcW w:w="28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bottom w:val="single" w:sz="8" w:color="auto"/>
            </w:tcBorders>
            <w:shd w:val="clear" w:color="auto" w:fill="CFF0FC"/>
          </w:tcPr>
          <w:p>
            <w:pPr>
              <w:spacing w:after="0"/>
              <w:rPr>
                <w:sz w:val="16"/>
                <w:szCs w:val="16"/>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2,743.0</w:t>
            </w:r>
          </w:p>
        </w:tc>
        <w:tc>
          <w:tcPr>
            <w:tcW w:w="120" w:type="dxa"/>
            <w:vAlign w:val="bottom"/>
            <w:tcBorders>
              <w:top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Noncontrolling interests</w:t>
            </w: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2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FF0F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Total shareholders' equity</w:t>
            </w:r>
          </w:p>
        </w:tc>
        <w:tc>
          <w:tcPr>
            <w:tcW w:w="102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2,542.8</w:t>
            </w: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2,761.5</w:t>
            </w:r>
          </w:p>
        </w:tc>
        <w:tc>
          <w:tcPr>
            <w:tcW w:w="12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40" w:type="dxa"/>
            <w:vAlign w:val="bottom"/>
          </w:tcPr>
          <w:p>
            <w:pPr>
              <w:ind w:left="220"/>
              <w:spacing w:after="0"/>
              <w:rPr>
                <w:sz w:val="20"/>
                <w:szCs w:val="20"/>
                <w:color w:val="auto"/>
              </w:rPr>
            </w:pPr>
            <w:r>
              <w:rPr>
                <w:rFonts w:ascii="Arial" w:cs="Arial" w:eastAsia="Arial" w:hAnsi="Arial"/>
                <w:sz w:val="16"/>
                <w:szCs w:val="16"/>
                <w:color w:val="auto"/>
              </w:rPr>
              <w:t>Total liabilities and shareholders' equity</w:t>
            </w:r>
          </w:p>
        </w:tc>
        <w:tc>
          <w:tcPr>
            <w:tcW w:w="1020" w:type="dxa"/>
            <w:vAlign w:val="bottom"/>
            <w:tcBorders>
              <w:bottom w:val="single" w:sz="8" w:color="auto"/>
            </w:tcBorders>
          </w:tcPr>
          <w:p>
            <w:pPr>
              <w:jc w:val="right"/>
              <w:ind w:right="86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8,459.6</w:t>
            </w: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9,223.8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77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-6985</wp:posOffset>
            </wp:positionV>
            <wp:extent cx="762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316" w:right="299" w:bottom="1440" w:gutter="0" w:footer="0" w:header="0"/>
        </w:sectPr>
      </w:pPr>
    </w:p>
    <w:bookmarkStart w:id="11" w:name="page12"/>
    <w:bookmarkEnd w:id="11"/>
    <w:p>
      <w:pPr>
        <w:ind w:left="5080"/>
        <w:spacing w:after="0"/>
        <w:rPr>
          <w:sz w:val="20"/>
          <w:szCs w:val="20"/>
          <w:color w:val="auto"/>
        </w:rPr>
      </w:pPr>
      <w:r>
        <w:rPr>
          <w:rFonts w:ascii="Arial" w:cs="Arial" w:eastAsia="Arial" w:hAnsi="Arial"/>
          <w:sz w:val="16"/>
          <w:szCs w:val="16"/>
          <w:color w:val="auto"/>
        </w:rPr>
        <w:t>ManpowerGroup</w:t>
      </w:r>
    </w:p>
    <w:p>
      <w:pPr>
        <w:spacing w:after="0" w:line="41"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Consolidated Statements of Cash Flows</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8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Six Months Ended</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5"/>
        </w:trPr>
        <w:tc>
          <w:tcPr>
            <w:tcW w:w="77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7"/>
              </w:rPr>
              <w:t>June 30</w:t>
            </w: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4"/>
        </w:trPr>
        <w:tc>
          <w:tcPr>
            <w:tcW w:w="7740" w:type="dxa"/>
            <w:vAlign w:val="bottom"/>
          </w:tcPr>
          <w:p>
            <w:pPr>
              <w:spacing w:after="0"/>
              <w:rPr>
                <w:sz w:val="16"/>
                <w:szCs w:val="16"/>
                <w:color w:val="auto"/>
              </w:rPr>
            </w:pP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6"/>
                <w:szCs w:val="16"/>
                <w:color w:val="auto"/>
              </w:rPr>
            </w:pPr>
          </w:p>
        </w:tc>
      </w:tr>
      <w:tr>
        <w:trPr>
          <w:trHeight w:val="192"/>
        </w:trPr>
        <w:tc>
          <w:tcPr>
            <w:tcW w:w="7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gridSpan w:val="4"/>
          </w:tcPr>
          <w:p>
            <w:pPr>
              <w:jc w:val="center"/>
              <w:spacing w:after="0"/>
              <w:rPr>
                <w:sz w:val="20"/>
                <w:szCs w:val="20"/>
                <w:color w:val="auto"/>
              </w:rPr>
            </w:pPr>
            <w:r>
              <w:rPr>
                <w:rFonts w:ascii="Arial" w:cs="Arial" w:eastAsia="Arial" w:hAnsi="Arial"/>
                <w:sz w:val="16"/>
                <w:szCs w:val="16"/>
                <w:color w:val="auto"/>
                <w:w w:val="90"/>
              </w:rPr>
              <w:t>(Unaudited)</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2"/>
        </w:trPr>
        <w:tc>
          <w:tcPr>
            <w:tcW w:w="7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0"/>
        </w:trPr>
        <w:tc>
          <w:tcPr>
            <w:tcW w:w="7740" w:type="dxa"/>
            <w:vAlign w:val="bottom"/>
          </w:tcPr>
          <w:p>
            <w:pPr>
              <w:spacing w:after="0"/>
              <w:rPr>
                <w:sz w:val="20"/>
                <w:szCs w:val="20"/>
                <w:color w:val="auto"/>
              </w:rPr>
            </w:pPr>
            <w:r>
              <w:rPr>
                <w:rFonts w:ascii="Arial" w:cs="Arial" w:eastAsia="Arial" w:hAnsi="Arial"/>
                <w:sz w:val="16"/>
                <w:szCs w:val="16"/>
                <w:color w:val="auto"/>
              </w:rPr>
              <w:t>Net (loss) earnings</w:t>
            </w:r>
          </w:p>
        </w:tc>
        <w:tc>
          <w:tcPr>
            <w:tcW w:w="1000" w:type="dxa"/>
            <w:vAlign w:val="bottom"/>
          </w:tcPr>
          <w:p>
            <w:pPr>
              <w:jc w:val="right"/>
              <w:ind w:right="84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(62.7)</w:t>
            </w:r>
          </w:p>
        </w:tc>
        <w:tc>
          <w:tcPr>
            <w:tcW w:w="540" w:type="dxa"/>
            <w:vAlign w:val="bottom"/>
            <w:gridSpan w:val="2"/>
          </w:tcPr>
          <w:p>
            <w:pPr>
              <w:jc w:val="right"/>
              <w:ind w:right="409"/>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180.8</w:t>
            </w:r>
          </w:p>
        </w:tc>
        <w:tc>
          <w:tcPr>
            <w:tcW w:w="120" w:type="dxa"/>
            <w:vAlign w:val="bottom"/>
          </w:tcPr>
          <w:p>
            <w:pPr>
              <w:spacing w:after="0"/>
              <w:rPr>
                <w:sz w:val="17"/>
                <w:szCs w:val="17"/>
                <w:color w:val="auto"/>
              </w:rPr>
            </w:pPr>
          </w:p>
        </w:tc>
      </w:tr>
      <w:tr>
        <w:trPr>
          <w:trHeight w:val="202"/>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earnings to net cash provided by operating activities:</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1"/>
        </w:trPr>
        <w:tc>
          <w:tcPr>
            <w:tcW w:w="7740" w:type="dxa"/>
            <w:vAlign w:val="bottom"/>
          </w:tcPr>
          <w:p>
            <w:pPr>
              <w:ind w:left="42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37.0</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17"/>
                <w:szCs w:val="17"/>
                <w:color w:val="auto"/>
              </w:rPr>
            </w:pPr>
          </w:p>
        </w:tc>
      </w:tr>
      <w:tr>
        <w:trPr>
          <w:trHeight w:val="201"/>
        </w:trPr>
        <w:tc>
          <w:tcPr>
            <w:tcW w:w="77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Non-cash gain on disposition of previously held equity interest</w:t>
            </w:r>
          </w:p>
        </w:tc>
        <w:tc>
          <w:tcPr>
            <w:tcW w:w="10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(80.4)</w:t>
            </w:r>
          </w:p>
        </w:tc>
      </w:tr>
      <w:tr>
        <w:trPr>
          <w:trHeight w:val="201"/>
        </w:trPr>
        <w:tc>
          <w:tcPr>
            <w:tcW w:w="7740" w:type="dxa"/>
            <w:vAlign w:val="bottom"/>
          </w:tcPr>
          <w:p>
            <w:pPr>
              <w:ind w:left="420"/>
              <w:spacing w:after="0"/>
              <w:rPr>
                <w:sz w:val="20"/>
                <w:szCs w:val="20"/>
                <w:color w:val="auto"/>
              </w:rPr>
            </w:pPr>
            <w:r>
              <w:rPr>
                <w:rFonts w:ascii="Arial" w:cs="Arial" w:eastAsia="Arial" w:hAnsi="Arial"/>
                <w:sz w:val="16"/>
                <w:szCs w:val="16"/>
                <w:color w:val="auto"/>
              </w:rPr>
              <w:t>Non-cash goodwill and other impairment charges</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71.3</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17"/>
                <w:szCs w:val="17"/>
                <w:color w:val="auto"/>
              </w:rPr>
            </w:pPr>
          </w:p>
        </w:tc>
      </w:tr>
      <w:tr>
        <w:trPr>
          <w:trHeight w:val="201"/>
        </w:trPr>
        <w:tc>
          <w:tcPr>
            <w:tcW w:w="77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Deferred income taxes</w:t>
            </w:r>
          </w:p>
        </w:tc>
        <w:tc>
          <w:tcPr>
            <w:tcW w:w="10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(7.9)</w:t>
            </w: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FF0FC"/>
          </w:tcPr>
          <w:p>
            <w:pPr>
              <w:spacing w:after="0"/>
              <w:rPr>
                <w:sz w:val="17"/>
                <w:szCs w:val="17"/>
                <w:color w:val="auto"/>
              </w:rPr>
            </w:pPr>
          </w:p>
        </w:tc>
      </w:tr>
      <w:tr>
        <w:trPr>
          <w:trHeight w:val="201"/>
        </w:trPr>
        <w:tc>
          <w:tcPr>
            <w:tcW w:w="7740" w:type="dxa"/>
            <w:vAlign w:val="bottom"/>
          </w:tcPr>
          <w:p>
            <w:pPr>
              <w:ind w:left="420"/>
              <w:spacing w:after="0"/>
              <w:rPr>
                <w:sz w:val="20"/>
                <w:szCs w:val="20"/>
                <w:color w:val="auto"/>
              </w:rPr>
            </w:pPr>
            <w:r>
              <w:rPr>
                <w:rFonts w:ascii="Arial" w:cs="Arial" w:eastAsia="Arial" w:hAnsi="Arial"/>
                <w:sz w:val="16"/>
                <w:szCs w:val="16"/>
                <w:color w:val="auto"/>
              </w:rPr>
              <w:t>Provision for doubtful accounts</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10.9</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7"/>
                <w:szCs w:val="17"/>
                <w:color w:val="auto"/>
              </w:rPr>
            </w:pPr>
          </w:p>
        </w:tc>
      </w:tr>
      <w:tr>
        <w:trPr>
          <w:trHeight w:val="201"/>
        </w:trPr>
        <w:tc>
          <w:tcPr>
            <w:tcW w:w="77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Share-based compensation</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FF0FC"/>
          </w:tcPr>
          <w:p>
            <w:pPr>
              <w:spacing w:after="0"/>
              <w:rPr>
                <w:sz w:val="17"/>
                <w:szCs w:val="17"/>
                <w:color w:val="auto"/>
              </w:rPr>
            </w:pPr>
          </w:p>
        </w:tc>
      </w:tr>
      <w:tr>
        <w:trPr>
          <w:trHeight w:val="201"/>
        </w:trPr>
        <w:tc>
          <w:tcPr>
            <w:tcW w:w="7740" w:type="dxa"/>
            <w:vAlign w:val="bottom"/>
          </w:tcPr>
          <w:p>
            <w:pPr>
              <w:spacing w:after="0"/>
              <w:rPr>
                <w:sz w:val="20"/>
                <w:szCs w:val="20"/>
                <w:color w:val="auto"/>
              </w:rPr>
            </w:pPr>
            <w:r>
              <w:rPr>
                <w:rFonts w:ascii="Arial" w:cs="Arial" w:eastAsia="Arial" w:hAnsi="Arial"/>
                <w:sz w:val="16"/>
                <w:szCs w:val="16"/>
                <w:color w:val="auto"/>
              </w:rPr>
              <w:t>Changes in operating assets and liabilities, excluding the impact of acquisitions:</w:t>
            </w: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77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Accounts receivable</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988.3</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(120.9)</w:t>
            </w:r>
          </w:p>
        </w:tc>
      </w:tr>
      <w:tr>
        <w:trPr>
          <w:trHeight w:val="201"/>
        </w:trPr>
        <w:tc>
          <w:tcPr>
            <w:tcW w:w="7740" w:type="dxa"/>
            <w:vAlign w:val="bottom"/>
          </w:tcPr>
          <w:p>
            <w:pPr>
              <w:ind w:left="420"/>
              <w:spacing w:after="0"/>
              <w:rPr>
                <w:sz w:val="20"/>
                <w:szCs w:val="20"/>
                <w:color w:val="auto"/>
              </w:rPr>
            </w:pPr>
            <w:r>
              <w:rPr>
                <w:rFonts w:ascii="Arial" w:cs="Arial" w:eastAsia="Arial" w:hAnsi="Arial"/>
                <w:sz w:val="16"/>
                <w:szCs w:val="16"/>
                <w:color w:val="auto"/>
              </w:rPr>
              <w:t>Other assets</w:t>
            </w:r>
          </w:p>
        </w:tc>
        <w:tc>
          <w:tcPr>
            <w:tcW w:w="10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(27.2)</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17"/>
                <w:szCs w:val="17"/>
                <w:color w:val="auto"/>
              </w:rPr>
            </w:pPr>
          </w:p>
        </w:tc>
      </w:tr>
      <w:tr>
        <w:trPr>
          <w:trHeight w:val="201"/>
        </w:trPr>
        <w:tc>
          <w:tcPr>
            <w:tcW w:w="77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Other liabilities</w:t>
            </w:r>
          </w:p>
        </w:tc>
        <w:tc>
          <w:tcPr>
            <w:tcW w:w="10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(425.1)</w:t>
            </w: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75.2</w:t>
            </w:r>
          </w:p>
        </w:tc>
        <w:tc>
          <w:tcPr>
            <w:tcW w:w="120" w:type="dxa"/>
            <w:vAlign w:val="bottom"/>
            <w:shd w:val="clear" w:color="auto" w:fill="CFF0FC"/>
          </w:tcPr>
          <w:p>
            <w:pPr>
              <w:spacing w:after="0"/>
              <w:rPr>
                <w:sz w:val="17"/>
                <w:szCs w:val="17"/>
                <w:color w:val="auto"/>
              </w:rPr>
            </w:pPr>
          </w:p>
        </w:tc>
      </w:tr>
      <w:tr>
        <w:trPr>
          <w:trHeight w:val="193"/>
        </w:trPr>
        <w:tc>
          <w:tcPr>
            <w:tcW w:w="7740" w:type="dxa"/>
            <w:vAlign w:val="bottom"/>
            <w:tcBorders>
              <w:bottom w:val="single" w:sz="8" w:color="CFF0FC"/>
            </w:tcBorders>
          </w:tcPr>
          <w:p>
            <w:pPr>
              <w:ind w:left="640"/>
              <w:spacing w:after="0"/>
              <w:rPr>
                <w:sz w:val="20"/>
                <w:szCs w:val="20"/>
                <w:color w:val="auto"/>
              </w:rPr>
            </w:pPr>
            <w:r>
              <w:rPr>
                <w:rFonts w:ascii="Arial" w:cs="Arial" w:eastAsia="Arial" w:hAnsi="Arial"/>
                <w:sz w:val="16"/>
                <w:szCs w:val="16"/>
                <w:color w:val="auto"/>
              </w:rPr>
              <w:t>Cash provided by operating activities</w:t>
            </w:r>
          </w:p>
        </w:tc>
        <w:tc>
          <w:tcPr>
            <w:tcW w:w="100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596.1</w:t>
            </w:r>
          </w:p>
        </w:tc>
        <w:tc>
          <w:tcPr>
            <w:tcW w:w="2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277.1</w:t>
            </w:r>
          </w:p>
        </w:tc>
        <w:tc>
          <w:tcPr>
            <w:tcW w:w="120" w:type="dxa"/>
            <w:vAlign w:val="bottom"/>
            <w:tcBorders>
              <w:bottom w:val="single" w:sz="8" w:color="CFF0FC"/>
            </w:tcBorders>
          </w:tcPr>
          <w:p>
            <w:pPr>
              <w:spacing w:after="0"/>
              <w:rPr>
                <w:sz w:val="16"/>
                <w:szCs w:val="16"/>
                <w:color w:val="auto"/>
              </w:rPr>
            </w:pPr>
          </w:p>
        </w:tc>
      </w:tr>
      <w:tr>
        <w:trPr>
          <w:trHeight w:val="193"/>
        </w:trPr>
        <w:tc>
          <w:tcPr>
            <w:tcW w:w="7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1"/>
        </w:trPr>
        <w:tc>
          <w:tcPr>
            <w:tcW w:w="7740" w:type="dxa"/>
            <w:vAlign w:val="bottom"/>
          </w:tcPr>
          <w:p>
            <w:pPr>
              <w:ind w:left="420"/>
              <w:spacing w:after="0"/>
              <w:rPr>
                <w:sz w:val="20"/>
                <w:szCs w:val="20"/>
                <w:color w:val="auto"/>
              </w:rPr>
            </w:pPr>
            <w:r>
              <w:rPr>
                <w:rFonts w:ascii="Arial" w:cs="Arial" w:eastAsia="Arial" w:hAnsi="Arial"/>
                <w:sz w:val="16"/>
                <w:szCs w:val="16"/>
                <w:color w:val="auto"/>
              </w:rPr>
              <w:t>Capital expenditures</w:t>
            </w:r>
          </w:p>
        </w:tc>
        <w:tc>
          <w:tcPr>
            <w:tcW w:w="10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(18.9)</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(24.0)</w:t>
            </w:r>
          </w:p>
        </w:tc>
      </w:tr>
      <w:tr>
        <w:trPr>
          <w:trHeight w:val="201"/>
        </w:trPr>
        <w:tc>
          <w:tcPr>
            <w:tcW w:w="77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Acquisitions of businesses, net of cash acquired</w:t>
            </w:r>
          </w:p>
        </w:tc>
        <w:tc>
          <w:tcPr>
            <w:tcW w:w="10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114.7</w:t>
            </w:r>
          </w:p>
        </w:tc>
        <w:tc>
          <w:tcPr>
            <w:tcW w:w="120" w:type="dxa"/>
            <w:vAlign w:val="bottom"/>
            <w:shd w:val="clear" w:color="auto" w:fill="CFF0FC"/>
          </w:tcPr>
          <w:p>
            <w:pPr>
              <w:spacing w:after="0"/>
              <w:rPr>
                <w:sz w:val="17"/>
                <w:szCs w:val="17"/>
                <w:color w:val="auto"/>
              </w:rPr>
            </w:pPr>
          </w:p>
        </w:tc>
      </w:tr>
      <w:tr>
        <w:trPr>
          <w:trHeight w:val="201"/>
        </w:trPr>
        <w:tc>
          <w:tcPr>
            <w:tcW w:w="774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Proceeds from the sale of subsidiaries, investments, property and equipment</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2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FF0FC"/>
            </w:tcBorders>
          </w:tcPr>
          <w:p>
            <w:pPr>
              <w:spacing w:after="0"/>
              <w:rPr>
                <w:sz w:val="17"/>
                <w:szCs w:val="17"/>
                <w:color w:val="auto"/>
              </w:rPr>
            </w:pPr>
          </w:p>
        </w:tc>
      </w:tr>
      <w:tr>
        <w:trPr>
          <w:trHeight w:val="193"/>
        </w:trPr>
        <w:tc>
          <w:tcPr>
            <w:tcW w:w="7740" w:type="dxa"/>
            <w:vAlign w:val="bottom"/>
            <w:shd w:val="clear" w:color="auto" w:fill="CFF0FC"/>
          </w:tcPr>
          <w:p>
            <w:pPr>
              <w:ind w:left="640"/>
              <w:spacing w:after="0"/>
              <w:rPr>
                <w:sz w:val="20"/>
                <w:szCs w:val="20"/>
                <w:color w:val="auto"/>
              </w:rPr>
            </w:pPr>
            <w:r>
              <w:rPr>
                <w:rFonts w:ascii="Arial" w:cs="Arial" w:eastAsia="Arial" w:hAnsi="Arial"/>
                <w:sz w:val="16"/>
                <w:szCs w:val="16"/>
                <w:color w:val="auto"/>
              </w:rPr>
              <w:t>Cash (used in) provided by investing activities</w:t>
            </w:r>
          </w:p>
        </w:tc>
        <w:tc>
          <w:tcPr>
            <w:tcW w:w="10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(18.1)</w:t>
            </w:r>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98.7</w:t>
            </w:r>
          </w:p>
        </w:tc>
        <w:tc>
          <w:tcPr>
            <w:tcW w:w="120" w:type="dxa"/>
            <w:vAlign w:val="bottom"/>
            <w:shd w:val="clear" w:color="auto" w:fill="CFF0FC"/>
          </w:tcPr>
          <w:p>
            <w:pPr>
              <w:spacing w:after="0"/>
              <w:rPr>
                <w:sz w:val="16"/>
                <w:szCs w:val="16"/>
                <w:color w:val="auto"/>
              </w:rPr>
            </w:pPr>
          </w:p>
        </w:tc>
      </w:tr>
      <w:tr>
        <w:trPr>
          <w:trHeight w:val="192"/>
        </w:trPr>
        <w:tc>
          <w:tcPr>
            <w:tcW w:w="774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02"/>
        </w:trPr>
        <w:tc>
          <w:tcPr>
            <w:tcW w:w="77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Net change in short-term borrowings</w:t>
            </w:r>
          </w:p>
        </w:tc>
        <w:tc>
          <w:tcPr>
            <w:tcW w:w="10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(17.8)</w:t>
            </w: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(3.0)</w:t>
            </w:r>
          </w:p>
        </w:tc>
      </w:tr>
      <w:tr>
        <w:trPr>
          <w:trHeight w:val="201"/>
        </w:trPr>
        <w:tc>
          <w:tcPr>
            <w:tcW w:w="7740" w:type="dxa"/>
            <w:vAlign w:val="bottom"/>
          </w:tcPr>
          <w:p>
            <w:pPr>
              <w:ind w:left="420"/>
              <w:spacing w:after="0"/>
              <w:rPr>
                <w:sz w:val="20"/>
                <w:szCs w:val="20"/>
                <w:color w:val="auto"/>
              </w:rPr>
            </w:pPr>
            <w:r>
              <w:rPr>
                <w:rFonts w:ascii="Arial" w:cs="Arial" w:eastAsia="Arial" w:hAnsi="Arial"/>
                <w:sz w:val="16"/>
                <w:szCs w:val="16"/>
                <w:color w:val="auto"/>
              </w:rPr>
              <w:t>Proceeds from long-term debt</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7"/>
                <w:szCs w:val="17"/>
                <w:color w:val="auto"/>
              </w:rPr>
            </w:pPr>
          </w:p>
        </w:tc>
      </w:tr>
      <w:tr>
        <w:trPr>
          <w:trHeight w:val="201"/>
        </w:trPr>
        <w:tc>
          <w:tcPr>
            <w:tcW w:w="77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Repayments of long-term debt</w:t>
            </w:r>
          </w:p>
        </w:tc>
        <w:tc>
          <w:tcPr>
            <w:tcW w:w="10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(0.1)</w:t>
            </w: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(0.1)</w:t>
            </w:r>
          </w:p>
        </w:tc>
      </w:tr>
      <w:tr>
        <w:trPr>
          <w:trHeight w:val="201"/>
        </w:trPr>
        <w:tc>
          <w:tcPr>
            <w:tcW w:w="7740" w:type="dxa"/>
            <w:vAlign w:val="bottom"/>
          </w:tcPr>
          <w:p>
            <w:pPr>
              <w:ind w:left="420"/>
              <w:spacing w:after="0"/>
              <w:rPr>
                <w:sz w:val="20"/>
                <w:szCs w:val="20"/>
                <w:color w:val="auto"/>
              </w:rPr>
            </w:pPr>
            <w:r>
              <w:rPr>
                <w:rFonts w:ascii="Arial" w:cs="Arial" w:eastAsia="Arial" w:hAnsi="Arial"/>
                <w:sz w:val="16"/>
                <w:szCs w:val="16"/>
                <w:color w:val="auto"/>
              </w:rPr>
              <w:t>Payments of contingent consideration for acquisitions</w:t>
            </w:r>
          </w:p>
        </w:tc>
        <w:tc>
          <w:tcPr>
            <w:tcW w:w="10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(22.8)</w:t>
            </w:r>
          </w:p>
        </w:tc>
      </w:tr>
      <w:tr>
        <w:trPr>
          <w:trHeight w:val="201"/>
        </w:trPr>
        <w:tc>
          <w:tcPr>
            <w:tcW w:w="77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Proceeds from share-based awards and sale of subsidiaries</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FF0FC"/>
          </w:tcPr>
          <w:p>
            <w:pPr>
              <w:spacing w:after="0"/>
              <w:rPr>
                <w:sz w:val="17"/>
                <w:szCs w:val="17"/>
                <w:color w:val="auto"/>
              </w:rPr>
            </w:pPr>
          </w:p>
        </w:tc>
      </w:tr>
      <w:tr>
        <w:trPr>
          <w:trHeight w:val="201"/>
        </w:trPr>
        <w:tc>
          <w:tcPr>
            <w:tcW w:w="7740" w:type="dxa"/>
            <w:vAlign w:val="bottom"/>
          </w:tcPr>
          <w:p>
            <w:pPr>
              <w:ind w:left="420"/>
              <w:spacing w:after="0"/>
              <w:rPr>
                <w:sz w:val="20"/>
                <w:szCs w:val="20"/>
                <w:color w:val="auto"/>
              </w:rPr>
            </w:pPr>
            <w:r>
              <w:rPr>
                <w:rFonts w:ascii="Arial" w:cs="Arial" w:eastAsia="Arial" w:hAnsi="Arial"/>
                <w:sz w:val="16"/>
                <w:szCs w:val="16"/>
                <w:color w:val="auto"/>
              </w:rPr>
              <w:t>Payments to noncontrolling interests</w:t>
            </w:r>
          </w:p>
        </w:tc>
        <w:tc>
          <w:tcPr>
            <w:tcW w:w="10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(0.8)</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(2.1)</w:t>
            </w:r>
          </w:p>
        </w:tc>
      </w:tr>
      <w:tr>
        <w:trPr>
          <w:trHeight w:val="201"/>
        </w:trPr>
        <w:tc>
          <w:tcPr>
            <w:tcW w:w="77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Other share-based award transactions</w:t>
            </w:r>
          </w:p>
        </w:tc>
        <w:tc>
          <w:tcPr>
            <w:tcW w:w="10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(6.6)</w:t>
            </w: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(7.3)</w:t>
            </w:r>
          </w:p>
        </w:tc>
      </w:tr>
      <w:tr>
        <w:trPr>
          <w:trHeight w:val="201"/>
        </w:trPr>
        <w:tc>
          <w:tcPr>
            <w:tcW w:w="7740" w:type="dxa"/>
            <w:vAlign w:val="bottom"/>
          </w:tcPr>
          <w:p>
            <w:pPr>
              <w:ind w:left="420"/>
              <w:spacing w:after="0"/>
              <w:rPr>
                <w:sz w:val="20"/>
                <w:szCs w:val="20"/>
                <w:color w:val="auto"/>
              </w:rPr>
            </w:pPr>
            <w:r>
              <w:rPr>
                <w:rFonts w:ascii="Arial" w:cs="Arial" w:eastAsia="Arial" w:hAnsi="Arial"/>
                <w:sz w:val="16"/>
                <w:szCs w:val="16"/>
                <w:color w:val="auto"/>
              </w:rPr>
              <w:t>Repurchases of common stock</w:t>
            </w:r>
          </w:p>
        </w:tc>
        <w:tc>
          <w:tcPr>
            <w:tcW w:w="10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(63.8)</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(101.0)</w:t>
            </w:r>
          </w:p>
        </w:tc>
      </w:tr>
      <w:tr>
        <w:trPr>
          <w:trHeight w:val="201"/>
        </w:trPr>
        <w:tc>
          <w:tcPr>
            <w:tcW w:w="77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Dividends paid</w:t>
            </w:r>
          </w:p>
        </w:tc>
        <w:tc>
          <w:tcPr>
            <w:tcW w:w="10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(63.2)</w:t>
            </w: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(65.2)</w:t>
            </w:r>
          </w:p>
        </w:tc>
      </w:tr>
      <w:tr>
        <w:trPr>
          <w:trHeight w:val="193"/>
        </w:trPr>
        <w:tc>
          <w:tcPr>
            <w:tcW w:w="7740" w:type="dxa"/>
            <w:vAlign w:val="bottom"/>
            <w:tcBorders>
              <w:bottom w:val="single" w:sz="8" w:color="CFF0FC"/>
            </w:tcBorders>
          </w:tcPr>
          <w:p>
            <w:pPr>
              <w:ind w:left="640"/>
              <w:spacing w:after="0"/>
              <w:rPr>
                <w:sz w:val="20"/>
                <w:szCs w:val="20"/>
                <w:color w:val="auto"/>
              </w:rPr>
            </w:pPr>
            <w:r>
              <w:rPr>
                <w:rFonts w:ascii="Arial" w:cs="Arial" w:eastAsia="Arial" w:hAnsi="Arial"/>
                <w:sz w:val="16"/>
                <w:szCs w:val="16"/>
                <w:color w:val="auto"/>
              </w:rPr>
              <w:t>Cash used in financing activities</w:t>
            </w:r>
          </w:p>
        </w:tc>
        <w:tc>
          <w:tcPr>
            <w:tcW w:w="100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(146.1)</w:t>
            </w:r>
          </w:p>
        </w:tc>
        <w:tc>
          <w:tcPr>
            <w:tcW w:w="2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(188.4)</w:t>
            </w:r>
          </w:p>
        </w:tc>
        <w:tc>
          <w:tcPr>
            <w:tcW w:w="120" w:type="dxa"/>
            <w:vAlign w:val="bottom"/>
            <w:tcBorders>
              <w:bottom w:val="single" w:sz="8" w:color="CFF0FC"/>
            </w:tcBorders>
          </w:tcPr>
          <w:p>
            <w:pPr>
              <w:spacing w:after="0"/>
              <w:rPr>
                <w:sz w:val="16"/>
                <w:szCs w:val="16"/>
                <w:color w:val="auto"/>
              </w:rPr>
            </w:pPr>
          </w:p>
        </w:tc>
      </w:tr>
      <w:tr>
        <w:trPr>
          <w:trHeight w:val="193"/>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Effect of exchange rate changes on cash</w:t>
            </w:r>
          </w:p>
        </w:tc>
        <w:tc>
          <w:tcPr>
            <w:tcW w:w="100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(19.1)</w:t>
            </w: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FF0FC"/>
          </w:tcPr>
          <w:p>
            <w:pPr>
              <w:spacing w:after="0"/>
              <w:rPr>
                <w:sz w:val="16"/>
                <w:szCs w:val="16"/>
                <w:color w:val="auto"/>
              </w:rPr>
            </w:pPr>
          </w:p>
        </w:tc>
      </w:tr>
      <w:tr>
        <w:trPr>
          <w:trHeight w:val="192"/>
        </w:trPr>
        <w:tc>
          <w:tcPr>
            <w:tcW w:w="7740" w:type="dxa"/>
            <w:vAlign w:val="bottom"/>
          </w:tcPr>
          <w:p>
            <w:pPr>
              <w:spacing w:after="0"/>
              <w:rPr>
                <w:sz w:val="20"/>
                <w:szCs w:val="20"/>
                <w:color w:val="auto"/>
              </w:rPr>
            </w:pPr>
            <w:r>
              <w:rPr>
                <w:rFonts w:ascii="Arial" w:cs="Arial" w:eastAsia="Arial" w:hAnsi="Arial"/>
                <w:sz w:val="16"/>
                <w:szCs w:val="16"/>
                <w:color w:val="auto"/>
              </w:rPr>
              <w:t>Change in cash and cash equivalents</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412.8</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178.5</w:t>
            </w:r>
          </w:p>
        </w:tc>
        <w:tc>
          <w:tcPr>
            <w:tcW w:w="120" w:type="dxa"/>
            <w:vAlign w:val="bottom"/>
          </w:tcPr>
          <w:p>
            <w:pPr>
              <w:spacing w:after="0"/>
              <w:rPr>
                <w:sz w:val="16"/>
                <w:szCs w:val="16"/>
                <w:color w:val="auto"/>
              </w:rPr>
            </w:pPr>
          </w:p>
        </w:tc>
      </w:tr>
      <w:tr>
        <w:trPr>
          <w:trHeight w:val="202"/>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beginning of period</w:t>
            </w:r>
          </w:p>
        </w:tc>
        <w:tc>
          <w:tcPr>
            <w:tcW w:w="10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7"/>
              </w:rPr>
              <w:t>1,025.8</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591.9</w:t>
            </w:r>
          </w:p>
        </w:tc>
        <w:tc>
          <w:tcPr>
            <w:tcW w:w="120" w:type="dxa"/>
            <w:vAlign w:val="bottom"/>
            <w:shd w:val="clear" w:color="auto" w:fill="CFF0FC"/>
          </w:tcPr>
          <w:p>
            <w:pPr>
              <w:spacing w:after="0"/>
              <w:rPr>
                <w:sz w:val="17"/>
                <w:szCs w:val="17"/>
                <w:color w:val="auto"/>
              </w:rPr>
            </w:pPr>
          </w:p>
        </w:tc>
      </w:tr>
      <w:tr>
        <w:trPr>
          <w:trHeight w:val="193"/>
        </w:trPr>
        <w:tc>
          <w:tcPr>
            <w:tcW w:w="774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1000" w:type="dxa"/>
            <w:vAlign w:val="bottom"/>
            <w:tcBorders>
              <w:bottom w:val="single" w:sz="8" w:color="auto"/>
            </w:tcBorders>
          </w:tcPr>
          <w:p>
            <w:pPr>
              <w:jc w:val="right"/>
              <w:ind w:right="84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1,438.6</w:t>
            </w: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40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770.4</w:t>
            </w:r>
          </w:p>
        </w:tc>
        <w:tc>
          <w:tcPr>
            <w:tcW w:w="120" w:type="dxa"/>
            <w:vAlign w:val="bottom"/>
          </w:tcPr>
          <w:p>
            <w:pPr>
              <w:spacing w:after="0"/>
              <w:rPr>
                <w:sz w:val="16"/>
                <w:szCs w:val="16"/>
                <w:color w:val="auto"/>
              </w:rPr>
            </w:pPr>
          </w:p>
        </w:tc>
      </w:tr>
      <w:tr>
        <w:trPr>
          <w:trHeight w:val="20"/>
        </w:trPr>
        <w:tc>
          <w:tcPr>
            <w:tcW w:w="7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260"/>
          </w:cols>
          <w:pgMar w:left="320" w:top="316" w:right="31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6400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5826125</wp:posOffset>
            </wp:positionV>
            <wp:extent cx="7149465" cy="22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5826125</wp:posOffset>
            </wp:positionV>
            <wp:extent cx="7149465" cy="222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2020-07-20T06:49:41Z</dcterms:created>
  <dcterms:modified xsi:type="dcterms:W3CDTF">2020-07-20T06:49:41Z</dcterms:modified>
</cp:coreProperties>
</file>