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4140" w:right="234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2005</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40" w:right="2040" w:hanging="4632"/>
        <w:spacing w:after="0" w:line="463" w:lineRule="auto"/>
        <w:tabs>
          <w:tab w:leader="none" w:pos="44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Commission File No.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Pr>
          <w:p>
            <w:pPr>
              <w:jc w:val="center"/>
              <w:ind w:left="920"/>
              <w:spacing w:after="0"/>
              <w:rPr>
                <w:sz w:val="20"/>
                <w:szCs w:val="20"/>
                <w:color w:val="auto"/>
              </w:rPr>
            </w:pPr>
            <w:r>
              <w:rPr>
                <w:rFonts w:ascii="Arial" w:cs="Arial" w:eastAsia="Arial" w:hAnsi="Arial"/>
                <w:sz w:val="18"/>
                <w:szCs w:val="18"/>
                <w:b w:val="1"/>
                <w:bCs w:val="1"/>
                <w:color w:val="auto"/>
                <w:w w:val="98"/>
              </w:rPr>
              <w:t>WISCONSIN</w:t>
            </w:r>
          </w:p>
        </w:tc>
        <w:tc>
          <w:tcPr>
            <w:tcW w:w="6680" w:type="dxa"/>
            <w:vAlign w:val="bottom"/>
            <w:gridSpan w:val="4"/>
          </w:tcPr>
          <w:p>
            <w:pPr>
              <w:jc w:val="right"/>
              <w:ind w:right="2248"/>
              <w:spacing w:after="0"/>
              <w:rPr>
                <w:sz w:val="20"/>
                <w:szCs w:val="20"/>
                <w:color w:val="auto"/>
              </w:rPr>
            </w:pPr>
            <w:r>
              <w:rPr>
                <w:rFonts w:ascii="Arial" w:cs="Arial" w:eastAsia="Arial" w:hAnsi="Arial"/>
                <w:sz w:val="18"/>
                <w:szCs w:val="18"/>
                <w:b w:val="1"/>
                <w:bCs w:val="1"/>
                <w:color w:val="auto"/>
              </w:rPr>
              <w:t>39-1672779</w:t>
            </w:r>
          </w:p>
        </w:tc>
      </w:tr>
      <w:tr>
        <w:trPr>
          <w:trHeight w:val="149"/>
        </w:trPr>
        <w:tc>
          <w:tcPr>
            <w:tcW w:w="4740" w:type="dxa"/>
            <w:vAlign w:val="bottom"/>
          </w:tcPr>
          <w:p>
            <w:pPr>
              <w:jc w:val="center"/>
              <w:ind w:left="9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740" w:type="dxa"/>
            <w:vAlign w:val="bottom"/>
          </w:tcPr>
          <w:p>
            <w:pPr>
              <w:jc w:val="center"/>
              <w:ind w:left="900"/>
              <w:spacing w:after="0"/>
              <w:rPr>
                <w:sz w:val="20"/>
                <w:szCs w:val="20"/>
                <w:color w:val="auto"/>
              </w:rPr>
            </w:pPr>
            <w:r>
              <w:rPr>
                <w:rFonts w:ascii="Arial" w:cs="Arial" w:eastAsia="Arial" w:hAnsi="Arial"/>
                <w:sz w:val="14"/>
                <w:szCs w:val="14"/>
                <w:b w:val="1"/>
                <w:bCs w:val="1"/>
                <w:color w:val="auto"/>
                <w:w w:val="88"/>
              </w:rPr>
              <w:t>incorporation or organization)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720" w:type="dxa"/>
            <w:vAlign w:val="bottom"/>
          </w:tcPr>
          <w:p>
            <w:pPr>
              <w:jc w:val="center"/>
              <w:ind w:right="668"/>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740" w:type="dxa"/>
            <w:vAlign w:val="bottom"/>
          </w:tcPr>
          <w:p>
            <w:pPr>
              <w:jc w:val="center"/>
              <w:ind w:left="900"/>
              <w:spacing w:after="0"/>
              <w:rPr>
                <w:sz w:val="20"/>
                <w:szCs w:val="20"/>
                <w:color w:val="auto"/>
              </w:rPr>
            </w:pPr>
            <w:r>
              <w:rPr>
                <w:rFonts w:ascii="Arial" w:cs="Arial" w:eastAsia="Arial" w:hAnsi="Arial"/>
                <w:sz w:val="18"/>
                <w:szCs w:val="18"/>
                <w:b w:val="1"/>
                <w:bCs w:val="1"/>
                <w:color w:val="auto"/>
                <w:w w:val="97"/>
              </w:rPr>
              <w:t>5301 NORTH IRONWOOD ROAD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8"/>
        </w:trPr>
        <w:tc>
          <w:tcPr>
            <w:tcW w:w="4740" w:type="dxa"/>
            <w:vAlign w:val="bottom"/>
          </w:tcPr>
          <w:p>
            <w:pPr>
              <w:jc w:val="center"/>
              <w:ind w:left="920"/>
              <w:spacing w:after="0"/>
              <w:rPr>
                <w:sz w:val="20"/>
                <w:szCs w:val="20"/>
                <w:color w:val="auto"/>
              </w:rPr>
            </w:pPr>
            <w:r>
              <w:rPr>
                <w:rFonts w:ascii="Arial" w:cs="Arial" w:eastAsia="Arial" w:hAnsi="Arial"/>
                <w:sz w:val="18"/>
                <w:szCs w:val="18"/>
                <w:b w:val="1"/>
                <w:bCs w:val="1"/>
                <w:color w:val="auto"/>
                <w:w w:val="98"/>
              </w:rPr>
              <w:t>MILWAUKEE, WISCONSIN</w:t>
            </w:r>
          </w:p>
        </w:tc>
        <w:tc>
          <w:tcPr>
            <w:tcW w:w="6680" w:type="dxa"/>
            <w:vAlign w:val="bottom"/>
            <w:gridSpan w:val="4"/>
          </w:tcPr>
          <w:p>
            <w:pPr>
              <w:jc w:val="right"/>
              <w:ind w:right="2448"/>
              <w:spacing w:after="0"/>
              <w:rPr>
                <w:sz w:val="20"/>
                <w:szCs w:val="20"/>
                <w:color w:val="auto"/>
              </w:rPr>
            </w:pPr>
            <w:r>
              <w:rPr>
                <w:rFonts w:ascii="Arial" w:cs="Arial" w:eastAsia="Arial" w:hAnsi="Arial"/>
                <w:sz w:val="18"/>
                <w:szCs w:val="18"/>
                <w:b w:val="1"/>
                <w:bCs w:val="1"/>
                <w:color w:val="auto"/>
              </w:rPr>
              <w:t>53217</w:t>
            </w:r>
          </w:p>
        </w:tc>
      </w:tr>
      <w:tr>
        <w:trPr>
          <w:trHeight w:val="174"/>
        </w:trPr>
        <w:tc>
          <w:tcPr>
            <w:tcW w:w="4740" w:type="dxa"/>
            <w:vAlign w:val="bottom"/>
          </w:tcPr>
          <w:p>
            <w:pPr>
              <w:jc w:val="center"/>
              <w:ind w:left="9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720" w:type="dxa"/>
            <w:vAlign w:val="bottom"/>
          </w:tcPr>
          <w:p>
            <w:pPr>
              <w:jc w:val="center"/>
              <w:ind w:right="668"/>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(414) 961-1000</w:t>
            </w:r>
          </w:p>
        </w:tc>
      </w:tr>
      <w:tr>
        <w:trPr>
          <w:trHeight w:val="191"/>
        </w:trPr>
        <w:tc>
          <w:tcPr>
            <w:tcW w:w="4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720" w:type="dxa"/>
            <w:vAlign w:val="bottom"/>
          </w:tcPr>
          <w:p>
            <w:pPr>
              <w:spacing w:after="0"/>
              <w:rPr>
                <w:sz w:val="16"/>
                <w:szCs w:val="16"/>
                <w:color w:val="auto"/>
              </w:rPr>
            </w:pPr>
          </w:p>
        </w:tc>
      </w:tr>
      <w:tr>
        <w:trPr>
          <w:trHeight w:val="316"/>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353"/>
        </w:trPr>
        <w:tc>
          <w:tcPr>
            <w:tcW w:w="4740" w:type="dxa"/>
            <w:vAlign w:val="bottom"/>
            <w:tcBorders>
              <w:bottom w:val="single" w:sz="8" w:color="auto"/>
            </w:tcBorders>
          </w:tcPr>
          <w:p>
            <w:pPr>
              <w:jc w:val="center"/>
              <w:ind w:left="920"/>
              <w:spacing w:after="0"/>
              <w:rPr>
                <w:sz w:val="20"/>
                <w:szCs w:val="20"/>
                <w:color w:val="auto"/>
              </w:rPr>
            </w:pPr>
            <w:r>
              <w:rPr>
                <w:rFonts w:ascii="Arial" w:cs="Arial" w:eastAsia="Arial" w:hAnsi="Arial"/>
                <w:sz w:val="14"/>
                <w:szCs w:val="14"/>
                <w:b w:val="1"/>
                <w:bCs w:val="1"/>
                <w:color w:val="auto"/>
                <w:w w:val="84"/>
              </w:rPr>
              <w:t>Title of each class</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center"/>
              <w:ind w:right="688"/>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221"/>
        </w:trPr>
        <w:tc>
          <w:tcPr>
            <w:tcW w:w="4740" w:type="dxa"/>
            <w:vAlign w:val="bottom"/>
          </w:tcPr>
          <w:p>
            <w:pPr>
              <w:jc w:val="center"/>
              <w:ind w:left="920"/>
              <w:spacing w:after="0"/>
              <w:rPr>
                <w:sz w:val="20"/>
                <w:szCs w:val="20"/>
                <w:color w:val="auto"/>
              </w:rPr>
            </w:pPr>
            <w:r>
              <w:rPr>
                <w:rFonts w:ascii="Arial" w:cs="Arial" w:eastAsia="Arial" w:hAnsi="Arial"/>
                <w:sz w:val="18"/>
                <w:szCs w:val="18"/>
                <w:color w:val="auto"/>
                <w:w w:val="88"/>
              </w:rPr>
              <w:t>Common Stock, $.01 par value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20" w:type="dxa"/>
            <w:vAlign w:val="bottom"/>
          </w:tcPr>
          <w:p>
            <w:pPr>
              <w:jc w:val="center"/>
              <w:ind w:right="668"/>
              <w:spacing w:after="0"/>
              <w:rPr>
                <w:sz w:val="20"/>
                <w:szCs w:val="20"/>
                <w:color w:val="auto"/>
              </w:rPr>
            </w:pPr>
            <w:r>
              <w:rPr>
                <w:rFonts w:ascii="Arial" w:cs="Arial" w:eastAsia="Arial" w:hAnsi="Arial"/>
                <w:sz w:val="18"/>
                <w:szCs w:val="18"/>
                <w:color w:val="auto"/>
                <w:w w:val="89"/>
              </w:rPr>
              <w:t>New York Stock Exchange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7" w:lineRule="exact"/>
        <w:rPr>
          <w:sz w:val="24"/>
          <w:szCs w:val="24"/>
          <w:color w:val="auto"/>
        </w:rPr>
      </w:pPr>
    </w:p>
    <w:p>
      <w:pPr>
        <w:ind w:left="460" w:right="1600"/>
        <w:spacing w:after="0" w:line="32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300" w:firstLine="45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5"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05"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2380"/>
        <w:spacing w:after="0" w:line="207" w:lineRule="exact"/>
        <w:tabs>
          <w:tab w:leader="none" w:pos="508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was $3,461,806,326 as of June 30, 2005. As of February 14, 2006, there were 87,845,804 of the registrant’s shares of common stock outstanding.</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620" w:firstLine="456"/>
        <w:spacing w:after="0" w:line="332" w:lineRule="auto"/>
        <w:rPr>
          <w:sz w:val="20"/>
          <w:szCs w:val="20"/>
          <w:color w:val="auto"/>
        </w:rPr>
      </w:pPr>
      <w:r>
        <w:rPr>
          <w:rFonts w:ascii="Arial" w:cs="Arial" w:eastAsia="Arial" w:hAnsi="Arial"/>
          <w:sz w:val="16"/>
          <w:szCs w:val="16"/>
          <w:color w:val="auto"/>
        </w:rPr>
        <w:t>Parts I and II incorporate information by reference from the Annual Report to Shareholders for the fiscal year ended December 31, 2005. Part III is incorporated by reference from the Proxy Statement for the Annual Meeting of Shareholders to be held on April 25,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terms “Manpower,” “we,” “our,” “us,” or “the Company” refer to Manpower Inc. or Manpower Inc. and its consolidated subsidiaries, as appropriate in the context.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Introduction and History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Manpower Inc. is a world leader in the employment services industry. Our global network of over 4,400 offices in 72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Manpower Inc.’s five major brands – Manpower, Manpower Professional, Elan, Jefferson Wells and Right Management – provide a comprehensive range of services for the entire employment and business cycle including:</w:t>
      </w:r>
    </w:p>
    <w:p>
      <w:pPr>
        <w:spacing w:after="0" w:line="45" w:lineRule="exact"/>
        <w:rPr>
          <w:sz w:val="20"/>
          <w:szCs w:val="20"/>
          <w:color w:val="auto"/>
        </w:rPr>
      </w:pPr>
    </w:p>
    <w:p>
      <w:pPr>
        <w:ind w:left="780" w:right="380" w:hanging="326"/>
        <w:spacing w:after="0" w:line="27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Permanent, temporary and contract recruitment </w:t>
      </w:r>
      <w:r>
        <w:rPr>
          <w:rFonts w:ascii="Arial" w:cs="Arial" w:eastAsia="Arial" w:hAnsi="Arial"/>
          <w:sz w:val="18"/>
          <w:szCs w:val="18"/>
          <w:color w:val="auto"/>
        </w:rPr>
        <w:t>– We find the best people for all types of jobs and industries at both the staff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levels.</w:t>
      </w:r>
    </w:p>
    <w:p>
      <w:pPr>
        <w:spacing w:after="0" w:line="38" w:lineRule="exact"/>
        <w:rPr>
          <w:rFonts w:ascii="Arial" w:cs="Arial" w:eastAsia="Arial" w:hAnsi="Arial"/>
          <w:sz w:val="18"/>
          <w:szCs w:val="18"/>
          <w:color w:val="auto"/>
        </w:rPr>
      </w:pPr>
    </w:p>
    <w:p>
      <w:pPr>
        <w:ind w:left="780" w:right="180" w:hanging="326"/>
        <w:spacing w:after="0" w:line="27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Employee assessment and selection </w:t>
      </w:r>
      <w:r>
        <w:rPr>
          <w:rFonts w:ascii="Arial" w:cs="Arial" w:eastAsia="Arial" w:hAnsi="Arial"/>
          <w:sz w:val="18"/>
          <w:szCs w:val="18"/>
          <w:color w:val="auto"/>
        </w:rPr>
        <w:t>– We ensure candidates are thoroughly screened and evaluated, which means a better fit between the client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and higher employee retention rates.</w:t>
      </w:r>
    </w:p>
    <w:p>
      <w:pPr>
        <w:spacing w:after="0" w:line="38" w:lineRule="exact"/>
        <w:rPr>
          <w:rFonts w:ascii="Arial" w:cs="Arial" w:eastAsia="Arial" w:hAnsi="Arial"/>
          <w:sz w:val="18"/>
          <w:szCs w:val="18"/>
          <w:color w:val="auto"/>
        </w:rPr>
      </w:pPr>
    </w:p>
    <w:p>
      <w:pPr>
        <w:ind w:left="780" w:right="300" w:hanging="326"/>
        <w:spacing w:after="0" w:line="27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Training </w:t>
      </w:r>
      <w:r>
        <w:rPr>
          <w:rFonts w:ascii="Arial" w:cs="Arial" w:eastAsia="Arial" w:hAnsi="Arial"/>
          <w:sz w:val="18"/>
          <w:szCs w:val="18"/>
          <w:color w:val="auto"/>
        </w:rPr>
        <w:t>– We offer a wide choice of training and development solutions that help our employees, associates, and clients’ workforces to keep their</w:t>
      </w:r>
      <w:r>
        <w:rPr>
          <w:rFonts w:ascii="Arial" w:cs="Arial" w:eastAsia="Arial" w:hAnsi="Arial"/>
          <w:sz w:val="18"/>
          <w:szCs w:val="18"/>
          <w:b w:val="1"/>
          <w:bCs w:val="1"/>
          <w:color w:val="auto"/>
        </w:rPr>
        <w:t xml:space="preserve"> </w:t>
      </w:r>
      <w:r>
        <w:rPr>
          <w:rFonts w:ascii="Arial" w:cs="Arial" w:eastAsia="Arial" w:hAnsi="Arial"/>
          <w:sz w:val="18"/>
          <w:szCs w:val="18"/>
          <w:color w:val="auto"/>
        </w:rPr>
        <w:t>skills up to date in the ever-changing world of work.</w:t>
      </w:r>
    </w:p>
    <w:p>
      <w:pPr>
        <w:spacing w:after="0" w:line="38" w:lineRule="exact"/>
        <w:rPr>
          <w:rFonts w:ascii="Arial" w:cs="Arial" w:eastAsia="Arial" w:hAnsi="Arial"/>
          <w:sz w:val="18"/>
          <w:szCs w:val="18"/>
          <w:color w:val="auto"/>
        </w:rPr>
      </w:pPr>
    </w:p>
    <w:p>
      <w:pPr>
        <w:ind w:left="780" w:right="240" w:hanging="326"/>
        <w:spacing w:after="0" w:line="27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Outplacement </w:t>
      </w:r>
      <w:r>
        <w:rPr>
          <w:rFonts w:ascii="Arial" w:cs="Arial" w:eastAsia="Arial" w:hAnsi="Arial"/>
          <w:sz w:val="18"/>
          <w:szCs w:val="18"/>
          <w:color w:val="auto"/>
        </w:rPr>
        <w:t>– We provide a positive way for employees who no longer fit the organization to transition out, obtain additional skills and find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elsewhere.</w:t>
      </w:r>
    </w:p>
    <w:p>
      <w:pPr>
        <w:spacing w:after="0" w:line="38" w:lineRule="exact"/>
        <w:rPr>
          <w:rFonts w:ascii="Arial" w:cs="Arial" w:eastAsia="Arial" w:hAnsi="Arial"/>
          <w:sz w:val="18"/>
          <w:szCs w:val="18"/>
          <w:color w:val="auto"/>
        </w:rPr>
      </w:pPr>
    </w:p>
    <w:p>
      <w:pPr>
        <w:ind w:left="780" w:right="340" w:hanging="326"/>
        <w:spacing w:after="0" w:line="334"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Outsourcing </w:t>
      </w:r>
      <w:r>
        <w:rPr>
          <w:rFonts w:ascii="Arial" w:cs="Arial" w:eastAsia="Arial" w:hAnsi="Arial"/>
          <w:sz w:val="16"/>
          <w:szCs w:val="16"/>
          <w:color w:val="auto"/>
        </w:rPr>
        <w:t>– We are one of the largest providers of recruitment process outsourcing in the employment services industry, enabling our clients to</w:t>
      </w:r>
      <w:r>
        <w:rPr>
          <w:rFonts w:ascii="Arial" w:cs="Arial" w:eastAsia="Arial" w:hAnsi="Arial"/>
          <w:sz w:val="16"/>
          <w:szCs w:val="16"/>
          <w:b w:val="1"/>
          <w:bCs w:val="1"/>
          <w:color w:val="auto"/>
        </w:rPr>
        <w:t xml:space="preserve"> </w:t>
      </w:r>
      <w:r>
        <w:rPr>
          <w:rFonts w:ascii="Arial" w:cs="Arial" w:eastAsia="Arial" w:hAnsi="Arial"/>
          <w:sz w:val="16"/>
          <w:szCs w:val="16"/>
          <w:color w:val="auto"/>
        </w:rPr>
        <w:t>outsource the entire recruitment process for permanent and contingent staff to us, so they can focus on other areas of human resources.</w:t>
      </w:r>
    </w:p>
    <w:p>
      <w:pPr>
        <w:spacing w:after="0" w:line="1" w:lineRule="exact"/>
        <w:rPr>
          <w:rFonts w:ascii="Arial" w:cs="Arial" w:eastAsia="Arial" w:hAnsi="Arial"/>
          <w:sz w:val="16"/>
          <w:szCs w:val="16"/>
          <w:color w:val="auto"/>
        </w:rPr>
      </w:pPr>
    </w:p>
    <w:p>
      <w:pPr>
        <w:ind w:left="780" w:right="300" w:hanging="326"/>
        <w:spacing w:after="0" w:line="27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 We offer a wide range of consulting expertise including: human resources consulting, research and diagnostics, benchmarking, talent</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architecture, outplacement and organizational consulting.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our predecessors, have been in business since 1948, with shares listed on the New York Stock Exchange since 1967.</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 our articles of incorporation, the bylaws, the Manpower Code of Business Conduct and Ethics, our Corporate Governance Guidelines, the charters of the Audit, Executive Compensation and Nominating and Governance Committees of the Board of Directors, guidelines for selecting board candidates, categorical standards for relationships deemed not to impair independence of non-employee directors and policy on services provided by independent auditors. Documents available on the website are also available in print for any shareholder who requests them. Requests may be made by writing to Mr. Michael J. Van Handel, Secretary, Manpower Inc., 5301 North Ironwood Road, Milwaukee, Wisconsin 53217. We are not including the information contained on or available through our website as a part of, or incorporating such information by reference into, this Annual Report on Form 10-K.</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United States, our operations under the Manpower and Manpower Professional brands are carried out through both branch and franchise offices. We had 572 branch and 344 franchise offices in the United States as of December 31, 2005. We provide a number of central support services to our branches and franchises, which enable us to maintain consistent service quality throughout the United States regardless of whether an office is a branch or franchise. We provide client invoicing and payroll processing of our contingent workers for all branch offices and some of our franchise offices through our Milwaukee headquarters.</w:t>
      </w:r>
    </w:p>
    <w:p>
      <w:pPr>
        <w:spacing w:after="0" w:line="143"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Our franchise agreements provide the franchisee with the right to use the Manpower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 Manpower Professional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frequently exercise this right and intend to continue to do so in the future if opportunities arise with appropriate prices and terms.</w:t>
      </w:r>
    </w:p>
    <w:p>
      <w:pPr>
        <w:spacing w:after="0" w:line="13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the United States, our Manpower operations provide a variety of employment services, including permanent, temporary and contract recruitment, assessment and selection, training and outsourcing. During 2005, approximately 31% of our United States temporary and contract recruitment revenues were derived from placing office staff, including contact center staff, 59% from placing industrial staff and 10% from placing professional and technical staff.</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also conduct business in the United States under our Jefferson Wells and Right Management brands. These operations are discussed further in the following sections.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 leading employment service provider in France. We conduct our operations in France and the surrounding region through 1,107 branch offices under the name of Manpower and 76 branch offices under the name Supplay.</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employment services market in France is predominately focused on temporary recruitment for industrial positions. In 2005, we derived approximately 65% of our revenue in France from the supply of industrial staff, 18% from the supply of construction workers and 17% from the supply of office staff.</w:t>
      </w:r>
    </w:p>
    <w:p>
      <w:pPr>
        <w:spacing w:after="0" w:line="85"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During 2005, a new law in France ended the French Job Center’s (ANPE’s) control of the placement of the unemployed. As a result of this law change, companies that provide temporary staffing were also allowed to offer permanent recruitment services beginning January 1, 2005. We expect these services will have a long-term benefit to our French business, but they did not have a significant impact on our 2005 results due to investments required to grow this service 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Middle East and Africa (excluding France), or EMEA</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Middle East and Africa. Our largest operations are in Germany, Italy, the Netherlands, Norway, Spain, Sweden, and the United Kingdom. Collectively, we operate through 1,469 branch offices and 52 franchise offices in this region. Our franchise offices are primarily located in Switzerland, where we own 49% of the franchise.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Manpower UK, the largest operation in the EMEA segment comprising 19% of EMEA revenues, is a leading provider of employment services in the United Kingdom. As of December 31, 2005, Manpower UK conducted operations in the United Kingdom through a network of 138 branch offices and also by providing on-site services to clients who have significant permanent, temporary and contract recruitment requirements. During 2005, approximately 64% of Manpower UK’s employment services revenues were derived from the supply of office staff, including contact center staff, 17% from the supply of industrial staff and 19% from the supply of technical staff.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own Brook Street Bureau PLC, or Brook Street, which operates through a total of 171 branch offices, separate from the Manpower and Manpower Professional brands.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and contract placements.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Also included in our EMEA operations is Elan, which is a leading IT and technical recruitment firm. In addition to IT and technical recruitment, Elan provides managed service solutions to clients, which enable them to recruit personnel efficiently and achieve ongoing cost savings. Elan provides IT recruitment services in 17 countries, with the largest operations in the United Kingdom.</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2005 for our EMEA operations, approximately 31% of temporary and contract recruitment revenues were derived from placing office staff, 37% from placing industrial staff and 32% from placing professional and technical staff.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also conduct business in EMEA under Jefferson Wells and Right Management brands. These operations are discussed further in the following sections.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Jefferson Wells provides highly skilled project personnel along three primary business lines – internal controls, tax operations, and finance operations. The company serves clients, including more than half the Fortune 500, through highly experienced, salaried professionals working from offices across North America and Europe. Jefferson Wells’ unique business model and flat organizational structure make it a high-value alternative to public accounting firms and other consulting groups. Because the company hires only seasoned professionals with public accounting and industry experience and resources are put into local offices, rather than a centralized, partner-based organization, fees are more competitive compared to larger firms. In most cases, because the professionals sent to clients are local, travel and lodging expenses are nominal or non-existent. Since specialists are located throughout our office network, experts are nearby for clients. Services are currently provided through 48 offices, which include major United States metropolitan markets, as well as international offices in Toronto, London, and Amsterdam.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Right Management is a leading global provider of outplacement and consulting services operating from approximately 250 offices in 35 countries.</w:t>
      </w:r>
    </w:p>
    <w:p>
      <w:pPr>
        <w:spacing w:after="0" w:line="19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Outplacement services offer assistance to individuals or groups of employees displaced from employment. Services range from advising employers on severance packages to assisting displaced employees with resume writing, networking and interviewing. Services to displaced employees are provided in individual or group programs. Managerial-level employees generally receive longer-term, individual services, while less-senior employees receive shorter-term, group-based services. Programs frequently begin with the displaced employee receiving counseling immediately after the layoff notification, followed by a combination of classroom training, support services and web-based tools to guide them along the remainder of the outplacement process.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While somewhat less common outside of North America, outplacement services are prevalent in the United Kingdom and Australia and are becoming more common in continental Europe and Japan.</w:t>
      </w:r>
    </w:p>
    <w:p>
      <w:pPr>
        <w:spacing w:after="0" w:line="132"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Consulting services provide assistance in addressing companies’ evolving human capital needs, focusing on assisting organizations in addressing the human side of change. Consultants help companies to build high performance organizations. Consulting services are designed to improve employees’ commitment, skill sets and confidence levels, overall teamwork and leadership development to align the workforce with an organization’s overall business strategy and positively impact the success of the business. Consulting services include a wide range of services centered around assessments, strategic execution, leadership development and strategic talent management. These services also address the need for companies to retain productive human capital and minimize employee turnover, which can otherwise result in lost productivity, lost business, decreased client satisfaction, decreased morale and lost intellectual capital.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Operations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operate under the Manpower and Manpower Professional brands through 486 branch offices and 24 franchise offices in the other markets of the world. The largest of these operations are located in Australia, Japan, and Mexico, all of which operate through branch offices, and Canada, which operates through branch and franchise offices. Other operations are located throughout Central and South America and Asia, which operate through branch and franchise offices. In most of these countries, we primarily supply contingent workers to the office, industrial, and technical markets, which were 35%, 43%, and 22% of temporary and contract recruitment revenues, respectively.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compete in the employment services industry by offering a complete range of services, including permanent, temporary and contract recruitment, assessment and selection, training, outsourcing and consulting.</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and in the employment services industry itself.</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manage these trends by leveraging established strengths, including one of the employment services industry’s best-recognized brands; geographic diversification; size and service scope; an innovative product mix; and a strong client base. While permanent, temporary and contract recruitment is an important aspect of our business, our strategy is focused on providing both the skilled permanent employees our clients need and high-value services such as workforce management and outsourcing and consulting solutions.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services. Correspondingly, during periods of weak economic growth or economic contraction, the demand for our services typically declines, while demand for our outplacement services accelerates.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employment services firms compete in a local market, for administrative purposes, the largest clients demand national, and increasingly global, arrangements. A large national or multi-national client will frequently enter into non-exclusive arrangements with several firms, with the ultimate choice among them being left to its local managers. As a result, firms with a large network of offices compete most effectively for this business. National and multi-national arrangements, which generally have agreed-upon pricing or mark-up on services performed, represented approximately 45% of our sales in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and Contract Recruitment Market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temporary and contract recruitment market throughout the world is large and highly fragmented with more than 15,000 firms competing throughout the world. In addition to us, the largest publicly owned companies specializing in temporary and contract recruitment are Adecco, S.A. (Switzerland), Vedior N.V. (Netherlands), Randstad Holding N.V. (Netherlands) and Kelly Services, Inc.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Historically, in periods of economic prosperity, the number of firms providing temporary and contract recruitment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recruitment market, competition is often limited to firms with offices located within a client’s particular local market because job candidates for permanent, contract and temporary positions are generally unwilling to travel long distances, resulting in a low barrier to entry. In most major markets, competitors generally include many of the publicly traded companies and numerous regional and local competitors, some of which may operate only in a single market. Governmental entities or agencies, such as state employment offices in the United Kingdom and many European countries may also compete in some markets.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clients rely on recruitment firms having offices within the local area in which they operate, competition varies from market-to-market and country-to-country. In most areas, no single company has a dominant share of the temporary and contract recruitment market. Many clients use more than one provider; however, in recent years, the practice of using a limited number of recruitment suppliers, a sole supplier or a primary supplier has become increasingly important among the largest clients. These sole supplier relationships can have a significant impact on our revenue and operating profit growth as volume reductions by such clients, whether related to economic factors or otherwise, could have an adverse effect on our results in any period.</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Recruitment firms act as intermediaries in matching available permanent, temporary and contract workers to employer assignments. As a result, these firms compete both to recruit and retain a supply of permanent, temporary and contract workers and to attract clients to employ these workers. Competition is generally limited to firms having offices located in a specific local geographic market. Depending on the economy of a particular market at any point in time, it may be necessary for us to place greater emphasis on recruitment and retention of temporary and contract workers or marketing to clients. We recruit permanent, temporary and contract workers through a wide variety of means, including personal referrals, certain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Methods used to market recruitment services to clients vary depending on the client’s perceived need for permanent, temporary and contract workers, the local labor supply, the length of assignment and the number of workers required. Depending on these factors, we compete by means of quality of service provided, scope of service offered and price. In the recruitment market,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workers, select suitable individuals for a particular assignment and, in some cases, train available workers in skills required for an assignment.</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An important aspect in the selection of temporary and contract workers for an assignment is the ability of the recruitment firm to identify the skills, knowledge, abilities, and personal characteristics of a temporary worker and match their competencies or capabilities to an employer’s requirements. We have developed a variety of proprietary programs for identifying and assessing the skill level of our associates, which are used in selecting a particular individual for a specific assignment. The programs include:</w:t>
      </w:r>
    </w:p>
    <w:p>
      <w:pPr>
        <w:spacing w:after="0" w:line="62"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Ultraskill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for clerical skills,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Sureskill – for office automation skills such as word processing, spreadsheet, and presentation graphics,</w:t>
      </w:r>
    </w:p>
    <w:p>
      <w:pPr>
        <w:spacing w:after="0" w:line="88"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Ultradex – for several important light industrial skills,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Predicta – for critical general office skills,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Teleskill – for customer service and contact center skills,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Linguaskill – for language skills,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Phoneskill – for verbal communication skills.</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We believe that our assessment systems enable us to offer a higher quality service by increasing productivity, decreasing turnover and reducing absenteeism.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jc w:val="both"/>
        <w:ind w:right="5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for temporary and contract work, through the use of training systems.</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7"/>
          <w:szCs w:val="17"/>
          <w:color w:val="auto"/>
        </w:rPr>
        <w:t>We have developed the Global Learning Center, or GLC, an on-line university for our employees and associates. The GLC provides skills training, assessment and other career-related services. Students of the GLC have access to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which trains office workers on over 50 different applications from a variety of developers including Microsoft and Lotus.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is also available to prepare workers for positions in contact centers, banks and other organizations where transaction processing skills are required, and to improve general office skills such as spelling, punctuation and keyboard skills. Students can also select from more than 1,500 courses in the areas of client server, programming, Internet development, and business skills. The training prepares technical employees for certification testing by guiding them through E-Commerce, Visual Basic, C++ Programming, COBOL, JAVA, SAP, PowerBuilder, IEEE LAN Architecture and more. This training is available in a number of different languages, including English, Finnish, French, German, Greek, Italian, Japanese, Portuguese and Spanish.</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Permanent Recruitment Market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temporary and contract recruitment, Manpower offers its clients recruitment services for permanent staff. Today, Manpower has over 2,100 full-time recruiters helping our clients find people with the right skills for their business requirements. Our permanent recruitment experts help clients acquire the most relevant information about candidates for a fraction of the time and investment required to create a comparable in-house hiring program. Our permanent placement services include resume management, applicant pre-screening and testing, interviewing, and online training. Our competitors in the permanent recruitment market are often the same as those in the temporary and contract recruitment market, with other smaller national agencies also in the mix.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Outplacement and Consulting Services Market</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market for outplacement and consulting services is also highly competitive. In the market for services required by global clients, there are several barriers to entry, such as the global coverage, specialized local knowledge and technology required to provide outstanding services to corporations on a global scale.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competitors in the outplacement market include major outplacement services firms, such as Drake Beam Morin, a subsidiary of Thomson Corporation, a publishing company, and career service divisions of global employment services firms. Additionally, there are regional firms and numerous smaller boutiques operating in either limited geographic markets or providing limited services.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competitors in the consulting market include: major firms that compete in serving the large employer worldwide, such as Mercer Delta, Towers Perrin, Watson Wyatt and Hewitt Associates; consulting practices of public accounting and consulting firms, such as PricewaterhouseCoopers, Deloitte &amp; Touche, Cap Gemini (Ernst &amp; Young), Bearing Point (KPMG) and Accenture; and boutique firms comprised primarily of professionals formerly associated with the firms mentioned above.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Companies choose to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 for the well being of employees not only during their period of employment, but also after their employment ceases. Additionally, when companies complete layoffs, many believe that providing outplacement services projects a positive corporate image and improves morale among the remaining employees. Finally, companies may provide outplacement services to reduce costs by preparing and assisting separated employees to find new employment, thereby diminishing employment-related litigation.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technology solutions are designed to be an integral part of our outplacement services. We have made significant investments in technology to augment our core services with online, twenty-four hours a day, seven days a week access and support. These solutions are:</w:t>
      </w:r>
    </w:p>
    <w:p>
      <w:pPr>
        <w:spacing w:after="0" w:line="51" w:lineRule="exact"/>
        <w:rPr>
          <w:sz w:val="20"/>
          <w:szCs w:val="20"/>
          <w:color w:val="auto"/>
        </w:rPr>
      </w:pPr>
    </w:p>
    <w:p>
      <w:pPr>
        <w:ind w:left="780" w:right="120" w:hanging="326"/>
        <w:spacing w:after="0" w:line="22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RightTrack </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 Web-based collaborative program management tool that enables us to instantly interact and deliver outplacement services seamlessly around the world,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Right-from-Home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Web services that help clients find new careers as fast as possible,</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Right Connection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A tool that enables companies to provide a customized, co-branded career transition portal for their employees in transition,</w:t>
      </w:r>
    </w:p>
    <w:p>
      <w:pPr>
        <w:spacing w:after="0" w:line="67"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Job Bank – A tool that provides thousands of exclusive positions for candidates and the opportunity to post jobs from hiring companies,</w:t>
      </w:r>
    </w:p>
    <w:p>
      <w:pPr>
        <w:spacing w:after="0" w:line="111"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Resume Bank – A tool that links hiring companies with candidates through a resume database,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Right FasTrack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 A home-based outplacement service that combines personalized multi-media tools and individual consulting, and</w:t>
      </w:r>
    </w:p>
    <w:p>
      <w:pPr>
        <w:spacing w:after="0" w:line="57" w:lineRule="exact"/>
        <w:rPr>
          <w:rFonts w:ascii="Arial" w:cs="Arial" w:eastAsia="Arial" w:hAnsi="Arial"/>
          <w:sz w:val="17"/>
          <w:szCs w:val="17"/>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Right Access </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 A customized web site for our client companies that gives our HR contacts instant access to our services.</w:t>
      </w:r>
    </w:p>
    <w:p>
      <w:pPr>
        <w:spacing w:after="0" w:line="12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Companies frequently augment their internal human resources professional staff with external consultants for many reasons. First, the growing importance and complexity of employee issues is creating an unprecedented administrative and technical burden on human resources departments. Additionally, human resources departments have historically been viewed as cost centers within organizations, and pressures to contain costs decrease the resources available to managers. Finally, companies increasingly choose to outsource non-core functions that can be addressed either more effectively or in a less costly manner by outside professionals.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technology solutions are designed to be an integral part of our consulting services. We have made significant investments in technology to augment our core services with online, twenty-four hours a day, seven days a week access and support.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Organization Performance tools include:</w:t>
      </w:r>
    </w:p>
    <w:p>
      <w:pPr>
        <w:spacing w:after="0" w:line="9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PeopleBrand™ – Tool for defining, declaring and delivering employment brand in order to attract and retain high-value talent,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PeoplePoll™ – Comprehensive employee survey,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ECustom Surveys™ – Client-specific surveys on a variety of topics.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Leadership Development tools include:</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Compass – 360 feedback tool and workshop focusing on effective leadership,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Matrix – 360 survey that provides feedback on employees’ power and influence,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ECustom 360™ – Survey that focuses on the competencies people need to succeed in a specific company, function or job.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Talent Management tools include:</w:t>
      </w:r>
    </w:p>
    <w:p>
      <w:pPr>
        <w:spacing w:after="0" w:line="9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CompAssess™ – A competency-based assessment tool,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Career Management 2000™ – a self-directed learning tool that leads employees through the career planning process.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Regulation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labor agreements have occurred in the past and are expected to occur in the future and may have a material impact on the operations of employment services firms, including us.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many countries, including the United States and the United Kingdom, employment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many countries, particularly in continental Europe,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outplacement and consulting services generally are not subjected to governmental regulation in the markets in which we operate.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 - Legal Regulations.”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Trademarks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a number of registered trademarks, trade names and service marks in the United States and various other countries. We believe that many of these marks and trade names, including Manpower</w:t>
      </w:r>
      <w:r>
        <w:rPr>
          <w:rFonts w:ascii="Arial" w:cs="Arial" w:eastAsia="Arial" w:hAnsi="Arial"/>
          <w:sz w:val="20"/>
          <w:szCs w:val="20"/>
          <w:color w:val="auto"/>
          <w:vertAlign w:val="superscript"/>
        </w:rPr>
        <w:t>®</w:t>
      </w:r>
      <w:r>
        <w:rPr>
          <w:rFonts w:ascii="Arial" w:cs="Arial" w:eastAsia="Arial" w:hAnsi="Arial"/>
          <w:sz w:val="16"/>
          <w:szCs w:val="16"/>
          <w:color w:val="auto"/>
        </w:rPr>
        <w:t>, Manpower Professional</w:t>
      </w:r>
      <w:r>
        <w:rPr>
          <w:rFonts w:ascii="Arial" w:cs="Arial" w:eastAsia="Arial" w:hAnsi="Arial"/>
          <w:sz w:val="20"/>
          <w:szCs w:val="20"/>
          <w:color w:val="auto"/>
          <w:vertAlign w:val="superscript"/>
        </w:rPr>
        <w:t>®</w:t>
      </w:r>
      <w:r>
        <w:rPr>
          <w:rFonts w:ascii="Arial" w:cs="Arial" w:eastAsia="Arial" w:hAnsi="Arial"/>
          <w:sz w:val="16"/>
          <w:szCs w:val="16"/>
          <w:color w:val="auto"/>
        </w:rPr>
        <w:t>, Right Management Consultants</w:t>
      </w:r>
      <w:r>
        <w:rPr>
          <w:rFonts w:ascii="Arial" w:cs="Arial" w:eastAsia="Arial" w:hAnsi="Arial"/>
          <w:sz w:val="20"/>
          <w:szCs w:val="20"/>
          <w:color w:val="auto"/>
          <w:vertAlign w:val="superscript"/>
        </w:rPr>
        <w:t>®</w:t>
      </w:r>
      <w:r>
        <w:rPr>
          <w:rFonts w:ascii="Arial" w:cs="Arial" w:eastAsia="Arial" w:hAnsi="Arial"/>
          <w:sz w:val="16"/>
          <w:szCs w:val="16"/>
          <w:color w:val="auto"/>
        </w:rPr>
        <w:t>, Jefferson Wells</w:t>
      </w:r>
      <w:r>
        <w:rPr>
          <w:rFonts w:ascii="Arial" w:cs="Arial" w:eastAsia="Arial" w:hAnsi="Arial"/>
          <w:sz w:val="20"/>
          <w:szCs w:val="20"/>
          <w:color w:val="auto"/>
          <w:vertAlign w:val="superscript"/>
        </w:rPr>
        <w:t>®</w:t>
      </w:r>
      <w:r>
        <w:rPr>
          <w:rFonts w:ascii="Arial" w:cs="Arial" w:eastAsia="Arial" w:hAnsi="Arial"/>
          <w:sz w:val="16"/>
          <w:szCs w:val="16"/>
          <w:color w:val="auto"/>
        </w:rPr>
        <w:t>, Brook Street</w:t>
      </w:r>
      <w:r>
        <w:rPr>
          <w:rFonts w:ascii="Arial" w:cs="Arial" w:eastAsia="Arial" w:hAnsi="Arial"/>
          <w:sz w:val="20"/>
          <w:szCs w:val="20"/>
          <w:color w:val="auto"/>
          <w:vertAlign w:val="superscript"/>
        </w:rPr>
        <w:t>®</w:t>
      </w:r>
      <w:r>
        <w:rPr>
          <w:rFonts w:ascii="Arial" w:cs="Arial" w:eastAsia="Arial" w:hAnsi="Arial"/>
          <w:sz w:val="16"/>
          <w:szCs w:val="16"/>
          <w:color w:val="auto"/>
        </w:rPr>
        <w:t>, Elan</w:t>
      </w:r>
      <w:r>
        <w:rPr>
          <w:rFonts w:ascii="Arial" w:cs="Arial" w:eastAsia="Arial" w:hAnsi="Arial"/>
          <w:sz w:val="20"/>
          <w:szCs w:val="20"/>
          <w:color w:val="auto"/>
          <w:vertAlign w:val="superscript"/>
        </w:rPr>
        <w:t>®</w:t>
      </w:r>
      <w:r>
        <w:rPr>
          <w:rFonts w:ascii="Arial" w:cs="Arial" w:eastAsia="Arial" w:hAnsi="Arial"/>
          <w:sz w:val="16"/>
          <w:szCs w:val="16"/>
          <w:color w:val="auto"/>
        </w:rPr>
        <w:t>, Ultraskill</w:t>
      </w:r>
      <w:r>
        <w:rPr>
          <w:rFonts w:ascii="Arial" w:cs="Arial" w:eastAsia="Arial" w:hAnsi="Arial"/>
          <w:sz w:val="20"/>
          <w:szCs w:val="20"/>
          <w:color w:val="auto"/>
          <w:vertAlign w:val="superscript"/>
        </w:rPr>
        <w:t>®</w:t>
      </w:r>
      <w:r>
        <w:rPr>
          <w:rFonts w:ascii="Arial" w:cs="Arial" w:eastAsia="Arial" w:hAnsi="Arial"/>
          <w:sz w:val="16"/>
          <w:szCs w:val="16"/>
          <w:color w:val="auto"/>
        </w:rPr>
        <w:t>, and Skillware</w:t>
      </w:r>
      <w:r>
        <w:rPr>
          <w:rFonts w:ascii="Arial" w:cs="Arial" w:eastAsia="Arial" w:hAnsi="Arial"/>
          <w:sz w:val="20"/>
          <w:szCs w:val="20"/>
          <w:color w:val="auto"/>
          <w:vertAlign w:val="superscript"/>
        </w:rPr>
        <w:t>®</w:t>
      </w:r>
      <w:r>
        <w:rPr>
          <w:rFonts w:ascii="Arial" w:cs="Arial" w:eastAsia="Arial" w:hAnsi="Arial"/>
          <w:sz w:val="16"/>
          <w:szCs w:val="16"/>
          <w:color w:val="auto"/>
        </w:rPr>
        <w:t>, have significant value and are materially important to our business. In addition, we maintain other intangible property rights.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Employees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had approximately 27,000 full-time equivalent employees as of December 31, 2005. In addition, we estimate that we recruit on behalf of our clients approximately four million permanent, temporary and contract workers on a worldwide basis each year.</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90"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Note 15 to our consolidated financial statements sets forth the information required for each segment and geographical area for the years ended December 31, 2005, 2004, and 2003. Such note is found in our 2005 Annual Report to Shareholders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113"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structure of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turnover;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reorganizations;</w:t>
      </w:r>
    </w:p>
    <w:p>
      <w:pPr>
        <w:spacing w:after="0" w:line="90" w:lineRule="exact"/>
        <w:rPr>
          <w:rFonts w:ascii="Arial" w:cs="Arial" w:eastAsia="Arial" w:hAnsi="Arial"/>
          <w:sz w:val="18"/>
          <w:szCs w:val="18"/>
          <w:color w:val="auto"/>
        </w:rPr>
      </w:pPr>
    </w:p>
    <w:p>
      <w:pPr>
        <w:ind w:left="780" w:right="9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changes in the demand from larger customers, including customers with which we have national, multi-national, or sole-supplier arrangements;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workers with the skills required by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wages paid to our associates;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market pressures, including pricing pressures;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pass along direct cost increases to customers;</w:t>
      </w:r>
    </w:p>
    <w:p>
      <w:pPr>
        <w:spacing w:after="0" w:line="90" w:lineRule="exact"/>
        <w:rPr>
          <w:rFonts w:ascii="Arial" w:cs="Arial" w:eastAsia="Arial" w:hAnsi="Arial"/>
          <w:sz w:val="18"/>
          <w:szCs w:val="18"/>
          <w:color w:val="auto"/>
        </w:rPr>
      </w:pPr>
    </w:p>
    <w:p>
      <w:pPr>
        <w:ind w:left="780" w:right="9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demand for our specialized services, including assisting companies in complying with the Sarbanes-Oxley Act legislation, and outplacement services;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0" w:name="page11"/>
    <w:bookmarkEnd w:id="10"/>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ability to successfully expand into new markets or offer new service lines;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invest in and implement information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technological changes, including obsolescence or impairment of information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attitudes toward the use of staffing services;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tax or regulatory policies adverse to the employment services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in domestic and international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related to acquisitions, including integrating the acquired companies and achieving the expected benefits;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to the carrying value of acquisitions and other investments resulting from poor financial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Any significant economic downturn could result in our customers using fewer temporary and contract workers, which would materially adversely affect our business.</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137"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worldwide employment services market is highly competitive with limited barriers to entry, and in recent years has been undergoing significant consolidation. We compete in markets throughout North America, South America, Europe, Australia and Asia with full-service and specialized employment services agencies. Several of our competitors, including Adecco S.A., Vedior N.V., Randstad Holding N.V. and Kelly Services, Inc.,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profitability.</w:t>
      </w:r>
    </w:p>
    <w:p>
      <w:pPr>
        <w:spacing w:after="0" w:line="11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2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The countries in which we operate may, among other things:</w:t>
      </w:r>
    </w:p>
    <w:p>
      <w:pPr>
        <w:spacing w:after="0" w:line="1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 us to obtain additional licensing to provide staffing services;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services.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future regulations may have a material adverse effect on our financial condition, results of operations and liquidity because they may make it more difficult or expensive for us to continue to provide staffing services.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completed a number of acquisitions. For example, we acquired Elan in 2000 for a total purchase price of $146.2 million and we acquired Jefferson Wells in 2001 for a purchase price of $174.0 million. We acquired and invested in other companies during 2002 for a total consideration of $55.4 million, $33.5 million of which was paid in cash. In 2003, we acquired and invested in other companies for a total consideration of $6.7 million.</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January 2004, we acquired Right Management by means of an exchange offer for all of Right Management’s outstanding common stock. The purchase price for this acquisition was $630.6 million, the majority of which represents the fair value of shares exchanged and stock options.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acquired and invested in other companies in 2005 for a total consideration of $12.9 million. We may make additional acquisitions in the future. Our acquisition strategy involves significant risks, including:</w:t>
      </w:r>
    </w:p>
    <w:p>
      <w:pPr>
        <w:spacing w:after="0" w:line="5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2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customer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11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We may be exposed to employment-related claims and costs and other litigation that could materially adversely affect our business, financial condition and results of operations.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business of employing people and placing them in the workplaces of other businesses. Risks relating to these activities include:</w:t>
      </w:r>
    </w:p>
    <w:p>
      <w:pPr>
        <w:spacing w:after="0" w:line="113"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our associates;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related to the employment of illegal aliens or unlicensed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errors and omissions of our associates, particularly in the case of professionals, such as accountants;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by our clients relating to our assoicates’ misuse of clients proprietary information, misappropriation of funds, other criminal activity or torts or other similar claims.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 or that our insurance will be sufficient in amount or scope to cover any of these types of liabilities.</w:t>
      </w:r>
    </w:p>
    <w:p>
      <w:pPr>
        <w:spacing w:after="0" w:line="10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our insurance will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operations are dependent on the continued efforts of our officers and executive management.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client relationships and otherwise operate our business.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Some of our subsidiaries might have significant clients, which if lost, could have a material adverse impact on their earnings.</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Jefferson Wells is a global professional services provider of internal controls, tax operations and finance operations services, with operations in the United States, Canada and Europe. Approximately 13% and 19% of Jefferson Wells’ revenues for 2005 and 2004, respectively, were generated from providing services to one client. Should this client’s demand for our services decrease, this would negatively impact our Jefferson Wells segment and overall profitability for us as a whole.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conduct our operations in 72 countries and territories and the results of our local operations are reported in the applicable foreign currencies and then translated into U.S. Dollars at the applicable foreign currency exchange rates for inclusion in our consolidated financial statements. During 2005, approximately 80% of our revenues were generated outside of the United States, the majority of which were generated in Europe. Furthermore, approximately $733.8 million of our outstanding indebtedness as of December 31, 2005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ind w:right="4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2005, we had $735.0 million of total debt. This level of debt could adversely affect our operating flexibility and put us at a competitive disadvantage.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113"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terms of our revolving credit facility permit additional borrowings, subject to certain conditions. If new debt is added to our current debt levels, the related risks we now face could intensify.</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4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performance of our subsidiaries may vary, negatively affecting our ability to service our debt.</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price of our common stock may fluctuate significantly, which may result in losses for investors.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for our common stock has been and may continue to be volatile. For example, during the fiscal year ended December 31, 2005, the prices of our common stock as reported on the New York Stock Exchange ranged from a high of $48.65 to a low of $38.55. Our stock price can fluctuate as a result of a variety of factors, including factors listed in these “Risk Factors” and others, many of which are beyond our control. These factors include:</w:t>
      </w:r>
    </w:p>
    <w:p>
      <w:pPr>
        <w:spacing w:after="0" w:line="2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this volatility, we may fail to meet the expectations of our shareholders or of securities analysts, and our stock price could decline as a result.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us more difficult.</w:t>
      </w:r>
    </w:p>
    <w:p>
      <w:pPr>
        <w:spacing w:after="0" w:line="20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4"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international headquarters are in Glendale, Wisconsin, a suburb of Milwaukee. We own, free of any material encumbrances, an 82,000 square foot building and a 32,000 square foot building situated on a sixteen-acre site in Glendale, Wisconsin. We also own additional properties at various other locations worldwide, which are not material.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Most of our operations are conducted from leased premises and we do not anticipate any difficulty in renewing these leases or in finding alternative sites in the ordinary course of business.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involved in litigation of a routine nature and various legal matters, which are being defended and handled in the ordinary course of business.</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240" w:top="274" w:right="7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jc w:val="center"/>
              <w:ind w:right="2793"/>
              <w:spacing w:after="0"/>
              <w:rPr>
                <w:sz w:val="20"/>
                <w:szCs w:val="20"/>
                <w:color w:val="auto"/>
              </w:rPr>
            </w:pPr>
            <w:r>
              <w:rPr>
                <w:rFonts w:ascii="Arial" w:cs="Arial" w:eastAsia="Arial" w:hAnsi="Arial"/>
                <w:sz w:val="18"/>
                <w:szCs w:val="18"/>
                <w:b w:val="1"/>
                <w:bCs w:val="1"/>
                <w:color w:val="auto"/>
                <w:w w:val="98"/>
              </w:rPr>
              <w:t>EXECUTIVE OFFICERS OF MANPOWER</w:t>
            </w:r>
          </w:p>
        </w:tc>
      </w:tr>
      <w:tr>
        <w:trPr>
          <w:trHeight w:val="228"/>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jc w:val="center"/>
              <w:ind w:right="2773"/>
              <w:spacing w:after="0"/>
              <w:rPr>
                <w:sz w:val="20"/>
                <w:szCs w:val="20"/>
                <w:color w:val="auto"/>
              </w:rPr>
            </w:pPr>
            <w:r>
              <w:rPr>
                <w:rFonts w:ascii="Arial" w:cs="Arial" w:eastAsia="Arial" w:hAnsi="Arial"/>
                <w:sz w:val="18"/>
                <w:szCs w:val="18"/>
                <w:b w:val="1"/>
                <w:bCs w:val="1"/>
                <w:color w:val="auto"/>
                <w:w w:val="89"/>
              </w:rPr>
              <w:t>(as of February 14, 2006)</w:t>
            </w:r>
          </w:p>
        </w:tc>
      </w:tr>
      <w:tr>
        <w:trPr>
          <w:trHeight w:val="35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Officer</w:t>
            </w:r>
          </w:p>
        </w:tc>
        <w:tc>
          <w:tcPr>
            <w:tcW w:w="14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w:t>
            </w:r>
          </w:p>
        </w:tc>
      </w:tr>
      <w:tr>
        <w:trPr>
          <w:trHeight w:val="323"/>
        </w:trPr>
        <w:tc>
          <w:tcPr>
            <w:tcW w:w="2740" w:type="dxa"/>
            <w:vAlign w:val="bottom"/>
          </w:tcPr>
          <w:p>
            <w:pPr>
              <w:spacing w:after="0"/>
              <w:rPr>
                <w:sz w:val="20"/>
                <w:szCs w:val="20"/>
                <w:color w:val="auto"/>
              </w:rPr>
            </w:pPr>
            <w:r>
              <w:rPr>
                <w:rFonts w:ascii="Arial" w:cs="Arial" w:eastAsia="Arial" w:hAnsi="Arial"/>
                <w:sz w:val="18"/>
                <w:szCs w:val="18"/>
                <w:color w:val="auto"/>
              </w:rPr>
              <w:t>Jeffrey A. Joerres</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Chairman of Manpower since May 2001, and President and Chief Executive Officer of Manpower since April 1999.</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46</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0"/>
              </w:rPr>
              <w:t>Senior Vice President – European Operations and Marketing and Major Account Development of Manpower from July</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1998 to April 1999. A director of Artisan Funds, Inc. and Johnson Controls, Inc. A director of Manpower for more than</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five years. An employee of Manpower since July 1993.</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Michael J. Van Handel</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0"/>
              </w:rPr>
              <w:t>Executive Vice President, Chief Financial Officer and Secretary of Manpower since April, 2002. Senior Vice President,</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46</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4"/>
              </w:rPr>
              <w:t>Chief Financial Officer and Secretary of Manpower from August, 1999 to April, 2002. Senior Vice President, Chief</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Financial Officer, Treasurer and Secretary of Manpower from July, 1998 to August, 1999. An employee of Manpower</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since May, 1989.</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Barbara J. Beck</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9"/>
              </w:rPr>
              <w:t>Executive Vice President of Manpower – Europe, Middle East and Africa since January, 2006. Executive Vice President</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45</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8"/>
              </w:rPr>
              <w:t>of Manpower – United States and Canadian Operations from January, 2002 to December, 2005. Independent consultant</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from August, 2000 to January, 2002. Area Vice President and General Manager of United States – West for Sprint</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Corporation from February, 1996 to August, 2000. An employee of Manpower since January, 2002.</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Jean-Pierre Lemonnier</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Executive Vice President of Manpower and President of Manpower France since April, 2002. Managing Director of</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47</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5"/>
              </w:rPr>
              <w:t>Manpower France from March, 2002 to April, 2002. Director of Operations, Manpower France from April, 1998 to</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March, 2002. An employee of Manpower since April, 1998.</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Yoav Michaely</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8"/>
              </w:rPr>
              <w:t>Executive Vice President of Manpower – Global Operational Effectiveness since January, 2006. Executive Vice President</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49</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and Managing Director of Other Europe, Middle East and Africa for Manpower from April, 2002 to December, 2005.</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2"/>
              </w:rPr>
              <w:t>Senior Vice President of Manpower and Managing Director – European Region from December, 1999 to April, 2002.</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8"/>
              </w:rPr>
              <w:t>Regional Director – Southern Europe from September, 1996 to December, 1999. An employee of Manpower since 1985.</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Jonas Prising</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7"/>
              </w:rPr>
              <w:t>Executive Vice President of Manpower – United States and Canadian Operations since January, 2006. Managing Director</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41</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of Manpower Italy from July, 2002 to December, 2005. Director of Manpower Global Accounts – EMEA from June,</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1999 to June, 2002. Prior to joining Manpower, held multiple international management positions with Electrolux from</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1989 to May 1999. An employee of Manpower since June, 1999.</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Owen J. Sullivan</w:t>
            </w:r>
          </w:p>
        </w:tc>
        <w:tc>
          <w:tcPr>
            <w:tcW w:w="1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Executive Vice President of Manpower Inc., and CEO of Right Management Consultants and Jefferson Wells since</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Age 48</w:t>
            </w: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7"/>
              </w:rPr>
              <w:t>January, 2005. Chief Executive Officer of Jefferson Wells International, Inc. from April, 2003 to January, 2005.</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2"/>
              </w:rPr>
              <w:t>Independent consultant from 2002 to 2003. President of the Financial Services Group – Metavante Corporation from</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1999 to 2003. An employee of Manpower since April, 2003.</w:t>
            </w:r>
          </w:p>
        </w:tc>
      </w:tr>
      <w:tr>
        <w:trPr>
          <w:trHeight w:val="365"/>
        </w:trPr>
        <w:tc>
          <w:tcPr>
            <w:tcW w:w="2740" w:type="dxa"/>
            <w:vAlign w:val="bottom"/>
          </w:tcPr>
          <w:p>
            <w:pPr>
              <w:spacing w:after="0"/>
              <w:rPr>
                <w:sz w:val="24"/>
                <w:szCs w:val="24"/>
                <w:color w:val="auto"/>
              </w:rPr>
            </w:pPr>
          </w:p>
        </w:tc>
        <w:tc>
          <w:tcPr>
            <w:tcW w:w="8680" w:type="dxa"/>
            <w:vAlign w:val="bottom"/>
            <w:gridSpan w:val="2"/>
          </w:tcPr>
          <w:p>
            <w:pPr>
              <w:jc w:val="center"/>
              <w:ind w:right="2653"/>
              <w:spacing w:after="0"/>
              <w:rPr>
                <w:sz w:val="20"/>
                <w:szCs w:val="20"/>
                <w:color w:val="auto"/>
              </w:rPr>
            </w:pPr>
            <w:r>
              <w:rPr>
                <w:rFonts w:ascii="Arial" w:cs="Arial" w:eastAsia="Arial" w:hAnsi="Arial"/>
                <w:sz w:val="18"/>
                <w:szCs w:val="18"/>
                <w:color w:val="auto"/>
                <w:w w:val="89"/>
              </w:rPr>
              <w:t>17</w:t>
            </w:r>
          </w:p>
        </w:tc>
      </w:tr>
    </w:tbl>
    <w:p>
      <w:pPr>
        <w:jc w:val="center"/>
        <w:ind w:right="2653"/>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for us by our independent registered public accounting firm, Deloitte &amp; Touche LLP and related entities (“Deloitte”), during 2005:</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tax disclosures, elections and tax filing positions available to the Company;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59"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the Company to comply with taxing authority documentation requirements regarding royalties and inter-company pricing, and assistance with tax exemptions;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advice regarding tax issues relating to the Company’s internal reorganizations;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of the Company’s third quarter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assistance with the coordination of a communications network installation;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consultation regarding benefit plans and certain other employee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diligence work on potential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assistance with a request to a government agency regarding the move to a shared service center;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assistance in a customer request for information regarding financial results.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October 2005, the Board of Directors authorized the repurchase of 5.0 million shares of our common stock, not to exceed a total purchase price of $250.0 million. The authorization permitted share repurchases from time to time through a variety of methods, including open market purchases, block transactions, privately negotiated transactions, accelerated share repurchase programs, forward repurchase agreements or similar facilities. As of December 31, 2005, we have repurchased 300,000 shares under this authorization, at a total price of $14.1 million, as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tbl>
      <w:tblPr>
        <w:tblLayout w:type="fixed"/>
        <w:tblInd w:w="0" w:type="dxa"/>
        <w:tblCellMar>
          <w:top w:w="0" w:type="dxa"/>
          <w:left w:w="0" w:type="dxa"/>
          <w:bottom w:w="0" w:type="dxa"/>
          <w:right w:w="0" w:type="dxa"/>
        </w:tblCellMar>
      </w:tblPr>
      <w:tr>
        <w:trPr>
          <w:trHeight w:val="143"/>
        </w:trPr>
        <w:tc>
          <w:tcPr>
            <w:tcW w:w="6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Total number of</w:t>
            </w:r>
          </w:p>
        </w:tc>
        <w:tc>
          <w:tcPr>
            <w:tcW w:w="4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Approximate</w:t>
            </w:r>
          </w:p>
        </w:tc>
        <w:tc>
          <w:tcPr>
            <w:tcW w:w="20" w:type="dxa"/>
            <w:vAlign w:val="bottom"/>
          </w:tcPr>
          <w:p>
            <w:pPr>
              <w:spacing w:after="0"/>
              <w:rPr>
                <w:sz w:val="12"/>
                <w:szCs w:val="12"/>
                <w:color w:val="auto"/>
              </w:rPr>
            </w:pPr>
          </w:p>
        </w:tc>
      </w:tr>
      <w:tr>
        <w:trPr>
          <w:trHeight w:val="149"/>
        </w:trPr>
        <w:tc>
          <w:tcPr>
            <w:tcW w:w="6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4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6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Total number of</w:t>
            </w:r>
          </w:p>
        </w:tc>
        <w:tc>
          <w:tcPr>
            <w:tcW w:w="4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price paid</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48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that may yet be</w:t>
            </w:r>
          </w:p>
        </w:tc>
      </w:tr>
      <w:tr>
        <w:trPr>
          <w:trHeight w:val="161"/>
        </w:trPr>
        <w:tc>
          <w:tcPr>
            <w:tcW w:w="6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 purchased</w:t>
            </w:r>
          </w:p>
        </w:tc>
        <w:tc>
          <w:tcPr>
            <w:tcW w:w="4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4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20" w:type="dxa"/>
            <w:vAlign w:val="bottom"/>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October 1- 31, 2005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November 1 - 31, 2005</w:t>
            </w:r>
          </w:p>
        </w:tc>
        <w:tc>
          <w:tcPr>
            <w:tcW w:w="1000" w:type="dxa"/>
            <w:vAlign w:val="bottom"/>
          </w:tcPr>
          <w:p>
            <w:pPr>
              <w:jc w:val="right"/>
              <w:spacing w:after="0"/>
              <w:rPr>
                <w:sz w:val="20"/>
                <w:szCs w:val="20"/>
                <w:color w:val="auto"/>
              </w:rPr>
            </w:pPr>
            <w:r>
              <w:rPr>
                <w:rFonts w:ascii="Arial" w:cs="Arial" w:eastAsia="Arial" w:hAnsi="Arial"/>
                <w:sz w:val="18"/>
                <w:szCs w:val="18"/>
                <w:color w:val="auto"/>
              </w:rPr>
              <w:t>140,000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4,860,000</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are 4.7 million shares of common stock remaining available for purchase under this authorization.</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remaining information required by this Item is set forth in our Annual Report to Shareholders for the fiscal year ended December 31, 2005, under the heading “Note 16 - Quarterly Data” (page 87) and “Corporate Information” (page 92) and in our Proxy Statement for the Annual Meeting of Shareholders to be held on April 25, 2006, under the caption “Equity Compensation Plan Information”, which information is hereby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2005, under the heading “Selected Financial Data” (page 88), which information is hereby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2005, under the headings “Management’s Discussion and Analysis of Financial Condition and Results of Operations” (pages 33 to 52), which information is hereby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information required by this Item is set forth in our Annual Report to Shareholders for the fiscal year ended December 31, 2005, under the heading “Significant Matters Affecting Results of Operations” (pages 49 to 52), which information is hereby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information required by this Item is set forth in the financial statements and the notes thereto (pages 56 to 87) contained in our Annual Report to Shareholders for the fiscal year ended December 31, 2005, which information is hereby incorporated herein by reference.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27, 2005, the Audit Committee of the Board of Directors of Manpower Inc. (the “Company”) dismissed PricewaterhouseCoopers LLP as the Company’s independent registered public accounting firm and appointed Deloitte &amp; Touche LLP as the Company’s new independent registered public accounting firm.</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PricewaterhouseCoopers LLP’s reports on the Company’s consolidated financial statements for each of the years ended December 31, 2004 and 2003 did not contain an adverse opinion or disclaimer of opinion, nor were they qualified or modified as to uncertainty, audit scope, or accounting principle.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the years ended December 31, 2004 and 2003, and the subsequent interim period through July 29, 2005, there were no disagreements between the Company and PricewaterhouseCoopers LLP on any matter of accounting principles or practices, financial statement disclosure, or auditing scope or procedure, which disagreements, if not resolved to PricewaterhouseCoopers LLP’s satisfaction, would have caused them to make reference to the subject matter of the disagreement in connection with their reports on the financial statements of the Company for such years.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the reportable events described in Item 304(a)(1)(v) of Regulation S-K occurred during the years ended December 31, 2004 and 2003 or during the subsequent interim period through July 29,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provided PricewaterhouseCoopers LLP with a copy of the foregoing disclosures.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During the years ended December 31, 2004 and 2003, and the subsequent interim period through July 27, 2005, the Company did not consult with Deloitte &amp; Touche LLP regarding any of the matters or events set forth in Item 304(a)(2)(i) and (ii) of Regulation S-K.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0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Management Report on Internal Control Over Financial Reporting is set forth on page 53 in our Annual Report to Shareholders for the fiscal year ended December 31, 2005 which information is hereby incorporated herein by reference. The Independent Registered Public Accounting Firm’s report with respect to Management’s assessment of the effectiveness of internal control over financial reporting, and the effectiveness of internal control over financial reporting is included on pages 53 and 54 of our Annual Report to Shareholders for the fiscal year ended December 31, 2005 which information is hereby incorporated herein by reference.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 in Part I after Item 4.</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April 25, 2006 under the caption “Election of Directors,” which information is hereby incorporated herein by reference.</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4"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April 25, 2006 under the caption “Meetings and Committees of the Board,” which information is hereby incorporated herein by reference.</w:t>
      </w:r>
    </w:p>
    <w:p>
      <w:pPr>
        <w:spacing w:after="0" w:line="4"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on April 25, 2006 under the caption “Section 16(a) Beneficial Ownership Reporting Compliance,” which information is hereby incorporated herein by reference.</w:t>
      </w:r>
    </w:p>
    <w:p>
      <w:pPr>
        <w:spacing w:after="0" w:line="59"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25, 2006, under the caption “Remuneration of Directors”; under the caption “Executive Compensation”; and under the caption “Executive Compensation Committee Interlocks and Insider Participation,” which information is hereby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25, 2006, under the caption “Security Ownership of Certain Beneficial Owners” and under the caption “Security Ownership of Management,” which information is hereby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25, 2006, under the caption “Audit Committee Report,” which information is hereby incorporated herein by reference.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274" w:right="4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720" w:type="dxa"/>
            <w:vAlign w:val="bottom"/>
          </w:tcPr>
          <w:p>
            <w:pPr>
              <w:ind w:left="460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19"/>
                <w:szCs w:val="19"/>
                <w:color w:val="auto"/>
              </w:rPr>
            </w:pPr>
          </w:p>
        </w:tc>
      </w:tr>
      <w:tr>
        <w:trPr>
          <w:trHeight w:val="419"/>
        </w:trPr>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Item 15.</w:t>
            </w:r>
          </w:p>
        </w:tc>
        <w:tc>
          <w:tcPr>
            <w:tcW w:w="8720" w:type="dxa"/>
            <w:vAlign w:val="bottom"/>
          </w:tcPr>
          <w:p>
            <w:pPr>
              <w:ind w:left="280"/>
              <w:spacing w:after="0"/>
              <w:rPr>
                <w:sz w:val="20"/>
                <w:szCs w:val="20"/>
                <w:color w:val="auto"/>
              </w:rPr>
            </w:pPr>
            <w:r>
              <w:rPr>
                <w:rFonts w:ascii="Arial" w:cs="Arial" w:eastAsia="Arial" w:hAnsi="Arial"/>
                <w:sz w:val="18"/>
                <w:szCs w:val="18"/>
                <w:b w:val="1"/>
                <w:bCs w:val="1"/>
                <w:color w:val="auto"/>
              </w:rPr>
              <w:t>Exhibits and Financial Statement Schedules.</w:t>
            </w:r>
          </w:p>
        </w:tc>
        <w:tc>
          <w:tcPr>
            <w:tcW w:w="1020" w:type="dxa"/>
            <w:vAlign w:val="bottom"/>
          </w:tcPr>
          <w:p>
            <w:pPr>
              <w:spacing w:after="0"/>
              <w:rPr>
                <w:sz w:val="24"/>
                <w:szCs w:val="24"/>
                <w:color w:val="auto"/>
              </w:rPr>
            </w:pPr>
          </w:p>
        </w:tc>
      </w:tr>
      <w:tr>
        <w:trPr>
          <w:trHeight w:val="297"/>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(a)(1)</w:t>
            </w:r>
          </w:p>
        </w:tc>
        <w:tc>
          <w:tcPr>
            <w:tcW w:w="87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1020" w:type="dxa"/>
            <w:vAlign w:val="bottom"/>
          </w:tcPr>
          <w:p>
            <w:pPr>
              <w:spacing w:after="0"/>
              <w:rPr>
                <w:sz w:val="24"/>
                <w:szCs w:val="24"/>
                <w:color w:val="auto"/>
              </w:rPr>
            </w:pPr>
          </w:p>
        </w:tc>
      </w:tr>
      <w:tr>
        <w:trPr>
          <w:trHeight w:val="340"/>
        </w:trPr>
        <w:tc>
          <w:tcPr>
            <w:tcW w:w="76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Page Number(s)</w:t>
            </w:r>
          </w:p>
        </w:tc>
      </w:tr>
      <w:tr>
        <w:trPr>
          <w:trHeight w:val="149"/>
        </w:trPr>
        <w:tc>
          <w:tcPr>
            <w:tcW w:w="7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Annual Report</w:t>
            </w:r>
          </w:p>
        </w:tc>
      </w:tr>
      <w:tr>
        <w:trPr>
          <w:trHeight w:val="174"/>
        </w:trPr>
        <w:tc>
          <w:tcPr>
            <w:tcW w:w="76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to Shareholders</w:t>
            </w:r>
          </w:p>
        </w:tc>
      </w:tr>
      <w:tr>
        <w:trPr>
          <w:trHeight w:val="202"/>
        </w:trPr>
        <w:tc>
          <w:tcPr>
            <w:tcW w:w="76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Consolidated Financial Statements (data incorporated by reference from the attached Annual Report to</w:t>
            </w:r>
          </w:p>
        </w:tc>
        <w:tc>
          <w:tcPr>
            <w:tcW w:w="1020" w:type="dxa"/>
            <w:vAlign w:val="bottom"/>
          </w:tcPr>
          <w:p>
            <w:pPr>
              <w:spacing w:after="0"/>
              <w:rPr>
                <w:sz w:val="17"/>
                <w:szCs w:val="17"/>
                <w:color w:val="auto"/>
              </w:rPr>
            </w:pPr>
          </w:p>
        </w:tc>
      </w:tr>
      <w:tr>
        <w:trPr>
          <w:trHeight w:val="222"/>
        </w:trPr>
        <w:tc>
          <w:tcPr>
            <w:tcW w:w="760" w:type="dxa"/>
            <w:vAlign w:val="bottom"/>
          </w:tcPr>
          <w:p>
            <w:pPr>
              <w:spacing w:after="0"/>
              <w:rPr>
                <w:sz w:val="19"/>
                <w:szCs w:val="19"/>
                <w:color w:val="auto"/>
              </w:rPr>
            </w:pPr>
          </w:p>
        </w:tc>
        <w:tc>
          <w:tcPr>
            <w:tcW w:w="8720" w:type="dxa"/>
            <w:vAlign w:val="bottom"/>
          </w:tcPr>
          <w:p>
            <w:pPr>
              <w:ind w:left="380"/>
              <w:spacing w:after="0"/>
              <w:rPr>
                <w:sz w:val="20"/>
                <w:szCs w:val="20"/>
                <w:color w:val="auto"/>
              </w:rPr>
            </w:pPr>
            <w:r>
              <w:rPr>
                <w:rFonts w:ascii="Arial" w:cs="Arial" w:eastAsia="Arial" w:hAnsi="Arial"/>
                <w:sz w:val="18"/>
                <w:szCs w:val="18"/>
                <w:color w:val="auto"/>
              </w:rPr>
              <w:t>Shareholders):</w:t>
            </w:r>
          </w:p>
        </w:tc>
        <w:tc>
          <w:tcPr>
            <w:tcW w:w="1020" w:type="dxa"/>
            <w:vAlign w:val="bottom"/>
          </w:tcPr>
          <w:p>
            <w:pPr>
              <w:spacing w:after="0"/>
              <w:rPr>
                <w:sz w:val="19"/>
                <w:szCs w:val="19"/>
                <w:color w:val="auto"/>
              </w:rPr>
            </w:pPr>
          </w:p>
        </w:tc>
      </w:tr>
      <w:tr>
        <w:trPr>
          <w:trHeight w:val="324"/>
        </w:trPr>
        <w:tc>
          <w:tcPr>
            <w:tcW w:w="76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53 -55</w:t>
            </w:r>
          </w:p>
        </w:tc>
      </w:tr>
      <w:tr>
        <w:trPr>
          <w:trHeight w:val="324"/>
        </w:trPr>
        <w:tc>
          <w:tcPr>
            <w:tcW w:w="76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Consolidated Statements of Operations for the years ended December 31, 2005, 2004 and 2003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324"/>
        </w:trPr>
        <w:tc>
          <w:tcPr>
            <w:tcW w:w="76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Consolidated Balance Sheets as of December 31, 2005 and 2004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324"/>
        </w:trPr>
        <w:tc>
          <w:tcPr>
            <w:tcW w:w="76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Consolidated Statements of Cash Flows for the years ended December 31, 2005, 2004 and 2003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318"/>
        </w:trPr>
        <w:tc>
          <w:tcPr>
            <w:tcW w:w="76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Consolidated Statements of Shareholders’ Equity for the years ended December 31, 2005, 2004 and</w:t>
            </w:r>
          </w:p>
        </w:tc>
        <w:tc>
          <w:tcPr>
            <w:tcW w:w="1020" w:type="dxa"/>
            <w:vAlign w:val="bottom"/>
          </w:tcPr>
          <w:p>
            <w:pPr>
              <w:spacing w:after="0"/>
              <w:rPr>
                <w:sz w:val="24"/>
                <w:szCs w:val="24"/>
                <w:color w:val="auto"/>
              </w:rPr>
            </w:pPr>
          </w:p>
        </w:tc>
      </w:tr>
      <w:tr>
        <w:trPr>
          <w:trHeight w:val="222"/>
        </w:trPr>
        <w:tc>
          <w:tcPr>
            <w:tcW w:w="760" w:type="dxa"/>
            <w:vAlign w:val="bottom"/>
          </w:tcPr>
          <w:p>
            <w:pPr>
              <w:spacing w:after="0"/>
              <w:rPr>
                <w:sz w:val="19"/>
                <w:szCs w:val="19"/>
                <w:color w:val="auto"/>
              </w:rPr>
            </w:pPr>
          </w:p>
        </w:tc>
        <w:tc>
          <w:tcPr>
            <w:tcW w:w="8720" w:type="dxa"/>
            <w:vAlign w:val="bottom"/>
          </w:tcPr>
          <w:p>
            <w:pPr>
              <w:ind w:left="820"/>
              <w:spacing w:after="0"/>
              <w:rPr>
                <w:sz w:val="20"/>
                <w:szCs w:val="20"/>
                <w:color w:val="auto"/>
              </w:rPr>
            </w:pPr>
            <w:r>
              <w:rPr>
                <w:rFonts w:ascii="Arial" w:cs="Arial" w:eastAsia="Arial" w:hAnsi="Arial"/>
                <w:sz w:val="18"/>
                <w:szCs w:val="18"/>
                <w:color w:val="auto"/>
              </w:rPr>
              <w:t>2003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324"/>
        </w:trPr>
        <w:tc>
          <w:tcPr>
            <w:tcW w:w="76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60 -87</w:t>
            </w:r>
          </w:p>
        </w:tc>
      </w:tr>
      <w:tr>
        <w:trPr>
          <w:trHeight w:val="297"/>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(a)(2)</w:t>
            </w:r>
          </w:p>
        </w:tc>
        <w:tc>
          <w:tcPr>
            <w:tcW w:w="8720" w:type="dxa"/>
            <w:vAlign w:val="bottom"/>
          </w:tcPr>
          <w:p>
            <w:pPr>
              <w:ind w:left="140"/>
              <w:spacing w:after="0"/>
              <w:rPr>
                <w:sz w:val="20"/>
                <w:szCs w:val="20"/>
                <w:color w:val="auto"/>
              </w:rPr>
            </w:pPr>
            <w:r>
              <w:rPr>
                <w:rFonts w:ascii="Arial" w:cs="Arial" w:eastAsia="Arial" w:hAnsi="Arial"/>
                <w:sz w:val="18"/>
                <w:szCs w:val="18"/>
                <w:color w:val="auto"/>
              </w:rPr>
              <w:t>Financial Statement Schedules.</w:t>
            </w:r>
          </w:p>
        </w:tc>
        <w:tc>
          <w:tcPr>
            <w:tcW w:w="102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102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SCHEDULE II - Valuation and Qualifying Accounts</w:t>
            </w:r>
          </w:p>
        </w:tc>
        <w:tc>
          <w:tcPr>
            <w:tcW w:w="1020" w:type="dxa"/>
            <w:vAlign w:val="bottom"/>
          </w:tcPr>
          <w:p>
            <w:pPr>
              <w:spacing w:after="0"/>
              <w:rPr>
                <w:sz w:val="24"/>
                <w:szCs w:val="24"/>
                <w:color w:val="auto"/>
              </w:rPr>
            </w:pPr>
          </w:p>
        </w:tc>
      </w:tr>
      <w:tr>
        <w:trPr>
          <w:trHeight w:val="297"/>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(a)(3)</w:t>
            </w:r>
          </w:p>
        </w:tc>
        <w:tc>
          <w:tcPr>
            <w:tcW w:w="87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02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See (c) below.</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320"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9740" w:type="dxa"/>
            <w:vAlign w:val="bottom"/>
          </w:tcPr>
          <w:p>
            <w:pPr>
              <w:ind w:left="240"/>
              <w:spacing w:after="0"/>
              <w:rPr>
                <w:sz w:val="20"/>
                <w:szCs w:val="20"/>
                <w:color w:val="auto"/>
              </w:rPr>
            </w:pPr>
            <w:r>
              <w:rPr>
                <w:rFonts w:ascii="Arial" w:cs="Arial" w:eastAsia="Arial" w:hAnsi="Arial"/>
                <w:sz w:val="18"/>
                <w:szCs w:val="18"/>
                <w:color w:val="auto"/>
                <w:w w:val="99"/>
              </w:rPr>
              <w:t>Articles of Incorporation of Manpower Inc. incorporated by reference to Annex C of the Prospectus, which is contained in</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Amendment No. 1 to Form S-4 (Registration No. 33-38684).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9740" w:type="dxa"/>
            <w:vAlign w:val="bottom"/>
          </w:tcPr>
          <w:p>
            <w:pPr>
              <w:ind w:left="240"/>
              <w:spacing w:after="0"/>
              <w:rPr>
                <w:sz w:val="20"/>
                <w:szCs w:val="20"/>
                <w:color w:val="auto"/>
              </w:rPr>
            </w:pPr>
            <w:r>
              <w:rPr>
                <w:rFonts w:ascii="Arial" w:cs="Arial" w:eastAsia="Arial" w:hAnsi="Arial"/>
                <w:sz w:val="18"/>
                <w:szCs w:val="18"/>
                <w:color w:val="auto"/>
                <w:w w:val="93"/>
              </w:rPr>
              <w:t>Amendment of Amended and Restated Articles of Incorporation of Manpower Inc., incorporated by reference to the Company’s</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3.3</w:t>
            </w:r>
          </w:p>
        </w:tc>
        <w:tc>
          <w:tcPr>
            <w:tcW w:w="9740" w:type="dxa"/>
            <w:vAlign w:val="bottom"/>
          </w:tcPr>
          <w:p>
            <w:pPr>
              <w:ind w:left="240"/>
              <w:spacing w:after="0"/>
              <w:rPr>
                <w:sz w:val="20"/>
                <w:szCs w:val="20"/>
                <w:color w:val="auto"/>
              </w:rPr>
            </w:pPr>
            <w:r>
              <w:rPr>
                <w:rFonts w:ascii="Arial" w:cs="Arial" w:eastAsia="Arial" w:hAnsi="Arial"/>
                <w:sz w:val="18"/>
                <w:szCs w:val="18"/>
                <w:color w:val="auto"/>
                <w:w w:val="91"/>
              </w:rPr>
              <w:t>Amended and Restated By-laws of Manpower Inc., incorporated by reference to the Company’s Quarterly Report on Form 10-Q for</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the quarter ended June 30, 2004.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9740" w:type="dxa"/>
            <w:vAlign w:val="bottom"/>
          </w:tcPr>
          <w:p>
            <w:pPr>
              <w:ind w:left="240"/>
              <w:spacing w:after="0"/>
              <w:rPr>
                <w:sz w:val="20"/>
                <w:szCs w:val="20"/>
                <w:color w:val="auto"/>
              </w:rPr>
            </w:pPr>
            <w:r>
              <w:rPr>
                <w:rFonts w:ascii="Arial" w:cs="Arial" w:eastAsia="Arial" w:hAnsi="Arial"/>
                <w:sz w:val="18"/>
                <w:szCs w:val="18"/>
                <w:color w:val="auto"/>
                <w:w w:val="90"/>
              </w:rPr>
              <w:t>Fiscal and Paying Agency Agreement between Manpower Inc. and Citibank, N.A. as Fiscal Agent, Principal Paying Agent, Registrar</w:t>
            </w:r>
          </w:p>
        </w:tc>
      </w:tr>
      <w:tr>
        <w:trPr>
          <w:trHeight w:val="216"/>
        </w:trPr>
        <w:tc>
          <w:tcPr>
            <w:tcW w:w="760" w:type="dxa"/>
            <w:vAlign w:val="bottom"/>
          </w:tcPr>
          <w:p>
            <w:pPr>
              <w:spacing w:after="0"/>
              <w:rPr>
                <w:sz w:val="18"/>
                <w:szCs w:val="18"/>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w w:val="89"/>
              </w:rPr>
              <w:t>and Transfer Agent and Citibank International PLC as Irish Paying Agent, dated as of June 1, 2005 (including the forms of Rule 144A</w:t>
            </w:r>
          </w:p>
        </w:tc>
      </w:tr>
      <w:tr>
        <w:trPr>
          <w:trHeight w:val="216"/>
        </w:trPr>
        <w:tc>
          <w:tcPr>
            <w:tcW w:w="760" w:type="dxa"/>
            <w:vAlign w:val="bottom"/>
          </w:tcPr>
          <w:p>
            <w:pPr>
              <w:spacing w:after="0"/>
              <w:rPr>
                <w:sz w:val="18"/>
                <w:szCs w:val="18"/>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w w:val="93"/>
              </w:rPr>
              <w:t>Global Note and Regulation S Global Note, attached thereto as Exhibits A and B, respectively), incorporated by reference to the</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Company’s Quarterly Report on Form 10-Q for the quarter ended June 30, 2005.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9740" w:type="dxa"/>
            <w:vAlign w:val="bottom"/>
          </w:tcPr>
          <w:p>
            <w:pPr>
              <w:ind w:left="240"/>
              <w:spacing w:after="0"/>
              <w:rPr>
                <w:sz w:val="20"/>
                <w:szCs w:val="20"/>
                <w:color w:val="auto"/>
              </w:rPr>
            </w:pPr>
            <w:r>
              <w:rPr>
                <w:rFonts w:ascii="Arial" w:cs="Arial" w:eastAsia="Arial" w:hAnsi="Arial"/>
                <w:sz w:val="18"/>
                <w:szCs w:val="18"/>
                <w:color w:val="auto"/>
              </w:rPr>
              <w:t>Amended and Restated Manpower Inc. Senior Management Performance-Based Deferred Compensation Plan.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10.2(a)</w:t>
            </w:r>
          </w:p>
        </w:tc>
        <w:tc>
          <w:tcPr>
            <w:tcW w:w="9740" w:type="dxa"/>
            <w:vAlign w:val="bottom"/>
          </w:tcPr>
          <w:p>
            <w:pPr>
              <w:ind w:left="240"/>
              <w:spacing w:after="0"/>
              <w:rPr>
                <w:sz w:val="20"/>
                <w:szCs w:val="20"/>
                <w:color w:val="auto"/>
              </w:rPr>
            </w:pPr>
            <w:r>
              <w:rPr>
                <w:rFonts w:ascii="Arial" w:cs="Arial" w:eastAsia="Arial" w:hAnsi="Arial"/>
                <w:sz w:val="18"/>
                <w:szCs w:val="18"/>
                <w:color w:val="auto"/>
                <w:w w:val="92"/>
              </w:rPr>
              <w:t>Five-Year Credit Agreement dated as of October 8, 2004 among Manpower Inc., the initial lenders named therein, Citibank N.A.,</w:t>
            </w:r>
          </w:p>
        </w:tc>
      </w:tr>
      <w:tr>
        <w:trPr>
          <w:trHeight w:val="216"/>
        </w:trPr>
        <w:tc>
          <w:tcPr>
            <w:tcW w:w="760" w:type="dxa"/>
            <w:vAlign w:val="bottom"/>
          </w:tcPr>
          <w:p>
            <w:pPr>
              <w:spacing w:after="0"/>
              <w:rPr>
                <w:sz w:val="18"/>
                <w:szCs w:val="18"/>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w w:val="89"/>
              </w:rPr>
              <w:t>Wachovia Bank, BNP Paribas, Bank One N.A., and The Royal Bank of Scotland, incorporated by reference to the Company’s Current</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Report on Form 8-K dated October 14, 2004.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10.2(b)</w:t>
            </w:r>
          </w:p>
        </w:tc>
        <w:tc>
          <w:tcPr>
            <w:tcW w:w="9740" w:type="dxa"/>
            <w:vAlign w:val="bottom"/>
          </w:tcPr>
          <w:p>
            <w:pPr>
              <w:ind w:left="240"/>
              <w:spacing w:after="0"/>
              <w:rPr>
                <w:sz w:val="20"/>
                <w:szCs w:val="20"/>
                <w:color w:val="auto"/>
              </w:rPr>
            </w:pPr>
            <w:r>
              <w:rPr>
                <w:rFonts w:ascii="Arial" w:cs="Arial" w:eastAsia="Arial" w:hAnsi="Arial"/>
                <w:sz w:val="18"/>
                <w:szCs w:val="18"/>
                <w:color w:val="auto"/>
                <w:w w:val="88"/>
              </w:rPr>
              <w:t>Amendment to Five-Year Credit Agreement dated as of March 14, 2005, incorporated by reference to the Company’s Quarterly Report</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on Form 10-Q for the quarter ended March 31, 2005.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10.2(c)</w:t>
            </w:r>
          </w:p>
        </w:tc>
        <w:tc>
          <w:tcPr>
            <w:tcW w:w="9740" w:type="dxa"/>
            <w:vAlign w:val="bottom"/>
          </w:tcPr>
          <w:p>
            <w:pPr>
              <w:ind w:left="240"/>
              <w:spacing w:after="0"/>
              <w:rPr>
                <w:sz w:val="20"/>
                <w:szCs w:val="20"/>
                <w:color w:val="auto"/>
              </w:rPr>
            </w:pPr>
            <w:r>
              <w:rPr>
                <w:rFonts w:ascii="Arial" w:cs="Arial" w:eastAsia="Arial" w:hAnsi="Arial"/>
                <w:sz w:val="18"/>
                <w:szCs w:val="18"/>
                <w:color w:val="auto"/>
              </w:rPr>
              <w:t>Amendment No. 2 to the Credit Agreement dated as of January 10,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9740" w:type="dxa"/>
            <w:vAlign w:val="bottom"/>
          </w:tcPr>
          <w:p>
            <w:pPr>
              <w:ind w:left="240"/>
              <w:spacing w:after="0"/>
              <w:rPr>
                <w:sz w:val="20"/>
                <w:szCs w:val="20"/>
                <w:color w:val="auto"/>
              </w:rPr>
            </w:pPr>
            <w:r>
              <w:rPr>
                <w:rFonts w:ascii="Arial" w:cs="Arial" w:eastAsia="Arial" w:hAnsi="Arial"/>
                <w:sz w:val="18"/>
                <w:szCs w:val="18"/>
                <w:color w:val="auto"/>
                <w:w w:val="88"/>
              </w:rPr>
              <w:t>Amended and Restated Manpower 1991 Executive Stock Option and Restricted Stock Plan, incorporated by reference to Form 10-Q of</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Manpower Inc. dated September 30, 1996.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9740" w:type="dxa"/>
            <w:vAlign w:val="bottom"/>
          </w:tcPr>
          <w:p>
            <w:pPr>
              <w:ind w:left="240"/>
              <w:spacing w:after="0"/>
              <w:rPr>
                <w:sz w:val="20"/>
                <w:szCs w:val="20"/>
                <w:color w:val="auto"/>
              </w:rPr>
            </w:pPr>
            <w:r>
              <w:rPr>
                <w:rFonts w:ascii="Arial" w:cs="Arial" w:eastAsia="Arial" w:hAnsi="Arial"/>
                <w:sz w:val="18"/>
                <w:szCs w:val="18"/>
                <w:color w:val="auto"/>
                <w:w w:val="91"/>
              </w:rPr>
              <w:t>Manpower Savings Related Share Option Scheme, incorporated by reference to Amendment No. 1 to the Company’s Registration</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Statement on Form S-4 (Registration No. 33-38684).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9740" w:type="dxa"/>
            <w:vAlign w:val="bottom"/>
          </w:tcPr>
          <w:p>
            <w:pPr>
              <w:ind w:left="240"/>
              <w:spacing w:after="0"/>
              <w:rPr>
                <w:sz w:val="20"/>
                <w:szCs w:val="20"/>
                <w:color w:val="auto"/>
              </w:rPr>
            </w:pPr>
            <w:r>
              <w:rPr>
                <w:rFonts w:ascii="Arial" w:cs="Arial" w:eastAsia="Arial" w:hAnsi="Arial"/>
                <w:sz w:val="18"/>
                <w:szCs w:val="18"/>
                <w:color w:val="auto"/>
                <w:w w:val="90"/>
              </w:rPr>
              <w:t>Manpower 1990 Employee Stock Purchase Plan (Amended and Restated effective April 26, 2005), incorporated by reference to the</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Company’s Quarterly Report on Form 10-Q for the quarter ended March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9740" w:type="dxa"/>
            <w:vAlign w:val="bottom"/>
          </w:tcPr>
          <w:p>
            <w:pPr>
              <w:ind w:left="240"/>
              <w:spacing w:after="0"/>
              <w:rPr>
                <w:sz w:val="20"/>
                <w:szCs w:val="20"/>
                <w:color w:val="auto"/>
              </w:rPr>
            </w:pPr>
            <w:r>
              <w:rPr>
                <w:rFonts w:ascii="Arial" w:cs="Arial" w:eastAsia="Arial" w:hAnsi="Arial"/>
                <w:sz w:val="18"/>
                <w:szCs w:val="18"/>
                <w:color w:val="auto"/>
                <w:w w:val="93"/>
              </w:rPr>
              <w:t>Manpower Retirement Plan, as amended and restated effective as of March 1, 1989, incorporated by reference to Form 10-K of</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Manpower PLC, SEC File No. 0-9890, filed for the fiscal year ended October 31, 1989.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10.7(a)</w:t>
            </w:r>
          </w:p>
        </w:tc>
        <w:tc>
          <w:tcPr>
            <w:tcW w:w="9740" w:type="dxa"/>
            <w:vAlign w:val="bottom"/>
          </w:tcPr>
          <w:p>
            <w:pPr>
              <w:ind w:left="240"/>
              <w:spacing w:after="0"/>
              <w:rPr>
                <w:sz w:val="20"/>
                <w:szCs w:val="20"/>
                <w:color w:val="auto"/>
              </w:rPr>
            </w:pPr>
            <w:r>
              <w:rPr>
                <w:rFonts w:ascii="Arial" w:cs="Arial" w:eastAsia="Arial" w:hAnsi="Arial"/>
                <w:sz w:val="18"/>
                <w:szCs w:val="18"/>
                <w:color w:val="auto"/>
                <w:w w:val="88"/>
              </w:rPr>
              <w:t>1994 Executive Stock Option and Restricted Stock Plan of Manpower Inc. (Amended and Restated October 29, 2002), incorporated by</w:t>
            </w:r>
          </w:p>
        </w:tc>
      </w:tr>
      <w:tr>
        <w:trPr>
          <w:trHeight w:val="222"/>
        </w:trPr>
        <w:tc>
          <w:tcPr>
            <w:tcW w:w="760" w:type="dxa"/>
            <w:vAlign w:val="bottom"/>
          </w:tcPr>
          <w:p>
            <w:pPr>
              <w:spacing w:after="0"/>
              <w:rPr>
                <w:sz w:val="19"/>
                <w:szCs w:val="19"/>
                <w:color w:val="auto"/>
              </w:rPr>
            </w:pPr>
          </w:p>
        </w:tc>
        <w:tc>
          <w:tcPr>
            <w:tcW w:w="9740" w:type="dxa"/>
            <w:vAlign w:val="bottom"/>
          </w:tcPr>
          <w:p>
            <w:pPr>
              <w:ind w:left="24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365"/>
        </w:trPr>
        <w:tc>
          <w:tcPr>
            <w:tcW w:w="760" w:type="dxa"/>
            <w:vAlign w:val="bottom"/>
          </w:tcPr>
          <w:p>
            <w:pPr>
              <w:spacing w:after="0"/>
              <w:rPr>
                <w:sz w:val="24"/>
                <w:szCs w:val="24"/>
                <w:color w:val="auto"/>
              </w:rPr>
            </w:pPr>
          </w:p>
        </w:tc>
        <w:tc>
          <w:tcPr>
            <w:tcW w:w="9740" w:type="dxa"/>
            <w:vAlign w:val="bottom"/>
          </w:tcPr>
          <w:p>
            <w:pPr>
              <w:ind w:left="44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0952"/>
          </w:cols>
          <w:pgMar w:left="248" w:top="280" w:right="69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10.7(b)</w:t>
            </w:r>
          </w:p>
        </w:tc>
        <w:tc>
          <w:tcPr>
            <w:tcW w:w="9620" w:type="dxa"/>
            <w:vAlign w:val="bottom"/>
          </w:tcPr>
          <w:p>
            <w:pPr>
              <w:ind w:left="240"/>
              <w:spacing w:after="0"/>
              <w:rPr>
                <w:sz w:val="20"/>
                <w:szCs w:val="20"/>
                <w:color w:val="auto"/>
              </w:rPr>
            </w:pPr>
            <w:r>
              <w:rPr>
                <w:rFonts w:ascii="Arial" w:cs="Arial" w:eastAsia="Arial" w:hAnsi="Arial"/>
                <w:sz w:val="18"/>
                <w:szCs w:val="18"/>
                <w:color w:val="auto"/>
                <w:w w:val="91"/>
              </w:rPr>
              <w:t>Procedures Governing the Grant of Options to Non-Employee Directors under 1994 Executive Stock Option and Restricted Stock</w:t>
            </w:r>
          </w:p>
        </w:tc>
      </w:tr>
      <w:tr>
        <w:trPr>
          <w:trHeight w:val="216"/>
        </w:trPr>
        <w:tc>
          <w:tcPr>
            <w:tcW w:w="860" w:type="dxa"/>
            <w:vAlign w:val="bottom"/>
          </w:tcPr>
          <w:p>
            <w:pPr>
              <w:spacing w:after="0"/>
              <w:rPr>
                <w:sz w:val="18"/>
                <w:szCs w:val="18"/>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w w:val="90"/>
              </w:rPr>
              <w:t>Plan of Manpower Inc. dated May 1, 2001, incorporated by reference to the Company’s Annual Report on Form 10-K for the fiscal</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year ended December 31, 2001.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10.8(a)</w:t>
            </w:r>
          </w:p>
        </w:tc>
        <w:tc>
          <w:tcPr>
            <w:tcW w:w="9620" w:type="dxa"/>
            <w:vAlign w:val="bottom"/>
          </w:tcPr>
          <w:p>
            <w:pPr>
              <w:ind w:left="240"/>
              <w:spacing w:after="0"/>
              <w:rPr>
                <w:sz w:val="20"/>
                <w:szCs w:val="20"/>
                <w:color w:val="auto"/>
              </w:rPr>
            </w:pPr>
            <w:r>
              <w:rPr>
                <w:rFonts w:ascii="Arial" w:cs="Arial" w:eastAsia="Arial" w:hAnsi="Arial"/>
                <w:sz w:val="18"/>
                <w:szCs w:val="18"/>
                <w:color w:val="auto"/>
                <w:w w:val="89"/>
              </w:rPr>
              <w:t>Manpower Inc. 2002 Corporate Senior Management Incentive Program, incorporated by reference to the Company’s Annual Report</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on Form 10-K for the fiscal year ended December 31, 2001.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10.8(b)</w:t>
            </w:r>
          </w:p>
        </w:tc>
        <w:tc>
          <w:tcPr>
            <w:tcW w:w="9620" w:type="dxa"/>
            <w:vAlign w:val="bottom"/>
          </w:tcPr>
          <w:p>
            <w:pPr>
              <w:ind w:left="240"/>
              <w:spacing w:after="0"/>
              <w:rPr>
                <w:sz w:val="20"/>
                <w:szCs w:val="20"/>
                <w:color w:val="auto"/>
              </w:rPr>
            </w:pPr>
            <w:r>
              <w:rPr>
                <w:rFonts w:ascii="Arial" w:cs="Arial" w:eastAsia="Arial" w:hAnsi="Arial"/>
                <w:sz w:val="18"/>
                <w:szCs w:val="18"/>
                <w:color w:val="auto"/>
                <w:w w:val="88"/>
              </w:rPr>
              <w:t>Amendment to Manpower Inc. 2002 Corporate Senior Management Incentive Program dated as of October 29, 2002, incorporated by</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Amended and Restated Manpower 1991 Directors Stock Option Plan, incorporated by reference to the Company’s Registration</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Statement on Form S-8 (Registration No. 333-31021).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9620" w:type="dxa"/>
            <w:vAlign w:val="bottom"/>
          </w:tcPr>
          <w:p>
            <w:pPr>
              <w:ind w:left="240"/>
              <w:spacing w:after="0"/>
              <w:rPr>
                <w:sz w:val="20"/>
                <w:szCs w:val="20"/>
                <w:color w:val="auto"/>
              </w:rPr>
            </w:pPr>
            <w:r>
              <w:rPr>
                <w:rFonts w:ascii="Arial" w:cs="Arial" w:eastAsia="Arial" w:hAnsi="Arial"/>
                <w:sz w:val="18"/>
                <w:szCs w:val="18"/>
                <w:color w:val="auto"/>
                <w:w w:val="90"/>
              </w:rPr>
              <w:t>Amended and Restated Manpower Deferred Stock Plan, incorporated by reference to the Company’s Annual Report on Form 10-K</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for the fiscal year ended December 31, 1996.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9620" w:type="dxa"/>
            <w:vAlign w:val="bottom"/>
          </w:tcPr>
          <w:p>
            <w:pPr>
              <w:ind w:left="240"/>
              <w:spacing w:after="0"/>
              <w:rPr>
                <w:sz w:val="20"/>
                <w:szCs w:val="20"/>
                <w:color w:val="auto"/>
              </w:rPr>
            </w:pPr>
            <w:r>
              <w:rPr>
                <w:rFonts w:ascii="Arial" w:cs="Arial" w:eastAsia="Arial" w:hAnsi="Arial"/>
                <w:sz w:val="18"/>
                <w:szCs w:val="18"/>
                <w:color w:val="auto"/>
                <w:w w:val="89"/>
              </w:rPr>
              <w:t>Severance Agreement between Owen J. Sullivan and Manpower Inc. dated as of August 18, 2003, incorporated by reference to the</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Company’s Quarterly Report on Form 10-Q for the quarter ended March 31,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10.12(a)</w:t>
            </w:r>
          </w:p>
        </w:tc>
        <w:tc>
          <w:tcPr>
            <w:tcW w:w="9620" w:type="dxa"/>
            <w:vAlign w:val="bottom"/>
          </w:tcPr>
          <w:p>
            <w:pPr>
              <w:ind w:left="240"/>
              <w:spacing w:after="0"/>
              <w:rPr>
                <w:sz w:val="20"/>
                <w:szCs w:val="20"/>
                <w:color w:val="auto"/>
              </w:rPr>
            </w:pPr>
            <w:r>
              <w:rPr>
                <w:rFonts w:ascii="Arial" w:cs="Arial" w:eastAsia="Arial" w:hAnsi="Arial"/>
                <w:sz w:val="18"/>
                <w:szCs w:val="18"/>
                <w:color w:val="auto"/>
                <w:w w:val="89"/>
              </w:rPr>
              <w:t>Employment Agreement between Jeffrey A. Joerres and Manpower Inc. dated as of February 16, 2005, incorporated by reference to</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the Company’s Quarterly Report on Form 10-Q for the quarter ended June 30,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10.12(b)</w:t>
            </w:r>
          </w:p>
        </w:tc>
        <w:tc>
          <w:tcPr>
            <w:tcW w:w="9620" w:type="dxa"/>
            <w:vAlign w:val="bottom"/>
          </w:tcPr>
          <w:p>
            <w:pPr>
              <w:ind w:left="240"/>
              <w:spacing w:after="0"/>
              <w:rPr>
                <w:sz w:val="20"/>
                <w:szCs w:val="20"/>
                <w:color w:val="auto"/>
              </w:rPr>
            </w:pPr>
            <w:r>
              <w:rPr>
                <w:rFonts w:ascii="Arial" w:cs="Arial" w:eastAsia="Arial" w:hAnsi="Arial"/>
                <w:sz w:val="18"/>
                <w:szCs w:val="18"/>
                <w:color w:val="auto"/>
                <w:w w:val="87"/>
              </w:rPr>
              <w:t>Severance Agreement between Jeffrey A. Joerres and Manpower Inc. dated as of February 16, 2005, incorporated by reference to the</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Company’s Quarterly Report on Form 10-Q for the quarter ended June 30,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10.13(a)</w:t>
            </w:r>
          </w:p>
        </w:tc>
        <w:tc>
          <w:tcPr>
            <w:tcW w:w="9620" w:type="dxa"/>
            <w:vAlign w:val="bottom"/>
          </w:tcPr>
          <w:p>
            <w:pPr>
              <w:ind w:left="240"/>
              <w:spacing w:after="0"/>
              <w:rPr>
                <w:sz w:val="20"/>
                <w:szCs w:val="20"/>
                <w:color w:val="auto"/>
              </w:rPr>
            </w:pPr>
            <w:r>
              <w:rPr>
                <w:rFonts w:ascii="Arial" w:cs="Arial" w:eastAsia="Arial" w:hAnsi="Arial"/>
                <w:sz w:val="18"/>
                <w:szCs w:val="18"/>
                <w:color w:val="auto"/>
                <w:w w:val="94"/>
              </w:rPr>
              <w:t>Employment Agreement between Michael J. Van Handel and Manpower Inc. dated as of February 16, 2005, incorporated by</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reference to the Company’s Quarterly Report on Form 10-Q for the quarter ended June 30,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10.13(b)</w:t>
            </w:r>
          </w:p>
        </w:tc>
        <w:tc>
          <w:tcPr>
            <w:tcW w:w="9620" w:type="dxa"/>
            <w:vAlign w:val="bottom"/>
          </w:tcPr>
          <w:p>
            <w:pPr>
              <w:ind w:left="240"/>
              <w:spacing w:after="0"/>
              <w:rPr>
                <w:sz w:val="20"/>
                <w:szCs w:val="20"/>
                <w:color w:val="auto"/>
              </w:rPr>
            </w:pPr>
            <w:r>
              <w:rPr>
                <w:rFonts w:ascii="Arial" w:cs="Arial" w:eastAsia="Arial" w:hAnsi="Arial"/>
                <w:sz w:val="18"/>
                <w:szCs w:val="18"/>
                <w:color w:val="auto"/>
                <w:w w:val="88"/>
              </w:rPr>
              <w:t>Severance Agreement between Michael J. Van Handel and Manpower Inc. dated as of February 16, 2005, incorporated by reference</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to the Company’s Quarterly Report on Form 10-Q for the quarter ended June 30,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10.14(a)</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Description of Bonus Arrangement for Barbara Beck for 2006 incorporated by reference to Item 1.01 of the Company’s Current</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Report on Form 8-K dated February 14, 2006.**</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10.14(b)</w:t>
            </w:r>
          </w:p>
        </w:tc>
        <w:tc>
          <w:tcPr>
            <w:tcW w:w="9620" w:type="dxa"/>
            <w:vAlign w:val="bottom"/>
          </w:tcPr>
          <w:p>
            <w:pPr>
              <w:ind w:left="240"/>
              <w:spacing w:after="0"/>
              <w:rPr>
                <w:sz w:val="20"/>
                <w:szCs w:val="20"/>
                <w:color w:val="auto"/>
              </w:rPr>
            </w:pPr>
            <w:r>
              <w:rPr>
                <w:rFonts w:ascii="Arial" w:cs="Arial" w:eastAsia="Arial" w:hAnsi="Arial"/>
                <w:sz w:val="18"/>
                <w:szCs w:val="18"/>
                <w:color w:val="auto"/>
                <w:w w:val="91"/>
              </w:rPr>
              <w:t>Assignment Agreement by and among Manpower Inc., Manpower Holdings Limited and Barbara Beck dated as of December 20,</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2005, incorporated by reference to the Company’s Current Report on Form 8-K dated December 20,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10.15(a)</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Description of Bonus Arrangement for Yoav Michaely for 2006 incorporated by reference to Item 1.01 of the Company’s Current</w:t>
            </w:r>
          </w:p>
        </w:tc>
      </w:tr>
      <w:tr>
        <w:trPr>
          <w:trHeight w:val="222"/>
        </w:trPr>
        <w:tc>
          <w:tcPr>
            <w:tcW w:w="86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Report on Form 8-K dated February 14, 2006.**</w:t>
            </w:r>
          </w:p>
        </w:tc>
      </w:tr>
      <w:tr>
        <w:trPr>
          <w:trHeight w:val="365"/>
        </w:trPr>
        <w:tc>
          <w:tcPr>
            <w:tcW w:w="860" w:type="dxa"/>
            <w:vAlign w:val="bottom"/>
          </w:tcPr>
          <w:p>
            <w:pPr>
              <w:spacing w:after="0"/>
              <w:rPr>
                <w:sz w:val="24"/>
                <w:szCs w:val="24"/>
                <w:color w:val="auto"/>
              </w:rPr>
            </w:pPr>
          </w:p>
        </w:tc>
        <w:tc>
          <w:tcPr>
            <w:tcW w:w="9620" w:type="dxa"/>
            <w:vAlign w:val="bottom"/>
          </w:tcPr>
          <w:p>
            <w:pPr>
              <w:ind w:left="430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0480"/>
          </w:cols>
          <w:pgMar w:left="700" w:top="388" w:right="71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10.15(b)</w:t>
            </w:r>
          </w:p>
        </w:tc>
        <w:tc>
          <w:tcPr>
            <w:tcW w:w="9640" w:type="dxa"/>
            <w:vAlign w:val="bottom"/>
          </w:tcPr>
          <w:p>
            <w:pPr>
              <w:ind w:left="240"/>
              <w:spacing w:after="0"/>
              <w:rPr>
                <w:sz w:val="20"/>
                <w:szCs w:val="20"/>
                <w:color w:val="auto"/>
              </w:rPr>
            </w:pPr>
            <w:r>
              <w:rPr>
                <w:rFonts w:ascii="Arial" w:cs="Arial" w:eastAsia="Arial" w:hAnsi="Arial"/>
                <w:sz w:val="18"/>
                <w:szCs w:val="18"/>
                <w:color w:val="auto"/>
                <w:w w:val="93"/>
              </w:rPr>
              <w:t>Severance Agreement between Manpower Inc. and Yoav Michaely dated as of July 20, 2004, incorporated by reference to the</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Company’s Annual Report on Form 10-K for the year ended December 31, 2004.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10.16(a)</w:t>
            </w: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Description of Bonus Arrangement for Jean-Pierre Lemonnier for 2006 incorporated by reference to Item 1.01 of the Company’s</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Current Report on Form 8-K dated February 14, 2006.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10.16(b)</w:t>
            </w:r>
          </w:p>
        </w:tc>
        <w:tc>
          <w:tcPr>
            <w:tcW w:w="9640" w:type="dxa"/>
            <w:vAlign w:val="bottom"/>
          </w:tcPr>
          <w:p>
            <w:pPr>
              <w:ind w:left="240"/>
              <w:spacing w:after="0"/>
              <w:rPr>
                <w:sz w:val="20"/>
                <w:szCs w:val="20"/>
                <w:color w:val="auto"/>
              </w:rPr>
            </w:pPr>
            <w:r>
              <w:rPr>
                <w:rFonts w:ascii="Arial" w:cs="Arial" w:eastAsia="Arial" w:hAnsi="Arial"/>
                <w:sz w:val="18"/>
                <w:szCs w:val="18"/>
                <w:color w:val="auto"/>
                <w:w w:val="94"/>
              </w:rPr>
              <w:t>Severance Agreement among Manpower S.A.S., Manpower Inc. and Jean-Pierre Lemonnier dated as of September 1, 2003,</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6"/>
              </w:rPr>
              <w:t>incorporated by reference to the Company’s Quarterly Report on Form 10-Q for the quarter ended September 30, 2003.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10.17(a)</w:t>
            </w:r>
          </w:p>
        </w:tc>
        <w:tc>
          <w:tcPr>
            <w:tcW w:w="9640" w:type="dxa"/>
            <w:vAlign w:val="bottom"/>
          </w:tcPr>
          <w:p>
            <w:pPr>
              <w:ind w:left="240"/>
              <w:spacing w:after="0"/>
              <w:rPr>
                <w:sz w:val="20"/>
                <w:szCs w:val="20"/>
                <w:color w:val="auto"/>
              </w:rPr>
            </w:pPr>
            <w:r>
              <w:rPr>
                <w:rFonts w:ascii="Arial" w:cs="Arial" w:eastAsia="Arial" w:hAnsi="Arial"/>
                <w:sz w:val="18"/>
                <w:szCs w:val="18"/>
                <w:color w:val="auto"/>
                <w:w w:val="92"/>
              </w:rPr>
              <w:t>2003 Equity Incentive Plan of Manpower Inc. (Amended and Restated Effective April 26, 2005), incorporated by reference in the</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Company’s Proxy Statement for the 2005 Annual Meeting of Shareholders held on April 26,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10.17(b)</w:t>
            </w:r>
          </w:p>
        </w:tc>
        <w:tc>
          <w:tcPr>
            <w:tcW w:w="9640" w:type="dxa"/>
            <w:vAlign w:val="bottom"/>
          </w:tcPr>
          <w:p>
            <w:pPr>
              <w:ind w:left="240"/>
              <w:spacing w:after="0"/>
              <w:rPr>
                <w:sz w:val="20"/>
                <w:szCs w:val="20"/>
                <w:color w:val="auto"/>
              </w:rPr>
            </w:pPr>
            <w:r>
              <w:rPr>
                <w:rFonts w:ascii="Arial" w:cs="Arial" w:eastAsia="Arial" w:hAnsi="Arial"/>
                <w:sz w:val="18"/>
                <w:szCs w:val="18"/>
                <w:color w:val="auto"/>
                <w:w w:val="89"/>
              </w:rPr>
              <w:t>Terms and Conditions Regarding the Grant of Options in Lieu of Cash Directors Fees to Non-Employee Directors Under 2003 Equity</w:t>
            </w:r>
          </w:p>
        </w:tc>
      </w:tr>
      <w:tr>
        <w:trPr>
          <w:trHeight w:val="216"/>
        </w:trPr>
        <w:tc>
          <w:tcPr>
            <w:tcW w:w="860" w:type="dxa"/>
            <w:vAlign w:val="bottom"/>
          </w:tcPr>
          <w:p>
            <w:pPr>
              <w:spacing w:after="0"/>
              <w:rPr>
                <w:sz w:val="18"/>
                <w:szCs w:val="18"/>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89"/>
              </w:rPr>
              <w:t>Incentive Plan of Manpower Inc., incorporated by reference in the Company’s Quarterly Report on Form 10-Q for the quarter ended</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June 30, 2003.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10.17(c)</w:t>
            </w:r>
          </w:p>
        </w:tc>
        <w:tc>
          <w:tcPr>
            <w:tcW w:w="9640" w:type="dxa"/>
            <w:vAlign w:val="bottom"/>
          </w:tcPr>
          <w:p>
            <w:pPr>
              <w:ind w:left="240"/>
              <w:spacing w:after="0"/>
              <w:rPr>
                <w:sz w:val="20"/>
                <w:szCs w:val="20"/>
                <w:color w:val="auto"/>
              </w:rPr>
            </w:pPr>
            <w:r>
              <w:rPr>
                <w:rFonts w:ascii="Arial" w:cs="Arial" w:eastAsia="Arial" w:hAnsi="Arial"/>
                <w:sz w:val="18"/>
                <w:szCs w:val="18"/>
                <w:color w:val="auto"/>
                <w:w w:val="96"/>
              </w:rPr>
              <w:t>Terms and Conditions Regarding the Grant of Awards to Non-Employee Directors under the 2003 Equity Incentive Plan of</w:t>
            </w:r>
          </w:p>
        </w:tc>
      </w:tr>
      <w:tr>
        <w:trPr>
          <w:trHeight w:val="216"/>
        </w:trPr>
        <w:tc>
          <w:tcPr>
            <w:tcW w:w="860" w:type="dxa"/>
            <w:vAlign w:val="bottom"/>
          </w:tcPr>
          <w:p>
            <w:pPr>
              <w:spacing w:after="0"/>
              <w:rPr>
                <w:sz w:val="18"/>
                <w:szCs w:val="18"/>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w w:val="90"/>
              </w:rPr>
              <w:t>Manpower Inc. (Amended and Restated Effective January 1, 2006), incorporated by reference to the Company’s Current Report on</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Form 8-K dated December 19,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10.17(d)</w:t>
            </w:r>
          </w:p>
        </w:tc>
        <w:tc>
          <w:tcPr>
            <w:tcW w:w="9640" w:type="dxa"/>
            <w:vAlign w:val="bottom"/>
          </w:tcPr>
          <w:p>
            <w:pPr>
              <w:ind w:left="240"/>
              <w:spacing w:after="0"/>
              <w:rPr>
                <w:sz w:val="20"/>
                <w:szCs w:val="20"/>
                <w:color w:val="auto"/>
              </w:rPr>
            </w:pPr>
            <w:r>
              <w:rPr>
                <w:rFonts w:ascii="Arial" w:cs="Arial" w:eastAsia="Arial" w:hAnsi="Arial"/>
                <w:sz w:val="18"/>
                <w:szCs w:val="18"/>
                <w:color w:val="auto"/>
                <w:w w:val="89"/>
              </w:rPr>
              <w:t>Manpower Inc. Compensation for Non-Employee Directors (Effective January 1, 2006), incorporated by reference to the Company’s</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Current Report on Form 8-K dated December 19, 2005.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10.17(e)</w:t>
            </w:r>
          </w:p>
        </w:tc>
        <w:tc>
          <w:tcPr>
            <w:tcW w:w="9640" w:type="dxa"/>
            <w:vAlign w:val="bottom"/>
          </w:tcPr>
          <w:p>
            <w:pPr>
              <w:ind w:left="240"/>
              <w:spacing w:after="0"/>
              <w:rPr>
                <w:sz w:val="20"/>
                <w:szCs w:val="20"/>
                <w:color w:val="auto"/>
              </w:rPr>
            </w:pPr>
            <w:r>
              <w:rPr>
                <w:rFonts w:ascii="Arial" w:cs="Arial" w:eastAsia="Arial" w:hAnsi="Arial"/>
                <w:sz w:val="18"/>
                <w:szCs w:val="18"/>
                <w:color w:val="auto"/>
                <w:w w:val="90"/>
              </w:rPr>
              <w:t>Form of Restricted Stock Agreement, incorporated by reference to the Company’s Current Report on Form 8-K dated February 21,</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2006.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10.17(f)</w:t>
            </w:r>
          </w:p>
        </w:tc>
        <w:tc>
          <w:tcPr>
            <w:tcW w:w="9640" w:type="dxa"/>
            <w:vAlign w:val="bottom"/>
          </w:tcPr>
          <w:p>
            <w:pPr>
              <w:ind w:left="240"/>
              <w:spacing w:after="0"/>
              <w:rPr>
                <w:sz w:val="20"/>
                <w:szCs w:val="20"/>
                <w:color w:val="auto"/>
              </w:rPr>
            </w:pPr>
            <w:r>
              <w:rPr>
                <w:rFonts w:ascii="Arial" w:cs="Arial" w:eastAsia="Arial" w:hAnsi="Arial"/>
                <w:sz w:val="18"/>
                <w:szCs w:val="18"/>
                <w:color w:val="auto"/>
                <w:w w:val="93"/>
              </w:rPr>
              <w:t>Form of Nonstatutory Stock Option Agreement (for CEO/CFO), incorporated by reference to the Company’s Current Report on</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Form 8-K dated February 21, 2006.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10.17(g)</w:t>
            </w:r>
          </w:p>
        </w:tc>
        <w:tc>
          <w:tcPr>
            <w:tcW w:w="9640" w:type="dxa"/>
            <w:vAlign w:val="bottom"/>
          </w:tcPr>
          <w:p>
            <w:pPr>
              <w:ind w:left="240"/>
              <w:spacing w:after="0"/>
              <w:rPr>
                <w:sz w:val="20"/>
                <w:szCs w:val="20"/>
                <w:color w:val="auto"/>
              </w:rPr>
            </w:pPr>
            <w:r>
              <w:rPr>
                <w:rFonts w:ascii="Arial" w:cs="Arial" w:eastAsia="Arial" w:hAnsi="Arial"/>
                <w:sz w:val="18"/>
                <w:szCs w:val="18"/>
                <w:color w:val="auto"/>
                <w:w w:val="93"/>
              </w:rPr>
              <w:t>Form of Nonstatutory Stock Option Agreement (for Executive Officers, other than CEO/CFO), incorporated by reference to the</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Company’s Current Report on Form 8-K dated February 21, 2006.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10.17(h)</w:t>
            </w:r>
          </w:p>
        </w:tc>
        <w:tc>
          <w:tcPr>
            <w:tcW w:w="9640" w:type="dxa"/>
            <w:vAlign w:val="bottom"/>
          </w:tcPr>
          <w:p>
            <w:pPr>
              <w:ind w:left="240"/>
              <w:spacing w:after="0"/>
              <w:rPr>
                <w:sz w:val="20"/>
                <w:szCs w:val="20"/>
                <w:color w:val="auto"/>
              </w:rPr>
            </w:pPr>
            <w:r>
              <w:rPr>
                <w:rFonts w:ascii="Arial" w:cs="Arial" w:eastAsia="Arial" w:hAnsi="Arial"/>
                <w:sz w:val="18"/>
                <w:szCs w:val="18"/>
                <w:color w:val="auto"/>
                <w:w w:val="94"/>
              </w:rPr>
              <w:t>Form of Performance Share Unit Agreement, incorporated by reference to the Company’s Current Report on Form 8-K dated</w:t>
            </w:r>
          </w:p>
        </w:tc>
      </w:tr>
      <w:tr>
        <w:trPr>
          <w:trHeight w:val="222"/>
        </w:trPr>
        <w:tc>
          <w:tcPr>
            <w:tcW w:w="860" w:type="dxa"/>
            <w:vAlign w:val="bottom"/>
          </w:tcPr>
          <w:p>
            <w:pPr>
              <w:spacing w:after="0"/>
              <w:rPr>
                <w:sz w:val="19"/>
                <w:szCs w:val="19"/>
                <w:color w:val="auto"/>
              </w:rPr>
            </w:pPr>
          </w:p>
        </w:tc>
        <w:tc>
          <w:tcPr>
            <w:tcW w:w="9640" w:type="dxa"/>
            <w:vAlign w:val="bottom"/>
          </w:tcPr>
          <w:p>
            <w:pPr>
              <w:ind w:left="240"/>
              <w:spacing w:after="0"/>
              <w:rPr>
                <w:sz w:val="20"/>
                <w:szCs w:val="20"/>
                <w:color w:val="auto"/>
              </w:rPr>
            </w:pPr>
            <w:r>
              <w:rPr>
                <w:rFonts w:ascii="Arial" w:cs="Arial" w:eastAsia="Arial" w:hAnsi="Arial"/>
                <w:sz w:val="18"/>
                <w:szCs w:val="18"/>
                <w:color w:val="auto"/>
              </w:rPr>
              <w:t>February 21, 2006.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9640" w:type="dxa"/>
            <w:vAlign w:val="bottom"/>
          </w:tcPr>
          <w:p>
            <w:pPr>
              <w:ind w:left="240"/>
              <w:spacing w:after="0"/>
              <w:rPr>
                <w:sz w:val="20"/>
                <w:szCs w:val="20"/>
                <w:color w:val="auto"/>
              </w:rPr>
            </w:pPr>
            <w:r>
              <w:rPr>
                <w:rFonts w:ascii="Arial" w:cs="Arial" w:eastAsia="Arial" w:hAnsi="Arial"/>
                <w:sz w:val="18"/>
                <w:szCs w:val="18"/>
                <w:color w:val="auto"/>
              </w:rPr>
              <w:t>Statement Regarding Computation of Ratio of Earnings to Fixed Charges.</w:t>
            </w:r>
          </w:p>
        </w:tc>
      </w:tr>
    </w:tbl>
    <w:p>
      <w:pPr>
        <w:spacing w:after="0" w:line="102" w:lineRule="exact"/>
        <w:rPr>
          <w:sz w:val="20"/>
          <w:szCs w:val="20"/>
          <w:color w:val="auto"/>
        </w:rPr>
      </w:pPr>
    </w:p>
    <w:p>
      <w:pPr>
        <w:ind w:left="1100" w:right="60" w:hanging="1093"/>
        <w:spacing w:after="0" w:line="268"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2005 Annual Report to Shareholders. Pursuant to Item 601(b)(13) of Regulation S-K, the portions of the Annual Report incorporated by reference in this Form 10-K are filed as an exhibit hereto.</w:t>
      </w:r>
    </w:p>
    <w:p>
      <w:pPr>
        <w:spacing w:after="0" w:line="77" w:lineRule="exact"/>
        <w:rPr>
          <w:rFonts w:ascii="Arial" w:cs="Arial" w:eastAsia="Arial" w:hAnsi="Arial"/>
          <w:sz w:val="18"/>
          <w:szCs w:val="18"/>
          <w:color w:val="auto"/>
        </w:rPr>
      </w:pPr>
    </w:p>
    <w:p>
      <w:pPr>
        <w:ind w:left="1100" w:right="680" w:hanging="1093"/>
        <w:spacing w:after="0" w:line="268"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Manpower Inc. Code of Business Conduct and Ethics (Amended and Restated Effective December 9, 2003) incorporated by reference to the Annual Report on Form 10-K for the year ended December 31, 2003.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2880" w:type="dxa"/>
            <w:vAlign w:val="bottom"/>
          </w:tcPr>
          <w:p>
            <w:pPr>
              <w:ind w:left="400"/>
              <w:spacing w:after="0"/>
              <w:rPr>
                <w:sz w:val="20"/>
                <w:szCs w:val="20"/>
                <w:color w:val="auto"/>
              </w:rPr>
            </w:pPr>
            <w:r>
              <w:rPr>
                <w:rFonts w:ascii="Arial" w:cs="Arial" w:eastAsia="Arial" w:hAnsi="Arial"/>
                <w:sz w:val="18"/>
                <w:szCs w:val="18"/>
                <w:color w:val="auto"/>
              </w:rPr>
              <w:t>Subsidiaries of Manpower Inc.</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2880" w:type="dxa"/>
            <w:vAlign w:val="bottom"/>
          </w:tcPr>
          <w:p>
            <w:pPr>
              <w:ind w:left="400"/>
              <w:spacing w:after="0"/>
              <w:rPr>
                <w:sz w:val="20"/>
                <w:szCs w:val="20"/>
                <w:color w:val="auto"/>
              </w:rPr>
            </w:pPr>
            <w:r>
              <w:rPr>
                <w:rFonts w:ascii="Arial" w:cs="Arial" w:eastAsia="Arial" w:hAnsi="Arial"/>
                <w:sz w:val="18"/>
                <w:szCs w:val="18"/>
                <w:color w:val="auto"/>
                <w:w w:val="90"/>
              </w:rPr>
              <w:t>Consent of Deloitte &amp; Touche LLP</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00"/>
          </w:cols>
          <w:pgMar w:left="700" w:top="388" w:right="699" w:bottom="1440" w:gutter="0" w:footer="0" w:header="0"/>
        </w:sectPr>
      </w:pPr>
    </w:p>
    <w:bookmarkStart w:id="26" w:name="page27"/>
    <w:bookmarkEnd w:id="26"/>
    <w:p>
      <w:pPr>
        <w:ind w:left="452"/>
        <w:spacing w:after="0"/>
        <w:tabs>
          <w:tab w:leader="none" w:pos="10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23.2</w:t>
      </w:r>
      <w:r>
        <w:rPr>
          <w:sz w:val="20"/>
          <w:szCs w:val="20"/>
          <w:color w:val="auto"/>
        </w:rPr>
        <w:tab/>
      </w:r>
      <w:r>
        <w:rPr>
          <w:rFonts w:ascii="Arial" w:cs="Arial" w:eastAsia="Arial" w:hAnsi="Arial"/>
          <w:sz w:val="15"/>
          <w:szCs w:val="15"/>
          <w:color w:val="auto"/>
        </w:rPr>
        <w:t>Consent of PricewaterhouseCoopers LLP</w:t>
      </w:r>
    </w:p>
    <w:p>
      <w:pPr>
        <w:spacing w:after="0" w:line="117" w:lineRule="exact"/>
        <w:rPr>
          <w:sz w:val="20"/>
          <w:szCs w:val="20"/>
          <w:color w:val="auto"/>
        </w:rPr>
      </w:pPr>
    </w:p>
    <w:p>
      <w:pPr>
        <w:ind w:left="1092" w:right="260" w:hanging="634"/>
        <w:spacing w:after="0" w:line="268" w:lineRule="auto"/>
        <w:tabs>
          <w:tab w:leader="none" w:pos="107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Letter of PricewaterhouseCoopers LLP regarding change of certifying accountant, incorporated by reference to the Company’s Current Report on Form 8-K dated July 27, 2005.</w:t>
      </w:r>
    </w:p>
    <w:p>
      <w:pPr>
        <w:spacing w:after="0" w:line="78"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Powers of Attorney.</w:t>
      </w:r>
    </w:p>
    <w:p>
      <w:pPr>
        <w:spacing w:after="0" w:line="117"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15" w:lineRule="exact"/>
        <w:rPr>
          <w:sz w:val="20"/>
          <w:szCs w:val="20"/>
          <w:color w:val="auto"/>
        </w:rPr>
      </w:pPr>
    </w:p>
    <w:p>
      <w:pPr>
        <w:ind w:left="1092"/>
        <w:spacing w:after="0"/>
        <w:rPr>
          <w:sz w:val="20"/>
          <w:szCs w:val="20"/>
          <w:color w:val="auto"/>
        </w:rPr>
      </w:pPr>
      <w:r>
        <w:rPr>
          <w:rFonts w:ascii="Arial" w:cs="Arial" w:eastAsia="Arial" w:hAnsi="Arial"/>
          <w:sz w:val="18"/>
          <w:szCs w:val="18"/>
          <w:color w:val="auto"/>
        </w:rPr>
        <w:t>1934.</w:t>
      </w:r>
    </w:p>
    <w:p>
      <w:pPr>
        <w:spacing w:after="0" w:line="111" w:lineRule="exact"/>
        <w:rPr>
          <w:sz w:val="20"/>
          <w:szCs w:val="20"/>
          <w:color w:val="auto"/>
        </w:rPr>
      </w:pPr>
    </w:p>
    <w:p>
      <w:pPr>
        <w:ind w:left="1092" w:right="580" w:hanging="634"/>
        <w:spacing w:after="0" w:line="268" w:lineRule="auto"/>
        <w:tabs>
          <w:tab w:leader="none" w:pos="107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78"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Statement of Jeffrey A. Joerres, Chairman and Chief Executive Officer, pursuant to 18 U.S.C. ss. 1350.</w:t>
      </w:r>
    </w:p>
    <w:p>
      <w:pPr>
        <w:spacing w:after="0" w:line="117"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 1350.</w:t>
      </w:r>
    </w:p>
    <w:p>
      <w:pPr>
        <w:spacing w:after="0" w:line="90"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32"/>
          </w:cols>
          <w:pgMar w:left="248" w:top="388" w:right="8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10795</wp:posOffset>
            </wp:positionV>
            <wp:extent cx="2649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Chairman, President and Chief Executive Officer</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27, 2006</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43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7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1"/>
        </w:trPr>
        <w:tc>
          <w:tcPr>
            <w:tcW w:w="4920" w:type="dxa"/>
            <w:vAlign w:val="bottom"/>
          </w:tcPr>
          <w:p>
            <w:pPr>
              <w:spacing w:after="0"/>
              <w:rPr>
                <w:sz w:val="20"/>
                <w:szCs w:val="20"/>
                <w:color w:val="auto"/>
              </w:rPr>
            </w:pPr>
            <w:r>
              <w:rPr>
                <w:rFonts w:ascii="Arial" w:cs="Arial" w:eastAsia="Arial" w:hAnsi="Arial"/>
                <w:sz w:val="18"/>
                <w:szCs w:val="18"/>
                <w:color w:val="auto"/>
              </w:rPr>
              <w:t>/s/ Jeffrey A. Joerres</w:t>
            </w:r>
          </w:p>
        </w:tc>
        <w:tc>
          <w:tcPr>
            <w:tcW w:w="2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0"/>
              </w:rPr>
              <w:t>Chairman, President, Chief Executive Officer and a 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February 27, 2006</w:t>
            </w:r>
          </w:p>
        </w:tc>
        <w:tc>
          <w:tcPr>
            <w:tcW w:w="0" w:type="dxa"/>
            <w:vAlign w:val="bottom"/>
          </w:tcPr>
          <w:p>
            <w:pPr>
              <w:spacing w:after="0"/>
              <w:rPr>
                <w:sz w:val="1"/>
                <w:szCs w:val="1"/>
                <w:color w:val="auto"/>
              </w:rPr>
            </w:pP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Jeffrey A. Joerres</w:t>
            </w:r>
          </w:p>
        </w:tc>
        <w:tc>
          <w:tcPr>
            <w:tcW w:w="24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20" w:type="dxa"/>
            <w:vAlign w:val="bottom"/>
          </w:tcPr>
          <w:p>
            <w:pPr>
              <w:spacing w:after="0"/>
              <w:rPr>
                <w:sz w:val="20"/>
                <w:szCs w:val="20"/>
                <w:color w:val="auto"/>
              </w:rPr>
            </w:pPr>
            <w:r>
              <w:rPr>
                <w:rFonts w:ascii="Arial" w:cs="Arial" w:eastAsia="Arial" w:hAnsi="Arial"/>
                <w:sz w:val="18"/>
                <w:szCs w:val="18"/>
                <w:color w:val="auto"/>
              </w:rPr>
              <w:t>/s/ Michael J. Van Handel</w:t>
            </w:r>
          </w:p>
        </w:tc>
        <w:tc>
          <w:tcPr>
            <w:tcW w:w="2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Executive Vice President, Chief Financial Officer, and</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February 27, 2006</w:t>
            </w:r>
          </w:p>
        </w:tc>
        <w:tc>
          <w:tcPr>
            <w:tcW w:w="0" w:type="dxa"/>
            <w:vAlign w:val="bottom"/>
          </w:tcPr>
          <w:p>
            <w:pPr>
              <w:spacing w:after="0"/>
              <w:rPr>
                <w:sz w:val="1"/>
                <w:szCs w:val="1"/>
                <w:color w:val="auto"/>
              </w:rPr>
            </w:pP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vMerge w:val="restart"/>
          </w:tcPr>
          <w:p>
            <w:pPr>
              <w:ind w:left="200"/>
              <w:spacing w:after="0"/>
              <w:rPr>
                <w:sz w:val="20"/>
                <w:szCs w:val="20"/>
                <w:color w:val="auto"/>
              </w:rPr>
            </w:pPr>
            <w:r>
              <w:rPr>
                <w:rFonts w:ascii="Arial" w:cs="Arial" w:eastAsia="Arial" w:hAnsi="Arial"/>
                <w:sz w:val="18"/>
                <w:szCs w:val="18"/>
                <w:color w:val="auto"/>
              </w:rPr>
              <w:t>Secretary (Principal Financial Officer and Principal</w:t>
            </w: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920" w:type="dxa"/>
            <w:vAlign w:val="bottom"/>
          </w:tcPr>
          <w:p>
            <w:pPr>
              <w:spacing w:after="0" w:line="174" w:lineRule="exact"/>
              <w:rPr>
                <w:sz w:val="20"/>
                <w:szCs w:val="20"/>
                <w:color w:val="auto"/>
              </w:rPr>
            </w:pPr>
            <w:r>
              <w:rPr>
                <w:rFonts w:ascii="Arial" w:cs="Arial" w:eastAsia="Arial" w:hAnsi="Arial"/>
                <w:sz w:val="18"/>
                <w:szCs w:val="18"/>
                <w:color w:val="auto"/>
              </w:rPr>
              <w:t>Michael J. Van Handel</w:t>
            </w:r>
          </w:p>
        </w:tc>
        <w:tc>
          <w:tcPr>
            <w:tcW w:w="240" w:type="dxa"/>
            <w:vAlign w:val="bottom"/>
          </w:tcPr>
          <w:p>
            <w:pPr>
              <w:spacing w:after="0"/>
              <w:rPr>
                <w:sz w:val="15"/>
                <w:szCs w:val="15"/>
                <w:color w:val="auto"/>
              </w:rPr>
            </w:pPr>
          </w:p>
        </w:tc>
        <w:tc>
          <w:tcPr>
            <w:tcW w:w="4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Directors: J. Thomas Bouchard, Marc J. Bolland, Stephanie A. Burns, Willie D. Davis, Jack M. Greenberg, Terry A. Hueneke, Rozanne L. Ridgway, Dennis Stevenson, John R. Walter and Edward J. Zore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10795</wp:posOffset>
            </wp:positionV>
            <wp:extent cx="3267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Attorney-In-Fact*</w:t>
      </w:r>
    </w:p>
    <w:p>
      <w:pPr>
        <w:spacing w:after="0" w:line="97" w:lineRule="exact"/>
        <w:rPr>
          <w:sz w:val="20"/>
          <w:szCs w:val="20"/>
          <w:color w:val="auto"/>
        </w:rPr>
      </w:pPr>
    </w:p>
    <w:p>
      <w:pPr>
        <w:ind w:left="5620" w:right="5060" w:hanging="5612"/>
        <w:spacing w:after="0" w:line="525" w:lineRule="auto"/>
        <w:tabs>
          <w:tab w:leader="none" w:pos="2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authority granted by powers of attorney, copies of which are filed herewith. 28</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FINANCIAL STATEMENT SCHEDULE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audited the consolidated financial statements of Manpower Inc. and subsidiaries (the “Company”) as of and for the year ended December 31, 2005, management’s assessment of the effectiveness of the Company’s internal control over financial reporting as of December 31, 2005, and the effectiveness of the Company’s internal control over financial reporting as of December 31, 2005, and have issued our reports thereon dated February 21, 2006; such consolidated financial statements and reports are included in your 2005 Annual Report to Shareholders and are incorporated herein by reference. Our audit also included the consolidated financial statement schedule of the Company listed in Item 15. This consolidated financial statement schedule is the responsibility of the Company’s management. Our responsibility is to express an opinion based on our audit. In our opinion, such consolidated financial statement schedule, when considered in relation to the basic consolidated financial statements taken as a whole, presents fairly, in all material respects, the information set forth therein.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21,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ON FINANCIAL STATEMENT SCHEDULE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audits of the consolidated financial statements referred to in our report dated February 16, 2005 appearing in the 2005 Annual Report to Shareholders of Manpower Inc. (which report and consolidated financial statements are incorporated by reference in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2005</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274" w:right="359" w:bottom="1440" w:gutter="0" w:footer="0" w:header="0"/>
        </w:sectPr>
      </w:pPr>
    </w:p>
    <w:bookmarkStart w:id="30" w:name="page31"/>
    <w:bookmarkEnd w:id="30"/>
    <w:p>
      <w:pPr>
        <w:ind w:left="460" w:right="3220" w:firstLine="2765"/>
        <w:spacing w:after="0" w:line="4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II - VALUATION AND QUALIFYING ACCOUNTS </w:t>
      </w:r>
      <w:r>
        <w:rPr>
          <w:rFonts w:ascii="Arial" w:cs="Arial" w:eastAsia="Arial" w:hAnsi="Arial"/>
          <w:sz w:val="18"/>
          <w:szCs w:val="18"/>
          <w:color w:val="auto"/>
        </w:rPr>
        <w:t>For the years ended December 31, 2005, 2004 and 2003, in millions: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 for Doubtful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5"/>
              </w:rPr>
              <w:t>Balance at</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Provisions</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29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3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Charged to</w:t>
            </w:r>
          </w:p>
        </w:tc>
        <w:tc>
          <w:tcPr>
            <w:tcW w:w="40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Write-</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0"/>
              </w:rPr>
              <w:t>Reclassifications</w:t>
            </w:r>
          </w:p>
        </w:tc>
        <w:tc>
          <w:tcPr>
            <w:tcW w:w="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at End</w:t>
            </w:r>
          </w:p>
        </w:tc>
      </w:tr>
      <w:tr>
        <w:trPr>
          <w:trHeight w:val="161"/>
        </w:trPr>
        <w:tc>
          <w:tcPr>
            <w:tcW w:w="2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4"/>
              </w:rPr>
              <w:t>of Year</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400" w:type="dxa"/>
            <w:vAlign w:val="bottom"/>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Offs</w:t>
            </w:r>
          </w:p>
        </w:tc>
        <w:tc>
          <w:tcPr>
            <w:tcW w:w="4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and Other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20" w:type="dxa"/>
            <w:vAlign w:val="bottom"/>
          </w:tcPr>
          <w:p>
            <w:pPr>
              <w:spacing w:after="0"/>
              <w:rPr>
                <w:sz w:val="14"/>
                <w:szCs w:val="14"/>
                <w:color w:val="auto"/>
              </w:rPr>
            </w:pPr>
          </w:p>
        </w:tc>
      </w:tr>
      <w:tr>
        <w:trPr>
          <w:trHeight w:val="210"/>
        </w:trPr>
        <w:tc>
          <w:tcPr>
            <w:tcW w:w="2940" w:type="dxa"/>
            <w:vAlign w:val="bottom"/>
            <w:shd w:val="clear" w:color="auto" w:fill="CCEEFF"/>
          </w:tcPr>
          <w:p>
            <w:pPr>
              <w:jc w:val="right"/>
              <w:ind w:right="2492"/>
              <w:spacing w:after="0"/>
              <w:rPr>
                <w:sz w:val="20"/>
                <w:szCs w:val="20"/>
                <w:color w:val="auto"/>
              </w:rPr>
            </w:pPr>
            <w:r>
              <w:rPr>
                <w:rFonts w:ascii="Arial" w:cs="Arial" w:eastAsia="Arial" w:hAnsi="Arial"/>
                <w:sz w:val="18"/>
                <w:szCs w:val="18"/>
                <w:color w:val="auto"/>
                <w:w w:val="84"/>
              </w:rPr>
              <w:t>2005</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$ 86.5</w:t>
            </w:r>
          </w:p>
        </w:tc>
        <w:tc>
          <w:tcPr>
            <w:tcW w:w="20" w:type="dxa"/>
            <w:vAlign w:val="bottom"/>
          </w:tcPr>
          <w:p>
            <w:pPr>
              <w:spacing w:after="0"/>
              <w:rPr>
                <w:sz w:val="18"/>
                <w:szCs w:val="18"/>
                <w:color w:val="auto"/>
              </w:rPr>
            </w:pPr>
          </w:p>
        </w:tc>
      </w:tr>
      <w:tr>
        <w:trPr>
          <w:trHeight w:val="216"/>
        </w:trPr>
        <w:tc>
          <w:tcPr>
            <w:tcW w:w="2940" w:type="dxa"/>
            <w:vAlign w:val="bottom"/>
          </w:tcPr>
          <w:p>
            <w:pPr>
              <w:jc w:val="right"/>
              <w:ind w:right="2492"/>
              <w:spacing w:after="0"/>
              <w:rPr>
                <w:sz w:val="20"/>
                <w:szCs w:val="20"/>
                <w:color w:val="auto"/>
              </w:rPr>
            </w:pPr>
            <w:r>
              <w:rPr>
                <w:rFonts w:ascii="Arial" w:cs="Arial" w:eastAsia="Arial" w:hAnsi="Arial"/>
                <w:sz w:val="18"/>
                <w:szCs w:val="18"/>
                <w:color w:val="auto"/>
                <w:w w:val="84"/>
              </w:rPr>
              <w:t>2004</w:t>
            </w:r>
          </w:p>
        </w:tc>
        <w:tc>
          <w:tcPr>
            <w:tcW w:w="2660" w:type="dxa"/>
            <w:vAlign w:val="bottom"/>
            <w:gridSpan w:val="2"/>
          </w:tcPr>
          <w:p>
            <w:pPr>
              <w:ind w:left="25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(21.9)</w:t>
            </w: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$ 91.4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492"/>
              <w:spacing w:after="0"/>
              <w:rPr>
                <w:sz w:val="20"/>
                <w:szCs w:val="20"/>
                <w:color w:val="auto"/>
              </w:rPr>
            </w:pPr>
            <w:r>
              <w:rPr>
                <w:rFonts w:ascii="Arial" w:cs="Arial" w:eastAsia="Arial" w:hAnsi="Arial"/>
                <w:sz w:val="18"/>
                <w:szCs w:val="18"/>
                <w:color w:val="auto"/>
                <w:w w:val="84"/>
              </w:rPr>
              <w:t>2003</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(19.5)</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$ 79.1</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SENIOR MANAGEMENT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PERFORMANCE-BASED DEFERRED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COMPENSATION PLAN</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Effective February 18, 2004</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 and Restated Effective February 1, 2006</w:t>
      </w:r>
    </w:p>
    <w:p>
      <w:pPr>
        <w:sectPr>
          <w:pgSz w:w="11900" w:h="16838" w:orient="portrait"/>
          <w:cols w:equalWidth="0" w:num="1">
            <w:col w:w="10220"/>
          </w:cols>
          <w:pgMar w:left="14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26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9"/>
              </w:rPr>
              <w:t>MANPOWER INC.</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8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7"/>
              </w:rPr>
              <w:t>AMENDED AND RESTATED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8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9"/>
              </w:rPr>
              <w:t>SENIOR MANAGEMENT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98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6"/>
              </w:rPr>
              <w:t>PERFORMANCE-BASED DEFERRED COMPENSATION PLAN</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 I - General Provisions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201"/>
        </w:trPr>
        <w:tc>
          <w:tcPr>
            <w:tcW w:w="11040" w:type="dxa"/>
            <w:vAlign w:val="bottom"/>
            <w:gridSpan w:val="4"/>
            <w:vMerge w:val="continue"/>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1.   Purpose of the Plan</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2.   Overview of the Plan</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3.</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Definitions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4.   Eligibility and Participation Guidelines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II – Earnings Per Share and Economic Profit Goals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1.</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Performance Measures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2.</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Performance Goals</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3.</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Award Opportunities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4.   Determination of Awards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5.   Crediting of Awards to Participant’s Account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III - Vesting</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1.</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Vesting Rules</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2.</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Forfeitures</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3.   Transfers of Employment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IV - Distributions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1.   Events Permitting Distribution</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2.   Election of Form of Distribution</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3.   Times for Distribution</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4.</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Death Distribution</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5.</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Beneficiary Designations</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6.   Payment to Minors or Incompetents</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7.</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Undistributable Amounts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V – Domestic Relations Orders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2"/>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1.   Qualified Domestic Relations Orders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VI – Plan Administration</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1.</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Plan Administrator</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2.   Power of the Plan Administrator</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3.   Decisions of the Plan Administrator</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4.</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Administrative Expenses</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40" w:type="dxa"/>
            <w:vAlign w:val="bottom"/>
            <w:gridSpan w:val="4"/>
          </w:tcPr>
          <w:p>
            <w:pPr>
              <w:ind w:left="340"/>
              <w:spacing w:after="0"/>
              <w:rPr>
                <w:sz w:val="20"/>
                <w:szCs w:val="20"/>
                <w:color w:val="auto"/>
              </w:rPr>
            </w:pPr>
            <w:r>
              <w:rPr>
                <w:rFonts w:ascii="Arial" w:cs="Arial" w:eastAsia="Arial" w:hAnsi="Arial"/>
                <w:sz w:val="18"/>
                <w:szCs w:val="18"/>
                <w:color w:val="auto"/>
              </w:rPr>
              <w:t>Section 5.   Eligibility to Participate</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1160" w:type="dxa"/>
            <w:vAlign w:val="bottom"/>
          </w:tcPr>
          <w:p>
            <w:pPr>
              <w:ind w:left="340"/>
              <w:spacing w:after="0"/>
              <w:rPr>
                <w:sz w:val="20"/>
                <w:szCs w:val="20"/>
                <w:color w:val="auto"/>
              </w:rPr>
            </w:pPr>
            <w:r>
              <w:rPr>
                <w:rFonts w:ascii="Arial" w:cs="Arial" w:eastAsia="Arial" w:hAnsi="Arial"/>
                <w:sz w:val="18"/>
                <w:szCs w:val="18"/>
                <w:color w:val="auto"/>
                <w:w w:val="99"/>
              </w:rPr>
              <w:t>Section 6.</w:t>
            </w: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Indemnification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7.</w:t>
            </w:r>
          </w:p>
        </w:tc>
        <w:tc>
          <w:tcPr>
            <w:tcW w:w="7680" w:type="dxa"/>
            <w:vAlign w:val="bottom"/>
          </w:tcPr>
          <w:p>
            <w:pPr>
              <w:ind w:left="80"/>
              <w:spacing w:after="0"/>
              <w:rPr>
                <w:sz w:val="20"/>
                <w:szCs w:val="20"/>
                <w:color w:val="auto"/>
              </w:rPr>
            </w:pPr>
            <w:r>
              <w:rPr>
                <w:rFonts w:ascii="Arial" w:cs="Arial" w:eastAsia="Arial" w:hAnsi="Arial"/>
                <w:sz w:val="18"/>
                <w:szCs w:val="18"/>
                <w:color w:val="auto"/>
              </w:rPr>
              <w:t>Benefit Claim and Appeal Procedure for Non-Disability Benefit Claims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000" w:type="dxa"/>
            <w:vAlign w:val="bottom"/>
          </w:tcPr>
          <w:p>
            <w:pPr>
              <w:ind w:left="120"/>
              <w:spacing w:after="0"/>
              <w:rPr>
                <w:sz w:val="20"/>
                <w:szCs w:val="20"/>
                <w:color w:val="auto"/>
              </w:rPr>
            </w:pPr>
            <w:r>
              <w:rPr>
                <w:rFonts w:ascii="Arial" w:cs="Arial" w:eastAsia="Arial" w:hAnsi="Arial"/>
                <w:sz w:val="18"/>
                <w:szCs w:val="18"/>
                <w:color w:val="auto"/>
              </w:rPr>
              <w:t>Section 8.</w:t>
            </w:r>
          </w:p>
        </w:tc>
        <w:tc>
          <w:tcPr>
            <w:tcW w:w="7680" w:type="dxa"/>
            <w:vAlign w:val="bottom"/>
          </w:tcPr>
          <w:p>
            <w:pPr>
              <w:ind w:left="80"/>
              <w:spacing w:after="0"/>
              <w:rPr>
                <w:sz w:val="20"/>
                <w:szCs w:val="20"/>
                <w:color w:val="auto"/>
              </w:rPr>
            </w:pPr>
            <w:r>
              <w:rPr>
                <w:rFonts w:ascii="Arial" w:cs="Arial" w:eastAsia="Arial" w:hAnsi="Arial"/>
                <w:sz w:val="18"/>
                <w:szCs w:val="18"/>
                <w:color w:val="auto"/>
              </w:rPr>
              <w:t>Benefit Claim and Appeal Procedure for Disability Benefit Claims</w:t>
            </w:r>
          </w:p>
        </w:tc>
        <w:tc>
          <w:tcPr>
            <w:tcW w:w="2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ARTICLE VII - Funding</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1.</w:t>
            </w:r>
          </w:p>
        </w:tc>
        <w:tc>
          <w:tcPr>
            <w:tcW w:w="7680" w:type="dxa"/>
            <w:vAlign w:val="bottom"/>
          </w:tcPr>
          <w:p>
            <w:pPr>
              <w:ind w:left="80"/>
              <w:spacing w:after="0"/>
              <w:rPr>
                <w:sz w:val="20"/>
                <w:szCs w:val="20"/>
                <w:color w:val="auto"/>
              </w:rPr>
            </w:pPr>
            <w:r>
              <w:rPr>
                <w:rFonts w:ascii="Arial" w:cs="Arial" w:eastAsia="Arial" w:hAnsi="Arial"/>
                <w:sz w:val="18"/>
                <w:szCs w:val="18"/>
                <w:color w:val="auto"/>
              </w:rPr>
              <w:t>Establishment of a Trust</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000" w:type="dxa"/>
            <w:vAlign w:val="bottom"/>
          </w:tcPr>
          <w:p>
            <w:pPr>
              <w:ind w:left="120"/>
              <w:spacing w:after="0"/>
              <w:rPr>
                <w:sz w:val="20"/>
                <w:szCs w:val="20"/>
                <w:color w:val="auto"/>
              </w:rPr>
            </w:pPr>
            <w:r>
              <w:rPr>
                <w:rFonts w:ascii="Arial" w:cs="Arial" w:eastAsia="Arial" w:hAnsi="Arial"/>
                <w:sz w:val="18"/>
                <w:szCs w:val="18"/>
                <w:color w:val="auto"/>
              </w:rPr>
              <w:t>Section 2.</w:t>
            </w:r>
          </w:p>
        </w:tc>
        <w:tc>
          <w:tcPr>
            <w:tcW w:w="7680" w:type="dxa"/>
            <w:vAlign w:val="bottom"/>
          </w:tcPr>
          <w:p>
            <w:pPr>
              <w:ind w:left="80"/>
              <w:spacing w:after="0"/>
              <w:rPr>
                <w:sz w:val="20"/>
                <w:szCs w:val="20"/>
                <w:color w:val="auto"/>
              </w:rPr>
            </w:pPr>
            <w:r>
              <w:rPr>
                <w:rFonts w:ascii="Arial" w:cs="Arial" w:eastAsia="Arial" w:hAnsi="Arial"/>
                <w:sz w:val="18"/>
                <w:szCs w:val="18"/>
                <w:color w:val="auto"/>
              </w:rPr>
              <w:t>Participants Remain General Creditors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ARTICLE VIII – Modification or Termination of the Plan</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1.</w:t>
            </w:r>
          </w:p>
        </w:tc>
        <w:tc>
          <w:tcPr>
            <w:tcW w:w="7680" w:type="dxa"/>
            <w:vAlign w:val="bottom"/>
          </w:tcPr>
          <w:p>
            <w:pPr>
              <w:ind w:left="80"/>
              <w:spacing w:after="0"/>
              <w:rPr>
                <w:sz w:val="20"/>
                <w:szCs w:val="20"/>
                <w:color w:val="auto"/>
              </w:rPr>
            </w:pPr>
            <w:r>
              <w:rPr>
                <w:rFonts w:ascii="Arial" w:cs="Arial" w:eastAsia="Arial" w:hAnsi="Arial"/>
                <w:sz w:val="18"/>
                <w:szCs w:val="18"/>
                <w:color w:val="auto"/>
              </w:rPr>
              <w:t>Company Obligations Limited</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2.</w:t>
            </w:r>
          </w:p>
        </w:tc>
        <w:tc>
          <w:tcPr>
            <w:tcW w:w="7680" w:type="dxa"/>
            <w:vAlign w:val="bottom"/>
          </w:tcPr>
          <w:p>
            <w:pPr>
              <w:ind w:left="80"/>
              <w:spacing w:after="0"/>
              <w:rPr>
                <w:sz w:val="20"/>
                <w:szCs w:val="20"/>
                <w:color w:val="auto"/>
              </w:rPr>
            </w:pPr>
            <w:r>
              <w:rPr>
                <w:rFonts w:ascii="Arial" w:cs="Arial" w:eastAsia="Arial" w:hAnsi="Arial"/>
                <w:sz w:val="18"/>
                <w:szCs w:val="18"/>
                <w:color w:val="auto"/>
              </w:rPr>
              <w:t>Right to Amend, Freeze or Terminate</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000" w:type="dxa"/>
            <w:vAlign w:val="bottom"/>
          </w:tcPr>
          <w:p>
            <w:pPr>
              <w:ind w:left="120"/>
              <w:spacing w:after="0"/>
              <w:rPr>
                <w:sz w:val="20"/>
                <w:szCs w:val="20"/>
                <w:color w:val="auto"/>
              </w:rPr>
            </w:pPr>
            <w:r>
              <w:rPr>
                <w:rFonts w:ascii="Arial" w:cs="Arial" w:eastAsia="Arial" w:hAnsi="Arial"/>
                <w:sz w:val="18"/>
                <w:szCs w:val="18"/>
                <w:color w:val="auto"/>
              </w:rPr>
              <w:t>Section 3.</w:t>
            </w:r>
          </w:p>
        </w:tc>
        <w:tc>
          <w:tcPr>
            <w:tcW w:w="7680" w:type="dxa"/>
            <w:vAlign w:val="bottom"/>
          </w:tcPr>
          <w:p>
            <w:pPr>
              <w:ind w:left="80"/>
              <w:spacing w:after="0"/>
              <w:rPr>
                <w:sz w:val="20"/>
                <w:szCs w:val="20"/>
                <w:color w:val="auto"/>
              </w:rPr>
            </w:pPr>
            <w:r>
              <w:rPr>
                <w:rFonts w:ascii="Arial" w:cs="Arial" w:eastAsia="Arial" w:hAnsi="Arial"/>
                <w:sz w:val="18"/>
                <w:szCs w:val="18"/>
                <w:color w:val="auto"/>
              </w:rPr>
              <w:t>Effect of Freeze or Termination</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ARTICLE IX – Miscellaneous Provisions</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1.</w:t>
            </w:r>
          </w:p>
        </w:tc>
        <w:tc>
          <w:tcPr>
            <w:tcW w:w="7680" w:type="dxa"/>
            <w:vAlign w:val="bottom"/>
          </w:tcPr>
          <w:p>
            <w:pPr>
              <w:ind w:left="80"/>
              <w:spacing w:after="0"/>
              <w:rPr>
                <w:sz w:val="20"/>
                <w:szCs w:val="20"/>
                <w:color w:val="auto"/>
              </w:rPr>
            </w:pPr>
            <w:r>
              <w:rPr>
                <w:rFonts w:ascii="Arial" w:cs="Arial" w:eastAsia="Arial" w:hAnsi="Arial"/>
                <w:sz w:val="18"/>
                <w:szCs w:val="18"/>
                <w:color w:val="auto"/>
              </w:rPr>
              <w:t>Change of Control</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2.</w:t>
            </w:r>
          </w:p>
        </w:tc>
        <w:tc>
          <w:tcPr>
            <w:tcW w:w="7680" w:type="dxa"/>
            <w:vAlign w:val="bottom"/>
          </w:tcPr>
          <w:p>
            <w:pPr>
              <w:ind w:left="80"/>
              <w:spacing w:after="0"/>
              <w:rPr>
                <w:sz w:val="20"/>
                <w:szCs w:val="20"/>
                <w:color w:val="auto"/>
              </w:rPr>
            </w:pPr>
            <w:r>
              <w:rPr>
                <w:rFonts w:ascii="Arial" w:cs="Arial" w:eastAsia="Arial" w:hAnsi="Arial"/>
                <w:sz w:val="18"/>
                <w:szCs w:val="18"/>
                <w:color w:val="auto"/>
              </w:rPr>
              <w:t>Plan Information</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3.</w:t>
            </w:r>
          </w:p>
        </w:tc>
        <w:tc>
          <w:tcPr>
            <w:tcW w:w="7680" w:type="dxa"/>
            <w:vAlign w:val="bottom"/>
          </w:tcPr>
          <w:p>
            <w:pPr>
              <w:ind w:left="80"/>
              <w:spacing w:after="0"/>
              <w:rPr>
                <w:sz w:val="20"/>
                <w:szCs w:val="20"/>
                <w:color w:val="auto"/>
              </w:rPr>
            </w:pPr>
            <w:r>
              <w:rPr>
                <w:rFonts w:ascii="Arial" w:cs="Arial" w:eastAsia="Arial" w:hAnsi="Arial"/>
                <w:sz w:val="18"/>
                <w:szCs w:val="18"/>
                <w:color w:val="auto"/>
              </w:rPr>
              <w:t>Inalienability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4.</w:t>
            </w:r>
          </w:p>
        </w:tc>
        <w:tc>
          <w:tcPr>
            <w:tcW w:w="7680" w:type="dxa"/>
            <w:vAlign w:val="bottom"/>
          </w:tcPr>
          <w:p>
            <w:pPr>
              <w:ind w:left="80"/>
              <w:spacing w:after="0"/>
              <w:rPr>
                <w:sz w:val="20"/>
                <w:szCs w:val="20"/>
                <w:color w:val="auto"/>
              </w:rPr>
            </w:pPr>
            <w:r>
              <w:rPr>
                <w:rFonts w:ascii="Arial" w:cs="Arial" w:eastAsia="Arial" w:hAnsi="Arial"/>
                <w:sz w:val="18"/>
                <w:szCs w:val="18"/>
                <w:color w:val="auto"/>
              </w:rPr>
              <w:t>Rights and Duties</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5.</w:t>
            </w:r>
          </w:p>
        </w:tc>
        <w:tc>
          <w:tcPr>
            <w:tcW w:w="7680" w:type="dxa"/>
            <w:vAlign w:val="bottom"/>
          </w:tcPr>
          <w:p>
            <w:pPr>
              <w:ind w:left="80"/>
              <w:spacing w:after="0"/>
              <w:rPr>
                <w:sz w:val="20"/>
                <w:szCs w:val="20"/>
                <w:color w:val="auto"/>
              </w:rPr>
            </w:pPr>
            <w:r>
              <w:rPr>
                <w:rFonts w:ascii="Arial" w:cs="Arial" w:eastAsia="Arial" w:hAnsi="Arial"/>
                <w:sz w:val="18"/>
                <w:szCs w:val="18"/>
                <w:color w:val="auto"/>
              </w:rPr>
              <w:t>No Guarantee of Employment</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6.</w:t>
            </w:r>
          </w:p>
        </w:tc>
        <w:tc>
          <w:tcPr>
            <w:tcW w:w="7680" w:type="dxa"/>
            <w:vAlign w:val="bottom"/>
          </w:tcPr>
          <w:p>
            <w:pPr>
              <w:ind w:left="80"/>
              <w:spacing w:after="0"/>
              <w:rPr>
                <w:sz w:val="20"/>
                <w:szCs w:val="20"/>
                <w:color w:val="auto"/>
              </w:rPr>
            </w:pPr>
            <w:r>
              <w:rPr>
                <w:rFonts w:ascii="Arial" w:cs="Arial" w:eastAsia="Arial" w:hAnsi="Arial"/>
                <w:sz w:val="18"/>
                <w:szCs w:val="18"/>
                <w:color w:val="auto"/>
              </w:rPr>
              <w:t>Applicable Law</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7.</w:t>
            </w:r>
          </w:p>
        </w:tc>
        <w:tc>
          <w:tcPr>
            <w:tcW w:w="7680" w:type="dxa"/>
            <w:vAlign w:val="bottom"/>
          </w:tcPr>
          <w:p>
            <w:pPr>
              <w:ind w:left="80"/>
              <w:spacing w:after="0"/>
              <w:rPr>
                <w:sz w:val="20"/>
                <w:szCs w:val="20"/>
                <w:color w:val="auto"/>
              </w:rPr>
            </w:pPr>
            <w:r>
              <w:rPr>
                <w:rFonts w:ascii="Arial" w:cs="Arial" w:eastAsia="Arial" w:hAnsi="Arial"/>
                <w:sz w:val="18"/>
                <w:szCs w:val="18"/>
                <w:color w:val="auto"/>
              </w:rPr>
              <w:t>Binding Effect</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8.</w:t>
            </w:r>
          </w:p>
        </w:tc>
        <w:tc>
          <w:tcPr>
            <w:tcW w:w="768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rPr>
              <w:t>Section 9.</w:t>
            </w:r>
          </w:p>
        </w:tc>
        <w:tc>
          <w:tcPr>
            <w:tcW w:w="7680" w:type="dxa"/>
            <w:vAlign w:val="bottom"/>
          </w:tcPr>
          <w:p>
            <w:pPr>
              <w:ind w:left="80"/>
              <w:spacing w:after="0"/>
              <w:rPr>
                <w:sz w:val="20"/>
                <w:szCs w:val="20"/>
                <w:color w:val="auto"/>
              </w:rPr>
            </w:pPr>
            <w:r>
              <w:rPr>
                <w:rFonts w:ascii="Arial" w:cs="Arial" w:eastAsia="Arial" w:hAnsi="Arial"/>
                <w:sz w:val="18"/>
                <w:szCs w:val="18"/>
                <w:color w:val="auto"/>
              </w:rPr>
              <w:t>Captions</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120"/>
              <w:spacing w:after="0"/>
              <w:rPr>
                <w:sz w:val="20"/>
                <w:szCs w:val="20"/>
                <w:color w:val="auto"/>
              </w:rPr>
            </w:pPr>
            <w:r>
              <w:rPr>
                <w:rFonts w:ascii="Arial" w:cs="Arial" w:eastAsia="Arial" w:hAnsi="Arial"/>
                <w:sz w:val="18"/>
                <w:szCs w:val="18"/>
                <w:color w:val="auto"/>
                <w:w w:val="95"/>
              </w:rPr>
              <w:t>Section 10.</w:t>
            </w:r>
          </w:p>
        </w:tc>
        <w:tc>
          <w:tcPr>
            <w:tcW w:w="7680" w:type="dxa"/>
            <w:vAlign w:val="bottom"/>
          </w:tcPr>
          <w:p>
            <w:pPr>
              <w:ind w:left="80"/>
              <w:spacing w:after="0"/>
              <w:rPr>
                <w:sz w:val="20"/>
                <w:szCs w:val="20"/>
                <w:color w:val="auto"/>
              </w:rPr>
            </w:pPr>
            <w:r>
              <w:rPr>
                <w:rFonts w:ascii="Arial" w:cs="Arial" w:eastAsia="Arial" w:hAnsi="Arial"/>
                <w:sz w:val="18"/>
                <w:szCs w:val="18"/>
                <w:color w:val="auto"/>
              </w:rPr>
              <w:t>Withholding Taxes</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000" w:type="dxa"/>
            <w:vAlign w:val="bottom"/>
          </w:tcPr>
          <w:p>
            <w:pPr>
              <w:ind w:left="120"/>
              <w:spacing w:after="0"/>
              <w:rPr>
                <w:sz w:val="20"/>
                <w:szCs w:val="20"/>
                <w:color w:val="auto"/>
              </w:rPr>
            </w:pPr>
            <w:r>
              <w:rPr>
                <w:rFonts w:ascii="Arial" w:cs="Arial" w:eastAsia="Arial" w:hAnsi="Arial"/>
                <w:sz w:val="18"/>
                <w:szCs w:val="18"/>
                <w:color w:val="auto"/>
                <w:w w:val="95"/>
              </w:rPr>
              <w:t>Section 11.</w:t>
            </w:r>
          </w:p>
        </w:tc>
        <w:tc>
          <w:tcPr>
            <w:tcW w:w="7680" w:type="dxa"/>
            <w:vAlign w:val="bottom"/>
          </w:tcPr>
          <w:p>
            <w:pPr>
              <w:ind w:left="80"/>
              <w:spacing w:after="0"/>
              <w:rPr>
                <w:sz w:val="20"/>
                <w:szCs w:val="20"/>
                <w:color w:val="auto"/>
              </w:rPr>
            </w:pPr>
            <w:r>
              <w:rPr>
                <w:rFonts w:ascii="Arial" w:cs="Arial" w:eastAsia="Arial" w:hAnsi="Arial"/>
                <w:sz w:val="18"/>
                <w:szCs w:val="18"/>
                <w:color w:val="auto"/>
              </w:rPr>
              <w:t>Effective Date</w:t>
            </w:r>
          </w:p>
        </w:tc>
        <w:tc>
          <w:tcPr>
            <w:tcW w:w="27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MANAGEMENT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PERFORMANCE-BASED DEFERRED COMPENSATION PLAN</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ARTICLE I</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71"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Purpose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was established and maintained for the benefit of Company Executives who are members of a “select group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or highly compensated employees” within the meaning of Section 301(a)(3) of ERISA, in order to provide Company Executives with certain performance-based deferred compensation benefits. The Plan is hereby amended and restated effective as of February 1, 2006 in order to comply with Section 409A of the Code. The Plan is an unfunded deferred compensation plan that is intended to qualify for the exemptions provided in, and shall be implemented and administered in a manner consistent with, Sections 201, 301 and 401 of ERISA.</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has several key objectives:</w:t>
      </w:r>
    </w:p>
    <w:p>
      <w:pPr>
        <w:spacing w:after="0" w:line="90" w:lineRule="exact"/>
        <w:rPr>
          <w:sz w:val="20"/>
          <w:szCs w:val="20"/>
          <w:color w:val="auto"/>
        </w:rPr>
      </w:pPr>
    </w:p>
    <w:p>
      <w:pPr>
        <w:ind w:left="1160" w:hanging="257"/>
        <w:spacing w:after="0"/>
        <w:tabs>
          <w:tab w:leader="none" w:pos="11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reinforce the Company’s short-term and long-term business strategy;</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focus Company Executives on shareholder value creation;</w:t>
      </w:r>
    </w:p>
    <w:p>
      <w:pPr>
        <w:spacing w:after="0" w:line="90" w:lineRule="exact"/>
        <w:rPr>
          <w:rFonts w:ascii="Arial" w:cs="Arial" w:eastAsia="Arial" w:hAnsi="Arial"/>
          <w:sz w:val="18"/>
          <w:szCs w:val="18"/>
          <w:b w:val="1"/>
          <w:bCs w:val="1"/>
          <w:color w:val="auto"/>
        </w:rPr>
      </w:pPr>
    </w:p>
    <w:p>
      <w:pPr>
        <w:ind w:left="1140" w:hanging="237"/>
        <w:spacing w:after="0"/>
        <w:tabs>
          <w:tab w:leader="none" w:pos="11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to reward Company Executives for performance and provide opportunities to earn significant rewards for outstanding performance; and</w:t>
      </w:r>
    </w:p>
    <w:p>
      <w:pPr>
        <w:spacing w:after="0" w:line="113" w:lineRule="exact"/>
        <w:rPr>
          <w:rFonts w:ascii="Arial" w:cs="Arial" w:eastAsia="Arial" w:hAnsi="Arial"/>
          <w:sz w:val="16"/>
          <w:szCs w:val="16"/>
          <w:b w:val="1"/>
          <w:bCs w:val="1"/>
          <w:color w:val="auto"/>
        </w:rPr>
      </w:pPr>
    </w:p>
    <w:p>
      <w:pPr>
        <w:ind w:left="1160" w:hanging="257"/>
        <w:spacing w:after="0"/>
        <w:tabs>
          <w:tab w:leader="none" w:pos="11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enable the Company to attract, retain and motivate Company Executives.</w:t>
      </w:r>
    </w:p>
    <w:p>
      <w:pPr>
        <w:spacing w:after="0" w:line="165"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Overview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intended to focus Company Executives on achievement of certain annual operating goals, shareholder value</w:t>
      </w:r>
      <w:r>
        <w:rPr>
          <w:rFonts w:ascii="Arial" w:cs="Arial" w:eastAsia="Arial" w:hAnsi="Arial"/>
          <w:sz w:val="16"/>
          <w:szCs w:val="16"/>
          <w:b w:val="1"/>
          <w:bCs w:val="1"/>
          <w:color w:val="auto"/>
        </w:rPr>
        <w:t xml:space="preserve"> </w:t>
      </w:r>
      <w:r>
        <w:rPr>
          <w:rFonts w:ascii="Arial" w:cs="Arial" w:eastAsia="Arial" w:hAnsi="Arial"/>
          <w:sz w:val="16"/>
          <w:szCs w:val="16"/>
          <w:color w:val="auto"/>
        </w:rPr>
        <w:t>creation, and execution of the Company’s business strategy over the longer term by aligning Company Executives’ interests with shareholders’ interests.</w:t>
      </w:r>
    </w:p>
    <w:p>
      <w:pPr>
        <w:spacing w:after="0" w:line="8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Plan encourages and focuses Company Executives on shareholder value creation. Shareholder value is defined as sustained improvement in the Company’s Common Stock price over time. The Company can create shareholder value through both short-term and long-term operating performance and growth.</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Under the Plan, incentives for improvement of operating performance are focused on improving Earnings Per Share and Economic Profit of the Company. At the beginning of each Plan Year, Earnings Per Share and Economic Profit goals for such Plan Year are established for Participants by the Compensation Committee. Deferred compensation benefits may be earned by Participants for the Plan Year based on the Company’s attainment of these goals. Growing</w:t>
      </w:r>
    </w:p>
    <w:p>
      <w:pPr>
        <w:sectPr>
          <w:pgSz w:w="11900" w:h="16838" w:orient="portrait"/>
          <w:cols w:equalWidth="0" w:num="1">
            <w:col w:w="11320"/>
          </w:cols>
          <w:pgMar w:left="240" w:top="274" w:right="339" w:bottom="1440" w:gutter="0" w:footer="0" w:header="0"/>
        </w:sectPr>
      </w:pPr>
    </w:p>
    <w:bookmarkStart w:id="35" w:name="page36"/>
    <w:bookmarkEnd w:id="35"/>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 is one element of improving the Company’s operating performance. Economic Profit is also an essential measure to use as a benchmark for the Company because it is an all-inclusive measure that captures both earnings growth and management of capital costs. In addition, Economic Profit is highly correlated with shareholder value creation.</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Plan provides for deferred compensation benefits to be determined shortly after the end of each Plan Year based on achievement of the goals established at the beginning of the Plan Year. In connection with the establishment of the goals, each Participant is assigned threshold, target, and outstanding deferred compensation benefit opportunity levels.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500" w:firstLine="443"/>
        <w:spacing w:after="0" w:line="357" w:lineRule="auto"/>
        <w:tabs>
          <w:tab w:leader="none" w:pos="1147" w:val="left"/>
        </w:tabs>
        <w:numPr>
          <w:ilvl w:val="0"/>
          <w:numId w:val="27"/>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Account</w:t>
      </w:r>
      <w:r>
        <w:rPr>
          <w:rFonts w:ascii="Arial" w:cs="Arial" w:eastAsia="Arial" w:hAnsi="Arial"/>
          <w:sz w:val="15"/>
          <w:szCs w:val="15"/>
          <w:color w:val="auto"/>
        </w:rPr>
        <w:t>” means, as to any Participant, the separate bookkeeping account maintained by the Company in order to reflect the Participant’s interest in the Plan and to record the Awards credited to the Participant pursuant to Section 5 of Article II, and any adjustments thereto.</w:t>
      </w:r>
    </w:p>
    <w:p>
      <w:pPr>
        <w:ind w:left="460" w:right="100" w:firstLine="443"/>
        <w:spacing w:after="0" w:line="262" w:lineRule="auto"/>
        <w:tabs>
          <w:tab w:leader="none" w:pos="1156"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Alternate Payee</w:t>
      </w:r>
      <w:r>
        <w:rPr>
          <w:rFonts w:ascii="Arial" w:cs="Arial" w:eastAsia="Arial" w:hAnsi="Arial"/>
          <w:sz w:val="18"/>
          <w:szCs w:val="18"/>
          <w:color w:val="auto"/>
        </w:rPr>
        <w:t>” means any spouse, former spouse, child or other dependent (within the meaning of Section 152 of the Code) of a Participant who is recognized by a Qualified Domestic Relations Order (as defined in Section 1 of Article V) as having a right to receive any immediate or deferred payment from a Participant’s Account under this Plan.</w:t>
      </w:r>
    </w:p>
    <w:p>
      <w:pPr>
        <w:spacing w:after="0" w:line="51" w:lineRule="exact"/>
        <w:rPr>
          <w:rFonts w:ascii="Arial" w:cs="Arial" w:eastAsia="Arial" w:hAnsi="Arial"/>
          <w:sz w:val="18"/>
          <w:szCs w:val="18"/>
          <w:b w:val="1"/>
          <w:bCs w:val="1"/>
          <w:color w:val="auto"/>
        </w:rPr>
      </w:pPr>
    </w:p>
    <w:p>
      <w:pPr>
        <w:ind w:left="1140" w:hanging="237"/>
        <w:spacing w:after="0"/>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any deferred compensation benefits awarded to a Participant under the Plan.</w:t>
      </w:r>
    </w:p>
    <w:p>
      <w:pPr>
        <w:spacing w:after="0" w:line="90" w:lineRule="exact"/>
        <w:rPr>
          <w:rFonts w:ascii="Arial" w:cs="Arial" w:eastAsia="Arial" w:hAnsi="Arial"/>
          <w:sz w:val="18"/>
          <w:szCs w:val="18"/>
          <w:b w:val="1"/>
          <w:bCs w:val="1"/>
          <w:color w:val="auto"/>
        </w:rPr>
      </w:pPr>
    </w:p>
    <w:p>
      <w:pPr>
        <w:ind w:left="460" w:firstLine="443"/>
        <w:spacing w:after="0" w:line="256" w:lineRule="auto"/>
        <w:tabs>
          <w:tab w:leader="none" w:pos="1156"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amount of a Participant’s basic or regular rate of remuneration paid to the Participant by the Company or any other member of the Manpower Group (in the course of any such employer’s trade or business) during the Plan Year, including the amount of remuneration that is otherwise excludable from the gross income of the Participant under a salary reduction agreement by reason of the application of Section 125, 132(f), 401(k) or 402(e)(3) of the Code, but excluding the amount of any overtime, bonuses or incentive pay, and any stock options, restricted stock, performance shares or any other equity awards paid for such period.</w:t>
      </w:r>
    </w:p>
    <w:p>
      <w:pPr>
        <w:spacing w:after="0" w:line="57" w:lineRule="exact"/>
        <w:rPr>
          <w:rFonts w:ascii="Arial" w:cs="Arial" w:eastAsia="Arial" w:hAnsi="Arial"/>
          <w:sz w:val="18"/>
          <w:szCs w:val="18"/>
          <w:b w:val="1"/>
          <w:bCs w:val="1"/>
          <w:color w:val="auto"/>
        </w:rPr>
      </w:pPr>
    </w:p>
    <w:p>
      <w:pPr>
        <w:ind w:left="1140" w:hanging="237"/>
        <w:spacing w:after="0"/>
        <w:tabs>
          <w:tab w:leader="none" w:pos="11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Beneficiary</w:t>
      </w:r>
      <w:r>
        <w:rPr>
          <w:rFonts w:ascii="Arial" w:cs="Arial" w:eastAsia="Arial" w:hAnsi="Arial"/>
          <w:sz w:val="16"/>
          <w:szCs w:val="16"/>
          <w:color w:val="auto"/>
        </w:rPr>
        <w:t>” means the person(s) entitled to receive benefits under the Plan, in accordance with Section 5 of Article IV, upon a Participant’s</w:t>
      </w:r>
    </w:p>
    <w:p>
      <w:pPr>
        <w:spacing w:after="0" w:line="4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death.</w:t>
      </w:r>
    </w:p>
    <w:p>
      <w:pPr>
        <w:spacing w:after="0" w:line="77" w:lineRule="exact"/>
        <w:rPr>
          <w:rFonts w:ascii="Arial" w:cs="Arial" w:eastAsia="Arial" w:hAnsi="Arial"/>
          <w:sz w:val="16"/>
          <w:szCs w:val="16"/>
          <w:b w:val="1"/>
          <w:bCs w:val="1"/>
          <w:color w:val="auto"/>
        </w:rPr>
      </w:pPr>
    </w:p>
    <w:p>
      <w:pPr>
        <w:ind w:left="1120" w:hanging="217"/>
        <w:spacing w:after="0"/>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means the Board of Directors of the Company, as from time to time constituted.</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 the first to occur of the following:</w:t>
      </w:r>
    </w:p>
    <w:p>
      <w:pPr>
        <w:spacing w:after="0" w:line="96" w:lineRule="exact"/>
        <w:rPr>
          <w:rFonts w:ascii="Arial" w:cs="Arial" w:eastAsia="Arial" w:hAnsi="Arial"/>
          <w:sz w:val="18"/>
          <w:szCs w:val="18"/>
          <w:b w:val="1"/>
          <w:bCs w:val="1"/>
          <w:color w:val="auto"/>
        </w:rPr>
      </w:pPr>
    </w:p>
    <w:p>
      <w:pPr>
        <w:ind w:left="920" w:right="80" w:firstLine="421"/>
        <w:spacing w:after="0" w:line="259" w:lineRule="auto"/>
        <w:tabs>
          <w:tab w:leader="none" w:pos="1549"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the acquisition (other than from the Company), by any person (as defined in Sections 13(d)(3) and 14(d)(2) of the Securities Exchange Act of 1934, as amended (the “Exchange Act”)), directly or indirectly, of beneficial ownership (within the meaning of Exchange Act Rule 13d-3) of more than fifty percent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(50%) of the then outstanding shares of Common Stock of the Company or voting securities representing more than fifty percent (50%) of the combined voting power of the Company’s then outstanding voting securities entitled to vote generally in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no Change of Control shall be deemed to have occurred as a result of an acquisition of shares of Common Stock or voting securities of the Company (</w:t>
      </w:r>
      <w:r>
        <w:rPr>
          <w:rFonts w:ascii="Arial" w:cs="Arial" w:eastAsia="Arial" w:hAnsi="Arial"/>
          <w:sz w:val="13"/>
          <w:szCs w:val="13"/>
          <w:color w:val="auto"/>
        </w:rPr>
        <w:t>A</w:t>
      </w:r>
      <w:r>
        <w:rPr>
          <w:rFonts w:ascii="Arial" w:cs="Arial" w:eastAsia="Arial" w:hAnsi="Arial"/>
          <w:sz w:val="16"/>
          <w:szCs w:val="16"/>
          <w:color w:val="auto"/>
        </w:rPr>
        <w:t>) by the Company, any of its subsidiaries, or any employee benefit plan (or related trust) sponsored or maintained by the Company or any of its subsidiaries, or (</w:t>
      </w:r>
      <w:r>
        <w:rPr>
          <w:rFonts w:ascii="Arial" w:cs="Arial" w:eastAsia="Arial" w:hAnsi="Arial"/>
          <w:sz w:val="13"/>
          <w:szCs w:val="13"/>
          <w:color w:val="auto"/>
        </w:rPr>
        <w:t>B</w:t>
      </w:r>
      <w:r>
        <w:rPr>
          <w:rFonts w:ascii="Arial" w:cs="Arial" w:eastAsia="Arial" w:hAnsi="Arial"/>
          <w:sz w:val="16"/>
          <w:szCs w:val="16"/>
          <w:color w:val="auto"/>
        </w:rPr>
        <w:t>) by any other corporation or other entity with respect to which, following such acquisition, more than sixty percent (60%) of the outstanding shares of the common stock, and voting securities representing more than sixty percent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42" w:lineRule="exact"/>
        <w:rPr>
          <w:sz w:val="20"/>
          <w:szCs w:val="20"/>
          <w:color w:val="auto"/>
        </w:rPr>
      </w:pPr>
    </w:p>
    <w:p>
      <w:pPr>
        <w:ind w:right="40" w:firstLine="1"/>
        <w:spacing w:after="0" w:line="291" w:lineRule="auto"/>
        <w:tabs>
          <w:tab w:leader="none" w:pos="258"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the consummation of any merger or consolidation of the Company with any other corporation, other than a merger or consolidation which results in more than sixty percent (60%) of the outstanding shares of the common stock, and voting securities representing more than sixty percent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merger or consolidation in substantially the same proportions as their ownership, immediately prior to such merger or consolidation, of the Company’s then outstanding Common Stock or then outstanding voting securities, as the case may be; or</w:t>
      </w:r>
    </w:p>
    <w:p>
      <w:pPr>
        <w:spacing w:after="0" w:line="39" w:lineRule="exact"/>
        <w:rPr>
          <w:rFonts w:ascii="Arial" w:cs="Arial" w:eastAsia="Arial" w:hAnsi="Arial"/>
          <w:sz w:val="16"/>
          <w:szCs w:val="16"/>
          <w:b w:val="1"/>
          <w:bCs w:val="1"/>
          <w:color w:val="auto"/>
        </w:rPr>
      </w:pPr>
    </w:p>
    <w:p>
      <w:pPr>
        <w:ind w:right="280" w:firstLine="1"/>
        <w:spacing w:after="0" w:line="268" w:lineRule="auto"/>
        <w:tabs>
          <w:tab w:leader="none" w:pos="307"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consummation of any liquidation or dissolution of the Company or a sale or other disposition of all or substantially all of the assets of the Company; or</w:t>
      </w:r>
    </w:p>
    <w:p>
      <w:pPr>
        <w:spacing w:after="0" w:line="50" w:lineRule="exact"/>
        <w:rPr>
          <w:rFonts w:ascii="Arial" w:cs="Arial" w:eastAsia="Arial" w:hAnsi="Arial"/>
          <w:sz w:val="18"/>
          <w:szCs w:val="18"/>
          <w:b w:val="1"/>
          <w:bCs w:val="1"/>
          <w:color w:val="auto"/>
        </w:rPr>
      </w:pPr>
    </w:p>
    <w:p>
      <w:pPr>
        <w:ind w:firstLine="1"/>
        <w:spacing w:after="0" w:line="291" w:lineRule="auto"/>
        <w:tabs>
          <w:tab w:leader="none" w:pos="297"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 xml:space="preserve">individuals who, as of February 18, 2004, constitute the Board of Directors of the Corporation (as of such date, the “Incumbent Board”) cease for any reason to constitute at least a majority of such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person becoming a director subsequent to such date whose election, or nomination for election by the shareholders of the Company, was approved by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0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80" w:right="239" w:bottom="1440" w:gutter="0" w:footer="0" w:header="0"/>
        </w:sectPr>
      </w:pPr>
    </w:p>
    <w:bookmarkStart w:id="37" w:name="page38"/>
    <w:bookmarkEnd w:id="37"/>
    <w:p>
      <w:pPr>
        <w:ind w:left="460" w:right="60" w:firstLine="443"/>
        <w:spacing w:after="0" w:line="306" w:lineRule="auto"/>
        <w:tabs>
          <w:tab w:leader="none" w:pos="1147"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2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Following the occurrence of an event which is not a Change of Control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53" w:lineRule="exact"/>
        <w:rPr>
          <w:sz w:val="20"/>
          <w:szCs w:val="20"/>
          <w:color w:val="auto"/>
        </w:rPr>
      </w:pPr>
    </w:p>
    <w:p>
      <w:pPr>
        <w:ind w:left="460" w:right="420" w:firstLine="443"/>
        <w:spacing w:after="0" w:line="275" w:lineRule="auto"/>
        <w:tabs>
          <w:tab w:leader="none" w:pos="115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it may be amended from time to time, and any proposed, temporary or final Treasury Regulations promulgated thereunder.</w:t>
      </w:r>
    </w:p>
    <w:p>
      <w:pPr>
        <w:spacing w:after="0" w:line="38" w:lineRule="exact"/>
        <w:rPr>
          <w:rFonts w:ascii="Arial" w:cs="Arial" w:eastAsia="Arial" w:hAnsi="Arial"/>
          <w:sz w:val="18"/>
          <w:szCs w:val="18"/>
          <w:b w:val="1"/>
          <w:bCs w:val="1"/>
          <w:color w:val="auto"/>
        </w:rPr>
      </w:pPr>
    </w:p>
    <w:p>
      <w:pPr>
        <w:ind w:left="1120" w:hanging="217"/>
        <w:spacing w:after="0"/>
        <w:tabs>
          <w:tab w:leader="none" w:pos="11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of the Company with a par value of $0.01 per share.</w:t>
      </w:r>
    </w:p>
    <w:p>
      <w:pPr>
        <w:spacing w:after="0" w:line="90" w:lineRule="exact"/>
        <w:rPr>
          <w:rFonts w:ascii="Arial" w:cs="Arial" w:eastAsia="Arial" w:hAnsi="Arial"/>
          <w:sz w:val="18"/>
          <w:szCs w:val="18"/>
          <w:b w:val="1"/>
          <w:bCs w:val="1"/>
          <w:color w:val="auto"/>
        </w:rPr>
      </w:pPr>
    </w:p>
    <w:p>
      <w:pPr>
        <w:ind w:left="1120" w:hanging="217"/>
        <w:spacing w:after="0"/>
        <w:tabs>
          <w:tab w:leader="none" w:pos="11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Manpower Inc., a Wisconsin corporation.</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Compensation Committee</w:t>
      </w:r>
      <w:r>
        <w:rPr>
          <w:rFonts w:ascii="Arial" w:cs="Arial" w:eastAsia="Arial" w:hAnsi="Arial"/>
          <w:sz w:val="18"/>
          <w:szCs w:val="18"/>
          <w:color w:val="auto"/>
        </w:rPr>
        <w:t>” means the Executive Compensation Committee of the Board of Directors of the Company.</w:t>
      </w:r>
    </w:p>
    <w:p>
      <w:pPr>
        <w:spacing w:after="0" w:line="90" w:lineRule="exact"/>
        <w:rPr>
          <w:rFonts w:ascii="Arial" w:cs="Arial" w:eastAsia="Arial" w:hAnsi="Arial"/>
          <w:sz w:val="18"/>
          <w:szCs w:val="18"/>
          <w:b w:val="1"/>
          <w:bCs w:val="1"/>
          <w:color w:val="auto"/>
        </w:rPr>
      </w:pPr>
    </w:p>
    <w:p>
      <w:pPr>
        <w:ind w:left="1120" w:hanging="217"/>
        <w:spacing w:after="0"/>
        <w:tabs>
          <w:tab w:leader="none" w:pos="11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that a Participant:</w:t>
      </w:r>
    </w:p>
    <w:p>
      <w:pPr>
        <w:spacing w:after="0" w:line="96" w:lineRule="exact"/>
        <w:rPr>
          <w:rFonts w:ascii="Arial" w:cs="Arial" w:eastAsia="Arial" w:hAnsi="Arial"/>
          <w:sz w:val="18"/>
          <w:szCs w:val="18"/>
          <w:b w:val="1"/>
          <w:bCs w:val="1"/>
          <w:color w:val="auto"/>
        </w:rPr>
      </w:pPr>
    </w:p>
    <w:p>
      <w:pPr>
        <w:ind w:left="920" w:firstLine="421"/>
        <w:spacing w:after="0" w:line="330" w:lineRule="auto"/>
        <w:tabs>
          <w:tab w:leader="none" w:pos="1549" w:val="left"/>
        </w:tabs>
        <w:numPr>
          <w:ilvl w:val="1"/>
          <w:numId w:val="30"/>
        </w:numPr>
        <w:rPr>
          <w:rFonts w:ascii="Arial" w:cs="Arial" w:eastAsia="Arial" w:hAnsi="Arial"/>
          <w:sz w:val="16"/>
          <w:szCs w:val="16"/>
          <w:b w:val="1"/>
          <w:bCs w:val="1"/>
          <w:color w:val="auto"/>
        </w:rPr>
      </w:pPr>
      <w:r>
        <w:rPr>
          <w:rFonts w:ascii="Arial" w:cs="Arial" w:eastAsia="Arial" w:hAnsi="Arial"/>
          <w:sz w:val="16"/>
          <w:szCs w:val="16"/>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7" w:lineRule="exact"/>
        <w:rPr>
          <w:rFonts w:ascii="Arial" w:cs="Arial" w:eastAsia="Arial" w:hAnsi="Arial"/>
          <w:sz w:val="16"/>
          <w:szCs w:val="16"/>
          <w:b w:val="1"/>
          <w:bCs w:val="1"/>
          <w:color w:val="auto"/>
        </w:rPr>
      </w:pPr>
    </w:p>
    <w:p>
      <w:pPr>
        <w:ind w:left="920" w:right="100" w:firstLine="421"/>
        <w:spacing w:after="0" w:line="259" w:lineRule="auto"/>
        <w:tabs>
          <w:tab w:leader="none" w:pos="1598"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w:t>
      </w:r>
    </w:p>
    <w:p>
      <w:pPr>
        <w:spacing w:after="0" w:line="53" w:lineRule="exact"/>
        <w:rPr>
          <w:rFonts w:ascii="Arial" w:cs="Arial" w:eastAsia="Arial" w:hAnsi="Arial"/>
          <w:sz w:val="18"/>
          <w:szCs w:val="18"/>
          <w:b w:val="1"/>
          <w:bCs w:val="1"/>
          <w:color w:val="auto"/>
        </w:rPr>
      </w:pPr>
    </w:p>
    <w:p>
      <w:pPr>
        <w:ind w:left="1200" w:hanging="297"/>
        <w:spacing w:after="0"/>
        <w:tabs>
          <w:tab w:leader="none" w:pos="120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Earnings Per Share</w:t>
      </w:r>
      <w:r>
        <w:rPr>
          <w:rFonts w:ascii="Arial" w:cs="Arial" w:eastAsia="Arial" w:hAnsi="Arial"/>
          <w:sz w:val="18"/>
          <w:szCs w:val="18"/>
          <w:color w:val="auto"/>
        </w:rPr>
        <w:t>” means Earnings Per Share as defined in Section 1(a) of Article II.</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Economic Profit</w:t>
      </w:r>
      <w:r>
        <w:rPr>
          <w:rFonts w:ascii="Arial" w:cs="Arial" w:eastAsia="Arial" w:hAnsi="Arial"/>
          <w:sz w:val="18"/>
          <w:szCs w:val="18"/>
          <w:color w:val="auto"/>
        </w:rPr>
        <w:t>” means Economic Profit as defined in Section 1(b) of Article II.</w:t>
      </w:r>
    </w:p>
    <w:p>
      <w:pPr>
        <w:spacing w:after="0" w:line="90" w:lineRule="exact"/>
        <w:rPr>
          <w:rFonts w:ascii="Arial" w:cs="Arial" w:eastAsia="Arial" w:hAnsi="Arial"/>
          <w:sz w:val="18"/>
          <w:szCs w:val="18"/>
          <w:b w:val="1"/>
          <w:bCs w:val="1"/>
          <w:color w:val="auto"/>
        </w:rPr>
      </w:pPr>
    </w:p>
    <w:p>
      <w:pPr>
        <w:ind w:left="460" w:right="80" w:firstLine="443"/>
        <w:spacing w:after="0" w:line="275" w:lineRule="auto"/>
        <w:tabs>
          <w:tab w:leader="none" w:pos="1147"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 as it may be amended from time to time, and any proposed, temporary or final Treasury or U.S. Department of Labor Regulations promulgated thereunder.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38" w:name="page39"/>
    <w:bookmarkEnd w:id="38"/>
    <w:p>
      <w:pPr>
        <w:ind w:left="700" w:hanging="257"/>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Executive</w:t>
      </w:r>
      <w:r>
        <w:rPr>
          <w:rFonts w:ascii="Arial" w:cs="Arial" w:eastAsia="Arial" w:hAnsi="Arial"/>
          <w:sz w:val="18"/>
          <w:szCs w:val="18"/>
          <w:b w:val="1"/>
          <w:bCs w:val="1"/>
          <w:color w:val="auto"/>
        </w:rPr>
        <w:t>”</w:t>
      </w:r>
      <w:r>
        <w:rPr>
          <w:rFonts w:ascii="Arial" w:cs="Arial" w:eastAsia="Arial" w:hAnsi="Arial"/>
          <w:sz w:val="18"/>
          <w:szCs w:val="18"/>
          <w:color w:val="auto"/>
        </w:rPr>
        <w:t xml:space="preserve"> means:</w:t>
      </w:r>
    </w:p>
    <w:p>
      <w:pPr>
        <w:spacing w:after="0" w:line="96" w:lineRule="exact"/>
        <w:rPr>
          <w:rFonts w:ascii="Arial" w:cs="Arial" w:eastAsia="Arial" w:hAnsi="Arial"/>
          <w:sz w:val="18"/>
          <w:szCs w:val="18"/>
          <w:b w:val="1"/>
          <w:bCs w:val="1"/>
          <w:color w:val="auto"/>
        </w:rPr>
      </w:pPr>
    </w:p>
    <w:p>
      <w:pPr>
        <w:ind w:left="1100" w:hanging="219"/>
        <w:spacing w:after="0"/>
        <w:tabs>
          <w:tab w:leader="none" w:pos="110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the President and Chief Executive Officer of the Company;</w:t>
      </w:r>
    </w:p>
    <w:p>
      <w:pPr>
        <w:spacing w:after="0" w:line="90" w:lineRule="exact"/>
        <w:rPr>
          <w:rFonts w:ascii="Arial" w:cs="Arial" w:eastAsia="Arial" w:hAnsi="Arial"/>
          <w:sz w:val="18"/>
          <w:szCs w:val="18"/>
          <w:b w:val="1"/>
          <w:bCs w:val="1"/>
          <w:color w:val="auto"/>
        </w:rPr>
      </w:pPr>
    </w:p>
    <w:p>
      <w:pPr>
        <w:ind w:left="1140" w:hanging="259"/>
        <w:spacing w:after="0"/>
        <w:tabs>
          <w:tab w:leader="none" w:pos="114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the Executive Vice President and Chief Financial Officer of the Company; and</w:t>
      </w:r>
    </w:p>
    <w:p>
      <w:pPr>
        <w:spacing w:after="0" w:line="90" w:lineRule="exact"/>
        <w:rPr>
          <w:rFonts w:ascii="Arial" w:cs="Arial" w:eastAsia="Arial" w:hAnsi="Arial"/>
          <w:sz w:val="18"/>
          <w:szCs w:val="18"/>
          <w:b w:val="1"/>
          <w:bCs w:val="1"/>
          <w:color w:val="auto"/>
        </w:rPr>
      </w:pPr>
    </w:p>
    <w:p>
      <w:pPr>
        <w:ind w:left="460" w:right="300" w:firstLine="421"/>
        <w:spacing w:after="0" w:line="268" w:lineRule="auto"/>
        <w:tabs>
          <w:tab w:leader="none" w:pos="1187"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any other senior executive officer of the Company or any other member of the Manpower Group whom the Compensation Committee designates from time to time as being eligible to become a Participant in the Plan.</w:t>
      </w:r>
    </w:p>
    <w:p>
      <w:pPr>
        <w:spacing w:after="0" w:line="44" w:lineRule="exact"/>
        <w:rPr>
          <w:rFonts w:ascii="Arial" w:cs="Arial" w:eastAsia="Arial" w:hAnsi="Arial"/>
          <w:sz w:val="18"/>
          <w:szCs w:val="18"/>
          <w:b w:val="1"/>
          <w:bCs w:val="1"/>
          <w:color w:val="auto"/>
        </w:rPr>
      </w:pPr>
    </w:p>
    <w:p>
      <w:pPr>
        <w:ind w:left="700" w:hanging="257"/>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Manpower Group</w:t>
      </w:r>
      <w:r>
        <w:rPr>
          <w:rFonts w:ascii="Arial" w:cs="Arial" w:eastAsia="Arial" w:hAnsi="Arial"/>
          <w:sz w:val="18"/>
          <w:szCs w:val="18"/>
          <w:color w:val="auto"/>
        </w:rPr>
        <w:t>” means the Company and its direct and indirect subsidiaries.</w:t>
      </w:r>
    </w:p>
    <w:p>
      <w:pPr>
        <w:spacing w:after="0" w:line="90" w:lineRule="exact"/>
        <w:rPr>
          <w:rFonts w:ascii="Arial" w:cs="Arial" w:eastAsia="Arial" w:hAnsi="Arial"/>
          <w:sz w:val="18"/>
          <w:szCs w:val="18"/>
          <w:b w:val="1"/>
          <w:bCs w:val="1"/>
          <w:color w:val="auto"/>
        </w:rPr>
      </w:pPr>
    </w:p>
    <w:p>
      <w:pPr>
        <w:ind w:left="680" w:hanging="237"/>
        <w:spacing w:after="0"/>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Executive whom the Compensation Committee designates to participate in the Plan.</w:t>
      </w:r>
    </w:p>
    <w:p>
      <w:pPr>
        <w:spacing w:after="0" w:line="90" w:lineRule="exact"/>
        <w:rPr>
          <w:rFonts w:ascii="Arial" w:cs="Arial" w:eastAsia="Arial" w:hAnsi="Arial"/>
          <w:sz w:val="18"/>
          <w:szCs w:val="18"/>
          <w:b w:val="1"/>
          <w:bCs w:val="1"/>
          <w:color w:val="auto"/>
        </w:rPr>
      </w:pPr>
    </w:p>
    <w:p>
      <w:pPr>
        <w:ind w:left="680" w:hanging="237"/>
        <w:spacing w:after="0"/>
        <w:tabs>
          <w:tab w:leader="none" w:pos="68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means the Manpower Inc. Senior Management Performance-Based Deferred Compensation Plan, as amended from time to time.</w:t>
      </w:r>
    </w:p>
    <w:p>
      <w:pPr>
        <w:spacing w:after="0" w:line="113" w:lineRule="exact"/>
        <w:rPr>
          <w:rFonts w:ascii="Arial" w:cs="Arial" w:eastAsia="Arial" w:hAnsi="Arial"/>
          <w:sz w:val="16"/>
          <w:szCs w:val="16"/>
          <w:b w:val="1"/>
          <w:bCs w:val="1"/>
          <w:color w:val="auto"/>
        </w:rPr>
      </w:pPr>
    </w:p>
    <w:p>
      <w:pPr>
        <w:ind w:left="660" w:hanging="217"/>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Administrator</w:t>
      </w:r>
      <w:r>
        <w:rPr>
          <w:rFonts w:ascii="Arial" w:cs="Arial" w:eastAsia="Arial" w:hAnsi="Arial"/>
          <w:sz w:val="18"/>
          <w:szCs w:val="18"/>
          <w:color w:val="auto"/>
        </w:rPr>
        <w:t>” means the Company, designated as Plan Administrator pursuant to Section 1 of Article VI.</w:t>
      </w:r>
    </w:p>
    <w:p>
      <w:pPr>
        <w:spacing w:after="0" w:line="90" w:lineRule="exact"/>
        <w:rPr>
          <w:rFonts w:ascii="Arial" w:cs="Arial" w:eastAsia="Arial" w:hAnsi="Arial"/>
          <w:sz w:val="18"/>
          <w:szCs w:val="18"/>
          <w:b w:val="1"/>
          <w:bCs w:val="1"/>
          <w:color w:val="auto"/>
        </w:rPr>
      </w:pPr>
    </w:p>
    <w:p>
      <w:pPr>
        <w:ind w:left="700" w:hanging="257"/>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Year</w:t>
      </w:r>
      <w:r>
        <w:rPr>
          <w:rFonts w:ascii="Arial" w:cs="Arial" w:eastAsia="Arial" w:hAnsi="Arial"/>
          <w:sz w:val="18"/>
          <w:szCs w:val="18"/>
          <w:color w:val="auto"/>
        </w:rPr>
        <w:t>” means:</w:t>
      </w:r>
    </w:p>
    <w:p>
      <w:pPr>
        <w:spacing w:after="0" w:line="96" w:lineRule="exact"/>
        <w:rPr>
          <w:rFonts w:ascii="Arial" w:cs="Arial" w:eastAsia="Arial" w:hAnsi="Arial"/>
          <w:sz w:val="18"/>
          <w:szCs w:val="18"/>
          <w:b w:val="1"/>
          <w:bCs w:val="1"/>
          <w:color w:val="auto"/>
        </w:rPr>
      </w:pPr>
    </w:p>
    <w:p>
      <w:pPr>
        <w:ind w:left="1100" w:hanging="219"/>
        <w:spacing w:after="0"/>
        <w:tabs>
          <w:tab w:leader="none" w:pos="110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the period beginning on February 18, 2004 and ending on December 31, 2004; and</w:t>
      </w:r>
    </w:p>
    <w:p>
      <w:pPr>
        <w:spacing w:after="0" w:line="90" w:lineRule="exact"/>
        <w:rPr>
          <w:rFonts w:ascii="Arial" w:cs="Arial" w:eastAsia="Arial" w:hAnsi="Arial"/>
          <w:sz w:val="18"/>
          <w:szCs w:val="18"/>
          <w:b w:val="1"/>
          <w:bCs w:val="1"/>
          <w:color w:val="auto"/>
        </w:rPr>
      </w:pPr>
    </w:p>
    <w:p>
      <w:pPr>
        <w:ind w:left="1140" w:hanging="259"/>
        <w:spacing w:after="0"/>
        <w:tabs>
          <w:tab w:leader="none" w:pos="114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each subsequent calendar year during the term of the Plan.</w:t>
      </w:r>
    </w:p>
    <w:p>
      <w:pPr>
        <w:spacing w:after="0" w:line="84" w:lineRule="exact"/>
        <w:rPr>
          <w:rFonts w:ascii="Arial" w:cs="Arial" w:eastAsia="Arial" w:hAnsi="Arial"/>
          <w:sz w:val="18"/>
          <w:szCs w:val="18"/>
          <w:b w:val="1"/>
          <w:bCs w:val="1"/>
          <w:color w:val="auto"/>
        </w:rPr>
      </w:pPr>
    </w:p>
    <w:p>
      <w:pPr>
        <w:ind w:left="700" w:hanging="257"/>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Domestic Relations Order</w:t>
      </w:r>
      <w:r>
        <w:rPr>
          <w:rFonts w:ascii="Arial" w:cs="Arial" w:eastAsia="Arial" w:hAnsi="Arial"/>
          <w:sz w:val="18"/>
          <w:szCs w:val="18"/>
          <w:color w:val="auto"/>
        </w:rPr>
        <w:t>” means a Qualified Domestic Relations Order defined in Section 1 of Article V.</w:t>
      </w:r>
    </w:p>
    <w:p>
      <w:pPr>
        <w:spacing w:after="0" w:line="90" w:lineRule="exact"/>
        <w:rPr>
          <w:rFonts w:ascii="Arial" w:cs="Arial" w:eastAsia="Arial" w:hAnsi="Arial"/>
          <w:sz w:val="18"/>
          <w:szCs w:val="18"/>
          <w:b w:val="1"/>
          <w:bCs w:val="1"/>
          <w:color w:val="auto"/>
        </w:rPr>
      </w:pPr>
    </w:p>
    <w:p>
      <w:pPr>
        <w:ind w:left="740" w:hanging="297"/>
        <w:spacing w:after="0"/>
        <w:tabs>
          <w:tab w:leader="none" w:pos="7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Retirement Date</w:t>
      </w:r>
      <w:r>
        <w:rPr>
          <w:rFonts w:ascii="Arial" w:cs="Arial" w:eastAsia="Arial" w:hAnsi="Arial"/>
          <w:sz w:val="18"/>
          <w:szCs w:val="18"/>
          <w:color w:val="auto"/>
        </w:rPr>
        <w:t>” means the date on which a Participant retires from the Manpower Group on or after:</w:t>
      </w:r>
    </w:p>
    <w:p>
      <w:pPr>
        <w:spacing w:after="0" w:line="96" w:lineRule="exact"/>
        <w:rPr>
          <w:rFonts w:ascii="Arial" w:cs="Arial" w:eastAsia="Arial" w:hAnsi="Arial"/>
          <w:sz w:val="18"/>
          <w:szCs w:val="18"/>
          <w:b w:val="1"/>
          <w:bCs w:val="1"/>
          <w:color w:val="auto"/>
        </w:rPr>
      </w:pPr>
    </w:p>
    <w:p>
      <w:pPr>
        <w:ind w:left="1100" w:hanging="219"/>
        <w:spacing w:after="0"/>
        <w:tabs>
          <w:tab w:leader="none" w:pos="110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attaining age fifty (50) and completing fifteen (15) years of Service; or</w:t>
      </w:r>
    </w:p>
    <w:p>
      <w:pPr>
        <w:spacing w:after="0" w:line="90" w:lineRule="exact"/>
        <w:rPr>
          <w:rFonts w:ascii="Arial" w:cs="Arial" w:eastAsia="Arial" w:hAnsi="Arial"/>
          <w:sz w:val="18"/>
          <w:szCs w:val="18"/>
          <w:b w:val="1"/>
          <w:bCs w:val="1"/>
          <w:color w:val="auto"/>
        </w:rPr>
      </w:pPr>
    </w:p>
    <w:p>
      <w:pPr>
        <w:ind w:left="1140" w:hanging="259"/>
        <w:spacing w:after="0"/>
        <w:tabs>
          <w:tab w:leader="none" w:pos="114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attaining age sixty-two (62).</w:t>
      </w:r>
    </w:p>
    <w:p>
      <w:pPr>
        <w:spacing w:after="0" w:line="84" w:lineRule="exact"/>
        <w:rPr>
          <w:rFonts w:ascii="Arial" w:cs="Arial" w:eastAsia="Arial" w:hAnsi="Arial"/>
          <w:sz w:val="18"/>
          <w:szCs w:val="18"/>
          <w:b w:val="1"/>
          <w:bCs w:val="1"/>
          <w:color w:val="auto"/>
        </w:rPr>
      </w:pPr>
    </w:p>
    <w:p>
      <w:pPr>
        <w:ind w:firstLine="443"/>
        <w:spacing w:after="0" w:line="275" w:lineRule="auto"/>
        <w:tabs>
          <w:tab w:leader="none" w:pos="687"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w:t>
      </w:r>
      <w:r>
        <w:rPr>
          <w:rFonts w:ascii="Arial" w:cs="Arial" w:eastAsia="Arial" w:hAnsi="Arial"/>
          <w:sz w:val="18"/>
          <w:szCs w:val="18"/>
          <w:color w:val="auto"/>
        </w:rPr>
        <w:t>” means, as each to each Participant, the period beginning on the date his or her employment with the Manpower Group commences and ending on the date his or her employment with the Manpower Group terminates.</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74"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Eligibility and Participation Guidelines</w:t>
      </w:r>
      <w:r>
        <w:rPr>
          <w:rFonts w:ascii="Arial" w:cs="Arial" w:eastAsia="Arial" w:hAnsi="Arial"/>
          <w:sz w:val="18"/>
          <w:szCs w:val="18"/>
          <w:b w:val="1"/>
          <w:bCs w:val="1"/>
          <w:color w:val="auto"/>
        </w:rPr>
        <w:t>.</w:t>
      </w:r>
    </w:p>
    <w:p>
      <w:pPr>
        <w:spacing w:after="0" w:line="90" w:lineRule="exact"/>
        <w:rPr>
          <w:sz w:val="20"/>
          <w:szCs w:val="20"/>
          <w:color w:val="auto"/>
        </w:rPr>
      </w:pPr>
    </w:p>
    <w:p>
      <w:pPr>
        <w:jc w:val="both"/>
        <w:ind w:right="200" w:firstLine="443"/>
        <w:spacing w:after="0" w:line="262" w:lineRule="auto"/>
        <w:tabs>
          <w:tab w:leader="none" w:pos="68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Criteria for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In selecting Participants, the Compensation Committee shall take into account the degree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Participant can have an impact on the short-term and long-term operating performance and growth of the Company and such other criteria as it deems relevant.</w:t>
      </w:r>
    </w:p>
    <w:p>
      <w:pPr>
        <w:spacing w:after="0" w:line="51" w:lineRule="exact"/>
        <w:rPr>
          <w:rFonts w:ascii="Arial" w:cs="Arial" w:eastAsia="Arial" w:hAnsi="Arial"/>
          <w:sz w:val="18"/>
          <w:szCs w:val="18"/>
          <w:b w:val="1"/>
          <w:bCs w:val="1"/>
          <w:color w:val="auto"/>
        </w:rPr>
      </w:pPr>
    </w:p>
    <w:p>
      <w:pPr>
        <w:ind w:right="780" w:firstLine="443"/>
        <w:spacing w:after="0" w:line="275" w:lineRule="auto"/>
        <w:tabs>
          <w:tab w:leader="none" w:pos="69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Renewal of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reserves the right to remove any Participant from the Plan at any time. Plan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one Plan Year does not guarantee participation in subsequent Plan Years.</w:t>
      </w:r>
    </w:p>
    <w:p>
      <w:pPr>
        <w:spacing w:after="0" w:line="28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u w:val="single" w:color="auto"/>
          <w:color w:val="auto"/>
        </w:rPr>
        <w:t>ARTICLE II</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u w:val="single" w:color="auto"/>
          <w:color w:val="auto"/>
        </w:rPr>
        <w:t>Earnings Per Share and Economic Profit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Performance Measures</w:t>
      </w:r>
      <w:r>
        <w:rPr>
          <w:rFonts w:ascii="Arial" w:cs="Arial" w:eastAsia="Arial" w:hAnsi="Arial"/>
          <w:sz w:val="18"/>
          <w:szCs w:val="18"/>
          <w:b w:val="1"/>
          <w:bCs w:val="1"/>
          <w:color w:val="auto"/>
        </w:rPr>
        <w:t>.</w:t>
      </w:r>
    </w:p>
    <w:p>
      <w:pPr>
        <w:spacing w:after="0" w:line="90" w:lineRule="exact"/>
        <w:rPr>
          <w:sz w:val="20"/>
          <w:szCs w:val="20"/>
          <w:color w:val="auto"/>
        </w:rPr>
      </w:pPr>
    </w:p>
    <w:p>
      <w:pPr>
        <w:ind w:left="700" w:hanging="257"/>
        <w:spacing w:after="0"/>
        <w:tabs>
          <w:tab w:leader="none" w:pos="7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is fully diluted earnings per share of the Company and its subsidiaries on a consolidated basis.</w:t>
      </w:r>
    </w:p>
    <w:p>
      <w:pPr>
        <w:spacing w:after="0" w:line="113" w:lineRule="exact"/>
        <w:rPr>
          <w:rFonts w:ascii="Arial" w:cs="Arial" w:eastAsia="Arial" w:hAnsi="Arial"/>
          <w:sz w:val="16"/>
          <w:szCs w:val="16"/>
          <w:b w:val="1"/>
          <w:bCs w:val="1"/>
          <w:color w:val="auto"/>
        </w:rPr>
      </w:pPr>
    </w:p>
    <w:p>
      <w:pPr>
        <w:ind w:left="700" w:hanging="257"/>
        <w:spacing w:after="0"/>
        <w:tabs>
          <w:tab w:leader="none" w:pos="7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Economic Profit</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Profit is net operating profit after taxes of the Company and its subsidiaries on a consolidated basis less a capital</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charge.</w:t>
      </w:r>
    </w:p>
    <w:p>
      <w:pPr>
        <w:spacing w:after="0" w:line="77" w:lineRule="exact"/>
        <w:rPr>
          <w:rFonts w:ascii="Arial" w:cs="Arial" w:eastAsia="Arial" w:hAnsi="Arial"/>
          <w:sz w:val="16"/>
          <w:szCs w:val="16"/>
          <w:b w:val="1"/>
          <w:bCs w:val="1"/>
          <w:color w:val="auto"/>
        </w:rPr>
      </w:pPr>
    </w:p>
    <w:p>
      <w:pPr>
        <w:ind w:left="1100" w:hanging="219"/>
        <w:spacing w:after="0"/>
        <w:tabs>
          <w:tab w:leader="none" w:pos="110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Operating Profit After Taxes</w:t>
      </w:r>
      <w:r>
        <w:rPr>
          <w:rFonts w:ascii="Arial" w:cs="Arial" w:eastAsia="Arial" w:hAnsi="Arial"/>
          <w:sz w:val="18"/>
          <w:szCs w:val="18"/>
          <w:b w:val="1"/>
          <w:bCs w:val="1"/>
          <w:color w:val="auto"/>
        </w:rPr>
        <w:t xml:space="preserve">. </w:t>
      </w:r>
      <w:r>
        <w:rPr>
          <w:rFonts w:ascii="Arial" w:cs="Arial" w:eastAsia="Arial" w:hAnsi="Arial"/>
          <w:sz w:val="18"/>
          <w:szCs w:val="18"/>
          <w:color w:val="auto"/>
        </w:rPr>
        <w:t>Net operating profit after taxes is defined as net operating profit minus taxes.</w:t>
      </w:r>
    </w:p>
    <w:p>
      <w:pPr>
        <w:spacing w:after="0" w:line="9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Net Operating Profit</w:t>
      </w:r>
      <w:r>
        <w:rPr>
          <w:rFonts w:ascii="Arial" w:cs="Arial" w:eastAsia="Arial" w:hAnsi="Arial"/>
          <w:sz w:val="18"/>
          <w:szCs w:val="18"/>
          <w:b w:val="1"/>
          <w:bCs w:val="1"/>
          <w:color w:val="auto"/>
        </w:rPr>
        <w:t xml:space="preserve">. </w:t>
      </w:r>
      <w:r>
        <w:rPr>
          <w:rFonts w:ascii="Arial" w:cs="Arial" w:eastAsia="Arial" w:hAnsi="Arial"/>
          <w:sz w:val="18"/>
          <w:szCs w:val="18"/>
          <w:color w:val="auto"/>
        </w:rPr>
        <w:t>Net operating profit equals earnings before income taxes:</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Plus interest expenses;</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Plus loss on sale of accounts receivable;</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III</w:t>
      </w:r>
      <w:r>
        <w:rPr>
          <w:rFonts w:ascii="Arial" w:cs="Arial" w:eastAsia="Arial" w:hAnsi="Arial"/>
          <w:sz w:val="18"/>
          <w:szCs w:val="18"/>
          <w:b w:val="1"/>
          <w:bCs w:val="1"/>
          <w:color w:val="auto"/>
        </w:rPr>
        <w:t xml:space="preserve">) </w:t>
      </w:r>
      <w:r>
        <w:rPr>
          <w:rFonts w:ascii="Arial" w:cs="Arial" w:eastAsia="Arial" w:hAnsi="Arial"/>
          <w:sz w:val="18"/>
          <w:szCs w:val="18"/>
          <w:color w:val="auto"/>
        </w:rPr>
        <w:t>Less interest income.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B</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Taxes equal net operating profit multiplied by the effective tax rate as shown in the Company’s audited financial statements.</w:t>
      </w:r>
    </w:p>
    <w:p>
      <w:pPr>
        <w:spacing w:after="0" w:line="90" w:lineRule="exact"/>
        <w:rPr>
          <w:sz w:val="20"/>
          <w:szCs w:val="20"/>
          <w:color w:val="auto"/>
        </w:rPr>
      </w:pPr>
    </w:p>
    <w:p>
      <w:pPr>
        <w:ind w:left="1140" w:hanging="259"/>
        <w:spacing w:after="0"/>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Charge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charge is defined as adjusted capital employed multiplied by a weighted average cost of capital.</w:t>
      </w:r>
    </w:p>
    <w:p>
      <w:pPr>
        <w:spacing w:after="0" w:line="90"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3"/>
          <w:szCs w:val="13"/>
          <w:b w:val="1"/>
          <w:bCs w:val="1"/>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Adjusted Capital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capital employed equals capital employed plus or minus capital adjustments.</w:t>
      </w:r>
    </w:p>
    <w:p>
      <w:pPr>
        <w:spacing w:after="0" w:line="1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Capital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employed equals total shareholders’ equity: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Plus long-term debt;</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40" w:name="page41"/>
    <w:bookmarkEnd w:id="40"/>
    <w:p>
      <w:pPr>
        <w:ind w:left="2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8"/>
          <w:szCs w:val="18"/>
          <w:color w:val="auto"/>
        </w:rPr>
        <w:t>Plus short-term borrowings;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Plus current maturities of long-term debt;</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Plus advances under securitization facilities;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Plus accumulated intangible amortization.</w:t>
      </w:r>
    </w:p>
    <w:p>
      <w:pPr>
        <w:spacing w:after="0" w:line="9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Capital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adjustments are:</w:t>
      </w:r>
    </w:p>
    <w:p>
      <w:pPr>
        <w:spacing w:after="0" w:line="90" w:lineRule="exact"/>
        <w:rPr>
          <w:sz w:val="20"/>
          <w:szCs w:val="20"/>
          <w:color w:val="auto"/>
        </w:rPr>
      </w:pPr>
    </w:p>
    <w:p>
      <w:pPr>
        <w:ind w:left="2400" w:right="240" w:firstLine="360"/>
        <w:spacing w:after="0" w:line="33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Those adjustments required to exclude the effect of foreign exchange rate fluctuations on the above capital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items, as reflected in the adjusted capital employed report maintained on a monthly basis by the Company;</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Those adjustments required to exclude the effect of any other items recorded in other comprehensive income; and</w:t>
      </w:r>
    </w:p>
    <w:p>
      <w:pPr>
        <w:spacing w:after="0" w:line="113" w:lineRule="exact"/>
        <w:rPr>
          <w:sz w:val="20"/>
          <w:szCs w:val="20"/>
          <w:color w:val="auto"/>
        </w:rPr>
      </w:pPr>
    </w:p>
    <w:p>
      <w:pPr>
        <w:ind w:left="2400" w:right="180" w:firstLine="360"/>
        <w:spacing w:after="0" w:line="26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For any acquisitions closed after February 18, 2004, having a total purchase price of more than $3 million, an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to defer and ratably phase in the impact of the purchase price increasing capital employed over the thirty-six (36)-month period following the date of closing.</w:t>
      </w:r>
    </w:p>
    <w:p>
      <w:pPr>
        <w:spacing w:after="0" w:line="57" w:lineRule="exact"/>
        <w:rPr>
          <w:sz w:val="20"/>
          <w:szCs w:val="20"/>
          <w:color w:val="auto"/>
        </w:rPr>
      </w:pPr>
    </w:p>
    <w:p>
      <w:pPr>
        <w:ind w:left="1500" w:right="80"/>
        <w:spacing w:after="0" w:line="268" w:lineRule="auto"/>
        <w:rPr>
          <w:sz w:val="20"/>
          <w:szCs w:val="20"/>
          <w:color w:val="auto"/>
        </w:rPr>
      </w:pPr>
      <w:r>
        <w:rPr>
          <w:rFonts w:ascii="Arial" w:cs="Arial" w:eastAsia="Arial" w:hAnsi="Arial"/>
          <w:sz w:val="18"/>
          <w:szCs w:val="18"/>
          <w:color w:val="auto"/>
        </w:rPr>
        <w:t>Adjusted capital employed will be calculated based on the average of the monthly ending balances of each of the capital employed items, as shown in the financial records of the Company and its subsidiaries.</w:t>
      </w:r>
    </w:p>
    <w:p>
      <w:pPr>
        <w:spacing w:after="0" w:line="45" w:lineRule="exact"/>
        <w:rPr>
          <w:sz w:val="20"/>
          <w:szCs w:val="20"/>
          <w:color w:val="auto"/>
        </w:rPr>
      </w:pPr>
    </w:p>
    <w:p>
      <w:pPr>
        <w:ind w:left="1500" w:right="60" w:firstLine="397"/>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B</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Weighted Average Cost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The weighted average cost of capital is the weighted average of the Company’s cost of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cost of debt as determined by the Compensation Committee at the time it establishes the performance goals for any Plan Year, as described in Section 2 of this Article II.</w:t>
      </w:r>
    </w:p>
    <w:p>
      <w:pPr>
        <w:spacing w:after="0" w:line="13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No later than ninety (90) days after the beginning of any Plan Year, the Compensation Committee shall set an Earnings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and an Economic Profit goal for the Plan Year. In determining these goals and the corresponding deferred compensation benefit opportunity levels described below, the Compensation Committee shall seek to align the potential to earn deferred compensation benefits with shareholder value creation and long-term shareholder expectations while taking into account the Company’s annual opportunities, economic and industry conditions, and the need to provide competitive deferred compensation benefit opportunities for Participants. The goals may vary from Plan Year to Plan Year. The Earnings Per Share and Economic Profit goals for the Plan’s initial Plan Year, beginning on February 18, 2004 and ending on December 31, 2004, shall be the goals set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for the calendar year beginning on January 1, 2004 and ending December 31, 2004.</w:t>
      </w:r>
    </w:p>
    <w:p>
      <w:pPr>
        <w:spacing w:after="0" w:line="165" w:lineRule="exact"/>
        <w:rPr>
          <w:sz w:val="20"/>
          <w:szCs w:val="20"/>
          <w:color w:val="auto"/>
        </w:rPr>
      </w:pPr>
    </w:p>
    <w:p>
      <w:pPr>
        <w:ind w:left="460" w:right="540" w:firstLine="443"/>
        <w:spacing w:after="0" w:line="275" w:lineRule="auto"/>
        <w:tabs>
          <w:tab w:leader="none" w:pos="1147"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Threshold Goal</w:t>
      </w:r>
      <w:r>
        <w:rPr>
          <w:rFonts w:ascii="Arial" w:cs="Arial" w:eastAsia="Arial" w:hAnsi="Arial"/>
          <w:sz w:val="18"/>
          <w:szCs w:val="18"/>
          <w:b w:val="1"/>
          <w:bCs w:val="1"/>
          <w:color w:val="auto"/>
        </w:rPr>
        <w:t xml:space="preserve">. </w:t>
      </w:r>
      <w:r>
        <w:rPr>
          <w:rFonts w:ascii="Arial" w:cs="Arial" w:eastAsia="Arial" w:hAnsi="Arial"/>
          <w:sz w:val="18"/>
          <w:szCs w:val="18"/>
          <w:color w:val="auto"/>
        </w:rPr>
        <w:t>The minimum level of performance for which a deferred compensation benefit will be earned will be established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goal. Achieving the threshold goal will yield the threshold opportunity level.</w:t>
      </w:r>
    </w:p>
    <w:p>
      <w:pPr>
        <w:spacing w:after="0" w:line="38" w:lineRule="exact"/>
        <w:rPr>
          <w:rFonts w:ascii="Arial" w:cs="Arial" w:eastAsia="Arial" w:hAnsi="Arial"/>
          <w:sz w:val="18"/>
          <w:szCs w:val="18"/>
          <w:b w:val="1"/>
          <w:bCs w:val="1"/>
          <w:color w:val="auto"/>
        </w:rPr>
      </w:pPr>
    </w:p>
    <w:p>
      <w:pPr>
        <w:ind w:left="1160" w:hanging="257"/>
        <w:spacing w:after="0"/>
        <w:tabs>
          <w:tab w:leader="none" w:pos="11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Target Goal</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level of performance will be established as the target goal. Achieving the target goal will yield the target opportunity</w:t>
      </w:r>
    </w:p>
    <w:p>
      <w:pPr>
        <w:spacing w:after="0" w:line="4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level.</w:t>
      </w:r>
    </w:p>
    <w:p>
      <w:pPr>
        <w:spacing w:after="0" w:line="77" w:lineRule="exact"/>
        <w:rPr>
          <w:rFonts w:ascii="Arial" w:cs="Arial" w:eastAsia="Arial" w:hAnsi="Arial"/>
          <w:sz w:val="16"/>
          <w:szCs w:val="16"/>
          <w:b w:val="1"/>
          <w:bCs w:val="1"/>
          <w:color w:val="auto"/>
        </w:rPr>
      </w:pPr>
    </w:p>
    <w:p>
      <w:pPr>
        <w:ind w:left="460" w:right="160" w:firstLine="443"/>
        <w:spacing w:after="0" w:line="275" w:lineRule="auto"/>
        <w:tabs>
          <w:tab w:leader="none" w:pos="1137"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Outstanding Goal</w:t>
      </w:r>
      <w:r>
        <w:rPr>
          <w:rFonts w:ascii="Arial" w:cs="Arial" w:eastAsia="Arial" w:hAnsi="Arial"/>
          <w:sz w:val="18"/>
          <w:szCs w:val="18"/>
          <w:b w:val="1"/>
          <w:bCs w:val="1"/>
          <w:color w:val="auto"/>
        </w:rPr>
        <w:t xml:space="preserve">. </w:t>
      </w:r>
      <w:r>
        <w:rPr>
          <w:rFonts w:ascii="Arial" w:cs="Arial" w:eastAsia="Arial" w:hAnsi="Arial"/>
          <w:sz w:val="18"/>
          <w:szCs w:val="18"/>
          <w:color w:val="auto"/>
        </w:rPr>
        <w:t>An outstanding level of performance will be established as the outstanding goal. Achieving the outstanding goal will yield</w:t>
      </w:r>
      <w:r>
        <w:rPr>
          <w:rFonts w:ascii="Arial" w:cs="Arial" w:eastAsia="Arial" w:hAnsi="Arial"/>
          <w:sz w:val="18"/>
          <w:szCs w:val="18"/>
          <w:b w:val="1"/>
          <w:bCs w:val="1"/>
          <w:color w:val="auto"/>
        </w:rPr>
        <w:t xml:space="preserve"> </w:t>
      </w:r>
      <w:r>
        <w:rPr>
          <w:rFonts w:ascii="Arial" w:cs="Arial" w:eastAsia="Arial" w:hAnsi="Arial"/>
          <w:sz w:val="18"/>
          <w:szCs w:val="18"/>
          <w:color w:val="auto"/>
        </w:rPr>
        <w:t>the outstanding opportunity level.</w:t>
      </w:r>
    </w:p>
    <w:p>
      <w:pPr>
        <w:spacing w:after="0" w:line="120" w:lineRule="exact"/>
        <w:rPr>
          <w:sz w:val="20"/>
          <w:szCs w:val="20"/>
          <w:color w:val="auto"/>
        </w:rPr>
      </w:pPr>
    </w:p>
    <w:p>
      <w:pPr>
        <w:ind w:right="220" w:firstLine="456"/>
        <w:spacing w:after="0" w:line="334" w:lineRule="auto"/>
        <w:rPr>
          <w:sz w:val="20"/>
          <w:szCs w:val="20"/>
          <w:color w:val="auto"/>
        </w:rPr>
      </w:pPr>
      <w:r>
        <w:rPr>
          <w:rFonts w:ascii="Arial" w:cs="Arial" w:eastAsia="Arial" w:hAnsi="Arial"/>
          <w:sz w:val="16"/>
          <w:szCs w:val="16"/>
          <w:b w:val="1"/>
          <w:bCs w:val="1"/>
          <w:u w:val="single" w:color="auto"/>
          <w:color w:val="auto"/>
        </w:rPr>
        <w:t>Section 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Award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the performance goals are established, the Compensation Committee shall set the deferred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opportunities corresponding to each of the Earnings Per Share and Economic Profit goals for each Participant for the Plan Year.</w:t>
      </w:r>
    </w:p>
    <w:p>
      <w:pPr>
        <w:spacing w:after="0" w:line="1" w:lineRule="exact"/>
        <w:rPr>
          <w:sz w:val="20"/>
          <w:szCs w:val="20"/>
          <w:color w:val="auto"/>
        </w:rPr>
      </w:pPr>
    </w:p>
    <w:p>
      <w:pPr>
        <w:ind w:left="460" w:right="600" w:firstLine="443"/>
        <w:spacing w:after="0" w:line="275" w:lineRule="auto"/>
        <w:tabs>
          <w:tab w:leader="none" w:pos="1147"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Target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Target opportunity will equal a percentage, determined by the Compensation Committee, of the Participant’s Base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the Plan Year.</w:t>
      </w:r>
    </w:p>
    <w:p>
      <w:pPr>
        <w:spacing w:after="0" w:line="38" w:lineRule="exact"/>
        <w:rPr>
          <w:rFonts w:ascii="Arial" w:cs="Arial" w:eastAsia="Arial" w:hAnsi="Arial"/>
          <w:sz w:val="18"/>
          <w:szCs w:val="18"/>
          <w:b w:val="1"/>
          <w:bCs w:val="1"/>
          <w:color w:val="auto"/>
        </w:rPr>
      </w:pPr>
    </w:p>
    <w:p>
      <w:pPr>
        <w:ind w:left="460" w:right="380" w:firstLine="443"/>
        <w:spacing w:after="0" w:line="275" w:lineRule="auto"/>
        <w:tabs>
          <w:tab w:leader="none" w:pos="115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Threshold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opportunity will equal a percentage (which will be less than the target opportunity),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of the Participant’s Base Compensation for the Plan Year.</w:t>
      </w:r>
    </w:p>
    <w:p>
      <w:pPr>
        <w:spacing w:after="0" w:line="38" w:lineRule="exact"/>
        <w:rPr>
          <w:rFonts w:ascii="Arial" w:cs="Arial" w:eastAsia="Arial" w:hAnsi="Arial"/>
          <w:sz w:val="18"/>
          <w:szCs w:val="18"/>
          <w:b w:val="1"/>
          <w:bCs w:val="1"/>
          <w:color w:val="auto"/>
        </w:rPr>
      </w:pPr>
    </w:p>
    <w:p>
      <w:pPr>
        <w:ind w:left="460" w:right="120" w:firstLine="443"/>
        <w:spacing w:after="0" w:line="275" w:lineRule="auto"/>
        <w:tabs>
          <w:tab w:leader="none" w:pos="1137"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Outstanding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opportunity will equal a percentage (which will be greater than the target opportunity),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of the Participant’s Base Compensation for the Plan Year.</w:t>
      </w:r>
    </w:p>
    <w:p>
      <w:pPr>
        <w:spacing w:after="0" w:line="120"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b w:val="1"/>
          <w:bCs w:val="1"/>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Determination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deferred compensation benefits under this Article II for each Plan Year will be determined based on actual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relative to the pre-established Earnings Per Share and Economic Profit goals. Except as otherwise provided above, Earnings Per Share and Economic Profit for the Plan Year shall be based on the audited consolidated financial statements of the Company and its subsidiaries.</w:t>
      </w:r>
    </w:p>
    <w:p>
      <w:pPr>
        <w:spacing w:after="0" w:line="10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as otherwise determined by the Compensation Committee at the beginning of the Plan Year, performance between the target goal and the outstanding goal will result in a deferred compensation benefit that is linearly interpolated between the target and outstanding opportunities. The amount of the deferred compensation benefits under this Article II shall be capped, and therefore performance in excess of the outstanding goal will result in the outstanding opportunity.</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determined by the Compensation Committee at the beginning of the Plan Year, performance between the threshold goal and the target goal will result in a deferred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42" w:name="page43"/>
    <w:bookmarkEnd w:id="42"/>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benefit that is linearly interpolated between the threshold and target opportunities. Performance that is below the threshold goal will result in no deferred compensation benefit.</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Notwithstanding the foregoing, the Compensation Committee may in its discretion adjust the amount of any deferred compensation benefit otherwise determined under the foregoing criteria to reflect any extraordinary items, repurchases of Common Stock, or such other items as it may deem relevant.</w:t>
      </w:r>
    </w:p>
    <w:p>
      <w:pPr>
        <w:spacing w:after="0" w:line="79"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u w:val="single" w:color="auto"/>
          <w:color w:val="auto"/>
        </w:rPr>
        <w:t>Section 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Crediting of Awards to Participant’s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The deferred compensation benefit earned by a Participant for the Plan Year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II shall be credited to the Participant’s Account as soon as possible after such benefit has been determined, but in no event beyond ninety (90) days after the end of such Plan Year. Deferred compensation benefits credited to a Participant’s Account under this Section 5 of Article II shall be credited with an indexed rate of return, as determined from time to time by the Compensation Committee in its discretion.</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Vesting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Vesting Rules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80" w:firstLine="443"/>
        <w:spacing w:after="0" w:line="334" w:lineRule="auto"/>
        <w:tabs>
          <w:tab w:leader="none" w:pos="114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Vesting During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who is employed with the Manpower Group when the relevant event occurs shall have a</w:t>
      </w:r>
      <w:r>
        <w:rPr>
          <w:rFonts w:ascii="Arial" w:cs="Arial" w:eastAsia="Arial" w:hAnsi="Arial"/>
          <w:sz w:val="16"/>
          <w:szCs w:val="16"/>
          <w:b w:val="1"/>
          <w:bCs w:val="1"/>
          <w:color w:val="auto"/>
        </w:rPr>
        <w:t xml:space="preserve"> </w:t>
      </w:r>
      <w:r>
        <w:rPr>
          <w:rFonts w:ascii="Arial" w:cs="Arial" w:eastAsia="Arial" w:hAnsi="Arial"/>
          <w:sz w:val="16"/>
          <w:szCs w:val="16"/>
          <w:color w:val="auto"/>
        </w:rPr>
        <w:t>fully (one hundred percent (100%)) vested and nonforfeitable interest in his or her Account upon the first to occur of the following events:</w:t>
      </w:r>
    </w:p>
    <w:p>
      <w:pPr>
        <w:spacing w:after="0" w:line="7" w:lineRule="exact"/>
        <w:rPr>
          <w:rFonts w:ascii="Arial" w:cs="Arial" w:eastAsia="Arial" w:hAnsi="Arial"/>
          <w:sz w:val="16"/>
          <w:szCs w:val="16"/>
          <w:b w:val="1"/>
          <w:bCs w:val="1"/>
          <w:color w:val="auto"/>
        </w:rPr>
      </w:pPr>
    </w:p>
    <w:p>
      <w:pPr>
        <w:ind w:left="1560" w:hanging="219"/>
        <w:spacing w:after="0"/>
        <w:tabs>
          <w:tab w:leader="none" w:pos="1560"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The Participant attains age fifty (50) and completes fifteen (15) years of Service; or</w:t>
      </w:r>
    </w:p>
    <w:p>
      <w:pPr>
        <w:spacing w:after="0" w:line="90" w:lineRule="exact"/>
        <w:rPr>
          <w:rFonts w:ascii="Arial" w:cs="Arial" w:eastAsia="Arial" w:hAnsi="Arial"/>
          <w:sz w:val="18"/>
          <w:szCs w:val="18"/>
          <w:b w:val="1"/>
          <w:bCs w:val="1"/>
          <w:color w:val="auto"/>
        </w:rPr>
      </w:pPr>
    </w:p>
    <w:p>
      <w:pPr>
        <w:ind w:left="1600" w:hanging="259"/>
        <w:spacing w:after="0"/>
        <w:tabs>
          <w:tab w:leader="none" w:pos="1600"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The Participant attains age sixty-two (62).</w:t>
      </w:r>
    </w:p>
    <w:p>
      <w:pPr>
        <w:spacing w:after="0" w:line="84" w:lineRule="exact"/>
        <w:rPr>
          <w:rFonts w:ascii="Arial" w:cs="Arial" w:eastAsia="Arial" w:hAnsi="Arial"/>
          <w:sz w:val="18"/>
          <w:szCs w:val="18"/>
          <w:b w:val="1"/>
          <w:bCs w:val="1"/>
          <w:color w:val="auto"/>
        </w:rPr>
      </w:pPr>
    </w:p>
    <w:p>
      <w:pPr>
        <w:ind w:left="460" w:firstLine="443"/>
        <w:spacing w:after="0" w:line="310" w:lineRule="auto"/>
        <w:tabs>
          <w:tab w:leader="none" w:pos="115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Vesting Upon Termination of Employment By Reason of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who terminates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Manpower Group by reason of death or Disability prior to the first to occur of the events described in Section 1(a)(i) and Section 1(a)(ii) above shall have a fully (one hundred percent (100%)) vested and nonforfeitable interest in his or her Account on the date his or her employment terminates for either reason.</w:t>
      </w:r>
    </w:p>
    <w:p>
      <w:pPr>
        <w:spacing w:after="0" w:line="10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Each Participant who terminates employment with the Manpower Group for any reason other than death or Disability prior to the first to occur of the events described in Section 1(a)(i) and Section 1(a)(ii) above shall not have any (zero percent (0%)) vested interest in his or her Account on the date his or her employment terminates.</w:t>
      </w:r>
    </w:p>
    <w:p>
      <w:pPr>
        <w:spacing w:after="0" w:line="13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Forfeitures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nonvested Account balance shall be immediately forfeited upon termination of his or her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Manpower Group.</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3" w:name="page44"/>
    <w:bookmarkEnd w:id="43"/>
    <w:p>
      <w:pPr>
        <w:ind w:right="80" w:firstLine="456"/>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Transfers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transfer of employment among the members of the Manpower Group shall not be deemed,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under the Plan, to be the Participant’s termination of employment with the Manpower Group.</w:t>
      </w: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ARTICLE IV</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Events Permitting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Participant’s vested Account balance shall become distributable only in the following circumstances:</w:t>
      </w:r>
    </w:p>
    <w:p>
      <w:pPr>
        <w:spacing w:after="0" w:line="119" w:lineRule="exact"/>
        <w:rPr>
          <w:sz w:val="20"/>
          <w:szCs w:val="20"/>
          <w:color w:val="auto"/>
        </w:rPr>
      </w:pPr>
    </w:p>
    <w:p>
      <w:pPr>
        <w:ind w:left="460" w:right="80" w:firstLine="443"/>
        <w:spacing w:after="0" w:line="268" w:lineRule="auto"/>
        <w:tabs>
          <w:tab w:leader="none" w:pos="1147"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Upon termination of the Participant’s employment with the Manpower Group on or after his or her Retirement Date, provided such termination qualifies as a “separation from service” under Section 409A of the Code and any guidance promulgated thereunder;</w:t>
      </w:r>
    </w:p>
    <w:p>
      <w:pPr>
        <w:spacing w:after="0" w:line="5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Upon termination of the Participant’s employment with the Manpower Group by reason of his or her death;</w:t>
      </w:r>
    </w:p>
    <w:p>
      <w:pPr>
        <w:spacing w:after="0" w:line="90" w:lineRule="exact"/>
        <w:rPr>
          <w:rFonts w:ascii="Arial" w:cs="Arial" w:eastAsia="Arial" w:hAnsi="Arial"/>
          <w:sz w:val="18"/>
          <w:szCs w:val="18"/>
          <w:b w:val="1"/>
          <w:bCs w:val="1"/>
          <w:color w:val="auto"/>
        </w:rPr>
      </w:pPr>
    </w:p>
    <w:p>
      <w:pPr>
        <w:ind w:left="1140" w:hanging="237"/>
        <w:spacing w:after="0"/>
        <w:tabs>
          <w:tab w:leader="none" w:pos="11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Upon termination of the Participant’s employment with the Manpower Group by reason of his or her Disability; and</w:t>
      </w:r>
    </w:p>
    <w:p>
      <w:pPr>
        <w:spacing w:after="0" w:line="90" w:lineRule="exact"/>
        <w:rPr>
          <w:rFonts w:ascii="Arial" w:cs="Arial" w:eastAsia="Arial" w:hAnsi="Arial"/>
          <w:sz w:val="18"/>
          <w:szCs w:val="18"/>
          <w:b w:val="1"/>
          <w:bCs w:val="1"/>
          <w:color w:val="auto"/>
        </w:rPr>
      </w:pPr>
    </w:p>
    <w:p>
      <w:pPr>
        <w:ind w:left="460" w:right="80" w:firstLine="443"/>
        <w:spacing w:after="0" w:line="306" w:lineRule="auto"/>
        <w:tabs>
          <w:tab w:leader="none" w:pos="1156"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Upon the creation or recognition of an Alternate Payee’s right to all or a portion of a Participant’s vested Account balance under a domestic relations order which the Plan Administrator determines is a Qualified Domestic Relations Order (as defined in Section 1 of Article V), but only as to the portion of the Participant’s vested Account balance which the Qualified Domestic Relations Order states is payable to the Alternate Payee.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Election of Form of Distribution.</w:t>
      </w:r>
    </w:p>
    <w:p>
      <w:pPr>
        <w:spacing w:after="0" w:line="90" w:lineRule="exact"/>
        <w:rPr>
          <w:sz w:val="20"/>
          <w:szCs w:val="20"/>
          <w:color w:val="auto"/>
        </w:rPr>
      </w:pPr>
    </w:p>
    <w:p>
      <w:pPr>
        <w:jc w:val="both"/>
        <w:ind w:firstLine="464"/>
        <w:spacing w:after="0" w:line="301" w:lineRule="auto"/>
        <w:tabs>
          <w:tab w:leader="none" w:pos="70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Elections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shall elect, in accordance with rules and procedures established by the Plan Administrator, the 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timing of payment for distribution of the Participant’s vested Account balance. Distribution of the Participant’s vested Account balance shall be made, at the direction of the Plan Administrator and based upon the Participant’s distribution election made in accordance with this Section 2(a) of Article IV, in such manner and within such advance notice period as the Plan Administrator shall specify, in its discretion, in one of the following forms:</w:t>
      </w:r>
    </w:p>
    <w:p>
      <w:pPr>
        <w:spacing w:after="0" w:line="28" w:lineRule="exact"/>
        <w:rPr>
          <w:rFonts w:ascii="Arial" w:cs="Arial" w:eastAsia="Arial" w:hAnsi="Arial"/>
          <w:sz w:val="16"/>
          <w:szCs w:val="16"/>
          <w:b w:val="1"/>
          <w:bCs w:val="1"/>
          <w:color w:val="auto"/>
        </w:rPr>
      </w:pPr>
    </w:p>
    <w:p>
      <w:pPr>
        <w:ind w:left="920" w:right="220" w:firstLine="421"/>
        <w:spacing w:after="0" w:line="268" w:lineRule="auto"/>
        <w:tabs>
          <w:tab w:leader="none" w:pos="1549"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A lump sum payment, in cash and/or shares of Common Stock (as determined by the Plan Administrator in its discretion), comprising a complete distribution of the Participant’s vested Account balance; or</w:t>
      </w:r>
    </w:p>
    <w:p>
      <w:pPr>
        <w:spacing w:after="0" w:line="50" w:lineRule="exact"/>
        <w:rPr>
          <w:rFonts w:ascii="Arial" w:cs="Arial" w:eastAsia="Arial" w:hAnsi="Arial"/>
          <w:sz w:val="18"/>
          <w:szCs w:val="18"/>
          <w:b w:val="1"/>
          <w:bCs w:val="1"/>
          <w:color w:val="auto"/>
        </w:rPr>
      </w:pPr>
    </w:p>
    <w:p>
      <w:pPr>
        <w:ind w:left="920" w:right="100" w:firstLine="421"/>
        <w:spacing w:after="0" w:line="268" w:lineRule="auto"/>
        <w:tabs>
          <w:tab w:leader="none" w:pos="1598"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Annual installment payments, in cash and/or shares of Common Stock (as determined by the Plan Administrator in its discretion), over a five (5) to fifteen (15) year period.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4" w:right="359" w:bottom="1440" w:gutter="0" w:footer="0" w:header="0"/>
        </w:sectPr>
      </w:pPr>
    </w:p>
    <w:bookmarkStart w:id="44" w:name="page45"/>
    <w:bookmarkEnd w:id="44"/>
    <w:p>
      <w:pPr>
        <w:ind w:left="46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 fails to elect a distribution method under this Section 2(a) of Article IV, distribution shall be made in the lump sum form provided under Section 2(a)(i) of this Article IV. If a Participant elects installment payments provided under Section 2(a)(ii) of this Article IV, retires on or after his or her Retirement Date, and begins to perform services thereafter, in any capacity, for any competitor of the Manpower Group, then, regardless of his or her installment payment election, to the extent such payment would not trigger a tax penalty to the Participant under Section 409A and any guidance promulgated thereunder, distribution of the Participant’s remaining vested Account balance shall be made in the lump sum form provided in Section 2(a)(i) of this Article IV.</w:t>
      </w:r>
    </w:p>
    <w:p>
      <w:pPr>
        <w:spacing w:after="0" w:line="57" w:lineRule="exact"/>
        <w:rPr>
          <w:sz w:val="20"/>
          <w:szCs w:val="20"/>
          <w:color w:val="auto"/>
        </w:rPr>
      </w:pPr>
    </w:p>
    <w:p>
      <w:pPr>
        <w:ind w:left="460" w:firstLine="443"/>
        <w:spacing w:after="0" w:line="310" w:lineRule="auto"/>
        <w:tabs>
          <w:tab w:leader="none" w:pos="1156"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Distribution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 who is an employee of the Manpower Group may change the method of distribution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2(a) of this Article IV by giving notice of such change, in such manner and within such advance notice period as the Plan Administrator shall specify in its discretion, provided such change is permissible under Section 409A of the Code and any guidance promulgated thereunder.</w:t>
      </w:r>
    </w:p>
    <w:p>
      <w:pPr>
        <w:spacing w:after="0" w:line="97"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Times for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2(a) of this Article IV, and except as provided in Section 1 of Article V (relating to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Relations Orders):</w:t>
      </w:r>
    </w:p>
    <w:p>
      <w:pPr>
        <w:spacing w:after="0" w:line="45" w:lineRule="exact"/>
        <w:rPr>
          <w:sz w:val="20"/>
          <w:szCs w:val="20"/>
          <w:color w:val="auto"/>
        </w:rPr>
      </w:pPr>
    </w:p>
    <w:p>
      <w:pPr>
        <w:ind w:left="460" w:right="420" w:firstLine="443"/>
        <w:spacing w:after="0" w:line="306" w:lineRule="auto"/>
        <w:tabs>
          <w:tab w:leader="none" w:pos="1147"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if a distribution is to be made in the lump sum form provided under Section 2(a)(i) of this Article IV, distribution shall be made as soon as reasonably possible following the date the event permitting the distribution occurs, provided that no payment shall be made to a “specified employee” under Section 409A of the Code prior to the date that is six months following the date of a Participant’s termination of employment; and</w:t>
      </w:r>
    </w:p>
    <w:p>
      <w:pPr>
        <w:spacing w:after="0" w:line="25" w:lineRule="exact"/>
        <w:rPr>
          <w:rFonts w:ascii="Arial" w:cs="Arial" w:eastAsia="Arial" w:hAnsi="Arial"/>
          <w:sz w:val="16"/>
          <w:szCs w:val="16"/>
          <w:b w:val="1"/>
          <w:bCs w:val="1"/>
          <w:color w:val="auto"/>
        </w:rPr>
      </w:pPr>
    </w:p>
    <w:p>
      <w:pPr>
        <w:ind w:left="460" w:right="60" w:firstLine="443"/>
        <w:spacing w:after="0" w:line="298" w:lineRule="auto"/>
        <w:tabs>
          <w:tab w:leader="none" w:pos="1156"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if distributions are to be made in the form of installment payments provided under Section 2(a)(ii) of this Article IV, the first (1st) installment shall be paid in the first week of January immediately following the date the event permitting the distribution occurs, and the remaining installments shall be paid in the first week of January in each of the following years, provided that if the Participant is a “specified employee” under Section 409A of the Code, if necessary, the first (1st) installment shall be delayed to the date that is six months following the date of a Participant’s termination of employment.</w:t>
      </w:r>
    </w:p>
    <w:p>
      <w:pPr>
        <w:spacing w:after="0" w:line="10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Death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a Participant’s death and the Plan Administrator’s receipt of satisfactory proof of death, distribution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vested Account balance shall be paid to the Participant’s Beneficiary in the form which the Participant elected pursuant to Section 2(a) of this Article IV.</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Beneficiary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designate one or more primary and contingent Beneficiaries on such form as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shall specify. If a married Participant designates anyone other than his or her spouse as a primary Beneficiary, the designation shall be ineffective in the absence of spousal consent, as defined in Section 5(a) of this Article IV.</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5" w:name="page46"/>
    <w:bookmarkEnd w:id="45"/>
    <w:p>
      <w:pPr>
        <w:ind w:left="1160" w:hanging="257"/>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Spousal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“Spousal consent” means the written consent of a married Participant’s spouse, which:</w:t>
      </w:r>
    </w:p>
    <w:p>
      <w:pPr>
        <w:spacing w:after="0" w:line="96" w:lineRule="exact"/>
        <w:rPr>
          <w:rFonts w:ascii="Arial" w:cs="Arial" w:eastAsia="Arial" w:hAnsi="Arial"/>
          <w:sz w:val="18"/>
          <w:szCs w:val="18"/>
          <w:b w:val="1"/>
          <w:bCs w:val="1"/>
          <w:color w:val="auto"/>
        </w:rPr>
      </w:pPr>
    </w:p>
    <w:p>
      <w:pPr>
        <w:ind w:left="1560" w:hanging="219"/>
        <w:spacing w:after="0"/>
        <w:tabs>
          <w:tab w:leader="none" w:pos="156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acknowledges the effect of the election, consent, waiver or designation made or other action taken by the Participant; and</w:t>
      </w:r>
    </w:p>
    <w:p>
      <w:pPr>
        <w:spacing w:after="0" w:line="90" w:lineRule="exact"/>
        <w:rPr>
          <w:rFonts w:ascii="Arial" w:cs="Arial" w:eastAsia="Arial" w:hAnsi="Arial"/>
          <w:sz w:val="18"/>
          <w:szCs w:val="18"/>
          <w:b w:val="1"/>
          <w:bCs w:val="1"/>
          <w:color w:val="auto"/>
        </w:rPr>
      </w:pPr>
    </w:p>
    <w:p>
      <w:pPr>
        <w:ind w:left="1600" w:hanging="259"/>
        <w:spacing w:after="0"/>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is signed by the spouse and witnessed by a Plan representative or a notary public.</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If a Participant establishes to the satisfaction of the Plan Administrator that spousal consent is not obtainable or is not required, because the Participant has no spouse or the spouse cannot be located, the Participant’s election or other action shall be effective without spousal consent. Any spousal consent required under the Plan shall be valid only with respect to the spouse who signed the spousal consent and as to the particular choice made by the Participant in the election or other action requiring spousal consent. Without spousal consent, a Participant may revoke a prior election or other action at any time before its effective date. The number of revocations shall not be limited.</w:t>
      </w:r>
    </w:p>
    <w:p>
      <w:pPr>
        <w:spacing w:after="0" w:line="56" w:lineRule="exact"/>
        <w:rPr>
          <w:sz w:val="20"/>
          <w:szCs w:val="20"/>
          <w:color w:val="auto"/>
        </w:rPr>
      </w:pPr>
    </w:p>
    <w:p>
      <w:pPr>
        <w:ind w:left="460" w:right="220" w:firstLine="443"/>
        <w:spacing w:after="0" w:line="275" w:lineRule="auto"/>
        <w:tabs>
          <w:tab w:leader="none" w:pos="115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and Failed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designate different Beneficiaries (or revoke a prior Beneficiary designation)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by delivering a new designation form (or a signed revocation of a prior designation) to the Plan Administrator.</w:t>
      </w:r>
    </w:p>
    <w:p>
      <w:pPr>
        <w:spacing w:after="0" w:line="44" w:lineRule="exact"/>
        <w:rPr>
          <w:rFonts w:ascii="Arial" w:cs="Arial" w:eastAsia="Arial" w:hAnsi="Arial"/>
          <w:sz w:val="18"/>
          <w:szCs w:val="18"/>
          <w:b w:val="1"/>
          <w:bCs w:val="1"/>
          <w:color w:val="auto"/>
        </w:rPr>
      </w:pPr>
    </w:p>
    <w:p>
      <w:pPr>
        <w:ind w:left="920" w:right="540" w:firstLine="421"/>
        <w:spacing w:after="0" w:line="268" w:lineRule="auto"/>
        <w:tabs>
          <w:tab w:leader="none" w:pos="1549"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Any designation shall become effective only upon its receipt by the Plan Administrator but shall cease to be effective when a written revocation of that designation is received by the Plan Administrator.</w:t>
      </w:r>
    </w:p>
    <w:p>
      <w:pPr>
        <w:spacing w:after="0" w:line="50" w:lineRule="exact"/>
        <w:rPr>
          <w:rFonts w:ascii="Arial" w:cs="Arial" w:eastAsia="Arial" w:hAnsi="Arial"/>
          <w:sz w:val="18"/>
          <w:szCs w:val="18"/>
          <w:b w:val="1"/>
          <w:bCs w:val="1"/>
          <w:color w:val="auto"/>
        </w:rPr>
      </w:pPr>
    </w:p>
    <w:p>
      <w:pPr>
        <w:ind w:left="1600" w:hanging="259"/>
        <w:spacing w:after="0"/>
        <w:tabs>
          <w:tab w:leader="none" w:pos="160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The last effective designation received by the Plan Administrator shall supersede all prior designations.</w:t>
      </w:r>
    </w:p>
    <w:p>
      <w:pPr>
        <w:spacing w:after="0" w:line="90" w:lineRule="exact"/>
        <w:rPr>
          <w:rFonts w:ascii="Arial" w:cs="Arial" w:eastAsia="Arial" w:hAnsi="Arial"/>
          <w:sz w:val="18"/>
          <w:szCs w:val="18"/>
          <w:b w:val="1"/>
          <w:bCs w:val="1"/>
          <w:color w:val="auto"/>
        </w:rPr>
      </w:pPr>
    </w:p>
    <w:p>
      <w:pPr>
        <w:ind w:left="920" w:right="20" w:firstLine="421"/>
        <w:spacing w:after="0" w:line="259" w:lineRule="auto"/>
        <w:tabs>
          <w:tab w:leader="none" w:pos="1647"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If a Participant dies without having designated a Beneficiary, or if no Beneficiary survives the Participant, the Participant’s vested Account balance shall be payable to his or her surviving spouse or, if the Participant is not survived by his or her spouse, the Participant’s vested Account balance shall be paid to the executor or administrator of the Participant’s estate.</w:t>
      </w:r>
    </w:p>
    <w:p>
      <w:pPr>
        <w:spacing w:after="0" w:line="134"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Payments to Minors or Incompetents</w:t>
      </w:r>
      <w:r>
        <w:rPr>
          <w:rFonts w:ascii="Arial" w:cs="Arial" w:eastAsia="Arial" w:hAnsi="Arial"/>
          <w:sz w:val="16"/>
          <w:szCs w:val="16"/>
          <w:b w:val="1"/>
          <w:bCs w:val="1"/>
          <w:color w:val="auto"/>
        </w:rPr>
        <w:t xml:space="preserve">. </w:t>
      </w:r>
      <w:r>
        <w:rPr>
          <w:rFonts w:ascii="Arial" w:cs="Arial" w:eastAsia="Arial" w:hAnsi="Arial"/>
          <w:sz w:val="16"/>
          <w:szCs w:val="16"/>
          <w:color w:val="auto"/>
        </w:rPr>
        <w:t>If any individual to whom a benefit is payable under the Plan is a minor, or if the 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that any individual to whom a benefit is payable under the Plan is mentally incompetent to receive such payment or to give a valid release therefor, payment shall be made to the guardian, Plan Administrator, or other representative of the estate of the minor or incompetent which has been duly appointed by a court of competent jurisdiction. If no guardian, Plan Administrator or other representative has been appointed, then:</w:t>
      </w:r>
    </w:p>
    <w:p>
      <w:pPr>
        <w:spacing w:after="0" w:line="28" w:lineRule="exact"/>
        <w:rPr>
          <w:sz w:val="20"/>
          <w:szCs w:val="20"/>
          <w:color w:val="auto"/>
        </w:rPr>
      </w:pPr>
    </w:p>
    <w:p>
      <w:pPr>
        <w:ind w:left="460" w:right="100" w:firstLine="443"/>
        <w:spacing w:after="0" w:line="268" w:lineRule="auto"/>
        <w:tabs>
          <w:tab w:leader="none" w:pos="1147"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payment may be made to any person as custodian for the minor or incompetent under the Wisconsin Transfers to Minors Act (or comparable law of another state);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6" w:name="page47"/>
    <w:bookmarkEnd w:id="46"/>
    <w:p>
      <w:pPr>
        <w:ind w:left="460" w:right="280" w:firstLine="443"/>
        <w:spacing w:after="0" w:line="330" w:lineRule="auto"/>
        <w:tabs>
          <w:tab w:leader="none" w:pos="1156"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may be made to or applied to or for the benefit of the minor or incompetent, his or her spouse, children or other dependents, the institution maintaining him or her, or any of them, in such proportion as the Plan Administrator (in its discretion) from time to time shall determine; and</w:t>
      </w:r>
    </w:p>
    <w:p>
      <w:pPr>
        <w:spacing w:after="0" w:line="7" w:lineRule="exact"/>
        <w:rPr>
          <w:rFonts w:ascii="Arial" w:cs="Arial" w:eastAsia="Arial" w:hAnsi="Arial"/>
          <w:sz w:val="16"/>
          <w:szCs w:val="16"/>
          <w:b w:val="1"/>
          <w:bCs w:val="1"/>
          <w:color w:val="auto"/>
        </w:rPr>
      </w:pPr>
    </w:p>
    <w:p>
      <w:pPr>
        <w:ind w:left="460" w:right="260" w:firstLine="443"/>
        <w:spacing w:after="0" w:line="268" w:lineRule="auto"/>
        <w:tabs>
          <w:tab w:leader="none" w:pos="1137"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release of the person or institution receiving the payment shall be a valid and complete discharge of any liability of the Plan with respect to any benefit so paid.</w:t>
      </w:r>
    </w:p>
    <w:p>
      <w:pPr>
        <w:spacing w:after="0" w:line="126"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Undistributable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and (in the event of the Participant’s death) his or her Beneficiary shall keep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apprised of his or her current address. If the Plan Administrator is unable (after making reasonable efforts) to locate the Participant or Beneficiary to whom the vested Account balance is payable under this Article IV:</w:t>
      </w:r>
    </w:p>
    <w:p>
      <w:pPr>
        <w:spacing w:after="0" w:line="57" w:lineRule="exact"/>
        <w:rPr>
          <w:sz w:val="20"/>
          <w:szCs w:val="20"/>
          <w:color w:val="auto"/>
        </w:rPr>
      </w:pPr>
    </w:p>
    <w:p>
      <w:pPr>
        <w:ind w:left="460" w:right="220" w:firstLine="443"/>
        <w:spacing w:after="0" w:line="352" w:lineRule="auto"/>
        <w:tabs>
          <w:tab w:leader="none" w:pos="1147" w:val="left"/>
        </w:tabs>
        <w:numPr>
          <w:ilvl w:val="0"/>
          <w:numId w:val="46"/>
        </w:numPr>
        <w:rPr>
          <w:rFonts w:ascii="Arial" w:cs="Arial" w:eastAsia="Arial" w:hAnsi="Arial"/>
          <w:sz w:val="15"/>
          <w:szCs w:val="15"/>
          <w:b w:val="1"/>
          <w:bCs w:val="1"/>
          <w:color w:val="auto"/>
        </w:rPr>
      </w:pPr>
      <w:r>
        <w:rPr>
          <w:rFonts w:ascii="Arial" w:cs="Arial" w:eastAsia="Arial" w:hAnsi="Arial"/>
          <w:sz w:val="15"/>
          <w:szCs w:val="15"/>
          <w:color w:val="auto"/>
        </w:rPr>
        <w:t>The Participant’s vested Account balance shall be frozen as of the date the Participant or Beneficiary entitled to payment of the vested Account balance is first determined to be unlocatable and no further appreciation, depreciation, earnings, gains or losses shall be credited or debited thereto.</w:t>
      </w:r>
    </w:p>
    <w:p>
      <w:pPr>
        <w:spacing w:after="0" w:line="7" w:lineRule="exact"/>
        <w:rPr>
          <w:rFonts w:ascii="Arial" w:cs="Arial" w:eastAsia="Arial" w:hAnsi="Arial"/>
          <w:sz w:val="15"/>
          <w:szCs w:val="15"/>
          <w:b w:val="1"/>
          <w:bCs w:val="1"/>
          <w:color w:val="auto"/>
        </w:rPr>
      </w:pPr>
    </w:p>
    <w:p>
      <w:pPr>
        <w:jc w:val="both"/>
        <w:ind w:left="460" w:firstLine="443"/>
        <w:spacing w:after="0" w:line="259" w:lineRule="auto"/>
        <w:tabs>
          <w:tab w:leader="none" w:pos="1156"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If the Participant or Beneficiary whose vested Account balance was frozen under Section 7(a) of this Article IV later files a claim for distribution of the vested Account balance, and if the Plan Administrator determines in its discretion that such claim is valid, then the balance previously frozen shall be restored to the Account.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Domestic Relations Orders</w:t>
      </w:r>
    </w:p>
    <w:p>
      <w:pPr>
        <w:spacing w:after="0" w:line="171" w:lineRule="exact"/>
        <w:rPr>
          <w:sz w:val="20"/>
          <w:szCs w:val="20"/>
          <w:color w:val="auto"/>
        </w:rPr>
      </w:pPr>
    </w:p>
    <w:p>
      <w:pPr>
        <w:ind w:right="80" w:firstLine="456"/>
        <w:spacing w:after="0" w:line="334" w:lineRule="auto"/>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Qualified Domestic Relations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Administrator shall determine whether a domestic relations order purporting to dispose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a Participant’s Account is a Qualified Domestic Relations Order (within the meaning of Section 414(p) of the Code).</w:t>
      </w:r>
    </w:p>
    <w:p>
      <w:pPr>
        <w:spacing w:after="0" w:line="1" w:lineRule="exact"/>
        <w:rPr>
          <w:sz w:val="20"/>
          <w:szCs w:val="20"/>
          <w:color w:val="auto"/>
        </w:rPr>
      </w:pPr>
    </w:p>
    <w:p>
      <w:pPr>
        <w:ind w:left="460" w:right="60" w:firstLine="443"/>
        <w:spacing w:after="0" w:line="296" w:lineRule="auto"/>
        <w:tabs>
          <w:tab w:leader="none" w:pos="114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Payment Unless a Qualified Domestic Relations Order</w:t>
      </w:r>
      <w:r>
        <w:rPr>
          <w:rFonts w:ascii="Arial" w:cs="Arial" w:eastAsia="Arial" w:hAnsi="Arial"/>
          <w:sz w:val="16"/>
          <w:szCs w:val="16"/>
          <w:b w:val="1"/>
          <w:bCs w:val="1"/>
          <w:color w:val="auto"/>
        </w:rPr>
        <w:t xml:space="preserve">. </w:t>
      </w:r>
      <w:r>
        <w:rPr>
          <w:rFonts w:ascii="Arial" w:cs="Arial" w:eastAsia="Arial" w:hAnsi="Arial"/>
          <w:sz w:val="16"/>
          <w:szCs w:val="16"/>
          <w:color w:val="auto"/>
        </w:rPr>
        <w:t>No payment shall be made to an Alternate Payee until the Plan Administrator (or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reversing an initial adverse determination by the Plan Administrator) determines that the order is a Qualified Domestic Relations Order. The Plan Administrator shall establish a subaccount to record the Alternate Payee’s interest in the Participant’s Account as soon as reasonably possible after the Qualified Domestic Relations Order determination is made. Payment shall be to any Alternate Payee, as specified in the Qualified Domestic Relations Order, in accordance with Section 1(b) of this Article V.</w:t>
      </w:r>
    </w:p>
    <w:p>
      <w:pPr>
        <w:spacing w:after="0" w:line="26" w:lineRule="exact"/>
        <w:rPr>
          <w:rFonts w:ascii="Arial" w:cs="Arial" w:eastAsia="Arial" w:hAnsi="Arial"/>
          <w:sz w:val="16"/>
          <w:szCs w:val="16"/>
          <w:b w:val="1"/>
          <w:bCs w:val="1"/>
          <w:color w:val="auto"/>
        </w:rPr>
      </w:pPr>
    </w:p>
    <w:p>
      <w:pPr>
        <w:ind w:left="460" w:right="80" w:firstLine="443"/>
        <w:spacing w:after="0" w:line="262" w:lineRule="auto"/>
        <w:tabs>
          <w:tab w:leader="none" w:pos="115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Immediate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will be made to an Alternate Payee, in a lump sum, in cash and/or in shares of Common Stock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Administrator in its discretion), in accordance with the Qualified Domestic Relations Order, as soon as reasonably possible after the Qualified Domestic Relations Order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7" w:name="page48"/>
    <w:bookmarkEnd w:id="47"/>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is made, without regard to whether the distribution, if made to a Participant at the time specified in the Qualified Domestic Relations Order, would be permitted under the terms of the Plan.</w:t>
      </w:r>
    </w:p>
    <w:p>
      <w:pPr>
        <w:spacing w:after="0" w:line="45" w:lineRule="exact"/>
        <w:rPr>
          <w:sz w:val="20"/>
          <w:szCs w:val="20"/>
          <w:color w:val="auto"/>
        </w:rPr>
      </w:pPr>
    </w:p>
    <w:p>
      <w:pPr>
        <w:ind w:left="460" w:firstLine="443"/>
        <w:spacing w:after="0" w:line="255" w:lineRule="auto"/>
        <w:tabs>
          <w:tab w:leader="none" w:pos="113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contrary Plan provision, at any time the Plan Administrator, in its discretion, may place a hold upon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a Participant’s Account, at such time and for such reasonable period as the Plan Administrator in its discretion may determine, if the Plan Administrator receives notice that (i) a domestic relations order is being sought by the Participant, his or her spouse, former spouse, child or other dependent, and (ii) the Participant’s Account is a source of payment under such order. For purposes of this Section 1(c) of Article V, a “hold” means that no distributions may be made from a Participant’s Account. The Plan Administrator shall notify the Participant if a hold is placed upon his or her Account pursuant to this Section 1(c) of Article V.</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 Administration</w:t>
      </w:r>
    </w:p>
    <w:p>
      <w:pPr>
        <w:spacing w:after="0" w:line="171"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hereby designated as the Plan Administrator of the Plan. The Company may delegate certain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of Plan administration to an individual or group of individuals who, with respect to such duties, shall have all reasonable powers necessary or appropriate to accomplish them.</w:t>
      </w:r>
    </w:p>
    <w:p>
      <w:pPr>
        <w:spacing w:after="0" w:line="132" w:lineRule="exact"/>
        <w:rPr>
          <w:sz w:val="20"/>
          <w:szCs w:val="20"/>
          <w:color w:val="auto"/>
        </w:rPr>
      </w:pPr>
    </w:p>
    <w:p>
      <w:pPr>
        <w:ind w:right="240" w:firstLine="456"/>
        <w:spacing w:after="0" w:line="334"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Power of the 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Administrator shall have all powers necessary to supervise the administration of the Plan and to</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its operation in accordance with its terms, including, but not by way of limitation, the following discretionary powers:</w:t>
      </w:r>
    </w:p>
    <w:p>
      <w:pPr>
        <w:spacing w:after="0" w:line="7" w:lineRule="exact"/>
        <w:rPr>
          <w:sz w:val="20"/>
          <w:szCs w:val="20"/>
          <w:color w:val="auto"/>
        </w:rPr>
      </w:pPr>
    </w:p>
    <w:p>
      <w:pPr>
        <w:ind w:left="1160" w:hanging="257"/>
        <w:spacing w:after="0"/>
        <w:tabs>
          <w:tab w:leader="none" w:pos="116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To interpret the provisions of the Plan and to determine any question arising under, or in connection with the administration or operation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84"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determine all questions concerning the eligibility of any Executive to become or remain a Participant in the Plan;</w:t>
      </w:r>
    </w:p>
    <w:p>
      <w:pPr>
        <w:spacing w:after="0" w:line="90" w:lineRule="exact"/>
        <w:rPr>
          <w:rFonts w:ascii="Arial" w:cs="Arial" w:eastAsia="Arial" w:hAnsi="Arial"/>
          <w:sz w:val="18"/>
          <w:szCs w:val="18"/>
          <w:b w:val="1"/>
          <w:bCs w:val="1"/>
          <w:color w:val="auto"/>
        </w:rPr>
      </w:pPr>
    </w:p>
    <w:p>
      <w:pPr>
        <w:ind w:left="1140" w:hanging="237"/>
        <w:spacing w:after="0"/>
        <w:tabs>
          <w:tab w:leader="none" w:pos="11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cause an Account to be maintained for each Participant;</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determine the manner and form of any distribution to be made under the Plan;</w:t>
      </w:r>
    </w:p>
    <w:p>
      <w:pPr>
        <w:spacing w:after="0" w:line="90" w:lineRule="exact"/>
        <w:rPr>
          <w:rFonts w:ascii="Arial" w:cs="Arial" w:eastAsia="Arial" w:hAnsi="Arial"/>
          <w:sz w:val="18"/>
          <w:szCs w:val="18"/>
          <w:b w:val="1"/>
          <w:bCs w:val="1"/>
          <w:color w:val="auto"/>
        </w:rPr>
      </w:pPr>
    </w:p>
    <w:p>
      <w:pPr>
        <w:ind w:left="1140" w:hanging="237"/>
        <w:spacing w:after="0"/>
        <w:tabs>
          <w:tab w:leader="none" w:pos="11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determine the status and rights of Participants and their spouses, Beneficiaries or estates;</w:t>
      </w:r>
    </w:p>
    <w:p>
      <w:pPr>
        <w:spacing w:after="0" w:line="90" w:lineRule="exact"/>
        <w:rPr>
          <w:rFonts w:ascii="Arial" w:cs="Arial" w:eastAsia="Arial" w:hAnsi="Arial"/>
          <w:sz w:val="18"/>
          <w:szCs w:val="18"/>
          <w:b w:val="1"/>
          <w:bCs w:val="1"/>
          <w:color w:val="auto"/>
        </w:rPr>
      </w:pPr>
    </w:p>
    <w:p>
      <w:pPr>
        <w:ind w:left="460" w:right="80" w:firstLine="443"/>
        <w:spacing w:after="0" w:line="332" w:lineRule="auto"/>
        <w:tabs>
          <w:tab w:leader="none" w:pos="1117"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To appoint and discharge such trustees, recordkeepers, consultants, counsel (who may be counsel to the Company) and other agents and advisers, and to obtain such other services, as it may deem necessary or appropriate in carrying out the provisions of the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8" w:name="page49"/>
    <w:bookmarkEnd w:id="48"/>
    <w:p>
      <w:pPr>
        <w:ind w:left="460" w:right="600" w:firstLine="443"/>
        <w:spacing w:after="0" w:line="268" w:lineRule="auto"/>
        <w:tabs>
          <w:tab w:leader="none" w:pos="1147"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prescribe the manner and notice period in which any Participant, or his or her spouse or other Beneficiary, may make any election or designation provided under the Plan;</w:t>
      </w:r>
    </w:p>
    <w:p>
      <w:pPr>
        <w:spacing w:after="0" w:line="5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establish rules for the performance of its powers and duties and for the administration of the Plan;</w:t>
      </w:r>
    </w:p>
    <w:p>
      <w:pPr>
        <w:spacing w:after="0" w:line="90" w:lineRule="exact"/>
        <w:rPr>
          <w:rFonts w:ascii="Arial" w:cs="Arial" w:eastAsia="Arial" w:hAnsi="Arial"/>
          <w:sz w:val="18"/>
          <w:szCs w:val="18"/>
          <w:b w:val="1"/>
          <w:bCs w:val="1"/>
          <w:color w:val="auto"/>
        </w:rPr>
      </w:pPr>
    </w:p>
    <w:p>
      <w:pPr>
        <w:ind w:left="460" w:right="720" w:firstLine="443"/>
        <w:spacing w:after="0" w:line="268" w:lineRule="auto"/>
        <w:tabs>
          <w:tab w:leader="none" w:pos="1108"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establish rules, regulations and procedures under which requests for Plan information from Participants are processed promptly and completely;</w:t>
      </w:r>
    </w:p>
    <w:p>
      <w:pPr>
        <w:spacing w:after="0" w:line="50" w:lineRule="exact"/>
        <w:rPr>
          <w:rFonts w:ascii="Arial" w:cs="Arial" w:eastAsia="Arial" w:hAnsi="Arial"/>
          <w:sz w:val="18"/>
          <w:szCs w:val="18"/>
          <w:b w:val="1"/>
          <w:bCs w:val="1"/>
          <w:color w:val="auto"/>
        </w:rPr>
      </w:pPr>
    </w:p>
    <w:p>
      <w:pPr>
        <w:ind w:left="460" w:right="340" w:firstLine="443"/>
        <w:spacing w:after="0" w:line="268" w:lineRule="auto"/>
        <w:tabs>
          <w:tab w:leader="none" w:pos="1117"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act as agent for the Company in keeping all records and assisting with the preparation, filing and distribution of all necessary reports and disclosures;</w:t>
      </w:r>
    </w:p>
    <w:p>
      <w:pPr>
        <w:spacing w:after="0" w:line="50" w:lineRule="exact"/>
        <w:rPr>
          <w:rFonts w:ascii="Arial" w:cs="Arial" w:eastAsia="Arial" w:hAnsi="Arial"/>
          <w:sz w:val="18"/>
          <w:szCs w:val="18"/>
          <w:b w:val="1"/>
          <w:bCs w:val="1"/>
          <w:color w:val="auto"/>
        </w:rPr>
      </w:pPr>
    </w:p>
    <w:p>
      <w:pPr>
        <w:ind w:left="460" w:right="40" w:firstLine="443"/>
        <w:spacing w:after="0" w:line="268" w:lineRule="auto"/>
        <w:tabs>
          <w:tab w:leader="none" w:pos="115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delegate to any one or more of its members or to any other person, severally or jointly, the authority to perform for and on behalf of the Plan Administrator one or more of the functions of the Plan Administrator under the Plan;</w:t>
      </w:r>
    </w:p>
    <w:p>
      <w:pPr>
        <w:spacing w:after="0" w:line="50" w:lineRule="exact"/>
        <w:rPr>
          <w:rFonts w:ascii="Arial" w:cs="Arial" w:eastAsia="Arial" w:hAnsi="Arial"/>
          <w:sz w:val="18"/>
          <w:szCs w:val="18"/>
          <w:b w:val="1"/>
          <w:bCs w:val="1"/>
          <w:color w:val="auto"/>
        </w:rPr>
      </w:pPr>
    </w:p>
    <w:p>
      <w:pPr>
        <w:ind w:left="460" w:right="220" w:firstLine="443"/>
        <w:spacing w:after="0" w:line="259" w:lineRule="auto"/>
        <w:tabs>
          <w:tab w:leader="none" w:pos="1108"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exercise the authority to make decisions and to make changes to the Plan independent of the Board of Directors, including adopting one or more amendments to the Plan, that are not anticipated to have a material financial impact on the Plan or the Company or any other member of the Manpower Group or a material adverse effect on Participants;</w:t>
      </w:r>
    </w:p>
    <w:p>
      <w:pPr>
        <w:spacing w:after="0" w:line="59" w:lineRule="exact"/>
        <w:rPr>
          <w:rFonts w:ascii="Arial" w:cs="Arial" w:eastAsia="Arial" w:hAnsi="Arial"/>
          <w:sz w:val="18"/>
          <w:szCs w:val="18"/>
          <w:b w:val="1"/>
          <w:bCs w:val="1"/>
          <w:color w:val="auto"/>
        </w:rPr>
      </w:pPr>
    </w:p>
    <w:p>
      <w:pPr>
        <w:ind w:left="1200" w:hanging="297"/>
        <w:spacing w:after="0"/>
        <w:tabs>
          <w:tab w:leader="none" w:pos="12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establish, liquidate or consolidate any rabbi trust or secular trust associated with the Plan; and</w:t>
      </w:r>
    </w:p>
    <w:p>
      <w:pPr>
        <w:spacing w:after="0" w:line="90" w:lineRule="exact"/>
        <w:rPr>
          <w:rFonts w:ascii="Arial" w:cs="Arial" w:eastAsia="Arial" w:hAnsi="Arial"/>
          <w:sz w:val="18"/>
          <w:szCs w:val="18"/>
          <w:b w:val="1"/>
          <w:bCs w:val="1"/>
          <w:color w:val="auto"/>
        </w:rPr>
      </w:pPr>
    </w:p>
    <w:p>
      <w:pPr>
        <w:ind w:left="460" w:right="380" w:firstLine="443"/>
        <w:spacing w:after="0" w:line="259" w:lineRule="auto"/>
        <w:tabs>
          <w:tab w:leader="none" w:pos="115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To make any and all decisions, to take any and all actions, and execute any and all documents as the Plan Administrator, its delegate or the officers of the Company deem necessary or desirable to implement any resolutions made by the Board of Directors and to contribute to the smooth operation of the Plan.</w:t>
      </w:r>
    </w:p>
    <w:p>
      <w:pPr>
        <w:spacing w:after="0" w:line="13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Decisions of the 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All decisions of the Plan Administrator, any action taken by the Plan Administrator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within the powers granted to it under the Plan, and any interpretation of any provision of the Plan by the Plan Administrator, shall be conclusive and binding on all persons, and shall be given the maximum possible deference allowed by law.</w:t>
      </w:r>
    </w:p>
    <w:p>
      <w:pPr>
        <w:spacing w:after="0" w:line="13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Administrative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members of the Plan Administrator shall serve without compensation for their services as 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All expenses incurred in connection with the administration of the Plan or the trust, if any, by the Company or any other member of the Manpower Group, the Plan Administrator or otherwise, including trustee, if any, and legal fees and expenses, shall be equitably apportioned among the Company or any other member of the Manpower Group as determined by the Plan Administrator in its discretion.</w:t>
      </w:r>
    </w:p>
    <w:p>
      <w:pPr>
        <w:spacing w:after="0" w:line="103"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Eligibility to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No member of the Plan Administrator, who is also a Participant, shall be excluded from membership in the Plan, but</w:t>
      </w:r>
      <w:r>
        <w:rPr>
          <w:rFonts w:ascii="Arial" w:cs="Arial" w:eastAsia="Arial" w:hAnsi="Arial"/>
          <w:sz w:val="18"/>
          <w:szCs w:val="18"/>
          <w:b w:val="1"/>
          <w:bCs w:val="1"/>
          <w:color w:val="auto"/>
        </w:rPr>
        <w:t xml:space="preserve"> </w:t>
      </w:r>
      <w:r>
        <w:rPr>
          <w:rFonts w:ascii="Arial" w:cs="Arial" w:eastAsia="Arial" w:hAnsi="Arial"/>
          <w:sz w:val="18"/>
          <w:szCs w:val="18"/>
          <w:color w:val="auto"/>
        </w:rPr>
        <w:t>he or she (as a member of the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280"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Administrator) shall not act or pass upon any matters pertaining specifically to his or her own Account under the Plan.</w:t>
      </w:r>
    </w:p>
    <w:p>
      <w:pPr>
        <w:spacing w:after="0" w:line="165"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each other member of the Manpower Group shall, and by adopting the Plan, agree to,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any of their employees, officers or directors who may be deemed to be a fiduciary of the Plan, and the members of the Plan Administrator, from and against any and all losses, claims, damages, expenses and liabilities (including reasonable attorneys’ fees and amounts paid, with the approval of the Board of Directors, in settlement of any claim) arising out of or resulting from the implementation of a duty, act or decision with respect to the Plan, so long as such duty, act or decision does not involve bad faith, gross negligence or willful misconduct on the part of any such individual.</w:t>
      </w:r>
    </w:p>
    <w:p>
      <w:pPr>
        <w:spacing w:after="0" w:line="10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Benefit Claim and Appeal Procedure for Non-Disability Benefit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7 of Article VI applies to any claim for non-Disability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Plan. Claims for Disability benefits are governed by Section 8 of this Article VI.</w:t>
      </w:r>
    </w:p>
    <w:p>
      <w:pPr>
        <w:spacing w:after="0" w:line="12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If a claim for non-Disability benefits is wholly or partially denied, the Plan Administrator shall furnish the Participant or Beneficiary (hereinafter referred to as a “claimant”) or his authorized representative with written or electronic notice of such denial within a reasonable period of time (not to exceed ninety</w:t>
      </w:r>
    </w:p>
    <w:p>
      <w:pPr>
        <w:ind w:right="40" w:firstLine="8"/>
        <w:spacing w:after="0" w:line="302" w:lineRule="auto"/>
        <w:tabs>
          <w:tab w:leader="none" w:pos="3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days after the Plan Administrator receives the claim or one hundred eighty (180) days, if the Plan Administrator determines that special circumstances require an extension of time for processing the claim and furnishes written notice of the extension to the claimant or his authorized representative prior to the end of the initial ninety (90)-day period), setting forth, in a manner calculated to be understood by the claimant, the following information:</w:t>
      </w:r>
    </w:p>
    <w:p>
      <w:pPr>
        <w:spacing w:after="0" w:line="28" w:lineRule="exact"/>
        <w:rPr>
          <w:rFonts w:ascii="Arial" w:cs="Arial" w:eastAsia="Arial" w:hAnsi="Arial"/>
          <w:sz w:val="16"/>
          <w:szCs w:val="16"/>
          <w:color w:val="auto"/>
        </w:rPr>
      </w:pPr>
    </w:p>
    <w:p>
      <w:pPr>
        <w:ind w:left="1160" w:hanging="257"/>
        <w:spacing w:after="0"/>
        <w:tabs>
          <w:tab w:leader="none" w:pos="116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 of the claim;</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denial is based;</w:t>
      </w:r>
    </w:p>
    <w:p>
      <w:pPr>
        <w:spacing w:after="0" w:line="90" w:lineRule="exact"/>
        <w:rPr>
          <w:rFonts w:ascii="Arial" w:cs="Arial" w:eastAsia="Arial" w:hAnsi="Arial"/>
          <w:sz w:val="18"/>
          <w:szCs w:val="18"/>
          <w:b w:val="1"/>
          <w:bCs w:val="1"/>
          <w:color w:val="auto"/>
        </w:rPr>
      </w:pPr>
    </w:p>
    <w:p>
      <w:pPr>
        <w:ind w:left="460" w:right="60" w:firstLine="443"/>
        <w:spacing w:after="0" w:line="268" w:lineRule="auto"/>
        <w:tabs>
          <w:tab w:leader="none" w:pos="1137"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50" w:lineRule="exact"/>
        <w:rPr>
          <w:rFonts w:ascii="Arial" w:cs="Arial" w:eastAsia="Arial" w:hAnsi="Arial"/>
          <w:sz w:val="18"/>
          <w:szCs w:val="18"/>
          <w:b w:val="1"/>
          <w:bCs w:val="1"/>
          <w:color w:val="auto"/>
        </w:rPr>
      </w:pPr>
    </w:p>
    <w:p>
      <w:pPr>
        <w:ind w:left="460" w:right="220" w:firstLine="443"/>
        <w:spacing w:after="0" w:line="268" w:lineRule="auto"/>
        <w:tabs>
          <w:tab w:leader="none" w:pos="1156"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a description of the Plan’s review procedures and the time limits applicable to such procedures, including a statement of the claimant’s right to bring a civil action under Section 502(a) of ERISA following a denial on review.</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Any electronic notice of the Plan Administrator’s decision denying the claim shall comply with the standards imposed by U.S. Department of Labor Regulations Section 2520.104b-1(c)(1)(i), (iii), and (iv). The Plan Administrator’s written extension notice, described above, shall indicate the special circumstances requiring an extension of time and the date by which the Plan Administrator expects to render its decision on the claim.</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claimant or his authorized representative may appeal the Plan Administrator’s decision denying his claim within sixty (60) days after he or his authorized representative receives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50" w:name="page51"/>
    <w:bookmarkEnd w:id="50"/>
    <w:p>
      <w:pPr>
        <w:ind w:right="1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Administrator’s notice denying the claim. The claimant or his authorized representative may submit to the Plan Administrator written comments, documents, records, and other information relating to the claim. The claimant or his authorized representative shall be provided, upon request and free of charge, reasonable access to, and copies of, all documents, records, and other information relevant to the claimant’s claim. For purposes of this Section 7 of Article VI, a document, record or other information shall be considered “relevant” to a claimant’s claim if such document, record or other information (i) was relied upon by the Plan Administrator in making its decision on the claim, (ii) was submitted, considered, or generated in the course of the Plan Administrator’s making its decision on the claim, without regard to whether the Plan Administrator relied upon such document, record or other information in making its decision, or</w:t>
      </w:r>
    </w:p>
    <w:p>
      <w:pPr>
        <w:spacing w:after="0" w:line="1" w:lineRule="exact"/>
        <w:rPr>
          <w:sz w:val="20"/>
          <w:szCs w:val="20"/>
          <w:color w:val="auto"/>
        </w:rPr>
      </w:pPr>
    </w:p>
    <w:p>
      <w:pPr>
        <w:ind w:right="120" w:firstLine="8"/>
        <w:spacing w:after="0" w:line="253" w:lineRule="auto"/>
        <w:tabs>
          <w:tab w:leader="none" w:pos="3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complies with administrative processes and safeguards which are designed to ensure and to verify that decisions on claims are made in accordance with governing Plan documents, whose provisions are applied consistently with respect to similarly situated claimants. The Plan Administrator’s review of the claimant’s claim and of the Plan Administrator’s denial of such claim shall take into account all comments, documents, records, and other information submitted by the claimant or his authorized representative relating to the claim, without regard to whether such information was submitted or considered in the initial decision on the claim.</w:t>
      </w:r>
    </w:p>
    <w:p>
      <w:pPr>
        <w:spacing w:after="0" w:line="1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Plan Administrator’s decision on the appeal of a denied claim shall be made within a reasonable period of time (not to exceed sixty (60) days after receipt of the claimant’s request for review by the Plan, unless the Plan Administrator determines that special circumstances (such as a need to hold a hearing) require an extension of time for processing the claim). If the Plan Administrator determines that an extension of time for processing is required, written notice of the extension shall be furnished to the claimant or his authorized representative prior to the termination of the initial sixty (60)-day period. In no event shall such extension exceed a period of sixty (60) days from the end of the initial period. The extension notice shall indicate the special circumstances requiring an extension of time and the date by which the Plan expects to render the determination on review. The Plan Administrator shall furnish the claimant or his authorized representative with written or electronic notice of its decision on appeal. Any electronic notice of the Plan Administrator’s decision on appeal shall comply with the standards imposed by U.S. Department of Labor Regulations Section 2520.104b-1(c)(1)(i), (iii), and (iv). In the case of a decision on appeal upholding the Plan Administrator’s initial denial of the claimant’s claim, such notice shall set forth, in a manner calculated to be understood by the claimant, the following information:</w:t>
      </w:r>
    </w:p>
    <w:p>
      <w:pPr>
        <w:spacing w:after="0" w:line="42" w:lineRule="exact"/>
        <w:rPr>
          <w:sz w:val="20"/>
          <w:szCs w:val="20"/>
          <w:color w:val="auto"/>
        </w:rPr>
      </w:pPr>
    </w:p>
    <w:p>
      <w:pPr>
        <w:ind w:left="1160" w:hanging="257"/>
        <w:spacing w:after="0"/>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decision on appeal;</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decision on appeal is based;</w:t>
      </w:r>
    </w:p>
    <w:p>
      <w:pPr>
        <w:spacing w:after="0" w:line="90" w:lineRule="exact"/>
        <w:rPr>
          <w:rFonts w:ascii="Arial" w:cs="Arial" w:eastAsia="Arial" w:hAnsi="Arial"/>
          <w:sz w:val="18"/>
          <w:szCs w:val="18"/>
          <w:b w:val="1"/>
          <w:bCs w:val="1"/>
          <w:color w:val="auto"/>
        </w:rPr>
      </w:pPr>
    </w:p>
    <w:p>
      <w:pPr>
        <w:ind w:left="460" w:firstLine="443"/>
        <w:spacing w:after="0" w:line="268" w:lineRule="auto"/>
        <w:tabs>
          <w:tab w:leader="none" w:pos="1137"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the claimant’s claim for benefits; and</w:t>
      </w:r>
    </w:p>
    <w:p>
      <w:pPr>
        <w:spacing w:after="0" w:line="5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a statement describing any voluntary appeal procedures (including voluntary arbitration or any other form of dispute resolution) offered by the</w:t>
      </w:r>
    </w:p>
    <w:p>
      <w:pPr>
        <w:spacing w:after="0" w:line="3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1" w:name="page52"/>
    <w:bookmarkEnd w:id="51"/>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claimant’s right to obtain information sufficient to enable the claimant to make an informed judgment about whether to submit a benefit dispute to the voluntary level of appeal, and a statement of the claimant’s right to bring an action under Section 502(a) of ERISA.</w:t>
      </w:r>
    </w:p>
    <w:p>
      <w:pPr>
        <w:spacing w:after="0" w:line="12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Benefit Claim and Appeal Procedure for Disability Benefit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8 of Article VI applies to any claim for Disability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Claims for non-Disability benefits are governed by Section 7 of this Article VI.</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claim for Disability benefits under the Plan is wholly or partially denied, the Plan Administrator shall furnish the Participant or Beneficiary (hereinafter referred to as a “claimant”) or his authorized representative with written or electronic notice of such denial, within a reasonable period of time, not to exceed forty-five (45) days after the Plan Administrator receives the claim. This forty-five (45)-day period may be extended for up to thirty (30) days, if the Plan Administrator both determines that such an extension is necessary due to matters beyond its control and notifies the claimant, prior to the expiration of the initial forty-five (45)-day period, of the circumstances requiring the extension of time and the date by which the Plan Administrator expects to render a decision. If, prior to the end of the first thirty (30)-day extension period, the Plan Administrator determines that, due to matters beyond its control, it cannot render a decision within that extension period, the period for making the determination may be extended for up to an additional thirty (30) days, provided that the Plan Administrator notifies the claimant, prior to the expiration of the first thirty (30)-day extension period, of the circumstances requiring the extension and the date by which the Plan Administrator expects to render a decision. In the case of any extension under this Section 8 of Article VI, the notice of extension shall specifically explain the standards on which entitlement to a benefit is based, the unresolved issues that prevent a decision on the claim, and the additional information needed to resolve those issues, and the claimant will be given at least forty-five (45) days within which to provide the specified information.</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written or electronic notice of the denial of benefits under this Section 8 of Article VI shall set forth, in a manner calculated to be understood by the claimant, the following information:</w:t>
      </w:r>
    </w:p>
    <w:p>
      <w:pPr>
        <w:spacing w:after="0" w:line="51" w:lineRule="exact"/>
        <w:rPr>
          <w:sz w:val="20"/>
          <w:szCs w:val="20"/>
          <w:color w:val="auto"/>
        </w:rPr>
      </w:pPr>
    </w:p>
    <w:p>
      <w:pPr>
        <w:ind w:left="1160" w:hanging="257"/>
        <w:spacing w:after="0"/>
        <w:tabs>
          <w:tab w:leader="none" w:pos="11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 of the claim;</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denial is based;</w:t>
      </w:r>
    </w:p>
    <w:p>
      <w:pPr>
        <w:spacing w:after="0" w:line="90" w:lineRule="exact"/>
        <w:rPr>
          <w:rFonts w:ascii="Arial" w:cs="Arial" w:eastAsia="Arial" w:hAnsi="Arial"/>
          <w:sz w:val="18"/>
          <w:szCs w:val="18"/>
          <w:b w:val="1"/>
          <w:bCs w:val="1"/>
          <w:color w:val="auto"/>
        </w:rPr>
      </w:pPr>
    </w:p>
    <w:p>
      <w:pPr>
        <w:ind w:left="460" w:right="100" w:firstLine="443"/>
        <w:spacing w:after="0" w:line="268" w:lineRule="auto"/>
        <w:tabs>
          <w:tab w:leader="none" w:pos="1137"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50" w:lineRule="exact"/>
        <w:rPr>
          <w:rFonts w:ascii="Arial" w:cs="Arial" w:eastAsia="Arial" w:hAnsi="Arial"/>
          <w:sz w:val="18"/>
          <w:szCs w:val="18"/>
          <w:b w:val="1"/>
          <w:bCs w:val="1"/>
          <w:color w:val="auto"/>
        </w:rPr>
      </w:pPr>
    </w:p>
    <w:p>
      <w:pPr>
        <w:ind w:left="460" w:right="260" w:firstLine="443"/>
        <w:spacing w:after="0" w:line="268" w:lineRule="auto"/>
        <w:tabs>
          <w:tab w:leader="none" w:pos="1156"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 description of the Plan’s review procedures and the time limits applicable to such procedures, including a statement of the claimant’s right to bring a civil action under Section 502(a) of ERISA following a denial on review;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2" w:name="page53"/>
    <w:bookmarkEnd w:id="52"/>
    <w:p>
      <w:pPr>
        <w:ind w:left="460" w:right="200" w:firstLine="443"/>
        <w:spacing w:after="0" w:line="291" w:lineRule="auto"/>
        <w:tabs>
          <w:tab w:leader="none" w:pos="1137"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Plan Administrator relied upon an internal rule, guideline, protocol, or other similar criterion in making the adverse determination, the notice shall set forth the specific rule, guideline, protocol, or other similar criterion or a statement that such a rule, guideline, protocol, or other similar criterion was relied upon in making the adverse determination and that a copy of such rule, guideline, protocol, or other criterion will be provided free of charge to the claimant upon request. If the adverse benefit determination is based on a medical judgment, the notice also shall set forth an explanation of the scientific or clinical judgment for the determination, applying the Plan’s terms to the claimant’s medical circumstances, or a statement that such explanation will be provided free of charge upon request.</w:t>
      </w:r>
    </w:p>
    <w:p>
      <w:pPr>
        <w:spacing w:after="0" w:line="12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Any electronic notice of the Plan Administrator’s decision denying the claim shall comply with the standards imposed by U.S. Department of Labor Regulations Section 2520.104b-1(c)(1)(i), (iii), and (iv). The Plan Administrator’s written extension notice, described above, shall indicate the special circumstances requiring an extension of time and the date by which the Plan Administrator expects to render its decision on the claim.</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claimant or his authorized representative may appeal the Plan Administrator’s decision denying his claim within one hundred eighty (180) days after he or his authorized representative receives the Plan Administrator’s notice denying the claim. The claimant or his authorized representative may submit to the Plan Administrator written comments, documents, records, and other information relating to the claim. The claimant or his authorized representative shall be provided, upon request and free of charge, reasonable access to, and copies of all documents, records, and other information relevant to the claimant’s claim. For purposes of this Section 8 of Article VI, a document, record or other information shall be considered “relevant” to a claimant’s claim if such document, record or other information (i) was relied upon by the Plan Administrator in making its decision on the claim, (ii) was submitted, considered, or generated in the course of the Plan Administrator’s making its decision on the claim, without regard to whether the Plan Administrator relied upon such document, record or other information in making its decision, or (iii) complies with administrative processes and safeguards which are designed to ensure and to verify that decisions on claims are made in accordance with governing Plan documents, whose provisions are applied consistently with respect to similarly situated claimants. The Plan Administrator’s review of the claimant’s claim and of the Plan Administrator’s denial of such claim shall take into account all comments, documents, records, and other information submitted by the claimant or his authorized representative relating to the claim, without regard to whether such information was submitted or considered in the initial decision on the claim. The review of the Plan Administrator’s initial adverse benefit determination shall not afford deference to such determination and shall be conducted by the Board of Directors (a named fiduciary of the Plan for this purpose who is neither the individual who made the initial adverse benefit determination nor a subordinate of that individual). In deciding an appeal of any initial adverse benefit determination that is based, in whole or in part, on a medical judgment, the Board of Directors shall consult with a health care professional who has appropriate training and experience in the field of medicine involved in the medical judgment. The medical or vocational experts whose advice was obtained on behalf of the Plan Administrator in connection with its adverse benefit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53" w:name="page54"/>
    <w:bookmarkEnd w:id="53"/>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shall be identified to the claimant or his authorized representative, regardless of whether the Plan Administrator relied upon the advice in making the benefit determination. The health care professional whom the Board of Directors consults in making his review of the Plan Administrator’s initial adverse benefit determination shall be an individual who is neither an individual whom the Plan Administrator consulted in connection with the adverse benefit determination that is the subject of the appeal, nor the subordinate of any such individual.</w:t>
      </w:r>
    </w:p>
    <w:p>
      <w:pPr>
        <w:spacing w:after="0" w:line="1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decision of the Board of Directors on the appeal of a denied claim shall be made within a reasonable period of time (not to exceed forty-five (45) days after receipt of the claimant’s request for review by the Plan, unless the Board of Directors determines that special circumstances (such as a need to hold a hearing) require an extension of time for processing the claim). If the Board of Directors determines that an extension of time for processing is required, written notice of the extension shall be furnished to the claimant or his authorized representative prior to the termination of the initial forty-five (45)-day period. In no event shall such extension exceed a period of forty-five (45) days from the end of the initial period. The extension notice shall indicate the special circumstances requiring an extension of time and the date by which the Plan expects to render the determination on review. The Board of Directors shall furnish the claimant or his authorized representative with written or electronic notice of his decision on appeal. Any electronic notice of such decision on appeal shall comply with the standards imposed by U.S. Department of Labor Regulations Section 2520.104b-1(c)(1)(i), (iii), and (iv). In the case of a decision on appeal upholding the Plan Administrator’s initial denial of the claimant’s claim, such notice shall set forth, in a manner calculated to be understood by the claimant, the following information:</w:t>
      </w:r>
    </w:p>
    <w:p>
      <w:pPr>
        <w:spacing w:after="0" w:line="42" w:lineRule="exact"/>
        <w:rPr>
          <w:sz w:val="20"/>
          <w:szCs w:val="20"/>
          <w:color w:val="auto"/>
        </w:rPr>
      </w:pPr>
    </w:p>
    <w:p>
      <w:pPr>
        <w:ind w:left="1160" w:hanging="257"/>
        <w:spacing w:after="0"/>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decision on appeal;</w:t>
      </w:r>
    </w:p>
    <w:p>
      <w:pPr>
        <w:spacing w:after="0" w:line="90"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decision on appeal is based;</w:t>
      </w:r>
    </w:p>
    <w:p>
      <w:pPr>
        <w:spacing w:after="0" w:line="90" w:lineRule="exact"/>
        <w:rPr>
          <w:rFonts w:ascii="Arial" w:cs="Arial" w:eastAsia="Arial" w:hAnsi="Arial"/>
          <w:sz w:val="18"/>
          <w:szCs w:val="18"/>
          <w:b w:val="1"/>
          <w:bCs w:val="1"/>
          <w:color w:val="auto"/>
        </w:rPr>
      </w:pPr>
    </w:p>
    <w:p>
      <w:pPr>
        <w:ind w:left="460" w:firstLine="443"/>
        <w:spacing w:after="0" w:line="268" w:lineRule="auto"/>
        <w:tabs>
          <w:tab w:leader="none" w:pos="1137"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the claimant’s claim for benefits;</w:t>
      </w:r>
    </w:p>
    <w:p>
      <w:pPr>
        <w:spacing w:after="0" w:line="50" w:lineRule="exact"/>
        <w:rPr>
          <w:rFonts w:ascii="Arial" w:cs="Arial" w:eastAsia="Arial" w:hAnsi="Arial"/>
          <w:sz w:val="18"/>
          <w:szCs w:val="18"/>
          <w:b w:val="1"/>
          <w:bCs w:val="1"/>
          <w:color w:val="auto"/>
        </w:rPr>
      </w:pPr>
    </w:p>
    <w:p>
      <w:pPr>
        <w:ind w:left="460" w:right="260" w:firstLine="443"/>
        <w:spacing w:after="0" w:line="306" w:lineRule="auto"/>
        <w:tabs>
          <w:tab w:leader="none" w:pos="1156"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a statement describing any voluntary appeal procedures (including voluntary arbitration or any other form of dispute resolution) offered by the Plan and the claimant’s right to obtain information sufficient to enable the claimant to make an informed judgment about whether to submit a benefit dispute to the voluntary level of appeal, and a statement of the claimant’s right to bring an action under Section 502(a) of ERISA;</w:t>
      </w:r>
    </w:p>
    <w:p>
      <w:pPr>
        <w:spacing w:after="0" w:line="25" w:lineRule="exact"/>
        <w:rPr>
          <w:rFonts w:ascii="Arial" w:cs="Arial" w:eastAsia="Arial" w:hAnsi="Arial"/>
          <w:sz w:val="16"/>
          <w:szCs w:val="16"/>
          <w:b w:val="1"/>
          <w:bCs w:val="1"/>
          <w:color w:val="auto"/>
        </w:rPr>
      </w:pPr>
    </w:p>
    <w:p>
      <w:pPr>
        <w:ind w:left="460" w:right="200" w:firstLine="443"/>
        <w:spacing w:after="0" w:line="306" w:lineRule="auto"/>
        <w:tabs>
          <w:tab w:leader="none" w:pos="1137"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if the Compensation Committee relied upon an internal rule, guideline, protocol, or other similar criterion in making the adverse determination, the notice shall set forth the specific rule, guideline, protocol, or other similar criterion or a statement that such rule, guideline, protocol, or other similar criterion was relied upon in making the adverse determination and that a copy of such rule, guideline,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protocol, or other criterion will be provided free of charge to the claimant upon request;</w:t>
      </w:r>
    </w:p>
    <w:p>
      <w:pPr>
        <w:spacing w:after="0" w:line="90" w:lineRule="exact"/>
        <w:rPr>
          <w:sz w:val="20"/>
          <w:szCs w:val="20"/>
          <w:color w:val="auto"/>
        </w:rPr>
      </w:pPr>
    </w:p>
    <w:p>
      <w:pPr>
        <w:ind w:left="460" w:right="220" w:firstLine="443"/>
        <w:spacing w:after="0" w:line="259" w:lineRule="auto"/>
        <w:tabs>
          <w:tab w:leader="none" w:pos="111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if the adverse benefit determination is based on a medical judgment, the notice also shall set forth an explanation of the scientific or clinical judgment for the determination, applying the Plan’s terms to the claimant’s medical circumstances, or a statement that such explanation will be provided free of charge upon request; and</w:t>
      </w:r>
    </w:p>
    <w:p>
      <w:pPr>
        <w:spacing w:after="0" w:line="59" w:lineRule="exact"/>
        <w:rPr>
          <w:rFonts w:ascii="Arial" w:cs="Arial" w:eastAsia="Arial" w:hAnsi="Arial"/>
          <w:sz w:val="18"/>
          <w:szCs w:val="18"/>
          <w:b w:val="1"/>
          <w:bCs w:val="1"/>
          <w:color w:val="auto"/>
        </w:rPr>
      </w:pPr>
    </w:p>
    <w:p>
      <w:pPr>
        <w:jc w:val="both"/>
        <w:ind w:left="460" w:right="40" w:firstLine="443"/>
        <w:spacing w:after="0" w:line="259" w:lineRule="auto"/>
        <w:tabs>
          <w:tab w:leader="none" w:pos="114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in addition, the notice shall include 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Funding</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Establishment of a Trust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to fund or otherwise segregate assets for the payment of benefits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however, the Company may, in its sole and absolute discretion, establish a trust under which any contributions to the Plan may be held, administered and managed, subject to the claims of the Company’s creditors in the event of the Company’s insolvency, until paid to the Participant and/or his or her Beneficiaries specified in the Plan. Any trust established pursuant to the Plan is intended to be treated at a grantor trust under the Code, and the establishment of the trust shall not cause the Participant to realize current income on amounts contributed thereto or to give the Participant any claim to any assets held thereunder.</w:t>
      </w:r>
    </w:p>
    <w:p>
      <w:pPr>
        <w:spacing w:after="0" w:line="139"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Participants Remain General Creditors</w:t>
      </w:r>
      <w:r>
        <w:rPr>
          <w:rFonts w:ascii="Arial" w:cs="Arial" w:eastAsia="Arial" w:hAnsi="Arial"/>
          <w:sz w:val="16"/>
          <w:szCs w:val="16"/>
          <w:b w:val="1"/>
          <w:bCs w:val="1"/>
          <w:color w:val="auto"/>
        </w:rPr>
        <w:t xml:space="preserve">. </w:t>
      </w:r>
      <w:r>
        <w:rPr>
          <w:rFonts w:ascii="Arial" w:cs="Arial" w:eastAsia="Arial" w:hAnsi="Arial"/>
          <w:sz w:val="16"/>
          <w:szCs w:val="16"/>
          <w:color w:val="auto"/>
        </w:rPr>
        <w:t>All amounts credited to a Participant’s Account under the Plan shall continue for all purposes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general assets of the Company. Each Participant’s interest in the Plan shall make him or her only a general creditor of the Company.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Modification or Termination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Company Obligations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voluntary on the part of the Company, and the Company does not guarantee to continue the Plan.</w:t>
      </w:r>
    </w:p>
    <w:p>
      <w:pPr>
        <w:spacing w:after="0" w:line="19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Right to Amend, Freeze or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alter, amend, freeze or terminate the Plan, or any part of the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manner as it may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55" w:name="page56"/>
    <w:bookmarkEnd w:id="55"/>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determine in its discretion. Any such alteration, amendment, freeze or termination (a “Change”) shall take effect upon the date indicated in the document embodying the Change;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Change shall divest any portion of an Account that is then vested under the Plan. The Company may, as a result of such Change, alter the Participant’s form and duration of payment elected pursuant to Section 2 of Article IV.</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Effect of Freeze or Termination</w:t>
      </w:r>
      <w:r>
        <w:rPr>
          <w:rFonts w:ascii="Arial" w:cs="Arial" w:eastAsia="Arial" w:hAnsi="Arial"/>
          <w:sz w:val="18"/>
          <w:szCs w:val="18"/>
          <w:b w:val="1"/>
          <w:bCs w:val="1"/>
          <w:color w:val="auto"/>
        </w:rPr>
        <w:t>.</w:t>
      </w:r>
    </w:p>
    <w:p>
      <w:pPr>
        <w:spacing w:after="0" w:line="90" w:lineRule="exact"/>
        <w:rPr>
          <w:sz w:val="20"/>
          <w:szCs w:val="20"/>
          <w:color w:val="auto"/>
        </w:rPr>
      </w:pPr>
    </w:p>
    <w:p>
      <w:pPr>
        <w:ind w:left="460" w:firstLine="443"/>
        <w:spacing w:after="0" w:line="293" w:lineRule="auto"/>
        <w:tabs>
          <w:tab w:leader="none" w:pos="1147"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Freeze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Plan is frozen, effective as of the freeze date, no Executive shall become a Participant in the Plan and no Awards shall be credited</w:t>
      </w:r>
      <w:r>
        <w:rPr>
          <w:rFonts w:ascii="Arial" w:cs="Arial" w:eastAsia="Arial" w:hAnsi="Arial"/>
          <w:sz w:val="16"/>
          <w:szCs w:val="16"/>
          <w:b w:val="1"/>
          <w:bCs w:val="1"/>
          <w:color w:val="auto"/>
        </w:rPr>
        <w:t xml:space="preserve"> </w:t>
      </w:r>
      <w:r>
        <w:rPr>
          <w:rFonts w:ascii="Arial" w:cs="Arial" w:eastAsia="Arial" w:hAnsi="Arial"/>
          <w:sz w:val="16"/>
          <w:szCs w:val="16"/>
          <w:color w:val="auto"/>
        </w:rPr>
        <w:t>to any Participant’s Account, provided, however, that Awards that relate to the Plan Year immediately preceding the Company’s fiscal year in which the freeze date occurs shall be permitted to be credited to a Participant’s Account, in the sole discretion of the Committee. In addition, Participants’ interests in their Account balances shall not be affected by any freeze of the Plan; on and after the freeze date, Participants’ interests in their Account balances shall continue to be determined under Section 1 of Article III and Section 1 of Article IX, and the distribution of Participants’ vested Account balances shall continue to be governed by Article IV, Article V, Section 3(b) of this Article VIII, and Section 1 of Article IX.</w:t>
      </w:r>
    </w:p>
    <w:p>
      <w:pPr>
        <w:spacing w:after="0" w:line="29" w:lineRule="exact"/>
        <w:rPr>
          <w:rFonts w:ascii="Arial" w:cs="Arial" w:eastAsia="Arial" w:hAnsi="Arial"/>
          <w:sz w:val="16"/>
          <w:szCs w:val="16"/>
          <w:b w:val="1"/>
          <w:bCs w:val="1"/>
          <w:color w:val="auto"/>
        </w:rPr>
      </w:pPr>
    </w:p>
    <w:p>
      <w:pPr>
        <w:ind w:left="460" w:firstLine="443"/>
        <w:spacing w:after="0" w:line="293" w:lineRule="auto"/>
        <w:tabs>
          <w:tab w:leader="none" w:pos="1156"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Plan is terminated (i) each Participant who is not already fully (one hundred percent (100%)) vested in his or her Account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of such termination shall have a fully (one hundred percent (100%)) vested and nonforfeitable interest in his or her Account on the effective date of such termination, and (ii) each Participant’s Account shall become distributable in a lump sum as soon as reasonably possible following termination of the Plan, regardless of any previous election made by the Participant in accordance with Section 2 of Article IV, provided, however, that if such a distribution would trigger a tax penalty to any Participant under Section 409A of the Code or any guidance promulgated thereunder, the distribution of Participants’ vested Account balances shall continue to be governed by Article IV, Article V, and Section 1 of Article IX.</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IX</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71" w:lineRule="exact"/>
        <w:rPr>
          <w:sz w:val="20"/>
          <w:szCs w:val="20"/>
          <w:color w:val="auto"/>
        </w:rPr>
      </w:pPr>
    </w:p>
    <w:p>
      <w:pPr>
        <w:ind w:right="360" w:firstLine="456"/>
        <w:spacing w:after="0" w:line="296" w:lineRule="auto"/>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Upon a Change of Control, except as the relevant parties may otherwise agree, each Participant shall have a fully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percent (100%)) vested and nonforfeitable interest in his or her Account. In addition, upon a Change of Control, provided such Change of Control qualifies as a “change in the ownership or effective control” or a “change in the ownership of a substantial portion of the assets” of the Company under Section 409A of the Code or any guidance promulgated thereunder, the Plan shall terminate, and each Participant’s vested Account balance shall become distributable in a lump sum as soon as reasonably possible following termination of the Plan, but in no event later than twelve (12)</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56" w:name="page57"/>
    <w:bookmarkEnd w:id="5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months following the date of a Change of Control, regardless of any previous election made by the Participant in accordance with Section 2 of Article IV. In the event of a Change of Control that does not qualify as a “change in the ownership or effective control” or a “change in the ownership of a substantial portion of the assets” of the Company under Section 409A of the Code, the distribution of Participants’ vested Account balances shall continue to be governed by Article IV, Article V, and Section 3(b) of Article VIII.</w:t>
      </w:r>
    </w:p>
    <w:p>
      <w:pPr>
        <w:spacing w:after="0" w:line="137"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Plan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shall be advised of the general provisions of the Plan and, upon written request addressed to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shall be furnished with any information requested, to the extent required by applicable law, regarding his or her status, rights and privileges under the Plan.</w:t>
      </w:r>
    </w:p>
    <w:p>
      <w:pPr>
        <w:spacing w:after="0" w:line="132" w:lineRule="exact"/>
        <w:rPr>
          <w:sz w:val="20"/>
          <w:szCs w:val="20"/>
          <w:color w:val="auto"/>
        </w:rPr>
      </w:pPr>
    </w:p>
    <w:p>
      <w:pPr>
        <w:jc w:val="both"/>
        <w:ind w:right="120" w:firstLine="456"/>
        <w:spacing w:after="0" w:line="258"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Inalienability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otherwise directed by a Qualified Domestic Relations Order (as defined in Section 1 of Article V)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 no event may a Participant, a former Participant or his or her spouse, Beneficiary or estate sell, transfer, anticipate, assign, pledge or otherwise dispose of any right or interest under the Plan; and such rights and interests shall not at any time be subject to the claims of creditors nor be liable to attachment, execution or other legal process.</w:t>
      </w:r>
    </w:p>
    <w:p>
      <w:pPr>
        <w:spacing w:after="0" w:line="136"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Rights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No person shall have any rights in or to any fund or other assets of the Plan, or under the Plan, except as, and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expressly provided for in the Plan.</w:t>
      </w:r>
    </w:p>
    <w:p>
      <w:pPr>
        <w:spacing w:after="0" w:line="120"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b w:val="1"/>
          <w:bCs w:val="1"/>
          <w:u w:val="single" w:color="auto"/>
          <w:color w:val="auto"/>
        </w:rPr>
        <w:t>Section 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 Guarantee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Plan shall not give any Participant any right to be retained in the employment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Manpower Group. This Plan shall not affect the right of the Company to terminate, with or without cause, any Participant’s employment at any time.</w:t>
      </w:r>
    </w:p>
    <w:p>
      <w:pPr>
        <w:spacing w:after="0" w:line="7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Plan shall be construed, administered and enforced in accordance with applicable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regard to conflict of law principles.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binding upon the heirs and personal representatives of all current and future Participants or Beneficiaries.</w:t>
      </w:r>
    </w:p>
    <w:p>
      <w:pPr>
        <w:spacing w:after="0" w:line="19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 Plan is held invalid or unenforceable, its invalidity or unenforceability shall not affect any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and the Plan shall be construed and enforced as if such provision had not been included.</w:t>
      </w:r>
    </w:p>
    <w:p>
      <w:pPr>
        <w:spacing w:after="0" w:line="120"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Captions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captions contained in and the table of contents prefixed to the Plan are inserted only as a matter of convenience and for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in no way define, limit, enlarge or describe the scope or intent of the Plan nor in any way shall affect the construction of any provision of the Plan.</w:t>
      </w:r>
    </w:p>
    <w:p>
      <w:pPr>
        <w:spacing w:after="0" w:line="7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u w:val="single" w:color="auto"/>
          <w:color w:val="auto"/>
        </w:rPr>
        <w:t>Section 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right to withhold from any compensation payable to a Participant or to cause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executor or administrator of his or her estate or his or her Beneficiary) to make payment of, any federal,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local or foreign taxes required to be withheld with respect to amounts that are credited to or distributed from the Participant’s Account.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Plan is February 18, 2004.</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EXECUTION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 Witness Whereof</w:t>
      </w:r>
      <w:r>
        <w:rPr>
          <w:rFonts w:ascii="Arial" w:cs="Arial" w:eastAsia="Arial" w:hAnsi="Arial"/>
          <w:sz w:val="16"/>
          <w:szCs w:val="16"/>
          <w:color w:val="auto"/>
        </w:rPr>
        <w:t>, Manpower Inc., by its duly authorized officer, has executed this Plan on the date indicated below.</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6350</wp:posOffset>
            </wp:positionV>
            <wp:extent cx="24872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6350</wp:posOffset>
            </wp:positionV>
            <wp:extent cx="24872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6350</wp:posOffset>
            </wp:positionV>
            <wp:extent cx="24872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80"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10.2(c)</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Dated as of January 10, 2006</w:t>
      </w:r>
    </w:p>
    <w:p>
      <w:pPr>
        <w:spacing w:after="0" w:line="165"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AMENDMENT NO. 2 TO THE CREDIT AGREEMENT </w:t>
      </w:r>
      <w:r>
        <w:rPr>
          <w:rFonts w:ascii="Arial" w:cs="Arial" w:eastAsia="Arial" w:hAnsi="Arial"/>
          <w:sz w:val="18"/>
          <w:szCs w:val="18"/>
          <w:color w:val="auto"/>
        </w:rPr>
        <w:t>among MANPOWER INC., a Wisconsin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other institutional lenders parties to the Credit Agreement referred to below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CITIBANK, N.A.,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STATEMENTS:</w:t>
      </w:r>
    </w:p>
    <w:p>
      <w:pPr>
        <w:spacing w:after="0" w:line="96" w:lineRule="exact"/>
        <w:rPr>
          <w:sz w:val="20"/>
          <w:szCs w:val="20"/>
          <w:color w:val="auto"/>
        </w:rPr>
      </w:pPr>
    </w:p>
    <w:p>
      <w:pPr>
        <w:ind w:right="20" w:firstLine="464"/>
        <w:spacing w:after="0" w:line="259"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the Lenders and the Agent have entered into a Five Year Credit Agreement dated as of October 8, 2004, and the letter amendment thereto dated as of March 14, 2005 (such Credit Agreement, as so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not otherwise defined in this Amendment have the same meanings as specified in the Credit Agreement.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and the Lenders have agreed to further amend the Credit Agreement as hereinafter set forth.</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The Credit Agreement is, effective as of the date hereof and subject to the satisfaction of the conditions precedent set forth in Section 4, hereby amended as follows:</w:t>
      </w:r>
    </w:p>
    <w:p>
      <w:pPr>
        <w:spacing w:after="0" w:line="132" w:lineRule="exact"/>
        <w:rPr>
          <w:sz w:val="20"/>
          <w:szCs w:val="20"/>
          <w:color w:val="auto"/>
        </w:rPr>
      </w:pPr>
    </w:p>
    <w:p>
      <w:pPr>
        <w:ind w:right="60" w:firstLine="464"/>
        <w:spacing w:after="0" w:line="268"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definitions of “</w:t>
      </w:r>
      <w:r>
        <w:rPr>
          <w:rFonts w:ascii="Arial" w:cs="Arial" w:eastAsia="Arial" w:hAnsi="Arial"/>
          <w:sz w:val="18"/>
          <w:szCs w:val="18"/>
          <w:u w:val="single" w:color="auto"/>
          <w:color w:val="auto"/>
        </w:rPr>
        <w:t>Applicable Margin</w:t>
      </w:r>
      <w:r>
        <w:rPr>
          <w:rFonts w:ascii="Arial" w:cs="Arial" w:eastAsia="Arial" w:hAnsi="Arial"/>
          <w:sz w:val="18"/>
          <w:szCs w:val="18"/>
          <w:color w:val="auto"/>
        </w:rPr>
        <w:t>”, “</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w:t>
      </w:r>
      <w:r>
        <w:rPr>
          <w:rFonts w:ascii="Arial" w:cs="Arial" w:eastAsia="Arial" w:hAnsi="Arial"/>
          <w:sz w:val="18"/>
          <w:szCs w:val="18"/>
          <w:u w:val="single" w:color="auto"/>
          <w:color w:val="auto"/>
        </w:rPr>
        <w:t>Applicable Utilization Fee</w:t>
      </w:r>
      <w:r>
        <w:rPr>
          <w:rFonts w:ascii="Arial" w:cs="Arial" w:eastAsia="Arial" w:hAnsi="Arial"/>
          <w:sz w:val="18"/>
          <w:szCs w:val="18"/>
          <w:color w:val="auto"/>
        </w:rPr>
        <w:t>” and “</w:t>
      </w:r>
      <w:r>
        <w:rPr>
          <w:rFonts w:ascii="Arial" w:cs="Arial" w:eastAsia="Arial" w:hAnsi="Arial"/>
          <w:sz w:val="18"/>
          <w:szCs w:val="18"/>
          <w:u w:val="single" w:color="auto"/>
          <w:color w:val="auto"/>
        </w:rPr>
        <w:t>Termination Date</w:t>
      </w:r>
      <w:r>
        <w:rPr>
          <w:rFonts w:ascii="Arial" w:cs="Arial" w:eastAsia="Arial" w:hAnsi="Arial"/>
          <w:sz w:val="18"/>
          <w:szCs w:val="18"/>
          <w:color w:val="auto"/>
        </w:rPr>
        <w:t>” in Section 1.01 are amended in full to read as follows:</w:t>
      </w:r>
    </w:p>
    <w:p>
      <w:pPr>
        <w:spacing w:after="0" w:line="51"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for Base Rate Advances, 0% per annum and (b) for Eurocurrency Rate Advances, as of any date, a percentage per annum determined by reference to the Public Debt Rating in effect on such date as set forth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Applicable Margin for</w:t>
            </w: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b w:val="1"/>
                <w:bCs w:val="1"/>
                <w:color w:val="auto"/>
              </w:rPr>
              <w:t>Public Debt Rating</w:t>
            </w:r>
          </w:p>
        </w:tc>
        <w:tc>
          <w:tcPr>
            <w:tcW w:w="39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Eurocurrency Rate</w:t>
            </w:r>
          </w:p>
        </w:tc>
      </w:tr>
      <w:tr>
        <w:trPr>
          <w:trHeight w:val="168"/>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S&amp;P/Moody’s</w:t>
            </w:r>
          </w:p>
        </w:tc>
        <w:tc>
          <w:tcPr>
            <w:tcW w:w="39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Advances</w:t>
            </w:r>
          </w:p>
        </w:tc>
      </w:tr>
      <w:tr>
        <w:trPr>
          <w:trHeight w:val="20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BBB+ or Baa1 or</w:t>
            </w: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above</w:t>
            </w:r>
          </w:p>
        </w:tc>
        <w:tc>
          <w:tcPr>
            <w:tcW w:w="5200" w:type="dxa"/>
            <w:vAlign w:val="bottom"/>
            <w:gridSpan w:val="2"/>
            <w:shd w:val="clear" w:color="auto" w:fill="CCEEFF"/>
          </w:tcPr>
          <w:p>
            <w:pPr>
              <w:jc w:val="center"/>
              <w:ind w:left="3812"/>
              <w:spacing w:after="0"/>
              <w:rPr>
                <w:sz w:val="20"/>
                <w:szCs w:val="20"/>
                <w:color w:val="auto"/>
              </w:rPr>
            </w:pPr>
            <w:r>
              <w:rPr>
                <w:rFonts w:ascii="Arial" w:cs="Arial" w:eastAsia="Arial" w:hAnsi="Arial"/>
                <w:sz w:val="18"/>
                <w:szCs w:val="18"/>
                <w:color w:val="auto"/>
                <w:w w:val="88"/>
              </w:rPr>
              <w:t>0.320%</w:t>
            </w:r>
          </w:p>
        </w:tc>
      </w:tr>
      <w:tr>
        <w:trPr>
          <w:trHeight w:val="208"/>
        </w:trPr>
        <w:tc>
          <w:tcPr>
            <w:tcW w:w="4380" w:type="dxa"/>
            <w:vAlign w:val="bottom"/>
          </w:tcPr>
          <w:p>
            <w:pPr>
              <w:spacing w:after="0"/>
              <w:rPr>
                <w:sz w:val="20"/>
                <w:szCs w:val="20"/>
                <w:color w:val="auto"/>
              </w:rPr>
            </w:pPr>
            <w:r>
              <w:rPr>
                <w:rFonts w:ascii="Arial" w:cs="Arial" w:eastAsia="Arial" w:hAnsi="Arial"/>
                <w:sz w:val="18"/>
                <w:szCs w:val="18"/>
                <w:color w:val="auto"/>
              </w:rPr>
              <w:t>Level 2</w:t>
            </w: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BBB or Baa2</w:t>
            </w:r>
          </w:p>
        </w:tc>
        <w:tc>
          <w:tcPr>
            <w:tcW w:w="5200" w:type="dxa"/>
            <w:vAlign w:val="bottom"/>
            <w:gridSpan w:val="2"/>
          </w:tcPr>
          <w:p>
            <w:pPr>
              <w:jc w:val="center"/>
              <w:ind w:left="3812"/>
              <w:spacing w:after="0"/>
              <w:rPr>
                <w:sz w:val="20"/>
                <w:szCs w:val="20"/>
                <w:color w:val="auto"/>
              </w:rPr>
            </w:pPr>
            <w:r>
              <w:rPr>
                <w:rFonts w:ascii="Arial" w:cs="Arial" w:eastAsia="Arial" w:hAnsi="Arial"/>
                <w:sz w:val="18"/>
                <w:szCs w:val="18"/>
                <w:color w:val="auto"/>
                <w:w w:val="88"/>
              </w:rPr>
              <w:t>0.400%</w:t>
            </w: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BBB- or Baa3</w:t>
            </w:r>
          </w:p>
        </w:tc>
        <w:tc>
          <w:tcPr>
            <w:tcW w:w="5200" w:type="dxa"/>
            <w:vAlign w:val="bottom"/>
            <w:gridSpan w:val="2"/>
            <w:shd w:val="clear" w:color="auto" w:fill="CCEEFF"/>
          </w:tcPr>
          <w:p>
            <w:pPr>
              <w:jc w:val="center"/>
              <w:ind w:left="3812"/>
              <w:spacing w:after="0"/>
              <w:rPr>
                <w:sz w:val="20"/>
                <w:szCs w:val="20"/>
                <w:color w:val="auto"/>
              </w:rPr>
            </w:pPr>
            <w:r>
              <w:rPr>
                <w:rFonts w:ascii="Arial" w:cs="Arial" w:eastAsia="Arial" w:hAnsi="Arial"/>
                <w:sz w:val="18"/>
                <w:szCs w:val="18"/>
                <w:color w:val="auto"/>
                <w:w w:val="88"/>
              </w:rPr>
              <w:t>0.500%</w:t>
            </w:r>
          </w:p>
        </w:tc>
      </w:tr>
      <w:tr>
        <w:trPr>
          <w:trHeight w:val="208"/>
        </w:trPr>
        <w:tc>
          <w:tcPr>
            <w:tcW w:w="4380" w:type="dxa"/>
            <w:vAlign w:val="bottom"/>
          </w:tcPr>
          <w:p>
            <w:pPr>
              <w:spacing w:after="0"/>
              <w:rPr>
                <w:sz w:val="20"/>
                <w:szCs w:val="20"/>
                <w:color w:val="auto"/>
              </w:rPr>
            </w:pPr>
            <w:r>
              <w:rPr>
                <w:rFonts w:ascii="Arial" w:cs="Arial" w:eastAsia="Arial" w:hAnsi="Arial"/>
                <w:sz w:val="18"/>
                <w:szCs w:val="18"/>
                <w:color w:val="auto"/>
              </w:rPr>
              <w:t>Level 4</w:t>
            </w: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BB+ or Ba1</w:t>
            </w:r>
          </w:p>
        </w:tc>
        <w:tc>
          <w:tcPr>
            <w:tcW w:w="5200" w:type="dxa"/>
            <w:vAlign w:val="bottom"/>
            <w:gridSpan w:val="2"/>
          </w:tcPr>
          <w:p>
            <w:pPr>
              <w:jc w:val="center"/>
              <w:ind w:left="3812"/>
              <w:spacing w:after="0"/>
              <w:rPr>
                <w:sz w:val="20"/>
                <w:szCs w:val="20"/>
                <w:color w:val="auto"/>
              </w:rPr>
            </w:pPr>
            <w:r>
              <w:rPr>
                <w:rFonts w:ascii="Arial" w:cs="Arial" w:eastAsia="Arial" w:hAnsi="Arial"/>
                <w:sz w:val="18"/>
                <w:szCs w:val="18"/>
                <w:color w:val="auto"/>
                <w:w w:val="88"/>
              </w:rPr>
              <w:t>0.550%</w:t>
            </w: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5</w:t>
            </w: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Lower than Level 4</w:t>
            </w:r>
          </w:p>
        </w:tc>
        <w:tc>
          <w:tcPr>
            <w:tcW w:w="5200" w:type="dxa"/>
            <w:vAlign w:val="bottom"/>
            <w:gridSpan w:val="2"/>
            <w:shd w:val="clear" w:color="auto" w:fill="CCEEFF"/>
          </w:tcPr>
          <w:p>
            <w:pPr>
              <w:jc w:val="center"/>
              <w:ind w:left="3812"/>
              <w:spacing w:after="0"/>
              <w:rPr>
                <w:sz w:val="20"/>
                <w:szCs w:val="20"/>
                <w:color w:val="auto"/>
              </w:rPr>
            </w:pPr>
            <w:r>
              <w:rPr>
                <w:rFonts w:ascii="Arial" w:cs="Arial" w:eastAsia="Arial" w:hAnsi="Arial"/>
                <w:sz w:val="18"/>
                <w:szCs w:val="18"/>
                <w:color w:val="auto"/>
                <w:w w:val="88"/>
              </w:rPr>
              <w:t>0.875%</w:t>
            </w:r>
          </w:p>
        </w:tc>
      </w:tr>
    </w:tbl>
    <w:p>
      <w:pPr>
        <w:sectPr>
          <w:pgSz w:w="11900" w:h="16838" w:orient="portrait"/>
          <w:cols w:equalWidth="0" w:num="1">
            <w:col w:w="11420"/>
          </w:cols>
          <w:pgMar w:left="240" w:top="131" w:right="239" w:bottom="1440" w:gutter="0" w:footer="0" w:header="0"/>
        </w:sectPr>
      </w:pPr>
    </w:p>
    <w:bookmarkStart w:id="59" w:name="page60"/>
    <w:bookmarkEnd w:id="59"/>
    <w:p>
      <w:pPr>
        <w:ind w:right="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Arial" w:cs="Arial" w:eastAsia="Arial" w:hAnsi="Arial"/>
                <w:sz w:val="14"/>
                <w:szCs w:val="14"/>
                <w:b w:val="1"/>
                <w:bCs w:val="1"/>
                <w:color w:val="auto"/>
              </w:rPr>
              <w:t>Public Debt Rating</w:t>
            </w:r>
          </w:p>
        </w:tc>
        <w:tc>
          <w:tcPr>
            <w:tcW w:w="4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r>
      <w:tr>
        <w:trPr>
          <w:trHeight w:val="168"/>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S&amp;P/Moody’s</w:t>
            </w:r>
          </w:p>
        </w:tc>
        <w:tc>
          <w:tcPr>
            <w:tcW w:w="4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20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4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BBB+ or Baa1 or above</w:t>
            </w:r>
          </w:p>
        </w:tc>
        <w:tc>
          <w:tcPr>
            <w:tcW w:w="4880" w:type="dxa"/>
            <w:vAlign w:val="bottom"/>
            <w:gridSpan w:val="2"/>
            <w:shd w:val="clear" w:color="auto" w:fill="CCEEFF"/>
          </w:tcPr>
          <w:p>
            <w:pPr>
              <w:jc w:val="center"/>
              <w:ind w:left="4132"/>
              <w:spacing w:after="0"/>
              <w:rPr>
                <w:sz w:val="20"/>
                <w:szCs w:val="20"/>
                <w:color w:val="auto"/>
              </w:rPr>
            </w:pPr>
            <w:r>
              <w:rPr>
                <w:rFonts w:ascii="Arial" w:cs="Arial" w:eastAsia="Arial" w:hAnsi="Arial"/>
                <w:sz w:val="18"/>
                <w:szCs w:val="18"/>
                <w:color w:val="auto"/>
                <w:w w:val="88"/>
              </w:rPr>
              <w:t>0.080%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Level 2</w:t>
            </w:r>
          </w:p>
        </w:tc>
        <w:tc>
          <w:tcPr>
            <w:tcW w:w="4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BBB or Baa2</w:t>
            </w:r>
          </w:p>
        </w:tc>
        <w:tc>
          <w:tcPr>
            <w:tcW w:w="4880" w:type="dxa"/>
            <w:vAlign w:val="bottom"/>
            <w:gridSpan w:val="2"/>
          </w:tcPr>
          <w:p>
            <w:pPr>
              <w:jc w:val="center"/>
              <w:ind w:left="4132"/>
              <w:spacing w:after="0"/>
              <w:rPr>
                <w:sz w:val="20"/>
                <w:szCs w:val="20"/>
                <w:color w:val="auto"/>
              </w:rPr>
            </w:pPr>
            <w:r>
              <w:rPr>
                <w:rFonts w:ascii="Arial" w:cs="Arial" w:eastAsia="Arial" w:hAnsi="Arial"/>
                <w:sz w:val="18"/>
                <w:szCs w:val="18"/>
                <w:color w:val="auto"/>
                <w:w w:val="88"/>
              </w:rPr>
              <w:t>0.100%</w:t>
            </w: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4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BBB- or Baa3</w:t>
            </w:r>
          </w:p>
        </w:tc>
        <w:tc>
          <w:tcPr>
            <w:tcW w:w="4880" w:type="dxa"/>
            <w:vAlign w:val="bottom"/>
            <w:gridSpan w:val="2"/>
            <w:shd w:val="clear" w:color="auto" w:fill="CCEEFF"/>
          </w:tcPr>
          <w:p>
            <w:pPr>
              <w:jc w:val="center"/>
              <w:ind w:left="4132"/>
              <w:spacing w:after="0"/>
              <w:rPr>
                <w:sz w:val="20"/>
                <w:szCs w:val="20"/>
                <w:color w:val="auto"/>
              </w:rPr>
            </w:pPr>
            <w:r>
              <w:rPr>
                <w:rFonts w:ascii="Arial" w:cs="Arial" w:eastAsia="Arial" w:hAnsi="Arial"/>
                <w:sz w:val="18"/>
                <w:szCs w:val="18"/>
                <w:color w:val="auto"/>
                <w:w w:val="88"/>
              </w:rPr>
              <w:t>0.125%</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Level 4</w:t>
            </w:r>
          </w:p>
        </w:tc>
        <w:tc>
          <w:tcPr>
            <w:tcW w:w="4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BB+ or Ba1</w:t>
            </w:r>
          </w:p>
        </w:tc>
        <w:tc>
          <w:tcPr>
            <w:tcW w:w="4880" w:type="dxa"/>
            <w:vAlign w:val="bottom"/>
            <w:gridSpan w:val="2"/>
          </w:tcPr>
          <w:p>
            <w:pPr>
              <w:jc w:val="center"/>
              <w:ind w:left="4132"/>
              <w:spacing w:after="0"/>
              <w:rPr>
                <w:sz w:val="20"/>
                <w:szCs w:val="20"/>
                <w:color w:val="auto"/>
              </w:rPr>
            </w:pPr>
            <w:r>
              <w:rPr>
                <w:rFonts w:ascii="Arial" w:cs="Arial" w:eastAsia="Arial" w:hAnsi="Arial"/>
                <w:sz w:val="18"/>
                <w:szCs w:val="18"/>
                <w:color w:val="auto"/>
                <w:w w:val="88"/>
              </w:rPr>
              <w:t>0.200%</w:t>
            </w: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Level 5</w:t>
            </w:r>
          </w:p>
        </w:tc>
        <w:tc>
          <w:tcPr>
            <w:tcW w:w="4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Lower than Level 4</w:t>
            </w:r>
          </w:p>
        </w:tc>
        <w:tc>
          <w:tcPr>
            <w:tcW w:w="4880" w:type="dxa"/>
            <w:vAlign w:val="bottom"/>
            <w:gridSpan w:val="2"/>
            <w:shd w:val="clear" w:color="auto" w:fill="CCEEFF"/>
          </w:tcPr>
          <w:p>
            <w:pPr>
              <w:jc w:val="center"/>
              <w:ind w:left="4132"/>
              <w:spacing w:after="0"/>
              <w:rPr>
                <w:sz w:val="20"/>
                <w:szCs w:val="20"/>
                <w:color w:val="auto"/>
              </w:rPr>
            </w:pPr>
            <w:r>
              <w:rPr>
                <w:rFonts w:ascii="Arial" w:cs="Arial" w:eastAsia="Arial" w:hAnsi="Arial"/>
                <w:sz w:val="18"/>
                <w:szCs w:val="18"/>
                <w:color w:val="auto"/>
                <w:w w:val="88"/>
              </w:rPr>
              <w:t>0.250%</w:t>
            </w:r>
          </w:p>
        </w:tc>
      </w:tr>
    </w:tbl>
    <w:p>
      <w:pPr>
        <w:spacing w:after="0" w:line="154"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means, as of any calendar month following a calendar month (the “preceding month”) in which the average aggregate principal amount of Advances outstanding during such preceding month exceeds 50% of the aggregate Commitments during such preceding month, a percentage per annum determined by reference to the Public Debt Rating in effect on such date as set forth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Arial" w:cs="Arial" w:eastAsia="Arial" w:hAnsi="Arial"/>
                <w:sz w:val="14"/>
                <w:szCs w:val="14"/>
                <w:b w:val="1"/>
                <w:bCs w:val="1"/>
                <w:color w:val="auto"/>
              </w:rPr>
              <w:t>Public Debt Rating</w:t>
            </w:r>
          </w:p>
        </w:tc>
        <w:tc>
          <w:tcPr>
            <w:tcW w:w="4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r>
      <w:tr>
        <w:trPr>
          <w:trHeight w:val="168"/>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S&amp;P/Moody’s</w:t>
            </w:r>
          </w:p>
        </w:tc>
        <w:tc>
          <w:tcPr>
            <w:tcW w:w="4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Utilization Fee</w:t>
            </w: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4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BBB+ or Baa1 or above</w:t>
            </w:r>
          </w:p>
        </w:tc>
        <w:tc>
          <w:tcPr>
            <w:tcW w:w="4960" w:type="dxa"/>
            <w:vAlign w:val="bottom"/>
            <w:gridSpan w:val="2"/>
            <w:shd w:val="clear" w:color="auto" w:fill="CCEEFF"/>
          </w:tcPr>
          <w:p>
            <w:pPr>
              <w:jc w:val="center"/>
              <w:ind w:left="4012"/>
              <w:spacing w:after="0"/>
              <w:rPr>
                <w:sz w:val="20"/>
                <w:szCs w:val="20"/>
                <w:color w:val="auto"/>
              </w:rPr>
            </w:pPr>
            <w:r>
              <w:rPr>
                <w:rFonts w:ascii="Arial" w:cs="Arial" w:eastAsia="Arial" w:hAnsi="Arial"/>
                <w:sz w:val="18"/>
                <w:szCs w:val="18"/>
                <w:color w:val="auto"/>
                <w:w w:val="88"/>
              </w:rPr>
              <w:t>0.100%</w:t>
            </w:r>
          </w:p>
        </w:tc>
      </w:tr>
      <w:tr>
        <w:trPr>
          <w:trHeight w:val="208"/>
        </w:trPr>
        <w:tc>
          <w:tcPr>
            <w:tcW w:w="4620" w:type="dxa"/>
            <w:vAlign w:val="bottom"/>
          </w:tcPr>
          <w:p>
            <w:pPr>
              <w:spacing w:after="0"/>
              <w:rPr>
                <w:sz w:val="20"/>
                <w:szCs w:val="20"/>
                <w:color w:val="auto"/>
              </w:rPr>
            </w:pPr>
            <w:r>
              <w:rPr>
                <w:rFonts w:ascii="Arial" w:cs="Arial" w:eastAsia="Arial" w:hAnsi="Arial"/>
                <w:sz w:val="18"/>
                <w:szCs w:val="18"/>
                <w:color w:val="auto"/>
              </w:rPr>
              <w:t>Level 2</w:t>
            </w:r>
          </w:p>
        </w:tc>
        <w:tc>
          <w:tcPr>
            <w:tcW w:w="4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BBB or Baa2</w:t>
            </w:r>
          </w:p>
        </w:tc>
        <w:tc>
          <w:tcPr>
            <w:tcW w:w="4960" w:type="dxa"/>
            <w:vAlign w:val="bottom"/>
            <w:gridSpan w:val="2"/>
          </w:tcPr>
          <w:p>
            <w:pPr>
              <w:jc w:val="center"/>
              <w:ind w:left="4012"/>
              <w:spacing w:after="0"/>
              <w:rPr>
                <w:sz w:val="20"/>
                <w:szCs w:val="20"/>
                <w:color w:val="auto"/>
              </w:rPr>
            </w:pPr>
            <w:r>
              <w:rPr>
                <w:rFonts w:ascii="Arial" w:cs="Arial" w:eastAsia="Arial" w:hAnsi="Arial"/>
                <w:sz w:val="18"/>
                <w:szCs w:val="18"/>
                <w:color w:val="auto"/>
                <w:w w:val="88"/>
              </w:rPr>
              <w:t>0.100%</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4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BBB- or Baa3</w:t>
            </w:r>
          </w:p>
        </w:tc>
        <w:tc>
          <w:tcPr>
            <w:tcW w:w="4960" w:type="dxa"/>
            <w:vAlign w:val="bottom"/>
            <w:gridSpan w:val="2"/>
            <w:shd w:val="clear" w:color="auto" w:fill="CCEEFF"/>
          </w:tcPr>
          <w:p>
            <w:pPr>
              <w:jc w:val="center"/>
              <w:ind w:left="4012"/>
              <w:spacing w:after="0"/>
              <w:rPr>
                <w:sz w:val="20"/>
                <w:szCs w:val="20"/>
                <w:color w:val="auto"/>
              </w:rPr>
            </w:pPr>
            <w:r>
              <w:rPr>
                <w:rFonts w:ascii="Arial" w:cs="Arial" w:eastAsia="Arial" w:hAnsi="Arial"/>
                <w:sz w:val="18"/>
                <w:szCs w:val="18"/>
                <w:color w:val="auto"/>
                <w:w w:val="88"/>
              </w:rPr>
              <w:t>0.125%</w:t>
            </w:r>
          </w:p>
        </w:tc>
      </w:tr>
      <w:tr>
        <w:trPr>
          <w:trHeight w:val="208"/>
        </w:trPr>
        <w:tc>
          <w:tcPr>
            <w:tcW w:w="4620" w:type="dxa"/>
            <w:vAlign w:val="bottom"/>
          </w:tcPr>
          <w:p>
            <w:pPr>
              <w:spacing w:after="0"/>
              <w:rPr>
                <w:sz w:val="20"/>
                <w:szCs w:val="20"/>
                <w:color w:val="auto"/>
              </w:rPr>
            </w:pPr>
            <w:r>
              <w:rPr>
                <w:rFonts w:ascii="Arial" w:cs="Arial" w:eastAsia="Arial" w:hAnsi="Arial"/>
                <w:sz w:val="18"/>
                <w:szCs w:val="18"/>
                <w:color w:val="auto"/>
              </w:rPr>
              <w:t>Level 4</w:t>
            </w:r>
          </w:p>
        </w:tc>
        <w:tc>
          <w:tcPr>
            <w:tcW w:w="4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BB+ or Ba1</w:t>
            </w:r>
          </w:p>
        </w:tc>
        <w:tc>
          <w:tcPr>
            <w:tcW w:w="4960" w:type="dxa"/>
            <w:vAlign w:val="bottom"/>
            <w:gridSpan w:val="2"/>
          </w:tcPr>
          <w:p>
            <w:pPr>
              <w:jc w:val="center"/>
              <w:ind w:left="4012"/>
              <w:spacing w:after="0"/>
              <w:rPr>
                <w:sz w:val="20"/>
                <w:szCs w:val="20"/>
                <w:color w:val="auto"/>
              </w:rPr>
            </w:pPr>
            <w:r>
              <w:rPr>
                <w:rFonts w:ascii="Arial" w:cs="Arial" w:eastAsia="Arial" w:hAnsi="Arial"/>
                <w:sz w:val="18"/>
                <w:szCs w:val="18"/>
                <w:color w:val="auto"/>
                <w:w w:val="88"/>
              </w:rPr>
              <w:t>0.250%</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Level 5</w:t>
            </w:r>
          </w:p>
        </w:tc>
        <w:tc>
          <w:tcPr>
            <w:tcW w:w="4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Lower than Level 4</w:t>
            </w:r>
          </w:p>
        </w:tc>
        <w:tc>
          <w:tcPr>
            <w:tcW w:w="4960" w:type="dxa"/>
            <w:vAlign w:val="bottom"/>
            <w:gridSpan w:val="2"/>
            <w:shd w:val="clear" w:color="auto" w:fill="CCEEFF"/>
          </w:tcPr>
          <w:p>
            <w:pPr>
              <w:jc w:val="center"/>
              <w:ind w:left="4012"/>
              <w:spacing w:after="0"/>
              <w:rPr>
                <w:sz w:val="20"/>
                <w:szCs w:val="20"/>
                <w:color w:val="auto"/>
              </w:rPr>
            </w:pPr>
            <w:r>
              <w:rPr>
                <w:rFonts w:ascii="Arial" w:cs="Arial" w:eastAsia="Arial" w:hAnsi="Arial"/>
                <w:sz w:val="18"/>
                <w:szCs w:val="18"/>
                <w:color w:val="auto"/>
                <w:w w:val="88"/>
              </w:rPr>
              <w:t>0.250%</w:t>
            </w:r>
          </w:p>
        </w:tc>
      </w:tr>
    </w:tbl>
    <w:p>
      <w:pPr>
        <w:spacing w:after="0" w:line="154"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October 8, 2010, and (b) the date of termination in whole of the Revolving Commitments and Letter of Credit Commitments pursuant to Section 2.06 or 6.01.</w:t>
      </w:r>
    </w:p>
    <w:p>
      <w:pPr>
        <w:spacing w:after="0" w:line="11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700" w:top="280" w:right="419" w:bottom="1440" w:gutter="0" w:footer="0" w:header="0"/>
        </w:sectPr>
      </w:pPr>
    </w:p>
    <w:bookmarkStart w:id="60" w:name="page61"/>
    <w:bookmarkEnd w:id="60"/>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5.02(f) is amended by amending clause (ii) thereof in full to read as follows:</w:t>
      </w:r>
    </w:p>
    <w:p>
      <w:pPr>
        <w:spacing w:after="0" w:line="90" w:lineRule="exact"/>
        <w:rPr>
          <w:rFonts w:ascii="Arial" w:cs="Arial" w:eastAsia="Arial" w:hAnsi="Arial"/>
          <w:sz w:val="18"/>
          <w:szCs w:val="18"/>
          <w:color w:val="auto"/>
        </w:rPr>
      </w:pPr>
    </w:p>
    <w:p>
      <w:pPr>
        <w:ind w:left="920" w:right="460" w:firstLine="421"/>
        <w:spacing w:after="0" w:line="259" w:lineRule="auto"/>
        <w:tabs>
          <w:tab w:leader="none" w:pos="15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other Debt aggregating for all of the Borrower’s Subsidiaries not more than (A) $150,000,000 at any one time drawn and outstanding during each fiscal quarter ending March 31, June 30 and December 31 in each calendar year and (B) $300,000,000 at any one time drawn and outstanding during each fiscal quarter ending September 30 in each calendar year.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This Amendment shall become effective as of the date first above written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when, and only when, the Agent shall have received counterparts of this Amendment executed by the Borrower and all of the Lenders or, as to any of the Lenders, advice satisfactory to the Agent that such Lender has executed this Amendment and the Agent shall have additionally received all of the following documents, each such document (unless otherwise specified) dated the date of receipt thereof by the Agent (unless otherwise specified) and in sufficient copies for each Lender, in form and substance satisfactory to the Agent (unless otherwise specified) and in sufficient copies for each Lender:</w:t>
      </w:r>
    </w:p>
    <w:p>
      <w:pPr>
        <w:spacing w:after="0" w:line="35" w:lineRule="exact"/>
        <w:rPr>
          <w:sz w:val="20"/>
          <w:szCs w:val="20"/>
          <w:color w:val="auto"/>
        </w:rPr>
      </w:pPr>
    </w:p>
    <w:p>
      <w:pPr>
        <w:ind w:left="1140" w:hanging="237"/>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certificate signed by a duly authorized officer of the Borrower, dated the Amendment Effective Date, stating that:</w:t>
      </w:r>
    </w:p>
    <w:p>
      <w:pPr>
        <w:spacing w:after="0" w:line="90" w:lineRule="exact"/>
        <w:rPr>
          <w:rFonts w:ascii="Arial" w:cs="Arial" w:eastAsia="Arial" w:hAnsi="Arial"/>
          <w:sz w:val="18"/>
          <w:szCs w:val="18"/>
          <w:color w:val="auto"/>
        </w:rPr>
      </w:pPr>
    </w:p>
    <w:p>
      <w:pPr>
        <w:ind w:left="920" w:right="300" w:firstLine="421"/>
        <w:spacing w:after="0" w:line="268" w:lineRule="auto"/>
        <w:tabs>
          <w:tab w:leader="none" w:pos="1549"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on and as of the Amendment Effective Date, and</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the Borrower approving this Amendment, and of all documents evidencing other necessary corporate action and governmental approvals, if any, with respect to this Amendment.</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the Borrower certifying the names and true signatures of the officers of the Borrower authorized to sign this Amendment and the other documents to be delivered hereunder.</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favorable opinion of Godfrey &amp; Kahn, S.C., counsel for the Borrower, substantially in the form of Exhibit E to the Credit Agreement and as to such other matters as any Lender Party through the Agent may reasonably request.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90" w:lineRule="exact"/>
        <w:rPr>
          <w:sz w:val="20"/>
          <w:szCs w:val="20"/>
          <w:color w:val="auto"/>
        </w:rPr>
      </w:pPr>
    </w:p>
    <w:p>
      <w:pPr>
        <w:ind w:left="1140" w:hanging="237"/>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Wisconsin.</w:t>
      </w:r>
    </w:p>
    <w:p>
      <w:pPr>
        <w:spacing w:after="0" w:line="90" w:lineRule="exact"/>
        <w:rPr>
          <w:rFonts w:ascii="Arial" w:cs="Arial" w:eastAsia="Arial" w:hAnsi="Arial"/>
          <w:sz w:val="18"/>
          <w:szCs w:val="18"/>
          <w:color w:val="auto"/>
        </w:rPr>
      </w:pPr>
    </w:p>
    <w:p>
      <w:pPr>
        <w:ind w:left="460" w:right="200" w:firstLine="443"/>
        <w:spacing w:after="0" w:line="305" w:lineRule="auto"/>
        <w:tabs>
          <w:tab w:leader="none" w:pos="1147"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this Amendment and the Credit Agreement, as amended hereby, are within the Borrower’s corporate powers, have been duly authorized by all necessary corporate action and do not contravene (i) the Borrower’s charter or by-laws or</w:t>
      </w: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law or any contractual restriction binding on or affecting the Borrower.</w:t>
      </w:r>
    </w:p>
    <w:p>
      <w:pPr>
        <w:spacing w:after="0" w:line="83"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1" w:name="page62"/>
    <w:bookmarkEnd w:id="61"/>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due execution, delivery or performance by the Borrower of this Amendment or the Credit Agreement, as amended hereby, to which it is or is to be a party.</w:t>
      </w:r>
    </w:p>
    <w:p>
      <w:pPr>
        <w:spacing w:after="0" w:line="51" w:lineRule="exact"/>
        <w:rPr>
          <w:sz w:val="20"/>
          <w:szCs w:val="20"/>
          <w:color w:val="auto"/>
        </w:rPr>
      </w:pPr>
    </w:p>
    <w:p>
      <w:pPr>
        <w:ind w:left="460" w:right="360" w:firstLine="443"/>
        <w:spacing w:after="0" w:line="332"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Amendment has been duly executed and delivered by the Borrower. This Amendment or the Credit Agreement, as amended hereby, are legal, valid and binding obligations of the Borrower, enforceable against the Borrower in accordance with their respective terms.</w:t>
      </w:r>
    </w:p>
    <w:p>
      <w:pPr>
        <w:spacing w:after="0" w:line="4" w:lineRule="exact"/>
        <w:rPr>
          <w:rFonts w:ascii="Arial" w:cs="Arial" w:eastAsia="Arial" w:hAnsi="Arial"/>
          <w:sz w:val="16"/>
          <w:szCs w:val="16"/>
          <w:color w:val="auto"/>
        </w:rPr>
      </w:pPr>
    </w:p>
    <w:p>
      <w:pPr>
        <w:jc w:val="both"/>
        <w:ind w:left="460" w:right="460" w:firstLine="443"/>
        <w:spacing w:after="0" w:line="256" w:lineRule="auto"/>
        <w:tabs>
          <w:tab w:leader="none" w:pos="11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Amendment or the Credit Agreement, as amended hereby.</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Reference to and Effect on the Credit Agreement and the Notes</w:t>
      </w:r>
      <w:r>
        <w:rPr>
          <w:rFonts w:ascii="Arial" w:cs="Arial" w:eastAsia="Arial" w:hAnsi="Arial"/>
          <w:sz w:val="18"/>
          <w:szCs w:val="18"/>
          <w:color w:val="auto"/>
        </w:rPr>
        <w:t>. (a) On and after the effectiveness of this Amendment,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Amendment.</w:t>
      </w:r>
    </w:p>
    <w:p>
      <w:pPr>
        <w:spacing w:after="0" w:line="143" w:lineRule="exact"/>
        <w:rPr>
          <w:sz w:val="20"/>
          <w:szCs w:val="20"/>
          <w:color w:val="auto"/>
        </w:rPr>
      </w:pPr>
    </w:p>
    <w:p>
      <w:pPr>
        <w:ind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Credit Agreement and the Notes, as specifically amended by this Amendment, are and shall continue to be in full force and effect and are hereby in all respects ratified and confirmed.</w:t>
      </w:r>
    </w:p>
    <w:p>
      <w:pPr>
        <w:spacing w:after="0" w:line="131" w:lineRule="exact"/>
        <w:rPr>
          <w:rFonts w:ascii="Arial" w:cs="Arial" w:eastAsia="Arial" w:hAnsi="Arial"/>
          <w:sz w:val="18"/>
          <w:szCs w:val="18"/>
          <w:color w:val="auto"/>
        </w:rPr>
      </w:pPr>
    </w:p>
    <w:p>
      <w:pPr>
        <w:ind w:right="100" w:firstLine="464"/>
        <w:spacing w:after="0" w:line="33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execution, delivery and effectiveness of this Amendment shall not, except as expressly provided herein, operate as a waiver of any right, power or remedy of any Lender or the Agent under the Credit Agreement, nor constitute a waiver of any provision of the Credit Agreement.</w:t>
      </w:r>
    </w:p>
    <w:p>
      <w:pPr>
        <w:spacing w:after="0" w:line="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agrees to pay on demand all costs and expenses of the Agent in connection with the preparation, execution, delivery and administration, modification and amendment of this Amendment and the other instruments and documents to be delivered hereunder (including, without limitation, the reasonable fees and expenses of counsel for the Agent) in accordance with the terms of Section 8.04 of the Credit Agreement.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62" w:name="page63"/>
    <w:bookmarkEnd w:id="6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laws of the State of New York.</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Lesley A. Noer</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 &amp; Treasurer</w:t>
            </w:r>
          </w:p>
        </w:tc>
      </w:tr>
      <w:tr>
        <w:trPr>
          <w:trHeight w:val="404"/>
        </w:trPr>
        <w:tc>
          <w:tcPr>
            <w:tcW w:w="4560" w:type="dxa"/>
            <w:vAlign w:val="bottom"/>
            <w:gridSpan w:val="2"/>
          </w:tcPr>
          <w:p>
            <w:pPr>
              <w:spacing w:after="0"/>
              <w:rPr>
                <w:sz w:val="20"/>
                <w:szCs w:val="20"/>
                <w:color w:val="auto"/>
              </w:rPr>
            </w:pPr>
            <w:r>
              <w:rPr>
                <w:rFonts w:ascii="Arial" w:cs="Arial" w:eastAsia="Arial" w:hAnsi="Arial"/>
                <w:sz w:val="18"/>
                <w:szCs w:val="18"/>
                <w:color w:val="auto"/>
              </w:rPr>
              <w:t>CITIBANK, N.A.,</w:t>
            </w:r>
          </w:p>
        </w:tc>
      </w:tr>
      <w:tr>
        <w:trPr>
          <w:trHeight w:val="222"/>
        </w:trPr>
        <w:tc>
          <w:tcPr>
            <w:tcW w:w="380" w:type="dxa"/>
            <w:vAlign w:val="bottom"/>
          </w:tcPr>
          <w:p>
            <w:pPr>
              <w:spacing w:after="0"/>
              <w:rPr>
                <w:sz w:val="19"/>
                <w:szCs w:val="19"/>
                <w:color w:val="auto"/>
              </w:rPr>
            </w:pPr>
          </w:p>
        </w:tc>
        <w:tc>
          <w:tcPr>
            <w:tcW w:w="4180" w:type="dxa"/>
            <w:vAlign w:val="bottom"/>
          </w:tcPr>
          <w:p>
            <w:pPr>
              <w:ind w:left="40"/>
              <w:spacing w:after="0"/>
              <w:rPr>
                <w:sz w:val="20"/>
                <w:szCs w:val="20"/>
                <w:color w:val="auto"/>
              </w:rPr>
            </w:pPr>
            <w:r>
              <w:rPr>
                <w:rFonts w:ascii="Arial" w:cs="Arial" w:eastAsia="Arial" w:hAnsi="Arial"/>
                <w:sz w:val="18"/>
                <w:szCs w:val="18"/>
                <w:color w:val="auto"/>
              </w:rPr>
              <w:t>as Agent and as Lender</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William S. Timmons,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1270</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 Vice President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WACHOVIA BANK, NATIONAL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ASSOCIATION</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[illegible]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BNP PARIBAS</w:t>
            </w:r>
          </w:p>
        </w:tc>
      </w:tr>
      <w:tr>
        <w:trPr>
          <w:trHeight w:val="43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Gaye Plunkett</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Vice-President</w:t>
            </w:r>
          </w:p>
        </w:tc>
      </w:tr>
      <w:tr>
        <w:trPr>
          <w:trHeight w:val="42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Jo Ellen Bender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1270</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 Managing 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3" w:name="page64"/>
    <w:bookmarkEnd w:id="6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(successor by merger to Bank One, NA)</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ROYAL BANK OF SCOTLAND PLC</w:t>
      </w:r>
    </w:p>
    <w:p>
      <w:pPr>
        <w:spacing w:after="0" w:line="225"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tab/>
        <w:t>/s/ Philippe Sandmeier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TOKYO-MITSUBISHI</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UFJ, LTD. CHICAGO BRANCH</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Tsuguyuki Umene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Deputy General Manager</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BANK OF AMERICA, N.A.</w:t>
            </w:r>
          </w:p>
        </w:tc>
      </w:tr>
      <w:tr>
        <w:trPr>
          <w:trHeight w:val="43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Bryan A. Smith</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BARCLAYS BANK PLC</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[illegible]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Director, North America</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CALYON NEW YORK BRANCH</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A. Philbin</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42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Lee E. Greve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Managing Director</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280" w:right="239" w:bottom="1440" w:gutter="0" w:footer="0" w:header="0"/>
        </w:sectPr>
      </w:pPr>
    </w:p>
    <w:bookmarkStart w:id="64" w:name="page65"/>
    <w:bookmarkEnd w:id="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M&amp;I MARSHALL AND ILSLEY BANK</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Leo D. Freeman</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2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Daniel A. Defnet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Vice President</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MIZUHO CORPORATE BANK, LTD.</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[illegible]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Deputy General Manager</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SOCIETE GENERALE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[illegible]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Vice President</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SUMITOMO MITSUI BANKING CORPORATION</w:t>
      </w:r>
    </w:p>
    <w:p>
      <w:pPr>
        <w:spacing w:after="0" w:line="225"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tab/>
        <w:t>/s/ Yoshihiro Hyakutome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BANCA NAZIONALE DEL LAVORO S.p.A.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Juan Cortes</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Relationship Manager</w:t>
            </w:r>
          </w:p>
        </w:tc>
      </w:tr>
      <w:tr>
        <w:trPr>
          <w:trHeight w:val="42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Francesco Di Mario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Senior Relationship Manager</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80" w:right="239" w:bottom="1440" w:gutter="0" w:footer="0" w:header="0"/>
        </w:sectPr>
      </w:pPr>
    </w:p>
    <w:bookmarkStart w:id="65" w:name="page66"/>
    <w:bookmarkEnd w:id="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NORDEA BANK FINLAND PLC, NEW YORK BRANCH</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[illegible]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SVP Credit</w:t>
            </w:r>
          </w:p>
        </w:tc>
      </w:tr>
      <w:tr>
        <w:trPr>
          <w:trHeight w:val="425"/>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[illegible]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First Vice President</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r>
      <w:tr>
        <w:trPr>
          <w:trHeight w:val="43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[illegible]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UNICREDITO ITALIANO</w:t>
            </w:r>
          </w:p>
        </w:tc>
      </w:tr>
      <w:tr>
        <w:trPr>
          <w:trHeight w:val="43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J. Eldin</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First Vice President &amp; Deputy Manager</w:t>
            </w:r>
          </w:p>
        </w:tc>
      </w:tr>
      <w:tr>
        <w:trPr>
          <w:trHeight w:val="425"/>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Charles Michael</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10"/>
        </w:trPr>
        <w:tc>
          <w:tcPr>
            <w:tcW w:w="456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Caroline V. Krider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Vice President &amp; Senior Lender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H. Halldorson</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2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Jennifer D. Barrett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Vice President &amp; Loan Team Manager</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280" w:right="239" w:bottom="1440" w:gutter="0" w:footer="0" w:header="0"/>
        </w:sectPr>
      </w:pPr>
    </w:p>
    <w:bookmarkStart w:id="66" w:name="page67"/>
    <w:bookmarkEnd w:id="6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BANCA INTESA S.p.A.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Frank Maffei</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626"/>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40"/>
              <w:spacing w:after="0"/>
              <w:rPr>
                <w:sz w:val="20"/>
                <w:szCs w:val="20"/>
                <w:color w:val="auto"/>
              </w:rPr>
            </w:pPr>
            <w:r>
              <w:rPr>
                <w:rFonts w:ascii="Arial" w:cs="Arial" w:eastAsia="Arial" w:hAnsi="Arial"/>
                <w:sz w:val="18"/>
                <w:szCs w:val="18"/>
                <w:color w:val="auto"/>
              </w:rPr>
              <w:t>/s/ Anthony F. Giobbi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1270</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 First Vice President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12.1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188.0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197.9</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548.1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522.7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347.1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305.3</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107.4</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580" w:right="200" w:hanging="579"/>
        <w:spacing w:after="0" w:line="268" w:lineRule="auto"/>
        <w:tabs>
          <w:tab w:leader="none" w:pos="5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31" w:right="239" w:bottom="1440" w:gutter="0" w:footer="0" w:header="0"/>
        </w:sectPr>
      </w:pPr>
    </w:p>
    <w:bookmarkStart w:id="68" w:name="page69"/>
    <w:bookmarkEnd w:id="68"/>
    <w:p>
      <w:pPr>
        <w:spacing w:after="0" w:line="268" w:lineRule="auto"/>
        <w:tabs>
          <w:tab w:leader="none" w:pos="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886460</wp:posOffset>
            </wp:positionH>
            <wp:positionV relativeFrom="page">
              <wp:posOffset>88900</wp:posOffset>
            </wp:positionV>
            <wp:extent cx="5797550" cy="71951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797550" cy="7195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68" w:lineRule="auto"/>
        <w:tabs>
          <w:tab w:leader="none" w:pos="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ind w:left="372" w:hanging="372"/>
        <w:spacing w:after="0"/>
        <w:tabs>
          <w:tab w:leader="none" w:pos="372"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5" w:lineRule="exact"/>
        <w:rPr>
          <w:rFonts w:ascii="Arial" w:cs="Arial" w:eastAsia="Arial" w:hAnsi="Arial"/>
          <w:sz w:val="18"/>
          <w:szCs w:val="18"/>
          <w:color w:val="auto"/>
        </w:rPr>
      </w:pPr>
    </w:p>
    <w:p>
      <w:pPr>
        <w:ind w:left="372" w:hanging="372"/>
        <w:spacing w:after="0"/>
        <w:tabs>
          <w:tab w:leader="none" w:pos="3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Editorial Section</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Corporate Social Responsibility</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Highlights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Management’s Discussion &amp; Analysis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Measures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Management Report on Internal Control Over Financial Reporting</w:t>
      </w:r>
    </w:p>
    <w:p>
      <w:pPr>
        <w:spacing w:after="0" w:line="32" w:lineRule="exact"/>
        <w:rPr>
          <w:rFonts w:ascii="Arial" w:cs="Arial" w:eastAsia="Arial" w:hAnsi="Arial"/>
          <w:sz w:val="16"/>
          <w:szCs w:val="16"/>
          <w:color w:val="auto"/>
        </w:rPr>
      </w:pPr>
    </w:p>
    <w:p>
      <w:pPr>
        <w:ind w:left="372" w:hanging="372"/>
        <w:spacing w:after="0"/>
        <w:tabs>
          <w:tab w:leader="none" w:pos="3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Shareholders’ Equity</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Selected Financial Data</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Operating Units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Corporate Information</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Power Award</w:t>
      </w:r>
    </w:p>
    <w:p>
      <w:pPr>
        <w:sectPr>
          <w:pgSz w:w="11900" w:h="16838" w:orient="portrait"/>
          <w:cols w:equalWidth="0" w:num="1">
            <w:col w:w="10211"/>
          </w:cols>
          <w:pgMar w:left="248" w:top="280"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Our Shareholders:</w:t>
      </w:r>
    </w:p>
    <w:p>
      <w:pPr>
        <w:spacing w:after="0" w:line="9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What do you do? It’s the first question anyone asks when they meet you. It’s also the question that is asked when you’re faced with a problem. In 2006, the answer to that question will be, “call Manpower.” You’ll have to read on to learn more about that. But first, I’d like to give you a glimpse back at 2005, which marked another solid year for Manpower.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Manpower team across the globe worked diligently on executing every day, while building a platform for the future. Revenues for 2005 exceeded $16 billion, a 7.7% increase in constant currency over 2004. Our profitability also increased, as our EMEA region (Europe, Middle East and Africa – excluding France) increased profitability by 37%, our U.S. group increased profitability by 39% and our Asia Pacific region increased profitability by 36% – all outstanding performances that will continue to deliver benefits for us and our shareholders in the future. Many of the operations that we have been investing in for several years started to contribute significantly to revenue growth, as well as operating profit, in 2005.</w:t>
      </w:r>
    </w:p>
    <w:p>
      <w:pPr>
        <w:spacing w:after="0" w:line="19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2005 was a particularly satisfying year, as growth came from so many different areas of the business, giving us even more energy and momentum to move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280920" cy="2761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092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CEO &amp; President</w:t>
      </w:r>
    </w:p>
    <w:p>
      <w:pPr>
        <w:sectPr>
          <w:pgSz w:w="11900" w:h="16838" w:orient="portrait"/>
          <w:cols w:equalWidth="0" w:num="1">
            <w:col w:w="11420"/>
          </w:cols>
          <w:pgMar w:left="240" w:top="274" w:right="239" w:bottom="1440" w:gutter="0" w:footer="0" w:header="0"/>
        </w:sectPr>
      </w:pPr>
    </w:p>
    <w:bookmarkStart w:id="72" w:name="page73"/>
    <w:bookmarkEnd w:id="7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improved our operating profit by 11%, to $436 million compared to last year’s $396 million. We also managed our capital effectively, increasing our free cash by 59% to $190 million and reducing our debt, bringing our debt-to-capitalization percentage from 29% to 26%. We finished the year at $260 million of net income, an 8% increase over 2004.</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2005 was a particularly satisfying year, as growth came from so many different areas of the business, giving us even more energy and momentum to move forward. The core of our business is clearly on track, with outstanding growth rates from across the world. We are seeing the continuation of a secular trend in the use of contingent staff, regardless of the geography of the world. Many countries have opened their labor laws, and many companies have opened their minds, to the concept of optimizing the talent flow required in their businesses. These trends are illustrated by growth rates like 26% in Elan, 13% in Italy, 19% in Germany, 28% in Southeast Asia and 41% in Argentina. Clearly this is an exciting time for the core part of our business – providing the world with the best talent available.</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pure secular growth in more mature markets, Manpower has made significant progress in emerging markets. Our move into China has been both well thought out and well executed. We have approached China for the long run, ensuring that our efforts continue to build on our brand and work well with the dynamics of that particular labor market. In 2005, we substantially increased our presence in China through two separate tracks: operationally and in partnership with the Chinese government. From an operational perspective, we were able to increase our revenue by 71%, doubling the number of full-time permanent placement recruiters to over 100.</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international partnership office with the Shanghai government is not only a great brand builder for us, but also is our way to contribute to development of the burgeoning labor market in Shanghai, and potentially, in other cities. It allows us to work with the government in diagnosing and assessing talent availability, creating the roadmap for training and development initiatives by both the public and private sectors. We are confident that both Manpower and the Chinese labor market will benefit from this venture.</w:t>
      </w:r>
    </w:p>
    <w:p>
      <w:pPr>
        <w:spacing w:after="0" w:line="124" w:lineRule="exact"/>
        <w:rPr>
          <w:sz w:val="20"/>
          <w:szCs w:val="20"/>
          <w:color w:val="auto"/>
        </w:rPr>
      </w:pPr>
    </w:p>
    <w:p>
      <w:pPr>
        <w:spacing w:after="0"/>
        <w:tabs>
          <w:tab w:leader="none" w:pos="5780" w:val="left"/>
          <w:tab w:leader="none" w:pos="97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b w:val="1"/>
          <w:bCs w:val="1"/>
          <w:color w:val="auto"/>
        </w:rPr>
        <w:t>Letter to Shareholders</w:t>
      </w:r>
    </w:p>
    <w:p>
      <w:pPr>
        <w:sectPr>
          <w:pgSz w:w="11900" w:h="16838" w:orient="portrait"/>
          <w:cols w:equalWidth="0" w:num="1">
            <w:col w:w="11420"/>
          </w:cols>
          <w:pgMar w:left="240" w:top="280" w:right="239" w:bottom="1440" w:gutter="0" w:footer="0" w:header="0"/>
        </w:sectPr>
      </w:pPr>
    </w:p>
    <w:bookmarkStart w:id="73" w:name="page74"/>
    <w:bookmarkEnd w:id="73"/>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also moved rapidly in the Indian market, where many of our clients have, or are planning to have, major operations. We’ve enhanced our presence dramatically in India by bringing in a new management team and improving operational execution. We’ve also expanded through a landmark joint venture with ABC Consultants, doubling our revenue in 2005 and making us the industry leader for permanent recruitment in India’s high growth sectors.</w:t>
      </w:r>
    </w:p>
    <w:p>
      <w:pPr>
        <w:spacing w:after="0" w:line="18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now have more than 2,000 dedicated permanent placement recruiters worldwide, clearly making us one of the top permanent recruiters in the world.</w:t>
      </w:r>
    </w:p>
    <w:p>
      <w:pPr>
        <w:spacing w:after="0" w:line="12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It’s not just the emerging markets that are looking at using Manpower for permanent recruitment – it’s the whole world. We have seen a structural change as companies have reorganized themselves and are creating much more of an industrial strength process to bring talent into their organizations. We have led the employment services industry in bringing permanent recruitment services to the marketplace, and we now have more than 2,000 dedicated permanent placement recruiters worldwide, clearly making us one of the top permanent recruiters in the world.</w:t>
      </w:r>
    </w:p>
    <w:p>
      <w:pPr>
        <w:spacing w:after="0" w:line="93" w:lineRule="exact"/>
        <w:rPr>
          <w:sz w:val="20"/>
          <w:szCs w:val="20"/>
          <w:color w:val="auto"/>
        </w:rPr>
      </w:pPr>
    </w:p>
    <w:p>
      <w:pPr>
        <w:spacing w:after="0"/>
        <w:tabs>
          <w:tab w:leader="none" w:pos="5780" w:val="left"/>
          <w:tab w:leader="none" w:pos="9160" w:val="left"/>
        </w:tabs>
        <w:rPr>
          <w:sz w:val="20"/>
          <w:szCs w:val="20"/>
          <w:color w:val="auto"/>
        </w:rPr>
      </w:pPr>
      <w:r>
        <w:rPr>
          <w:rFonts w:ascii="Arial" w:cs="Arial" w:eastAsia="Arial" w:hAnsi="Arial"/>
          <w:sz w:val="18"/>
          <w:szCs w:val="18"/>
          <w:b w:val="1"/>
          <w:bCs w:val="1"/>
          <w:color w:val="auto"/>
        </w:rPr>
        <w:t>Letter to Shareholders</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74" w:name="page75"/>
    <w:bookmarkEnd w:id="7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Recruitment process outsourcing also is a high-growth area for our business, giving us the unique advantage of being able to manage all of the employer’s permanent, contract and temporary employment needs, efficiently and effectively. We offer these services consistently worldwide for both large and small clients, and our client base continues to grow, particularly among our multinational clients.</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Jefferson Wells did well in 2005, bouncing off the tremendous surge in business we had in 2004 as a result of Sarbanes-Oxley. It was our goal to diversify our business mix and expand our geographic network in 2005, and we achieved this goal. We added more than 600 clients and expanded our presence within our existing client base. Sarbanes-Oxley work, which is immensely important to our business, now only comprises a third of Jefferson Wells’ total revenue, which reached an all time high of $380 million.</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in all, it was a solid year for Manpower. We were able to build on our strengths and produce results for our shareholders. But that was yesterday. Tomorrow is what really counts, and that’s where we’re focused.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21, Manpower introduced our newly refreshed brand – the first time we have changed our brand in our 58-year history.</w:t>
      </w:r>
    </w:p>
    <w:p>
      <w:pPr>
        <w:spacing w:after="0" w:line="158" w:lineRule="exact"/>
        <w:rPr>
          <w:sz w:val="20"/>
          <w:szCs w:val="20"/>
          <w:color w:val="auto"/>
        </w:rPr>
      </w:pPr>
    </w:p>
    <w:p>
      <w:pPr>
        <w:spacing w:after="0"/>
        <w:tabs>
          <w:tab w:leader="none" w:pos="5780" w:val="left"/>
          <w:tab w:leader="none" w:pos="97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5"/>
          <w:szCs w:val="15"/>
          <w:b w:val="1"/>
          <w:bCs w:val="1"/>
          <w:color w:val="auto"/>
        </w:rPr>
        <w:t>Letter to Shareholders</w:t>
      </w:r>
    </w:p>
    <w:p>
      <w:pPr>
        <w:sectPr>
          <w:pgSz w:w="11900" w:h="16838" w:orient="portrait"/>
          <w:cols w:equalWidth="0" w:num="1">
            <w:col w:w="11420"/>
          </w:cols>
          <w:pgMar w:left="240" w:top="280" w:right="239" w:bottom="1440" w:gutter="0" w:footer="0" w:header="0"/>
        </w:sectPr>
      </w:pPr>
    </w:p>
    <w:bookmarkStart w:id="75" w:name="page76"/>
    <w:bookmarkEnd w:id="75"/>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Beyond the financial performance of 2005, there is something much bigger that we have accomplished within Manpower over the past year, the culmination of a major stage in the journey that we have undertaken over the past several years. I suspect, by now, you have noticed something different about this year’s report. On February 21, Manpower introduced our newly refreshed brand – the first time we have changed our identity in our 58-year history. Our new logo, which is on the cover of this book, conveys the spirit of our new brand, which is about showing the many colors of Manpower, and the variety of services that we provide to our clients and the individuals that we help every day to find jobs and transform their careers.</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Our new five-color logo - which forms an abstract “MP” for Manpower – has been rolled out around the world on hundreds of offices and will cover the entire network by year end. The logo is also now revealed on all of our advertising and external communications, to signal a shift in Manpower and a shift in the way that we believe our stakeholders should look at the contemporary world of work.</w:t>
      </w:r>
    </w:p>
    <w:p>
      <w:pPr>
        <w:spacing w:after="0" w:line="140"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Our new tagline, as you may have guessed, is “What do you do?” People all over the world are defined, in part, by their jobs. If they’re not happy in their jobs, what do they do? They come to Manpower – 4 million of them found permanent, temporary and contract jobs with us in 2005.</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you’ve already read throughout this letter, our clients – both corporate and government – are facing tremendous challenges and changes in today’s labor markets. What do they do? They call Manpower to help them with their most difficult employment issues, to make their jobs easier, and to help them win in the changing world of work.</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new brand is about much more than a logo. It is about a company that began 58 years ago providing temporary employment to women and men in administrative and industrial positions, and has now evolved to be the acknowledged thought leader in the employment services industry, helping the world’s largest companies and governments to navigate the many challenges in today’s labor market and devise strategies that will enable them, and the individuals they represent, to succeed despite talent shortages in highly skilled positions and long-term unemployment among those with fewer skills, or skills that have become obsolete.</w:t>
      </w:r>
    </w:p>
    <w:p>
      <w:pPr>
        <w:spacing w:after="0" w:line="123" w:lineRule="exact"/>
        <w:rPr>
          <w:sz w:val="20"/>
          <w:szCs w:val="20"/>
          <w:color w:val="auto"/>
        </w:rPr>
      </w:pPr>
    </w:p>
    <w:p>
      <w:pPr>
        <w:spacing w:after="0"/>
        <w:tabs>
          <w:tab w:leader="none" w:pos="5900" w:val="left"/>
          <w:tab w:leader="none" w:pos="9160" w:val="left"/>
        </w:tabs>
        <w:rPr>
          <w:sz w:val="20"/>
          <w:szCs w:val="20"/>
          <w:color w:val="auto"/>
        </w:rPr>
      </w:pPr>
      <w:r>
        <w:rPr>
          <w:rFonts w:ascii="Arial" w:cs="Arial" w:eastAsia="Arial" w:hAnsi="Arial"/>
          <w:sz w:val="18"/>
          <w:szCs w:val="18"/>
          <w:b w:val="1"/>
          <w:bCs w:val="1"/>
          <w:color w:val="auto"/>
        </w:rPr>
        <w:t>Letter to Shareholders</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76" w:name="page77"/>
    <w:bookmarkEnd w:id="76"/>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few short years ago, we began a journey to broaden our service mix so that we could better serve both large and small clients around the world who were seeking our help on a broader range of employment issues. We have made some strategic acquisitions, and we have developed new services organically at the same time. We have transformed our client service model to enable us to deliver new services like permanent recruitment and recruitment process outsourcing without distracting from our core business of temporary and contract employment services. We have added powerful offerings to our service mix with Jefferson Wells, a leading financial services company, and Right Management, the largest career transition company in the world.</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There is still a long way to go in our journey, but we are thrilled to share our progress in a more visible way through the launch of our new brand, which marks the completion of a major milestone in the creation of today’s Manpower.</w:t>
      </w:r>
    </w:p>
    <w:p>
      <w:pPr>
        <w:spacing w:after="0" w:line="106" w:lineRule="exact"/>
        <w:rPr>
          <w:sz w:val="20"/>
          <w:szCs w:val="20"/>
          <w:color w:val="auto"/>
        </w:rPr>
      </w:pPr>
    </w:p>
    <w:p>
      <w:pPr>
        <w:spacing w:after="0"/>
        <w:tabs>
          <w:tab w:leader="none" w:pos="5780" w:val="left"/>
          <w:tab w:leader="none" w:pos="97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5"/>
          <w:szCs w:val="15"/>
          <w:b w:val="1"/>
          <w:bCs w:val="1"/>
          <w:color w:val="auto"/>
        </w:rPr>
        <w:t>Letter to Shareholders</w:t>
      </w:r>
    </w:p>
    <w:p>
      <w:pPr>
        <w:sectPr>
          <w:pgSz w:w="11900" w:h="16838" w:orient="portrait"/>
          <w:cols w:equalWidth="0" w:num="1">
            <w:col w:w="11420"/>
          </w:cols>
          <w:pgMar w:left="240" w:top="280" w:right="239" w:bottom="1440" w:gutter="0" w:footer="0" w:header="0"/>
        </w:sectPr>
      </w:pPr>
    </w:p>
    <w:bookmarkStart w:id="77" w:name="page78"/>
    <w:bookmarkEnd w:id="7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changes have required a huge effort by our talented team around the world, and we are excited to see it all coming to fruition. There is still a long way to go in our journey, but we are thrilled to share our progress in a more visible way through the launch of our new brand, which marks the completion of a major milestone in the creation of today’s Manpower.</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part of the transition to the new Manpower brand, you will see that our vision, values and strategies have been modified to align with the company that we are now, and have set our sights on being. Our vision is now: “We lead in the creation and delivery of services that enable our clients to win in the changing world of work.” Our revised business strategies have retained three areas of focus, which are Revenue, Efficiency and Organization &amp; Culture. In addition, we have added Innovation and Thought Leadership, which are central to our plan for the next stage in the Manpower journey. In the contemporary world of work, we believe it’s all about understanding what’s now and what’s next for employers and individuals, and delivering services that help both groups to succeed. Our increased focus on Innovation and Thought Leadership are intended to expand the distance between ourselves and our competitors in these two key areas, further differentiating the value proposition that we can offer to clients worldwide.</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most important aspect of our new brand is the way that it is delivered internally, through a distinct change in behavior among our team worldwide. We believe that we are the most exciting company in the industry due to the training that has been delivered to all of our employees worldwide over the past several months to feed the internal engine and enable all of us to deliver on the new brand. The training has enabled every person to understand what the brand is about, what we expect of leadership and how we expect client service to be delivered.</w:t>
      </w:r>
    </w:p>
    <w:p>
      <w:pPr>
        <w:spacing w:after="0" w:line="93" w:lineRule="exact"/>
        <w:rPr>
          <w:sz w:val="20"/>
          <w:szCs w:val="20"/>
          <w:color w:val="auto"/>
        </w:rPr>
      </w:pPr>
    </w:p>
    <w:p>
      <w:pPr>
        <w:spacing w:after="0"/>
        <w:tabs>
          <w:tab w:leader="none" w:pos="5660" w:val="left"/>
          <w:tab w:leader="none" w:pos="9160" w:val="left"/>
        </w:tabs>
        <w:rPr>
          <w:sz w:val="20"/>
          <w:szCs w:val="20"/>
          <w:color w:val="auto"/>
        </w:rPr>
      </w:pPr>
      <w:r>
        <w:rPr>
          <w:rFonts w:ascii="Arial" w:cs="Arial" w:eastAsia="Arial" w:hAnsi="Arial"/>
          <w:sz w:val="18"/>
          <w:szCs w:val="18"/>
          <w:b w:val="1"/>
          <w:bCs w:val="1"/>
          <w:color w:val="auto"/>
        </w:rPr>
        <w:t>Letter to Shareholders</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lead in the creation and delivery of services that enable our clients to win in the changing world of work.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Thank you to our shareholders for trusting in us to deliver a superior value proposition in our market and a superior return on your investment. I would also like to express my sincere appreciation to Lord Dennis Stevenson, who has retired from our Board of Directors after 18 years of providing us with his advice and counsel. Most of all, I thank our 27,000 employees for their passion for the business, commitment to serving our clients and dedication to helping over 4 million people to find permanent, temporary and contract jobs in 2005.</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journey continues…and the best is yet to 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252220" cy="643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522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CEO &amp;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2006</w:t>
      </w:r>
    </w:p>
    <w:p>
      <w:pPr>
        <w:spacing w:after="0" w:line="145" w:lineRule="exact"/>
        <w:rPr>
          <w:sz w:val="20"/>
          <w:szCs w:val="20"/>
          <w:color w:val="auto"/>
        </w:rPr>
      </w:pPr>
    </w:p>
    <w:p>
      <w:pPr>
        <w:spacing w:after="0"/>
        <w:tabs>
          <w:tab w:leader="none" w:pos="5780" w:val="left"/>
          <w:tab w:leader="none" w:pos="97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5"/>
          <w:szCs w:val="15"/>
          <w:b w:val="1"/>
          <w:bCs w:val="1"/>
          <w:color w:val="auto"/>
        </w:rPr>
        <w:t>Letter to Shareholders</w:t>
      </w:r>
    </w:p>
    <w:p>
      <w:pPr>
        <w:sectPr>
          <w:pgSz w:w="11900" w:h="16838" w:orient="portrait"/>
          <w:cols w:equalWidth="0" w:num="1">
            <w:col w:w="11420"/>
          </w:cols>
          <w:pgMar w:left="240" w:top="274" w:right="239" w:bottom="1440" w:gutter="0" w:footer="0" w:header="0"/>
        </w:sectPr>
      </w:pPr>
    </w:p>
    <w:bookmarkStart w:id="79" w:name="page80"/>
    <w:bookmarkEnd w:id="79"/>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9551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tabs>
          <w:tab w:leader="none" w:pos="5780" w:val="left"/>
          <w:tab w:leader="none" w:pos="9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Supply Demand</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There are millions of people around the world without adequate employment to support their families. At the same time, employers are having difficulty finding qualified individuals to fill their highly skilled positions. The challenge lies not in a lack of people, but rather in a growing lack of people with the right skills in the right place for the jobs that are available.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Million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U.S. Bureau of Labor Statistics estimates that by 2012 there will be 3.3 million fewer workers than jobs available due to the large number of Baby Boomers headed for retirement. Add to this the fact that technological advances and other factors are causing most jobs to require training and/or education beyond high school graduation, and you begin to see the magnitude of the coming gap between jobs and the talent available to fill them. These issues are even more pronounced in emerging markets. Manpower has been working with clients and governments for many years to develop strategies and programs that will enable them to overcome the emerging talent deficit. We anticipate that demand for our consulting services will continue to rise as these needs become more visible to a larger portion of the employer population.</w:t>
      </w:r>
    </w:p>
    <w:p>
      <w:pPr>
        <w:sectPr>
          <w:pgSz w:w="11900" w:h="16838" w:orient="portrait"/>
          <w:cols w:equalWidth="0" w:num="1">
            <w:col w:w="11320"/>
          </w:cols>
          <w:pgMar w:left="240" w:top="274" w:right="339" w:bottom="1440" w:gutter="0" w:footer="0" w:header="0"/>
        </w:sectPr>
      </w:pPr>
    </w:p>
    <w:bookmarkStart w:id="87" w:name="page88"/>
    <w:bookmarkEnd w:id="87"/>
    <w:p>
      <w:pPr>
        <w:spacing w:after="0" w:line="29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9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9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Insource Outsource</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When employers look to simplify and streamline their businesses, Manpower plays a strategic role in helping them to identify which processes to maintain in-house and which to outsource.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Simplify</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plays an important role in partnering with our clients to identify how we can help them streamline their operations to gain efficiency and increase focus where it is needed. Whether we are providing all of the staff for a particular department or project, including the managers, or completely outsourcing the recruitment process for all of their permanent, temporary and contract employees, our clients know that outsourcing to Manpower makes their jobs easier…and that makes a big difference to them.</w:t>
      </w:r>
    </w:p>
    <w:p>
      <w:pPr>
        <w:sectPr>
          <w:pgSz w:w="11900" w:h="16838" w:orient="portrait"/>
          <w:cols w:equalWidth="0" w:num="1">
            <w:col w:w="11200"/>
          </w:cols>
          <w:pgMar w:left="240" w:top="274" w:right="459" w:bottom="1440" w:gutter="0" w:footer="0" w:header="0"/>
        </w:sectPr>
      </w:pPr>
    </w:p>
    <w:bookmarkStart w:id="91" w:name="page92"/>
    <w:bookmarkEnd w:id="91"/>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Mix Match</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Any recruiter can find a person to put in a job. At Manpower, we focus on finding the right individual for the environment, the job itself, and the supervisor to whom they will report. We strive to match attributes like the individual’s attitude, ability to learn and work as part of a team, rather than just the results of their skills test.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Million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2005, Manpower provided permanent, temporary and contract jobs to 4 million people across 72 countries and territories. These individuals work both part-time and full-time in professional, administrative or industrial positions for employers both large and small. The variety of candidates and clients that we serve enables us the flexibility to match the right person to the right opportunity. Our proprietary Predictable Performance System and our wide array of psychometric tests have long been the industry benchmark for quality recruitment outcomes, and our ability to administer most of our assessments online provides added speed and convenience for both our clients and our candidates.</w:t>
      </w:r>
    </w:p>
    <w:p>
      <w:pPr>
        <w:sectPr>
          <w:pgSz w:w="11900" w:h="16838" w:orient="portrait"/>
          <w:cols w:equalWidth="0" w:num="1">
            <w:col w:w="11340"/>
          </w:cols>
          <w:pgMar w:left="240" w:top="274" w:right="319" w:bottom="1440" w:gutter="0" w:footer="0" w:header="0"/>
        </w:sectPr>
      </w:pPr>
    </w:p>
    <w:bookmarkStart w:id="95" w:name="page96"/>
    <w:bookmarkEnd w:id="95"/>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Question Answer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other company in the world has more experience and more expertise in navigating the constantly changing world of work. As the speed of change continues to accelerate, this knowledge leadership is increasingly important to our clients and the people who work for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45,000 Employers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More than 45,000 employers across 24 countries and territories talk to Manpower every quarter to share their hiring plans for the coming quarter, as well as their insights and experience with the latest employment trends. This insight enables Manpower to develop strategies that help employers overcome challenges before others are even aware that a trend is emerging.</w:t>
      </w:r>
    </w:p>
    <w:p>
      <w:pPr>
        <w:sectPr>
          <w:pgSz w:w="11900" w:h="16838" w:orient="portrait"/>
          <w:cols w:equalWidth="0" w:num="1">
            <w:col w:w="11420"/>
          </w:cols>
          <w:pgMar w:left="240" w:top="274" w:right="239" w:bottom="1440" w:gutter="0" w:footer="0" w:header="0"/>
        </w:sectPr>
      </w:pPr>
    </w:p>
    <w:bookmarkStart w:id="99" w:name="page100"/>
    <w:bookmarkEnd w:id="9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ind w:right="3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Restoring Hope </w:t>
      </w:r>
      <w:r>
        <w:rPr>
          <w:rFonts w:ascii="Arial" w:cs="Arial" w:eastAsia="Arial" w:hAnsi="Arial"/>
          <w:sz w:val="18"/>
          <w:szCs w:val="18"/>
          <w:color w:val="auto"/>
        </w:rPr>
        <w:t>2005 was a year marked with tremendous natural disasters, from the Asian tsunami to hurricanes, floods and earthquakes that rocked the</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of many people’s lives around the world. Beyond the loss of life and property that we all witnessed through the daily news, was the destruction of many jobs and careers. In many cases, the primary wage earner may have been lost, or their former place of employment no longer exists. A job is never so important as when you have lost everything and need to start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624455" cy="3721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2445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Manpower determined that the best way for us to help was to find immediate jobs for those who needed them in order to feed their families, and to begin building toward better tomorrows in the most devastated region within our network. As a result, we have opened two new vocational training centers in Tamil Nadu, India and, with our partners at Hope International, we are already providing new opportunities for 350 individuals in this tsunami-ravaged region to obtain the training they need to begin family-supporting jobs and move forward with their lives. Our goal is to sustain the program for 15 years, with nearly 1,000 people being trained each year. The program also includes self-help groups that will create at least 70 small businesses for women in Tharangambadi.</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course, we have also continued our focus on workforce development programs for disadvantaged individuals, providing training and jobs to many thousands of long-term unemployed and disabled individuals through our operations all around the world. Many of the programs that we have developed to provide a bridge to employment for these individuals are built on partnerships with non-governmental organizations, government labor ministries and other companies that share our dedication to employment for all individuals who are willing and able to work. The power of teamwork that we gain through these partnerships enables us to increase our impact immeasurably.</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27,000 employees take great pride in our ability to play a role in helping so many people to find work, and hope, every year, and we continue to make great strides through our collective dedication to doing good things for our communities while we do well for our shareholders.</w:t>
      </w:r>
    </w:p>
    <w:p>
      <w:pPr>
        <w:sectPr>
          <w:pgSz w:w="11900" w:h="16838" w:orient="portrait"/>
          <w:cols w:equalWidth="0" w:num="1">
            <w:col w:w="11380"/>
          </w:cols>
          <w:pgMar w:left="240" w:top="274" w:right="279" w:bottom="1440" w:gutter="0" w:footer="0" w:header="0"/>
        </w:sectPr>
      </w:pPr>
    </w:p>
    <w:bookmarkStart w:id="101" w:name="page102"/>
    <w:bookmarkEnd w:id="101"/>
    <w:p>
      <w:pPr>
        <w:spacing w:after="0" w:line="3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118110</wp:posOffset>
            </wp:positionV>
            <wp:extent cx="5042535" cy="4347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42535" cy="434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hanging="452"/>
        <w:spacing w:after="0" w:line="272" w:lineRule="auto"/>
        <w:tabs>
          <w:tab w:leader="none" w:pos="460" w:val="left"/>
        </w:tabs>
        <w:numPr>
          <w:ilvl w:val="0"/>
          <w:numId w:val="79"/>
        </w:numPr>
        <w:rPr>
          <w:rFonts w:ascii="Arial" w:cs="Arial" w:eastAsia="Arial" w:hAnsi="Arial"/>
          <w:sz w:val="20"/>
          <w:szCs w:val="20"/>
          <w:color w:val="auto"/>
          <w:vertAlign w:val="superscript"/>
        </w:rPr>
      </w:pPr>
      <w:r>
        <w:rPr>
          <w:rFonts w:ascii="Arial" w:cs="Arial" w:eastAsia="Arial" w:hAnsi="Arial"/>
          <w:sz w:val="16"/>
          <w:szCs w:val="16"/>
          <w:color w:val="auto"/>
        </w:rPr>
        <w:t>Revenues from Services include fees received from our franchise offices of $28.1 million, $25.8 million, $26.5 million, $34.5 million and $35.8 million for 2001, 2002, 2003, 2004, and 2005, respectively. These fees are primarily based on revenues generated by the franchise operations, which were $1,323.4 million, $1,179.8 million, $1,214.4 million, $1,487.1 million and $1,510.7 million for 2001, 2002, 2003, 2004, and 2005, respectively.</w:t>
      </w:r>
    </w:p>
    <w:p>
      <w:pPr>
        <w:spacing w:after="0" w:line="51" w:lineRule="exact"/>
        <w:rPr>
          <w:rFonts w:ascii="Arial" w:cs="Arial" w:eastAsia="Arial" w:hAnsi="Arial"/>
          <w:sz w:val="20"/>
          <w:szCs w:val="20"/>
          <w:color w:val="auto"/>
          <w:vertAlign w:val="superscript"/>
        </w:rPr>
      </w:pPr>
    </w:p>
    <w:p>
      <w:pPr>
        <w:jc w:val="both"/>
        <w:ind w:left="460" w:right="140"/>
        <w:spacing w:after="0" w:line="256" w:lineRule="auto"/>
        <w:rPr>
          <w:rFonts w:ascii="Arial" w:cs="Arial" w:eastAsia="Arial" w:hAnsi="Arial"/>
          <w:sz w:val="20"/>
          <w:szCs w:val="20"/>
          <w:color w:val="auto"/>
          <w:vertAlign w:val="superscript"/>
        </w:rPr>
      </w:pPr>
      <w:r>
        <w:rPr>
          <w:rFonts w:ascii="Arial" w:cs="Arial" w:eastAsia="Arial" w:hAnsi="Arial"/>
          <w:sz w:val="18"/>
          <w:szCs w:val="18"/>
          <w:color w:val="auto"/>
        </w:rPr>
        <w:t>In the United States, where the majority of our franchises operate, Revenues from Services include fees received from the related franchise operations of $24.1 million, $21.7 million, $21.9 million, $25.0 million and $24.9 million for 2001, 2002, 2003, 2004, and 2005, respectively. These fees are primarily based on revenues generated by the franchise operations, which were $1,135.5 million, $1,015.8 million, $1,026.2 million, $1,181.5 million and $1,196.9 million for 2001, 2002, 2003, 2004, and 2005, respectively.</w:t>
      </w:r>
    </w:p>
    <w:p>
      <w:pPr>
        <w:spacing w:after="0" w:line="31" w:lineRule="exact"/>
        <w:rPr>
          <w:rFonts w:ascii="Arial" w:cs="Arial" w:eastAsia="Arial" w:hAnsi="Arial"/>
          <w:sz w:val="20"/>
          <w:szCs w:val="20"/>
          <w:color w:val="auto"/>
          <w:vertAlign w:val="superscript"/>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Systemwide Offices represents our branch offices plus the offices operating under a franchise agreement with us.</w:t>
      </w:r>
    </w:p>
    <w:p>
      <w:pPr>
        <w:spacing w:after="0" w:line="74" w:lineRule="exact"/>
        <w:rPr>
          <w:rFonts w:ascii="Arial" w:cs="Arial" w:eastAsia="Arial" w:hAnsi="Arial"/>
          <w:sz w:val="22"/>
          <w:szCs w:val="22"/>
          <w:color w:val="auto"/>
          <w:vertAlign w:val="superscript"/>
        </w:rPr>
      </w:pPr>
    </w:p>
    <w:p>
      <w:pPr>
        <w:ind w:left="460" w:right="320" w:hanging="452"/>
        <w:spacing w:after="0" w:line="228" w:lineRule="auto"/>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On January 1, 2002, we adopted SFAS No. 142, “Goodwill and Other Intangible Assets,” which prohibits the amortization of goodwill and identifiable intangible assets with an indefinite life.</w:t>
      </w:r>
    </w:p>
    <w:p>
      <w:pPr>
        <w:sectPr>
          <w:pgSz w:w="11900" w:h="16838" w:orient="portrait"/>
          <w:cols w:equalWidth="0" w:num="1">
            <w:col w:w="11380"/>
          </w:cols>
          <w:pgMar w:left="240" w:top="274"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Manpower Inc. is a world leader in the employment services industry. Our global network of over 4,400 offices in 72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Manpower Inc.’s five major brands – Manpower, Manpower Professional, Elan, Jefferson Wells and Right Management – provide a comprehensive range of services for the entire employment and business cycle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88900</wp:posOffset>
            </wp:positionV>
            <wp:extent cx="2383790" cy="16294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8379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Permanent, temporary and contract recruitment – We find the best people for all types of jobs and industries at both the staff and professional levels.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Employee assessment and selection – We ensure candidates are thoroughly screened and evaluated, which means a better fit between the client and the employee and higher employee retention rates.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Training – We offer a wide choice of training and development solutions that help our employees, associates, and clients’ workforces to keep their skills up to date in the ever-changing world of work.</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Outplacement – We provide a positive way for employees who no longer fit the organization to transition out, obtain additional skills and find new employment elsewhere.</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Outsourcing – We are one of the largest providers of recruitment process outsourcing in the employment services industry, enabling our clients to outsource the entire recruitment process for permanent and contingent staff to us, so they can focus on other areas of human resources.</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Consulting – We offer a wide range of consulting expertise including: human resources consulting, research and diagnostics, benchmarking, talent architecture, outplacement and organizational consulting.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but balanced business mix allows us to mitigate the cyclical effects of the national economies in which we operate.</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2005, we employed more than four million associates who work to help our more than 400,000 clients meet their business objectives. Seasoned professionals, laborers, mothers returning to work, elderly persons wanting to supplement pensions and disabled individuals – all turn to Manpower and Manpower Professional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96" w:lineRule="exact"/>
        <w:rPr>
          <w:sz w:val="20"/>
          <w:szCs w:val="20"/>
          <w:color w:val="auto"/>
        </w:rPr>
      </w:pPr>
    </w:p>
    <w:p>
      <w:pPr>
        <w:spacing w:after="0"/>
        <w:tabs>
          <w:tab w:leader="none" w:pos="582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in the employment services industry itself.</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best-recognized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career transition services accelerates.</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 Due to our industry’s dependence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growth trends. Based upon these anticipated trends, we determine whether additional personnel and office investments are necessary to take full advantage of growth opportunities.</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staffing business is organized and managed primarily on a geographic basis, and Jefferson Wells and Right Management are operated as separate global business units. Each country and business unit primarily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Jefferson Wells; Right Management; and Other Operations.</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Jefferson Wells’ revenues are derived from services related to internal controls, tax operations and finance operations. Right Management revenues are derived from career transition (outplacement) services and organizational consulting. Segment revenues represent sales to external customers. Due to the nature of our business, we generally do not have export or intersegment sales. We provide services to a wide variety of customers, none of which individually comprise a significant portion of revenue for us as a whole and by segment, except for Jefferson Wells, where approximately 13% of Jefferson Wells’ revenues for 2005 were generated from providing services to one customer.</w:t>
      </w:r>
    </w:p>
    <w:p>
      <w:pPr>
        <w:spacing w:after="0" w:line="99" w:lineRule="exact"/>
        <w:rPr>
          <w:sz w:val="20"/>
          <w:szCs w:val="20"/>
          <w:color w:val="auto"/>
        </w:rPr>
      </w:pPr>
    </w:p>
    <w:p>
      <w:pPr>
        <w:spacing w:after="0"/>
        <w:tabs>
          <w:tab w:leader="none" w:pos="56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Measures – Constant Currency and Organic Constant Currency</w:t>
      </w:r>
    </w:p>
    <w:p>
      <w:pPr>
        <w:spacing w:after="0" w:line="9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Changes in our revenues and operating profits include the impact of changes in foreign currency exchange rates and acquisitions and dispositions. We use the non-GAAP financial measures “constant currency” and “organic constant currency” calculations in this annual report to remove the impact of these items. We typically express year-over-year variances that are calculated in constant currency and organic constant currency as a percentage.</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utilize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2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 Acquisitions and dispositions impact our reported results and can distort the reported trends in our financial results. Therefore, we believe it is more meaningful to present trend information without the impact of acquisitions and dispositions.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pages 41 and 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Years ended December 31, 2005, 2004 and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 2005 compared to 2004</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Revenues from Services increased 7.7% to $16.1 billion. Revenues were not significantly impacted by changes in foreign currency exchange rates during the period as revenues also increased 7.7% in constant currency. Excluding the impact of an acquisition in the fourth quarter of 2005 and a disposition made in the third quarter of 2004, revenues increased 7.9%, or 7.8% on an organic constant currency basis. This growth rate is a result of improving economic conditions and increased demand for our services in many of our markets, including France, EMEA, and Other Operations, where revenues increased 6.1%, 10.7%, and 14.5%, respectively, on a constant currency basis.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Gross Profit increased 5.8% to $2.9 billion in 2005. In constant currency, Gross Profit increased 5.7%. The Gross Profit Margin decreased 40 basis points (0.4%) to 18.3% in 2005 from 18.7% in 2004. This decline in Gross Profit Margin is primarily due to the following (along with the impact of each on consolidated Gross Profit Margin): margin declines in EMEA staffing (-0.24%) and France (-0.12%) due to pricing pressures in these markets; and Jefferson Wells (-0.10%) due to lower staff utilizations; partially offset by a 30.1% increase in permanent recruitment fees (+0.17%).</w:t>
      </w:r>
    </w:p>
    <w:p>
      <w:pPr>
        <w:spacing w:after="0" w:line="11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Selling and Administrative Expenses increased 5.0% during 2005 or 4.9% in constant currency. This increase is primarily in response to the increase in business volume and reflects investments made in the permanent recruitment business and in new office office openings in France, EMEA and Japan. As a percent of revenues, Selling and Administrative Expenses were 15.6% in 2005 compared to 16.0% in 2004, an improvement of 40 basis points (0.4%). This improvement reflects a combination of cost control efforts and productivity gains as most expense components have increased at a lower rate than revenue growth.</w:t>
      </w:r>
    </w:p>
    <w:p>
      <w:pPr>
        <w:spacing w:after="0" w:line="98"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Operating Profit increased 10.3% over 2004, with an Operating Profit Margin of 2.7%, the same as in 2004. The Operating Profit Margin reflects the favorable impact of the cost control efforts and productivity gains, offset by the decline in Gross Profit Margin. On a constant currency basis, Operating Profit increased 10.9%. Excluding acquisitions and dispositions Operating Profit increased 10.0%, or 10.6% on an organic constant currency basis.</w:t>
      </w:r>
    </w:p>
    <w:p>
      <w:pPr>
        <w:spacing w:after="0" w:line="87" w:lineRule="exact"/>
        <w:rPr>
          <w:sz w:val="20"/>
          <w:szCs w:val="20"/>
          <w:color w:val="auto"/>
        </w:rPr>
      </w:pPr>
    </w:p>
    <w:p>
      <w:pPr>
        <w:spacing w:after="0"/>
        <w:tabs>
          <w:tab w:leader="none" w:pos="582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 total, Interest and Other Expenses increased $15.5 million in 2005 from 2004. Net Interest Expense was $36.9 million in 2005 compared to $36.0 million in 2004. This increase is primarily due to higher average interest rates on our borrowings. Foreign exchange gains and losses primarily result from intercompany transactions between our foreign subsidiaries and the United States. There were minimal gains in 2005 compared to $1.6 million in 2004. Miscellaneous Expense (Income), Net, consists of bank fees and other non-operating expenses and, in 2005, was expense of $4.9 million compared to income of $8.1 million in 2004. Included in 2005 is a $2.6 million non-operating gain related to an equity investment we sold in the fourth quarter. Proceeds from this transaction will be received in the first quarter of 2006. The income in 2004 includes non-operating gains of $14.2 million ($0.11 per diluted share), primarily related to the sale of our equity interest in a European internet job board during the first quarter of 2004. Net proceeds from this transaction were $29.8 million.</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provided for income taxes at a rate of 34.1% in 2005 and 33.5% in 2004. The 2005 rate is lower than the U.S. Federal statutory rate of 35% due primarily to the reversal of $14.4 million of valuation allowances, as a result of certain internal corporate restructurings and transactions that were completed in the fourth quarter, offset by higher foreign income taxes. Included in the 2004 rate is the impact of the non-operating gains, the reversal of an $8.0 million tax contingency reserve and a reversal of $16.7 million of valuation allowances as a result of certain internal corporate restructurings and transactions completed during 2004.</w:t>
      </w:r>
    </w:p>
    <w:p>
      <w:pPr>
        <w:spacing w:after="0" w:line="11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Earnings Per Share – Diluted increased 10.8% to $2.87 in 2005 compared to $2.59 in 2004. In constant currency, Net Earnings Per Share – Diluted increased 11.6%. Foreign currency exchange rates negatively impacted Net Earnings Per Share – Diluted by approximately $0.02 in 2005. Net Earnings Per Share – Basic was $2.95 in 2005 compared to $2.76 in 2004.</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Weighted-Average Shares – Diluted were 91.1 million in 2005 and 96.8 million in 2004. This decline is primarily a result of the redemption of our Zero Coupon Convertible Debentures in March 2005 and the repurchase of 5.3 million shares of our common stock during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January 31, 2006, we received the final approval from the Swedish Competition Authorities and sold a non-core payroll processing business in Sweden.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Currently, we expect a pre-tax gain of approximately $28.2 million related to this sale which will be recorded in the first quarter of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 2004 compared to 2003</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Revenues from Services increased 22.5% to $14.9 billion. Revenues were favorably impacted by changes in foreign currency exchange rates during the period due to the weakening of the U.S. Dollar relative to the currencies in most of our non-U.S. markets. In constant currency, revenues increased 14.1%. Revenues were also favorably impacted by acquisitions, primarily the acquisition of Right Management. Revenues increased 19.2% excluding acquisitions or 10.9% on an organic constant currency basis. This organic constant currency growth rate is a result of improving economic conditions and increased demand for our services in all of our major markets, particularly EMEA and Jefferson Wells, where revenues increased 18.0% and 149.6% respectively, on a constant currency basis.</w:t>
      </w:r>
    </w:p>
    <w:p>
      <w:pPr>
        <w:spacing w:after="0" w:line="96" w:lineRule="exact"/>
        <w:rPr>
          <w:sz w:val="20"/>
          <w:szCs w:val="20"/>
          <w:color w:val="auto"/>
        </w:rPr>
      </w:pPr>
    </w:p>
    <w:p>
      <w:pPr>
        <w:spacing w:after="0"/>
        <w:tabs>
          <w:tab w:leader="none" w:pos="56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07" w:name="page108"/>
    <w:bookmarkEnd w:id="107"/>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increased 30.5% to $2.8 billion in 2004. The Gross Profit Margin increased 120 basis points (1.2%) to 18.7% in 2004 from 17.5% in 2003. Gross Profit growth from acquisitions, primarily Right Management, was approximately $220 million, which favorably impacted the Gross Profit Margin by 100 basis points (1.0%). Excluding acquisitions, Gross Profit Margin was 17. 7% in 2004, an increase of 20 basis points (0.2%) over the Gross Profit Margin of 17.5% in 2003. This improvement is a result of the change in the mix of services provided, toward those with higher gross profit margins. Approximately one-half of this improvement is due to the relatively higher growth at Jefferson Wells, with the remaining improvement the result of an increase in our permanent placement business, particularly in the EMEA and the Other Operations segments. While we saw Gross Profit Margin improvement in our temporary staffing business in several markets, this improvement was offset by decreases in others due to increased social costs, including increased U.S. workers’ compensation costs and state unemployment taxes.</w:t>
      </w:r>
    </w:p>
    <w:p>
      <w:pPr>
        <w:spacing w:after="0" w:line="14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and Administrative Expenses increased 27.3% during 2004 or 19.1% in constant currency. This increase is primarily in response to the increase in business volume and the impact of acquisitions, including the intangible asset amortization of $12.3 million in 2004 resulting from the Right Management acquisition. Excluding the impact of acquisitions, these expenses increased 16.6%, or 8.9% on an organic constant currency basis. As a percent of revenues, Selling and Administrative Expenses were 16.0% in 2004 compared to 15.4% in 2003. This ratio is impacted by the acquisition of Right Management, because Right Management has a different cost structure than our existing business. Excluding acquisitions, Selling and Administrative Expenses were 15.1% of revenues in 2004, an improvement of 30 basis points (0.3%) from 2003. This improvement reflects continued productivity gains in conjunction with the revenue growth, as we were able to leverage our office network.</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Profit increased 53.5% over 2003, with an Operating Profit Margin of 2.7% in 2004 compared to 2.1% in 2003. On a constant currency basis, Operating Profit increased 43.0%. Excluding the impact of acquisitions, Operating Profit increased 46.0%, or 35.7% on an organic constant currency basis in 2004. Operating Profit Margin, excluding acquisitions, improved to 2.6% in 2004 compared to 2.1% in 2003. This improvement in Operating Profit Margin is due to the increase in Gross Profit Margin coupled with the productivity gains.</w:t>
      </w:r>
    </w:p>
    <w:p>
      <w:pPr>
        <w:spacing w:after="0" w:line="14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 total, Interest and Other Expense decreased $9.5 million in 2004 from 2003. Net Interest Expense was $36.0 million in 2004 compared to $33.4 million in 2003. This increase is primarily due to increased interest rates and the impact of higher exchange rates on our Euro-denominated interest expense, offset by higher interest income. Foreign exchange gains and losses primarily result from intercompany transactions between our foreign subsidiaries and the United States. Such gains were $1.6 million and $1.3 million in 2004 and 2003, respectively. Miscellaneous Expense (Income), Net, was income of $8.1 million in 2004 compared to expense of $3.7 million in 2003. The income in 2004 includes non-operating gains of $14.2 million ($0.11 per diluted share), primarily related to the sale of our equity interest in a European internet job board during the first quarter of 2004. Net proceeds from this transaction were $29.8 million.</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provided for income taxes at a rate of 33.5% in 2004 and 38.0% in 2003. Included in the 2004 rate is the impact of the non-operating gains recorded in the first quarter and the reversal of an $8.0 million tax contingency reserve in the third quarter. Excluding these items, our rate for 2004 would have been 36.0%. This rate is higher than the U.S. Federal statutory rate of 35% due to higher foreign income tax rates and $9.5 million of taxes recorded on the unremitted earnings of foreign subsidiaries, offset by the tax benefits, including the reversal of $16.7 million of valuation allowances, of certain internal corporate restructurings and transactions.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Earnings Per Share – Diluted increased 53.3% to $2.59 in 2004 compared to $1.69 in 2003. In constant currency, Net Earnings Per Share – Diluted increased 45.0%. The higher foreign currency exchange rates positively impacted Net Earnings Per Share – Diluted by approximately $0.14 in 2004. Net Earnings Per Share – Basic was $2.76 in 2004 compared to $1.77 in 2003.</w:t>
      </w:r>
    </w:p>
    <w:p>
      <w:pPr>
        <w:spacing w:after="0" w:line="121" w:lineRule="exact"/>
        <w:rPr>
          <w:sz w:val="20"/>
          <w:szCs w:val="20"/>
          <w:color w:val="auto"/>
        </w:rPr>
      </w:pPr>
    </w:p>
    <w:p>
      <w:pPr>
        <w:spacing w:after="0"/>
        <w:tabs>
          <w:tab w:leader="none" w:pos="582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U.S. – </w:t>
      </w:r>
      <w:r>
        <w:rPr>
          <w:rFonts w:ascii="Arial" w:cs="Arial" w:eastAsia="Arial" w:hAnsi="Arial"/>
          <w:sz w:val="18"/>
          <w:szCs w:val="18"/>
          <w:color w:val="auto"/>
        </w:rPr>
        <w:t>The United States operation is comprised of 572 Company-owned branch offices and 344 stand alone franchise offices. Revenues in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sales of services by our Company-owned branch offices and fees from our franchise operations. Revenues for the year were $2.0 billion, an increase of 0.4%, and include franchise fees of $24.9 million. Franchise fees are primarily based on revenues generated by the franchise network, which were $1.2 billion in 2005. Excluding the impact of Transpersonnel, our truck driving operation that was disposed of in the second quarter of 2004, revenues increased 1.3% in 2005 compared to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95885</wp:posOffset>
            </wp:positionV>
            <wp:extent cx="2400935" cy="17240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0093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 growth in the United States was modest in the first nine months of the year, excluding the impact of dispositions in 2004, and then accelerated to 3.2% in the fourth quarter. Revenues from the placement of light industrial and industrial skilled workers, which account for about 59% of our United States revenues, declined for the first half of the year, followed by improving growth rates in the third and fourth quarters. Revenues from the placement of our office skilled workers started the year with year-over-year declines, but trended up during the year, ending with a 13% growth in the fourth quarter.</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Gross Profit Margin increased compared to the prior year due to higher average bill rates, an increase in permanent recruitment and outsourcing revenue, and decreases in employment-related costs such as workers’ compensation.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Selling and Administrative Expenses trended favorably downward 3.2% during the year primarily related to lower office related costs. This cost reduction reflects strong gains in productivity and our ability to better utilize excess capacity across our U.S. branch office network.</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Operating Unit Profit for the year increased by 39.3% to $68.7 million. Our Operating Unit Profit Margin increased to 3.4% of revenues from 2.4% of revenues in 2004, due to the increase in Gross Profit Margin coupled with the decrease in Selling &amp; Administrative Expenses. Operating Unit Profit Margin showed improvement each quarter. For the definition of Operating Unit Profit refer to note 15 of the consolidated financial statements.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France – </w:t>
      </w:r>
      <w:r>
        <w:rPr>
          <w:rFonts w:ascii="Arial" w:cs="Arial" w:eastAsia="Arial" w:hAnsi="Arial"/>
          <w:sz w:val="18"/>
          <w:szCs w:val="18"/>
          <w:color w:val="auto"/>
        </w:rPr>
        <w:t>Revenues in France increased 5.8% to $5.5 billion. In Euro, French revenues increased 6.1% to €4.5 billion. The majority of this revenue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reflects volume increases as hourly bill rates for Manpower France increased 2 – 3% during the year. Revenue growth trends improved slightly during the year, with growth of 4.6% in the first quarter and 6.9% in the fourth quarter, in Euro.</w:t>
      </w:r>
    </w:p>
    <w:p>
      <w:pPr>
        <w:spacing w:after="0" w:line="1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Gross Profit Margins declined compared to the prior year primarily due to increasing price competition from both large and small competitors. In 2005, we recorded a favorable adjustment of $9.0 million related to the settlement of a payroll tax audit, and in 2004, we recorded an unfavorable adjustment of $12.8 million related to our estimated liability for social program remittances.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94615</wp:posOffset>
            </wp:positionV>
            <wp:extent cx="2392680" cy="16376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9268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09" w:name="page110"/>
    <w:bookmarkEnd w:id="10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and Administrative Expenses increased 7.2% from 2004 due primarily to investments made in the permanent recruitment business and in new offices, as well as the $6.9 million of non-recurring costs recorded in the fourth quarter, primarily related to reorganization charges. During 2005, we added over 150 permanent recruiters and 56 new offices.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Unit Profit was $166.5 million, a decrease of 6.9% from the prior year. Operating Unit Profit Margin was 3.0%, a decrease from 3.4% in 2004. This decrease primarily reflects the decline in Gross Profit Margin levels partially offset by productivity improvements. Operating Unit Profit was favorably impacted in 2005 by $2.1 million, as a result of the payroll tax audit settlement and the reorganization charges, and was unfavorably impacted in 2004 by the adjustment for social program remittances.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 new law in France ended the French Job Center’s (ANPE’s) control of the placement of the unemployed. As a result of this law change, companies that provide temporary staffing were allowed to also offer permanent recruitment services beginning January 1, 2005. We expect these services will have a long-term benefit for our French business, but they did not have a significant impact on current results due to investments required to grow this service line.</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EMEA – </w:t>
      </w:r>
      <w:r>
        <w:rPr>
          <w:rFonts w:ascii="Arial" w:cs="Arial" w:eastAsia="Arial" w:hAnsi="Arial"/>
          <w:sz w:val="18"/>
          <w:szCs w:val="18"/>
          <w:color w:val="auto"/>
        </w:rPr>
        <w:t>The EMEA region includes our operations in Europe, the Middle East and Africa (excluding France), which covers a total of 18 countries delivering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through approximately 1,500 offices. In addition to employment services delivered under the Manpower brand, this region also includes Elan, which is a leading IT recruitment, staffing and managed services firm operating across 17 countries in the region, and Brook Street, which provides general staffing and recruitment services in the United Kingdom.</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Geographically, the largest operations in this segment are the U.K., the Nordics, Italy, and Germany which comprise 24%, 18%, 16%, and 8% of EMEA revenues, respectively. Elan comprises 12% of EMEA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88900</wp:posOffset>
            </wp:positionV>
            <wp:extent cx="2400935" cy="16554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0093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Revenues in EMEA increased 10.2% in 2005 to $5.6 billion, or 10.7% in constant currency. Constant currency revenue growth accelerated in the first half of the year, declined to 6.7% in the third quarter and then accelerated to 10.9% in the fourth quarter. Fueling this strong revenue growth were investments in new offices, implementation of effective sales initiatives and an increase in permanent recruitment and outsourcing revenues. Revenue growth improved at most entities in the region, with significant local currency growth coming from Elan (+25.9%), Germany (+18.8%), Belgium (+16.2%), Spain (+15.0%), and Italy (+13.3%), offset by flat revenues at Manpower in the U.K. and declining revenues at Brook Street (-9.2%).</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Gross Profit Margin decreased from the prior year due to competitive pricing pressure in certain markets and changing business mix, as countries with lower gross profit margins grew faster than countries with relatively higher gross profit margins, partially offset by the favorable impact of growth in permanent recruitment and consulting fees.</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Selling and Administrative Expenses increased 4.1%, or 4.3% in constant currency. Expenses were well controlled as we were able to achieve significant productivity gains by leveraging our existing office infrastructure. We achieved these productivity gains despite the investments needed to support the revenue growth.</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Unit Profit was $153.9 million, an increase of 33.7%, or 36.6% in constant currency. The Operating Unit Profit Margin increased to 2.7% from 2.3% in 2004, reflecting the significant productivity gains.</w:t>
      </w:r>
    </w:p>
    <w:p>
      <w:pPr>
        <w:spacing w:after="0" w:line="112"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b w:val="1"/>
          <w:bCs w:val="1"/>
          <w:i w:val="1"/>
          <w:iCs w:val="1"/>
          <w:color w:val="auto"/>
        </w:rPr>
        <w:t xml:space="preserve">Jefferson Wells – </w:t>
      </w:r>
      <w:r>
        <w:rPr>
          <w:rFonts w:ascii="Arial" w:cs="Arial" w:eastAsia="Arial" w:hAnsi="Arial"/>
          <w:sz w:val="18"/>
          <w:szCs w:val="18"/>
          <w:color w:val="auto"/>
        </w:rPr>
        <w:t>Jefferson Wells provides highly skilled project personnel along three primary business lines – internal controls, tax operations and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Our services are provided through 48 offices, which include major United States metropolitan markets, Toronto and certain European cities. The majority of employees assigned by Jefferson Wells are full-time company employees and therefore employee utilization is a significant factor in determining Gross Profit Margins.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increased during the year, to $386.2 million from $340.6 million in 2004. Revenue growth was experienced in the first half of the year, with a slight decline in the third and fourth quarters due to the significant amount of Sarbanes-Oxley related control services in the third and fourth quarter of 2004 when most companies were completing their initial documentation and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94615</wp:posOffset>
            </wp:positionV>
            <wp:extent cx="2400935" cy="16376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0093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Margins have declined from the prior year level primarily due to lower utilization of permanent staff.</w:t>
      </w:r>
    </w:p>
    <w:p>
      <w:pPr>
        <w:spacing w:after="0" w:line="17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Selling and Administrative Expenses increased by 22.5% as we continued to invest in infrastructure, new offices and additional personnel to support the expansion of the business.</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Operating Unit Profit was $33.3 million, or 8.6% of revenue, compared to $51.4 million, or 15.1% of revenue in 2004. This decrease in Operating Unit Profit Margin is attributable to the decline in Gross Profit Margin coupled with the increase in Selling and Administrative Expenses.</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 xml:space="preserve">Right Management – </w:t>
      </w:r>
      <w:r>
        <w:rPr>
          <w:rFonts w:ascii="Arial" w:cs="Arial" w:eastAsia="Arial" w:hAnsi="Arial"/>
          <w:sz w:val="16"/>
          <w:szCs w:val="16"/>
          <w:color w:val="auto"/>
        </w:rPr>
        <w:t>On January 22, 2004, we completed our exchange offer to acquire Right Management, the world’s largest career transition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organizational consulting services firm, operating through approximately 250 offices in 35 countries. The results of Right Management’s operations are included in our consolidated financial statements since that date. With the acquisition of Right Management, we have expanded the range of services that we offer to customers as a strategic partner through every stage of the employment cycle. We have merged our Empower operations into Right Management, and the results of the combined entity are reported as the Right Management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78740</wp:posOffset>
            </wp:positionV>
            <wp:extent cx="2392680" cy="1637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9268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Revenues decreased during the year to $405.9 million, from $431.1 million in 2004. This decrease is primarily the result of lower demand for career transition services, as economies in major markets continue to improve. In constant currency, Right Management revenues showed decline throughout the year. After a 12.0% revenue decline in the second quarter, revenue trends improved slightly and ended the year down 5.4% in the fourth quarter.</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Gross Profit Margins have declined slightly as a result of changes in the mix of business between outplacement and consulting services, as well as continued pricing pressure within the outplacement business.</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Selling and Administrative Expenses decreased by 7.8% due to reduced personnel and office expenses in response to the slowing revenue levels. Expenses include $4.0 million of severance costs, $2.0 million of which was recorded in the fourth quarter.</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Operating Unit Profit was $24.5 million, equal to 2004, but decreased 4.7% in constant currency. The Operating Unit Profit Margin increased to 6.0% in 2005 from 5.7%, reflecting the decrease in expenses.</w:t>
      </w:r>
    </w:p>
    <w:p>
      <w:pPr>
        <w:spacing w:after="0" w:line="112"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11" w:name="page112"/>
    <w:bookmarkEnd w:id="111"/>
    <w:p>
      <w:pPr>
        <w:ind w:right="320"/>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Operations – </w:t>
      </w:r>
      <w:r>
        <w:rPr>
          <w:rFonts w:ascii="Arial" w:cs="Arial" w:eastAsia="Arial" w:hAnsi="Arial"/>
          <w:sz w:val="16"/>
          <w:szCs w:val="16"/>
          <w:color w:val="auto"/>
        </w:rPr>
        <w:t>The Other Operations segment includes our operations in the Asia Pacific region, Canada, Mexico and South America, delivering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510 offices. Our largest country operation within this segment is Japan, which accounts for 40% of the segment’s revenues.</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Revenues in the region improved 16.4% to $2.1 billion, or 14.5% in constant currency. Excluding acquisitions and dispositions, revenues increased 14.6%. This strong constant currency revenue growth was fueled by South America (+46.5%), Southeast Asia (+28.4%), Mexico (+24.0%), and Japan (+7.9%). Constant currency revenue growth trends were fairly consistent throughout the year, declining slightly to 12.3% growth in the fourth quarter from a high of 15.9%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96520</wp:posOffset>
            </wp:positionV>
            <wp:extent cx="2383790" cy="16465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8379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Gross Profit Margin improved slightly in the region primarily due to an increase in permanent recruitment fees. This improvement was partially offset by a decline in Gross Profit Margin in Japan, as increases in social costs were not fully recovered through higher bill rates.</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Selling and Administrative Expenses increased 16.2%, reflecting increased investments in 19 new offices in the segment and additional personnel to support further revenue growth.</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Unit Profit increased 34.1% to $61.7 million, or 31.8% in constant currency. The Operating Unit Profit Margin increased to 2.9% compared to 2.5% in 2004, primarily due to the increase in Gross Profit Margin.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Measures – Constant Currency and Organic Constant Currency Reconciliation</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Certain constant currency and organic constant currency percent variances are discussed throughout this annual report. A reconciliation to the percent variances calculated based on our annual financial results is provided below. (See Constant Currency on page 35 for further information.)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Impact 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5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Organic</w:t>
            </w:r>
          </w:p>
        </w:tc>
      </w:tr>
      <w:tr>
        <w:trPr>
          <w:trHeight w:val="149"/>
        </w:trPr>
        <w:tc>
          <w:tcPr>
            <w:tcW w:w="518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Reported</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Variance in</w:t>
            </w:r>
          </w:p>
        </w:tc>
        <w:tc>
          <w:tcPr>
            <w:tcW w:w="28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Dispositions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b w:val="1"/>
                <w:bCs w:val="1"/>
                <w:color w:val="auto"/>
              </w:rPr>
              <w:t>Amounts represent 2005</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Reported</w:t>
            </w: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Impact of</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Constant</w:t>
            </w:r>
          </w:p>
        </w:tc>
        <w:tc>
          <w:tcPr>
            <w:tcW w:w="28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r>
      <w:tr>
        <w:trPr>
          <w:trHeight w:val="161"/>
        </w:trPr>
        <w:tc>
          <w:tcPr>
            <w:tcW w:w="5180" w:type="dxa"/>
            <w:vAlign w:val="bottom"/>
          </w:tcPr>
          <w:p>
            <w:pPr>
              <w:spacing w:after="0"/>
              <w:rPr>
                <w:sz w:val="20"/>
                <w:szCs w:val="20"/>
                <w:color w:val="auto"/>
              </w:rPr>
            </w:pPr>
            <w:r>
              <w:rPr>
                <w:rFonts w:ascii="Arial" w:cs="Arial" w:eastAsia="Arial" w:hAnsi="Arial"/>
                <w:sz w:val="14"/>
                <w:szCs w:val="14"/>
                <w:b w:val="1"/>
                <w:bCs w:val="1"/>
                <w:color w:val="auto"/>
              </w:rPr>
              <w:t>Percentages represent 2005 compared to 2004</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 millions)</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Variance</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Currency</w:t>
            </w:r>
          </w:p>
        </w:tc>
        <w:tc>
          <w:tcPr>
            <w:tcW w:w="28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from Services</w:t>
            </w: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United States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$ 2,048.3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5,532.0</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EMEA</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5,604.8</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386.2</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Right Management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405.9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r>
      <w:tr>
        <w:trPr>
          <w:trHeight w:val="221"/>
        </w:trPr>
        <w:tc>
          <w:tcPr>
            <w:tcW w:w="5180" w:type="dxa"/>
            <w:vAlign w:val="bottom"/>
          </w:tcPr>
          <w:p>
            <w:pPr>
              <w:spacing w:after="0"/>
              <w:rPr>
                <w:sz w:val="20"/>
                <w:szCs w:val="20"/>
                <w:color w:val="auto"/>
              </w:rPr>
            </w:pPr>
            <w:r>
              <w:rPr>
                <w:rFonts w:ascii="Arial" w:cs="Arial" w:eastAsia="Arial" w:hAnsi="Arial"/>
                <w:sz w:val="18"/>
                <w:szCs w:val="18"/>
                <w:color w:val="auto"/>
              </w:rPr>
              <w:t>Manpower Inc.</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16,080.4</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 Manpower Inc.</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2,948.6</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Operating Unit Profit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68.7</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France</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166.5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Jefferson Wells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(35.2)</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Operations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61.7</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34.1</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Manpower Inc.</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436.5</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r>
      <w:tr>
        <w:trPr>
          <w:trHeight w:val="363"/>
        </w:trPr>
        <w:tc>
          <w:tcPr>
            <w:tcW w:w="5180" w:type="dxa"/>
            <w:vAlign w:val="bottom"/>
          </w:tcPr>
          <w:p>
            <w:pPr>
              <w:spacing w:after="0"/>
              <w:rPr>
                <w:sz w:val="20"/>
                <w:szCs w:val="20"/>
                <w:color w:val="auto"/>
              </w:rPr>
            </w:pPr>
            <w:r>
              <w:rPr>
                <w:rFonts w:ascii="Arial" w:cs="Arial" w:eastAsia="Arial" w:hAnsi="Arial"/>
                <w:sz w:val="18"/>
                <w:szCs w:val="18"/>
                <w:b w:val="1"/>
                <w:bCs w:val="1"/>
                <w:color w:val="auto"/>
              </w:rPr>
              <w:t>Management’s Discussion &amp; Analysis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color w:val="auto"/>
                <w:w w:val="90"/>
              </w:rPr>
              <w:t>Manpower 2005 Annual Report</w:t>
            </w:r>
          </w:p>
        </w:tc>
      </w:tr>
    </w:tbl>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Impact 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Organic</w:t>
            </w:r>
          </w:p>
        </w:tc>
      </w:tr>
      <w:tr>
        <w:trPr>
          <w:trHeight w:val="149"/>
        </w:trPr>
        <w:tc>
          <w:tcPr>
            <w:tcW w:w="50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Variance in</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Dispositions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Amounts represent 2004</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Reported</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Impact of</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Constant</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r>
      <w:tr>
        <w:trPr>
          <w:trHeight w:val="161"/>
        </w:trPr>
        <w:tc>
          <w:tcPr>
            <w:tcW w:w="5080" w:type="dxa"/>
            <w:vAlign w:val="bottom"/>
          </w:tcPr>
          <w:p>
            <w:pPr>
              <w:spacing w:after="0"/>
              <w:rPr>
                <w:sz w:val="20"/>
                <w:szCs w:val="20"/>
                <w:color w:val="auto"/>
              </w:rPr>
            </w:pPr>
            <w:r>
              <w:rPr>
                <w:rFonts w:ascii="Arial" w:cs="Arial" w:eastAsia="Arial" w:hAnsi="Arial"/>
                <w:sz w:val="14"/>
                <w:szCs w:val="14"/>
                <w:b w:val="1"/>
                <w:bCs w:val="1"/>
                <w:color w:val="auto"/>
              </w:rPr>
              <w:t>Percentages represent 2004 compared to 2003</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Variance</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Currency</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Currency</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from Services</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United States</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$ 2,041.1</w:t>
            </w:r>
          </w:p>
        </w:tc>
        <w:tc>
          <w:tcPr>
            <w:tcW w:w="1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EMEA</w:t>
            </w:r>
          </w:p>
        </w:tc>
        <w:tc>
          <w:tcPr>
            <w:tcW w:w="700" w:type="dxa"/>
            <w:vAlign w:val="bottom"/>
          </w:tcPr>
          <w:p>
            <w:pPr>
              <w:jc w:val="right"/>
              <w:spacing w:after="0"/>
              <w:rPr>
                <w:sz w:val="20"/>
                <w:szCs w:val="20"/>
                <w:color w:val="auto"/>
              </w:rPr>
            </w:pPr>
            <w:r>
              <w:rPr>
                <w:rFonts w:ascii="Arial" w:cs="Arial" w:eastAsia="Arial" w:hAnsi="Arial"/>
                <w:sz w:val="18"/>
                <w:szCs w:val="18"/>
                <w:color w:val="auto"/>
              </w:rPr>
              <w:t>5,084.3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Right Management</w:t>
            </w:r>
          </w:p>
        </w:tc>
        <w:tc>
          <w:tcPr>
            <w:tcW w:w="700" w:type="dxa"/>
            <w:vAlign w:val="bottom"/>
          </w:tcPr>
          <w:p>
            <w:pPr>
              <w:jc w:val="right"/>
              <w:spacing w:after="0"/>
              <w:rPr>
                <w:sz w:val="20"/>
                <w:szCs w:val="20"/>
                <w:color w:val="auto"/>
              </w:rPr>
            </w:pPr>
            <w:r>
              <w:rPr>
                <w:rFonts w:ascii="Arial" w:cs="Arial" w:eastAsia="Arial" w:hAnsi="Arial"/>
                <w:sz w:val="18"/>
                <w:szCs w:val="18"/>
                <w:color w:val="auto"/>
              </w:rPr>
              <w:t>431.1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8"/>
                <w:szCs w:val="18"/>
                <w:color w:val="auto"/>
              </w:rPr>
              <w:t>Manpower Inc.</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14,930.0</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 Manpower Inc.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Unit Profit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France</w:t>
            </w:r>
          </w:p>
        </w:tc>
        <w:tc>
          <w:tcPr>
            <w:tcW w:w="700" w:type="dxa"/>
            <w:vAlign w:val="bottom"/>
          </w:tcPr>
          <w:p>
            <w:pPr>
              <w:jc w:val="right"/>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(2.8)</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Jefferson Wells</w:t>
            </w:r>
          </w:p>
        </w:tc>
        <w:tc>
          <w:tcPr>
            <w:tcW w:w="70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 (a)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Manpower Inc.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r>
    </w:tbl>
    <w:p>
      <w:pPr>
        <w:spacing w:after="0" w:line="73" w:lineRule="exact"/>
        <w:rPr>
          <w:sz w:val="20"/>
          <w:szCs w:val="20"/>
          <w:color w:val="auto"/>
        </w:rPr>
      </w:pPr>
    </w:p>
    <w:p>
      <w:pPr>
        <w:ind w:left="460" w:right="10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the operations of Right Management, since its acquisition in January 2004, and the Empower Group. Since Right Management comprises most of this segment, the year-over-year variances in 2004 are not meaningful and have been excluded from the above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principal ongoing cash needs are to finance working capital, capital expenditures, debt payments, share repurchases, and acquisitions. Working capital is primarily in the form of trade receivables, which generally increase as revenues increase. The amount of financing necessary to support revenue growth depends on receivables turnover, which differs in each market in which we operate.</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2005, cash provided by operating activities was $267.1 million, compared to $187.4 million for 2004 and $223.4 million for 2003. The change in 2005 from 2004 is due primarily to the higher earnings level in 2005, coupled with the $49.1 million impact of changes in deferred taxes resulting in lower current tax payments related to 2005.</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Accounts receivable decreased to $3,208.2 million as of December 31, 2005 from $3,227.8 million as of December 31, 2004. This decrease is due primarily to changes in foreign currency exchange rates, offset by increased business volumes. At constant exchange rates, the 2005 Accounts Receivable balance would have been approximately $356 million higher than reported. Days Sales Outstanding (“DSO”) remained relatively stable during 2005, increasing slightly from 2004. The impact on DSO as a result of the changing mix of accounts receivable by country was minimal in 2005.</w:t>
      </w:r>
    </w:p>
    <w:p>
      <w:pPr>
        <w:spacing w:after="0" w:line="93"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13" w:name="page114"/>
    <w:bookmarkEnd w:id="1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 were $77.6 million, $67.9 million and $55.5 million during 2005, 2004 and 2003, respectively. These expenditures were primarily comprised of purchases of computer equipment, office furniture and other costs related to office openings and refurbishments, as well as capitalized software costs of $6.5 million, $2.7 million and $8.2 million in 2005, 2004 and 2003,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acquire and invest in companies throughout the world, including U.S. franchises. The total cash consideration for such transactions was</w:t>
      </w:r>
    </w:p>
    <w:p>
      <w:pPr>
        <w:spacing w:after="0" w:line="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$12.9 million, $117.3 million and $6.7 million, in 2005, 2004 and 2003, respectively. The 2004 amount included the payment of acquisition-related costs and the $123.8 million repayment of Right Management’s long-term debt that we were required to make due to change of control provisions contained in the agreements. Cash acquired of approximately $39.5 million offset these payments. We financed the acquisition-related costs and the debt repayment with excess cash and borrowings under our U.S. Receivables Facility, which were repaid in 2004. In 2003, in addition to the cash consideration, we acquired ownership interests in certain U.S. franchises in exchange for approximately 13,000 shares of our common stock which had an aggregate market value of $0.7 million at the dates of acquisition.</w:t>
      </w:r>
    </w:p>
    <w:p>
      <w:pPr>
        <w:spacing w:after="0" w:line="14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January 22, 2004, we completed our exchange offer to acquire Right Management for $630.6 million. The purchase price included the issuance of 8,852,000 shares of our common stock valued at $48.40 per share ($428.4 million); the fair value of options to purchase 1,962,000 shares of our common stock that resulted from our assuming both of Right Management’s stock option plans ($59.5 million); the repayment of Right Management’s long-term debt ($123.8 million); the payment of acquisition-related costs, net of tax ($11.5 million); a severance payment and accelerated vesting of Right Management’s Supplemental Executive Retirement Plan, net of tax ($6.0 million); and other items ($1.4 million). (See note 2 to our consolidated financial statements for further information.)</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debt repayments were $31.8 million for 2005, compared to borrowings of $5.7 million for 2004, and repayments of $84.5 million for 2003. We use excess cash to pay down borrowings under various facilities when appropriate.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October 2004, the Board of Directors authorized the repurchase of 5.0 million shares of our common stock, not to exceed a total purchase price of $250.0 million. In October 2005, the Board of Directors authorized the repurchase of an additional 5.0 million shares of our common stock, not to exceed a total purchase price of $250.0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During the first half of 2005, we repurchased the entire 5.0 million shares of common stock at a total cost of $203.5 million under the 2004 authorization and during the fourth quarter we purchased 300,000 shares under the 2005 authorization at a total cost of $14.1 million. There were no share repurchases in 2004 and 2003.</w:t>
      </w:r>
    </w:p>
    <w:p>
      <w:pPr>
        <w:spacing w:after="0" w:line="14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each of 2005, 2004 and 2003, the Board of Directors declared two cash dividends for a total of $0.47, $0.30 and $0.20 per share, respectively. Our total dividend payments were $41.2 million, $27.1 million and $15.6 million in 2005, 2004 and 2003, respectively.</w:t>
      </w:r>
    </w:p>
    <w:p>
      <w:pPr>
        <w:spacing w:after="0" w:line="112"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We have aggregate commitments of $1,669.9 million related to debt repayments, operating leases, severances and office closure costs, and certain other commitments,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2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376.7</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113.2</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Severances and other office closure costs</w:t>
            </w: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r>
        <w:trPr>
          <w:trHeight w:val="222"/>
        </w:trPr>
        <w:tc>
          <w:tcPr>
            <w:tcW w:w="7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175.2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105.8</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199.9</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529.4</w:t>
            </w:r>
          </w:p>
        </w:tc>
      </w:tr>
      <w:tr>
        <w:trPr>
          <w:trHeight w:val="20"/>
        </w:trPr>
        <w:tc>
          <w:tcPr>
            <w:tcW w:w="7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long-term debt repayments reflect the change in maturity of the $625.0 million revolving credit agreement as a result of the amendment effective January 2006. (See Capital Resources for additional information about this amendment.) These debt repayments also include interest payments.</w:t>
      </w:r>
    </w:p>
    <w:p>
      <w:pPr>
        <w:spacing w:after="0" w:line="8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connection with the acquisition of Right Management, we established reserves for severance and other office closure costs, related to streamlining Right Management’s worldwide operations, that totaled $24.5 million. As of December 31, 2005, approximately $19.4 million has been paid from these reserves, of which $11.6 million was paid in 2005. As of December 31, 2005 there was approximately $5.1 million remaining to be paid from these reserves, primarily representing future operating lease expenditures.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2005, we have recorded a total of $15.3 million in France and $4.0 million at Right Management for severance costs related to reorganization in both segments. Of the $15.3 million in France, $1.3 million was paid in 2005 and the remaining $14.0 million will be paid in 2006. The full $4.0 million recognized at Right Management was paid in 2005.</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$128.6 million and $115.3 million as of December 31, 2005 and 2004, respectively ($41.0 million and $37.6 million for guarantees, respectively, and $87.6 million and $77.7 million for stand-by letters of credit, respectively). Guarantees primarily relate to debt facilities and bank accounts. The stand-by letters of credit relate to workers’ compensation and debt facilities.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Total capitalization as of December 31, 2005 was $2,881.6 million, comprised of $735.0 million in debt and $2,146.6 million in equity. Debt as a percentage of total capitalization was 26% as of December 31, 2005 compared to 29% as of December 31, 2004. This decrease is primarily a result of the lower debt level due to the net repayment of debt during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94615</wp:posOffset>
            </wp:positionV>
            <wp:extent cx="2418080" cy="127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1808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February 28, 2005, we elected to call our Zero Coupon Convertible Debentures due August 17, 2021 (the “Debentures”) at a redemption price of $613.99 per $1,000 of principal amount at maturity of the Debentures. Under the Indenture relating to the Debentures, the Debentures could be converted at a conversion rate of 13.9559 shares of Manpower common stock per $1,000 of principal amount at maturity of Debentures, at the option of the debenture holders.</w:t>
      </w:r>
    </w:p>
    <w:p>
      <w:pPr>
        <w:spacing w:after="0" w:line="87"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15" w:name="page116"/>
    <w:bookmarkEnd w:id="11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March 30, 2005, the Debentures were redeemed, and of the $435.2 million principal amount at maturity of Debentures, $336.4 million principal amount at maturity was redeemed for an aggregate cash payment of $206.6 million and $98.8 million principal amount at maturity ($60.6 million in accreted value) was converted into 1,378,670 shares of Manpower common stock. These shares were issued from Treasury Stock at the average price per treasury share, which totaled $41.4 million. The remaining $19.2 million was recorded as Capital in Excess of Par Value. The cash payment was financed through borrowings under our U.S. Receivables Facility ($187.0 million) and our revolving credit agreement ($20.0 million), both of which were repaid during 2005.</w:t>
      </w:r>
    </w:p>
    <w:p>
      <w:pPr>
        <w:spacing w:after="0" w:line="1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Our 150.0 million notes ($198.4 million), due March 2005, were retired on March 7, 2005, with available cash. In September 2002, we entered into derivative financial instruments to swap these notes to floating U.S. LIBOR, which expired concurrently with the notes. Cash received from settlement of the foreign currency component of these derivative financial instruments was approximately $50.7 million, resulting in a net repayment of $147.7 million related to the 150.0 million notes and is reflected in cash flows from financing activities on the consolidated statements of cash flows.</w:t>
      </w:r>
    </w:p>
    <w:p>
      <w:pPr>
        <w:spacing w:after="0" w:line="11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On June 1, 2005, we offered and sold 300.0 million aggregate principal amount of 4.50% notes due June 1, 2012 (the “ 300.0 million Notes”). Net proceeds of approximately 297.7 million ($372.3 million) were used to repay a portion of the outstanding indebtedness under our revolving credit facility and U.S. Receivables Facility, to fund our share repurchase program, and for general corporate purposes. The 300.0 million Notes were issued at a price of 99.518% to yield an effective interest rate of 4.58%. The discount of 1.4 million ($1.8 million) will be amortized to interest expense over the term of the notes. Interest is payable annually on June 1. The 300.0 million Notes are unsecured senior obligations and rank equally with all of our existing and future senior unsecured debt and other liabilities. We may redeem the 300.0 million Notes, in whole but not in part, at our option at any time for a redemption price as defined in the agreement. These notes also contain certain customary restrictive covenants and events of default.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200.0 million in unsecured notes due July 2006, at 5.63%. We plan to either refinance these notes with existing facilities or with a new debt issuance, or retire them with available cash, when they come due.</w:t>
      </w:r>
    </w:p>
    <w:p>
      <w:pPr>
        <w:spacing w:after="0" w:line="132"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Our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Income. (See Significant Matters Affecting Results of Operations and notes 7 and 13 to the consolidated financial statements for further information.)</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 $625.0 million revolving credit agreement (the “agreement”) with a syndicate of commercial banks. The revolving credit agreement allows for borrowings in various currencies and up to $150.0 million may be used for the issuance of standby letters of credit. Outstanding letters of credit issued under the agreement totaled $85.8 million and $77.7 million as of December 31, 2005 and 2004, respectively. Additional borrowings of $420.7 million were available to us under this revolving credit agreement as of December 31, 2005.</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January 2006, the agreement was amended (the “amended agreement”) to extend the expiration date to October 2010, from October 2009, and to revise the borrowing margin and reflect improved market pricing conditions.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borrowing margin and facility fee on the agreement, as well as the fee paid for the issuance of letters of credit on the facility, vary based on our public debt ratings and borrowing level. As of December 31, 2005 the interest rate under the agreement was LIBOR plus .675% (for USD borrowings, or alternative base rate for foreign currency borrowings), and the facility and issuance fees were .20% and .675%, respectively. The current interest rate under the amended agreement is LIBOR plus .50% (for USD borrowings, or alternative base rate for foreign currency borrowings), and the facility and issuance fees are .125% and .50%, respectively.</w:t>
      </w:r>
    </w:p>
    <w:p>
      <w:pPr>
        <w:spacing w:after="0" w:line="123"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agreement requires, among other things, that we comply with a Debt-to-EBITDA ratio of less than 3.25 to 1 and a fixed charge ratio of greater than 2.00 to 1. As defined in the agreement, we had a Debt-to-EBITDA ratio of 1.39 to 1 and a fixed charge ratio of 2.85 to 1 as of December 31, 2005. Based upon current forecasts, we expect to be in compliance with these covenants throughout the coming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$125.0 million U.S. commercial paper program as of December 31, 2005 and 2004.</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One of our wholly-owned U.S. subsidiaries has an agreement to transfer, on an ongoing basis, an interest in up to $200.0 million of its Accounts Receivable. The terms of this agreement are such that transfers do not qualify as a sale of accounts receivable. Accordingly, any advances under this agreement are reflected as debt on the consolidated balance sheets. In July 2005, we amended the agreement to extend it to July 2006. Among other changes, the agreement was amended to remove the ratings trigger provision clause that would have caused an event of termination if our long-term debt rating was lowered to non-investment grade. With this amendment we no longer have any financing agreements with prepayment requirements that would trigger solely based on our long-term debt rating being lowered to non-investment grade. No amounts were advanced under this facility as of December 31, 2005 and 2004.</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addition to the previously mentioned facilities, we maintain separate bank facilities with financial institutions to meet working capital needs of our subsidiary operations. As of December 31, 2005, such facilities totaled $254.3 million, of which $241.9 million was unused. Due to limitations on subsidiary borrowings in our revolving credit agreement, additional borrowings of $100.4 million could have been made under these lines as of December 31, 2005. Under the amended revolving credit agreement effective January 2006, total subsidiary borrowings cannot exceed $150.0 million in the first, second and fourth quarters, and $300.0 million in the third quarter of each year, an increase from the previous $125.0 limit.</w:t>
      </w:r>
    </w:p>
    <w:p>
      <w:pPr>
        <w:spacing w:after="0" w:line="1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Our current credit rating from Moody’s Investors Service is Baa3 with a stable outlook and our credit rating from Standard &amp; Poor’s is BBB- with a stable outlook. Both of these credit ratings are investment grade.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$22.9 million, $27.3 million and $16.7 million, for 2005, 2004 and 2003,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$18.3 million, $21.9 million and $19.5 million, for 2005, 2004 and 2003, respectively.</w:t>
      </w:r>
    </w:p>
    <w:p>
      <w:pPr>
        <w:spacing w:after="0" w:line="112"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46</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Employment-Related Items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of temporary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United States, France, the United Kingdom, Japan and other European countries. Annual expense relating to these plans is recorded as Selling and Administrative Expense, in accordance with the accounting rules generally accepted in the United States. The calculations of annual pension expense and the pension liability required at year-end include various actuarial assumptions such as discount rates, expected rate of return on plan assets, compensation increases and employee turnover rates. Changes to any of these assumptions will impact the level of annual expense recorded related to the plans. We review the actuarial assumptions on an annual basis and make modifications to the assumptions as necessary. (See note 9 to the consolidated financial statements for further information.)</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the United States, we are self-insured in most states for workers’ compensation claims for our temporary employees. We determine the proper reserve balance using an actuarial valuation, which considers our historical payment experience and current employee demographics. Our reserve for such claims as of December 31, 2005 and 2004 was $106.5 million and $100.8 million, respectively. Workers’ compensation expense is recorded as a component of Cost of Services. A significant increase in claims or changes in laws may require us to record more expense related to workers’ compensation. On the other hand, significantly improved claim experience may result in a lower annual expense level.</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France, the government has various social programs that are aimed at reducing the cost of labor and encouraging employment, particularly for low-wage workers, through the reduction of payroll taxes (or social contribution). A portion of these payroll tax reductions is remitted to our customers in certain circumstances. We are required to make an estimate for the amount that will be remitted, which is recorded as a reduction of Revenues from Services. We make this estimate based on our historical experience, including related trends. To the extent that our experience differs from our estimate, we will need to make adjustments to our reserve balance, which will impact the results of our French operation. In addition, future changes to laws governing these payroll tax reductions may require us to revise our estimates, which may significantly impact our consolidated financial statements. In the fourth quarter of 2003, we reduced our estimated liability related to these remittances by $16.1 million due to the recent historical trends in the amounts remitted.</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 routine basis,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 We make an estimate of the additional remittances that may be required and record the estimate as a component of Cost of Services or Selling and Administrative Expenses, as appropriate. The estimate is based on the results of past audits,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France, we recently settled the audit for payroll tax remittances made during 2001, 2002 and 2003. As a result, we reduced our liability related to these remittances by $9.0 million in the fourth quarter of 2005. During 2004, based on the status of the audit at that time we increased our estimated liability related to these remittances by $12.8 million.</w:t>
      </w:r>
    </w:p>
    <w:p>
      <w:pPr>
        <w:spacing w:after="0" w:line="121"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revenue under the provisions of Staff Accounting Bulletin No. 104, “Revenue Recognition” (“SAB 104”). SAB 104 generally provides that revenue for time-based services be recognized over the average length of the services being provided. For the outplacement line of business, we recognize revenue from individual programs on a straight-line basis over the average length of time for candidates to find jobs based on statistically valid data for the specific type of program. If statistically valid data is not available, then we recognize outplacement revenue on a straight-line basis over the actual term of the agreements. For group programs and large projects within the outplacement and consulting lines of business, we defer and recognize revenue over the period in which the contracts are completed. The difference between the amount billed for services and the amount recognized as revenue is recorded as Deferred Revenue, which is included in Accrued Liabilities in our consolidated balance sheets.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Significant factors impacting Deferred Revenue are the type of programs sold, the level of current billings for new programs and projects, and the average length of the programs. Over time, an increasing volume of new billings will generally result in higher amounts of Deferred Revenue, while decreasing levels of new billings will generally result in lower amounts of Deferred Revenue. As of December 31, 2005 and 2004, we had $42.7 million and $43.8 million of Deferred Revenue,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tax contingencies recorded related to items in various countries. To the extent these items are settled for an amount different than our current reserve balance, our recorded contingency will be adjusted.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 For 2006, we expect our effective tax rate will be approximately 36.5%.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acquisitions of Right Management, Elan and Jefferson Wells.</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operating unit profit margins, and working capital levels; a discount rate; and a terminal value multiple.</w:t>
      </w:r>
    </w:p>
    <w:p>
      <w:pPr>
        <w:spacing w:after="0" w:line="121"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19" w:name="page120"/>
    <w:bookmarkEnd w:id="119"/>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completed our annual impairment review for 2005 and determined there to be no impairment of either goodwill or indefinite-lived intangible assets. We plan to perform our next annual impairment review during the third quarter of 2006.</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lower-than-forecasted earnings levels for certain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Matters Affecting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 xml:space="preserve">Exchange Rates – </w:t>
      </w:r>
      <w:r>
        <w:rPr>
          <w:rFonts w:ascii="Arial" w:cs="Arial" w:eastAsia="Arial" w:hAnsi="Arial"/>
          <w:sz w:val="18"/>
          <w:szCs w:val="18"/>
          <w:color w:val="auto"/>
        </w:rPr>
        <w:t>Our exposure to foreign currency exchange rates relates primarily to our foreign subsidiaries and our Euro-denominated borrowings.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subsidiaries, exchange rates impact the U.S. Dollar value of our reported earnings, our investments in the subsidiaries and the intercompany transactions with the subsidiaries.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Approximately 80% of our revenues and profits are generated outside of the United States, with approximately 50%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weighted-average exchange rate for the year. Consequently, as the value of the U.S. Dollar changes relative to the currencies of our major markets, our reported results vary.</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Throughout 2005 the U.S. Dollar strengthened relative to many of the currencies of our major markets. However, for 2005 in total, currency did not have a significant impact on Revenues from Services, and Operating Profit in constant currency was approximately 0.6% higher than reported. If the U.S. Dollar had strengthened an additional 10% during 2005, Revenues from Services would have decreased by approximately 8.4% and Operating Profit would have decreased by approximately 8.5%.</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The U.S. Dollar strengthened relative to many foreign currencies as of December 31, 2005 compared to December 31, 2004. Consequently, Shareholders’ Equity decreased by $117.8 million as a result of the change in Accumulated Other Comprehensive Income during the year. If the U.S. Dollar had strengthened an additional 10% during 2005, resulting translation adjustments recorded in Shareholders’ Equity would have decreased by approximately $102.3 million.</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 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enter into a forward contract to hedge the transfer.</w:t>
      </w:r>
    </w:p>
    <w:p>
      <w:pPr>
        <w:spacing w:after="0" w:line="128"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December 31, 2005, there was a £5.0 million ($8.7 million) forward contract related to cash flows to be received in January 2006 as a result of a sale of an equity investment in the United Kingdom. In addition, two forward contracts were outstanding relating to cash flows to be received from our foreign subsidiaries totaling £11.0 million ($19.0 million) in March and June 2006 and three forward contracts were outstanding that related to cash flows owed to our foreign subsidiaries totaling £38.0 million ($65.5 million) in March and June 2006. All such contracts entered into during 2005 were designated as cash flow hedges and were considered highly effective, as defined by SFAS No. 133, as amended. The effective portions of the changes in the fair value of the cash flow hedges are recorded as a component of Accumulated Other Comprehensive Income and recognized in the consolidated statements of operations when the hedged item affects earnings. The estimated reclassification from Accumulated Other Comprehensive Income in the next twelve months is immaterial.</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2005, we had $709.3 million of long-term borrowings denominated in Euros (€600.0 million) which have been designated as a hedge of our net investment in subsidiaries with the Euro – functional currency. Since our net investment in these subsidiaries exceeds the respective amount of the designated borrowings, all translation gains or losses related to these borrowings are included as a component of Accumulated Other Comprehensive Income. Shareholders’ Equity increased by $43.9 million, net of tax, due to changes in Accumulated Other Comprehensive Income during the year due to the currency impact on these borrowings.</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Rates – Our exposure to market risk for changes in interest rates relates primarily to our variable rate long-term debt obligations. We have historically managed interest rates through the use of a combination of fixed- and variable-rate borrowings and interest rate swap agreements. As of December 31, 2005, we had the following fixed- and variable-rate borrowings: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Fixed</w:t>
            </w:r>
          </w:p>
        </w:tc>
        <w:tc>
          <w:tcPr>
            <w:tcW w:w="500" w:type="dxa"/>
            <w:vAlign w:val="bottom"/>
          </w:tcPr>
          <w:p>
            <w:pPr>
              <w:spacing w:after="0"/>
              <w:rPr>
                <w:sz w:val="14"/>
                <w:szCs w:val="14"/>
                <w:color w:val="auto"/>
              </w:rPr>
            </w:pPr>
          </w:p>
        </w:tc>
        <w:tc>
          <w:tcPr>
            <w:tcW w:w="164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9"/>
              </w:rPr>
              <w:t>Variable</w:t>
            </w:r>
          </w:p>
        </w:tc>
        <w:tc>
          <w:tcPr>
            <w:tcW w:w="500" w:type="dxa"/>
            <w:vAlign w:val="bottom"/>
          </w:tcPr>
          <w:p>
            <w:pPr>
              <w:spacing w:after="0"/>
              <w:rPr>
                <w:sz w:val="14"/>
                <w:szCs w:val="14"/>
                <w:color w:val="auto"/>
              </w:rPr>
            </w:pPr>
          </w:p>
        </w:tc>
        <w:tc>
          <w:tcPr>
            <w:tcW w:w="12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Total</w:t>
            </w:r>
          </w:p>
        </w:tc>
      </w:tr>
      <w:tr>
        <w:trPr>
          <w:trHeight w:val="129"/>
        </w:trPr>
        <w:tc>
          <w:tcPr>
            <w:tcW w:w="5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 –</w:t>
            </w:r>
          </w:p>
        </w:tc>
        <w:tc>
          <w:tcPr>
            <w:tcW w:w="5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 –</w:t>
            </w:r>
          </w:p>
        </w:tc>
        <w:tc>
          <w:tcPr>
            <w:tcW w:w="5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 –</w:t>
            </w:r>
          </w:p>
        </w:tc>
        <w:tc>
          <w:tcPr>
            <w:tcW w:w="140" w:type="dxa"/>
            <w:vAlign w:val="bottom"/>
          </w:tcPr>
          <w:p>
            <w:pPr>
              <w:spacing w:after="0"/>
              <w:rPr>
                <w:sz w:val="11"/>
                <w:szCs w:val="11"/>
                <w:color w:val="auto"/>
              </w:rPr>
            </w:pPr>
          </w:p>
        </w:tc>
      </w:tr>
      <w:tr>
        <w:trPr>
          <w:trHeight w:val="149"/>
        </w:trPr>
        <w:tc>
          <w:tcPr>
            <w:tcW w:w="5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5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Interest Rate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Interest Rate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Interest Rate</w:t>
            </w:r>
          </w:p>
        </w:tc>
      </w:tr>
      <w:tr>
        <w:trPr>
          <w:trHeight w:val="20"/>
        </w:trPr>
        <w:tc>
          <w:tcPr>
            <w:tcW w:w="5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Excluding interest rate swap agreements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$604.1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$130.9</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$735.0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Including impact of swap agreements</w:t>
            </w:r>
          </w:p>
        </w:tc>
        <w:tc>
          <w:tcPr>
            <w:tcW w:w="500" w:type="dxa"/>
            <w:vAlign w:val="bottom"/>
          </w:tcPr>
          <w:p>
            <w:pPr>
              <w:jc w:val="right"/>
              <w:spacing w:after="0"/>
              <w:rPr>
                <w:sz w:val="20"/>
                <w:szCs w:val="20"/>
                <w:color w:val="auto"/>
              </w:rPr>
            </w:pPr>
            <w:r>
              <w:rPr>
                <w:rFonts w:ascii="Arial" w:cs="Arial" w:eastAsia="Arial" w:hAnsi="Arial"/>
                <w:sz w:val="18"/>
                <w:szCs w:val="18"/>
                <w:color w:val="auto"/>
              </w:rPr>
              <w:t>722.6</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5.3%</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640" w:type="dxa"/>
            <w:vAlign w:val="bottom"/>
            <w:gridSpan w:val="3"/>
          </w:tcPr>
          <w:p>
            <w:pPr>
              <w:jc w:val="right"/>
              <w:ind w:right="380"/>
              <w:spacing w:after="0"/>
              <w:rPr>
                <w:sz w:val="20"/>
                <w:szCs w:val="20"/>
                <w:color w:val="auto"/>
              </w:rPr>
            </w:pPr>
            <w:r>
              <w:rPr>
                <w:rFonts w:ascii="Arial" w:cs="Arial" w:eastAsia="Arial" w:hAnsi="Arial"/>
                <w:sz w:val="18"/>
                <w:szCs w:val="18"/>
                <w:color w:val="auto"/>
              </w:rPr>
              <w:t>14.2%</w:t>
            </w:r>
          </w:p>
        </w:tc>
        <w:tc>
          <w:tcPr>
            <w:tcW w:w="500" w:type="dxa"/>
            <w:vAlign w:val="bottom"/>
          </w:tcPr>
          <w:p>
            <w:pPr>
              <w:jc w:val="right"/>
              <w:spacing w:after="0"/>
              <w:rPr>
                <w:sz w:val="20"/>
                <w:szCs w:val="20"/>
                <w:color w:val="auto"/>
              </w:rPr>
            </w:pPr>
            <w:r>
              <w:rPr>
                <w:rFonts w:ascii="Arial" w:cs="Arial" w:eastAsia="Arial" w:hAnsi="Arial"/>
                <w:sz w:val="18"/>
                <w:szCs w:val="18"/>
                <w:color w:val="auto"/>
              </w:rPr>
              <w:t>735.0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5.5%</w:t>
            </w:r>
          </w:p>
        </w:tc>
      </w:tr>
    </w:tbl>
    <w:p>
      <w:pPr>
        <w:spacing w:after="0" w:line="14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have various interest rate swap agreements in order to fix our interest costs on a portion of our Euro-denominated variable rate borrowings. The Euro interest rate swap agreements, with a notional value of 100.0 million ($118.5 million), fix the interest rate, on a weighted-average basis, at 5.71% and expire in 2010.</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Sensitivity Analysis – </w:t>
      </w:r>
      <w:r>
        <w:rPr>
          <w:rFonts w:ascii="Arial" w:cs="Arial" w:eastAsia="Arial" w:hAnsi="Arial"/>
          <w:sz w:val="18"/>
          <w:szCs w:val="18"/>
          <w:color w:val="auto"/>
        </w:rPr>
        <w:t>The following table summarizes our debt and derivative instruments that are sensitive to foreign currency exchange rate and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movements. All computations below are based on the U.S. Dollar spot rate as of December 31, 2005. The exchange rate computations assume a 10% appreciation or 10% depreciation of the Euro and British Pound to the U.S. Dollar.</w:t>
      </w:r>
    </w:p>
    <w:p>
      <w:pPr>
        <w:spacing w:after="0" w:line="121"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21" w:name="page122"/>
    <w:bookmarkEnd w:id="12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hypothetical impact on 2005 earnings of the stated change in rates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9"/>
              </w:rPr>
              <w:t>Movements In</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Movements In</w:t>
            </w:r>
          </w:p>
        </w:tc>
      </w:tr>
      <w:tr>
        <w:trPr>
          <w:trHeight w:val="175"/>
        </w:trPr>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5"/>
              </w:rPr>
              <w:t>Exchange Rates</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Interest Rates</w:t>
            </w:r>
          </w:p>
        </w:tc>
      </w:tr>
      <w:tr>
        <w:trPr>
          <w:trHeight w:val="130"/>
        </w:trPr>
        <w:tc>
          <w:tcPr>
            <w:tcW w:w="7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8"/>
              <w:spacing w:after="0" w:line="130" w:lineRule="exact"/>
              <w:rPr>
                <w:sz w:val="20"/>
                <w:szCs w:val="20"/>
                <w:color w:val="auto"/>
              </w:rPr>
            </w:pPr>
            <w:r>
              <w:rPr>
                <w:rFonts w:ascii="Arial" w:cs="Arial" w:eastAsia="Arial" w:hAnsi="Arial"/>
                <w:sz w:val="14"/>
                <w:szCs w:val="14"/>
                <w:b w:val="1"/>
                <w:bCs w:val="1"/>
                <w:color w:val="auto"/>
              </w:rPr>
              <w:t>10%</w:t>
            </w: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54"/>
              <w:spacing w:after="0" w:line="130" w:lineRule="exact"/>
              <w:rPr>
                <w:sz w:val="20"/>
                <w:szCs w:val="20"/>
                <w:color w:val="auto"/>
              </w:rPr>
            </w:pPr>
            <w:r>
              <w:rPr>
                <w:rFonts w:ascii="Arial" w:cs="Arial" w:eastAsia="Arial" w:hAnsi="Arial"/>
                <w:sz w:val="14"/>
                <w:szCs w:val="14"/>
                <w:b w:val="1"/>
                <w:bCs w:val="1"/>
                <w:color w:val="auto"/>
                <w:w w:val="99"/>
              </w:rPr>
              <w:t>10%</w:t>
            </w:r>
          </w:p>
        </w:tc>
        <w:tc>
          <w:tcPr>
            <w:tcW w:w="640" w:type="dxa"/>
            <w:vAlign w:val="bottom"/>
          </w:tcPr>
          <w:p>
            <w:pPr>
              <w:spacing w:after="0"/>
              <w:rPr>
                <w:sz w:val="11"/>
                <w:szCs w:val="11"/>
                <w:color w:val="auto"/>
              </w:rPr>
            </w:pPr>
          </w:p>
        </w:tc>
        <w:tc>
          <w:tcPr>
            <w:tcW w:w="540" w:type="dxa"/>
            <w:vAlign w:val="bottom"/>
            <w:tcBorders>
              <w:top w:val="single" w:sz="8" w:color="auto"/>
            </w:tcBorders>
          </w:tcPr>
          <w:p>
            <w:pPr>
              <w:jc w:val="right"/>
              <w:ind w:right="59"/>
              <w:spacing w:after="0" w:line="130" w:lineRule="exact"/>
              <w:rPr>
                <w:sz w:val="20"/>
                <w:szCs w:val="20"/>
                <w:color w:val="auto"/>
              </w:rPr>
            </w:pPr>
            <w:r>
              <w:rPr>
                <w:rFonts w:ascii="Arial" w:cs="Arial" w:eastAsia="Arial" w:hAnsi="Arial"/>
                <w:sz w:val="14"/>
                <w:szCs w:val="14"/>
                <w:b w:val="1"/>
                <w:bCs w:val="1"/>
                <w:color w:val="auto"/>
              </w:rPr>
              <w:t>10%</w:t>
            </w:r>
          </w:p>
        </w:tc>
        <w:tc>
          <w:tcPr>
            <w:tcW w:w="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36"/>
              <w:spacing w:after="0" w:line="130" w:lineRule="exact"/>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11"/>
                <w:szCs w:val="1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4"/>
                <w:szCs w:val="14"/>
                <w:b w:val="1"/>
                <w:bCs w:val="1"/>
                <w:color w:val="auto"/>
              </w:rPr>
              <w:t>Market Sensitive Instrument</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Depreciation</w:t>
            </w:r>
          </w:p>
        </w:tc>
        <w:tc>
          <w:tcPr>
            <w:tcW w:w="58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Appreciation</w:t>
            </w:r>
          </w:p>
        </w:tc>
        <w:tc>
          <w:tcPr>
            <w:tcW w:w="6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Decrease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Increase</w:t>
            </w:r>
          </w:p>
        </w:tc>
        <w:tc>
          <w:tcPr>
            <w:tcW w:w="60" w:type="dxa"/>
            <w:vAlign w:val="bottom"/>
          </w:tcPr>
          <w:p>
            <w:pPr>
              <w:spacing w:after="0"/>
              <w:rPr>
                <w:sz w:val="14"/>
                <w:szCs w:val="14"/>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€ 200 million, 5.63% Notes due July 2006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w:t>
            </w:r>
            <w:r>
              <w:rPr>
                <w:rFonts w:ascii="Arial" w:cs="Arial" w:eastAsia="Arial" w:hAnsi="Arial"/>
                <w:sz w:val="11"/>
                <w:szCs w:val="11"/>
                <w:color w:val="auto"/>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line="209" w:lineRule="exact"/>
              <w:rPr>
                <w:sz w:val="20"/>
                <w:szCs w:val="20"/>
                <w:color w:val="auto"/>
              </w:rPr>
            </w:pPr>
            <w:r>
              <w:rPr>
                <w:rFonts w:ascii="Arial" w:cs="Arial" w:eastAsia="Arial" w:hAnsi="Arial"/>
                <w:sz w:val="18"/>
                <w:szCs w:val="18"/>
                <w:color w:val="auto"/>
              </w:rPr>
              <w:t>(23.7)</w:t>
            </w:r>
            <w:r>
              <w:rPr>
                <w:rFonts w:ascii="Arial" w:cs="Arial" w:eastAsia="Arial" w:hAnsi="Arial"/>
                <w:sz w:val="22"/>
                <w:szCs w:val="22"/>
                <w:color w:val="auto"/>
                <w:vertAlign w:val="superscript"/>
              </w:rPr>
              <w:t>(1)</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€ 300 million, 4.58% Notes due June 2012</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35.5</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180" w:type="dxa"/>
            <w:vAlign w:val="bottom"/>
            <w:gridSpan w:val="2"/>
          </w:tcPr>
          <w:p>
            <w:pPr>
              <w:jc w:val="right"/>
              <w:ind w:right="460"/>
              <w:spacing w:after="0" w:line="217" w:lineRule="exact"/>
              <w:rPr>
                <w:sz w:val="20"/>
                <w:szCs w:val="20"/>
                <w:color w:val="auto"/>
              </w:rPr>
            </w:pPr>
            <w:r>
              <w:rPr>
                <w:rFonts w:ascii="Arial" w:cs="Arial" w:eastAsia="Arial" w:hAnsi="Arial"/>
                <w:sz w:val="18"/>
                <w:szCs w:val="18"/>
                <w:color w:val="auto"/>
              </w:rPr>
              <w:t>(35.5)</w:t>
            </w:r>
            <w:r>
              <w:rPr>
                <w:rFonts w:ascii="Arial" w:cs="Arial" w:eastAsia="Arial" w:hAnsi="Arial"/>
                <w:sz w:val="22"/>
                <w:szCs w:val="22"/>
                <w:color w:val="auto"/>
                <w:vertAlign w:val="superscript"/>
              </w:rPr>
              <w:t>(1)</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€ 100 million Euro Borrowings</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11.8</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180" w:type="dxa"/>
            <w:vAlign w:val="bottom"/>
            <w:gridSpan w:val="2"/>
          </w:tcPr>
          <w:p>
            <w:pPr>
              <w:jc w:val="right"/>
              <w:ind w:right="460"/>
              <w:spacing w:after="0" w:line="217" w:lineRule="exact"/>
              <w:rPr>
                <w:sz w:val="20"/>
                <w:szCs w:val="20"/>
                <w:color w:val="auto"/>
              </w:rPr>
            </w:pPr>
            <w:r>
              <w:rPr>
                <w:rFonts w:ascii="Arial" w:cs="Arial" w:eastAsia="Arial" w:hAnsi="Arial"/>
                <w:sz w:val="18"/>
                <w:szCs w:val="18"/>
                <w:color w:val="auto"/>
              </w:rPr>
              <w:t>(11.8)</w:t>
            </w:r>
            <w:r>
              <w:rPr>
                <w:rFonts w:ascii="Arial" w:cs="Arial" w:eastAsia="Arial" w:hAnsi="Arial"/>
                <w:sz w:val="22"/>
                <w:szCs w:val="22"/>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€ 100 million Interest Rate Swaps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Forward contracts: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 million to $8.7 million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£11.0 million to $19.0 million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$65.5 million to £38.0 million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1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75.4</w:t>
            </w:r>
          </w:p>
        </w:tc>
        <w:tc>
          <w:tcPr>
            <w:tcW w:w="5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(75.4)</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r>
      <w:tr>
        <w:trPr>
          <w:trHeight w:val="20"/>
        </w:trPr>
        <w:tc>
          <w:tcPr>
            <w:tcW w:w="7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40" w:hanging="452"/>
        <w:spacing w:after="0" w:line="228" w:lineRule="auto"/>
        <w:tabs>
          <w:tab w:leader="none" w:pos="460"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Exchange rate movements are recorded through Accumulated Other Comprehensive Income as these instruments have been designated as an economic hedge of our net investment in subsidiaries with a Euro functional currency.</w:t>
      </w:r>
    </w:p>
    <w:p>
      <w:pPr>
        <w:spacing w:after="0" w:line="15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hypothetical changes in fair value of our market sensitive instruments due to changes in interest rates, and changes in foreign currency exchange rates for the foreign contracts,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20"/>
                <w:szCs w:val="20"/>
                <w:color w:val="auto"/>
              </w:rPr>
            </w:pPr>
            <w:r>
              <w:rPr>
                <w:rFonts w:ascii="Arial" w:cs="Arial" w:eastAsia="Arial" w:hAnsi="Arial"/>
                <w:sz w:val="14"/>
                <w:szCs w:val="14"/>
                <w:b w:val="1"/>
                <w:bCs w:val="1"/>
                <w:color w:val="auto"/>
              </w:rPr>
              <w:t>Market Sensitive Instrument</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10% Decrease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10% Increase</w:t>
            </w: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€200 million, 5.63% Notes due July 2006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24.0</w:t>
            </w:r>
            <w:r>
              <w:rPr>
                <w:rFonts w:ascii="Arial" w:cs="Arial" w:eastAsia="Arial" w:hAnsi="Arial"/>
                <w:sz w:val="11"/>
                <w:szCs w:val="11"/>
                <w:color w:val="auto"/>
              </w:rPr>
              <w:t>(1)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line="217" w:lineRule="exact"/>
              <w:rPr>
                <w:sz w:val="20"/>
                <w:szCs w:val="20"/>
                <w:color w:val="auto"/>
              </w:rPr>
            </w:pPr>
            <w:r>
              <w:rPr>
                <w:rFonts w:ascii="Arial" w:cs="Arial" w:eastAsia="Arial" w:hAnsi="Arial"/>
                <w:sz w:val="18"/>
                <w:szCs w:val="18"/>
                <w:color w:val="auto"/>
              </w:rPr>
              <w:t>(24.0)</w:t>
            </w:r>
            <w:r>
              <w:rPr>
                <w:rFonts w:ascii="Arial" w:cs="Arial" w:eastAsia="Arial" w:hAnsi="Arial"/>
                <w:sz w:val="22"/>
                <w:szCs w:val="22"/>
                <w:color w:val="auto"/>
                <w:vertAlign w:val="superscript"/>
              </w:rPr>
              <w:t>(1)</w:t>
            </w: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 million, 4.58% Notes due June 2012</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36.0</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8"/>
                <w:szCs w:val="18"/>
                <w:color w:val="auto"/>
              </w:rPr>
              <w:t>(36.0)</w:t>
            </w:r>
            <w:r>
              <w:rPr>
                <w:rFonts w:ascii="Arial" w:cs="Arial" w:eastAsia="Arial" w:hAnsi="Arial"/>
                <w:sz w:val="22"/>
                <w:szCs w:val="22"/>
                <w:color w:val="auto"/>
                <w:vertAlign w:val="superscript"/>
              </w:rPr>
              <w:t>(1)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 million Interest Rate Swaps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Forward contacts: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 million to $8.7 million forward contract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£11.0 million to $19.0 million forward contracts</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$65.5 million to £38.0 million forward contracts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r>
    </w:tbl>
    <w:p>
      <w:pPr>
        <w:spacing w:after="0" w:line="73" w:lineRule="exact"/>
        <w:rPr>
          <w:sz w:val="20"/>
          <w:szCs w:val="20"/>
          <w:color w:val="auto"/>
        </w:rPr>
      </w:pPr>
    </w:p>
    <w:p>
      <w:pPr>
        <w:ind w:left="460" w:right="140" w:hanging="452"/>
        <w:spacing w:after="0" w:line="228"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This change in fair value is not recorded in the financial statements, however disclosure of the fair value is included in note 7 to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Conditions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One of the principal attractions of using temporary staffing solutions is to maintain a flexible supply of labor to meet changing economic conditions. Therefore, the industry has been and remains sensitive to economic cycles. To help minimize the effects of these economic cycles, we offer customers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Regulations</w:t>
      </w:r>
    </w:p>
    <w:p>
      <w:pPr>
        <w:spacing w:after="0" w:line="9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employment services industry is closely regulated in all of the major markets in which we operate except the United States and Canada. Many countries impose licensing or registration requirements, substantive restrictions on temporary employment services, either on the provider of temporary staffing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customer); or otherwise adversely affect the industry. All of our other service lines are currently not regulated.</w:t>
      </w:r>
    </w:p>
    <w:p>
      <w:pPr>
        <w:spacing w:after="0" w:line="99"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utilize our services. In some markets, labor agreements are structured on a national or industry-wide (rather than a company) basis. Changes in these collective labor agreements have occurred in the past, are expected to occur in the future, and may have a material impact on the operations of employment services firms, including us.</w:t>
      </w:r>
    </w:p>
    <w:p>
      <w:pPr>
        <w:spacing w:after="0" w:line="14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On November 30, 2004, we were informed that authorities had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are cooperating fully. We are currently not able to predict the outcome of the investigation and consequently no amounts have been recorded in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During December 2004, the Financial Accounting Standards Board (“FASB”) issued SFAS No. 123(R) “Share-Based Payment” (“SFAS 123R”), which revises SFAS 123 and supercedes APB 25. SFAS 123R requires all share-based payments to employees, including grants of employee stock options, to be recognized as expense based on their fair values. In April 2005, the Securities and Exchange Commission (“SEC”) amended the effective date of SFAS 123R to be the first annual period beginning after June 15, 2005. The pro forma disclosures previously permitted under SFAS 123 will no longer be an alternative to expense recognition. We plan to adopt SFAS 123R in the first quarter of 2006 using the modified prospective method of adoption. We currently expect SFAS 123R to have approximately a $0.10 per share impact on Net Earnings Per Share – Diluted in 2006. The impact of adopting SFAS 123R on 2006 results of operations and financial position will depend upon many factors including the level of stock-based compensation granted in 2006, the fair value of those options which will be determined at the date of grant, the level of participation in the employee stock purchase plan, the related tax benefits recorded and the diluted shares outstanding.</w:t>
      </w:r>
    </w:p>
    <w:p>
      <w:pPr>
        <w:spacing w:after="0" w:line="10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December 2004, the FASB issued FSP No. 109-2, “Accounting and Disclosure Guidance for the Foreign Earnings Repatriation Provision within the American Jobs Creation Act of 2004” (“FSP 109-2”), which provides guidance on the accounting for the potential impact of the repatriation provisions of the American Jobs Creation Act of 2004 (the “Jobs Act”) on enterprises’’ income tax expense and deferred tax liability. The Jobs Act, which was signed into law on October 22, 2004, introduces relief on the potential income tax impact of repatriating foreign earnings and certain other provisions. We have completed our assessment and will not repatriate any foreign earnings under the provisions of the Jobs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2005,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w:t>
      </w:r>
    </w:p>
    <w:p>
      <w:pPr>
        <w:spacing w:after="0" w:line="99" w:lineRule="exact"/>
        <w:rPr>
          <w:sz w:val="20"/>
          <w:szCs w:val="20"/>
          <w:color w:val="auto"/>
        </w:rPr>
      </w:pPr>
    </w:p>
    <w:p>
      <w:pPr>
        <w:spacing w:after="0"/>
        <w:tabs>
          <w:tab w:leader="none" w:pos="5740" w:val="left"/>
          <w:tab w:leader="none" w:pos="86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Report on Internal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 Financial Reporting</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Rules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2005.</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assessment of the effectiveness of our internal control over financial reporting as of December 31, 2005 has been audited by Deloitte &amp; Touche LLP, an independent registered public accounting firm, as stated in their report which is included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audited the accompanying consolidated balance sheet of Manpower Inc. and its subsidiaries (the “Company”) as of December 31, 2005,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such 2005 consolidated financial statements present fairly, in all material respects, the financial position of the Company as of December 31, 2005, and the results of its operations and its cash flows for the year then ended in conformity with accounting principles generally accepted in the United States of America.</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the Company’s internal control over financial reporting as of December 31, 2005, based on the criteria established in Internal Control–Integrated Framework issued by the Committee of Sponsoring Organizations of the Treadway Commission and our report dated February 21,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7411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41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pacing w:after="0" w:line="159" w:lineRule="exact"/>
        <w:rPr>
          <w:sz w:val="20"/>
          <w:szCs w:val="20"/>
          <w:color w:val="auto"/>
        </w:rPr>
      </w:pPr>
    </w:p>
    <w:p>
      <w:pPr>
        <w:spacing w:after="0"/>
        <w:tabs>
          <w:tab w:leader="none" w:pos="5560" w:val="left"/>
          <w:tab w:leader="none" w:pos="9160" w:val="left"/>
        </w:tabs>
        <w:rPr>
          <w:sz w:val="20"/>
          <w:szCs w:val="20"/>
          <w:color w:val="auto"/>
        </w:rPr>
      </w:pPr>
      <w:r>
        <w:rPr>
          <w:rFonts w:ascii="Arial" w:cs="Arial" w:eastAsia="Arial" w:hAnsi="Arial"/>
          <w:sz w:val="18"/>
          <w:szCs w:val="18"/>
          <w:b w:val="1"/>
          <w:bCs w:val="1"/>
          <w:color w:val="auto"/>
        </w:rPr>
        <w:t>Management Report on Internal Control Over Financial Reporting</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Manpower Inc. and its subsidiaries (the “Company”) maintained effective internal control over financial reporting as of December 31, 2005,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2005,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COSO. Also in our opinion, the Company maintained, in all material respects, effective internal control over financial reporting as of December 31, 2005, based on the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COSO.</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2005 of the Company and our reports dated February 21, 2006 expressed an unqualified opinion on those financial statements and 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4117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41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pacing w:after="0" w:line="159" w:lineRule="exact"/>
        <w:rPr>
          <w:sz w:val="20"/>
          <w:szCs w:val="20"/>
          <w:color w:val="auto"/>
        </w:rPr>
      </w:pPr>
    </w:p>
    <w:p>
      <w:pPr>
        <w:spacing w:after="0"/>
        <w:tabs>
          <w:tab w:leader="none" w:pos="5640" w:val="left"/>
          <w:tab w:leader="none" w:pos="700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Report to Independent Registered Public Accounting Firm</w:t>
      </w:r>
    </w:p>
    <w:p>
      <w:pPr>
        <w:sectPr>
          <w:pgSz w:w="11900" w:h="16838" w:orient="portrait"/>
          <w:cols w:equalWidth="0" w:num="1">
            <w:col w:w="11420"/>
          </w:cols>
          <w:pgMar w:left="240" w:top="274"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our opinion, the consolidated balance sheet as of December 31, 2004 and the related consolidated statements of operations, cash flows and shareholders’ equity present fairly, in all material respects, the financial position of Manpower Inc. and its subsidiaries at December 31, 2004, and the results of their operations and their cash flows for each of the two years in the period ended December 31,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260475" cy="248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604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On July 27,2005, the Audit Committee of the Board of Directors of Manpower Inc. (the “Company”) dismissed PricewaterhouseCoopers LLP as the Company’s independent registered public accounting firm and appointed Deloitte &amp; Touche LLP as the Company’s new independent registered public accounting firm.</w:t>
      </w:r>
    </w:p>
    <w:p>
      <w:pPr>
        <w:spacing w:after="0" w:line="8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PricewaterhouseCoopers LLP’s reports on the Company’s consolidated financial statements for each of the years ended December 31, 2004 and 2003 did not contain an adverse opinion or disclaimer of opinion, nor were they qualified or modified as to uncertainty, audit scope, or accounting principle.</w:t>
      </w:r>
    </w:p>
    <w:p>
      <w:pPr>
        <w:spacing w:after="0" w:line="8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During the years ended December 31, 2004 and 2003, and the subsequent interim period through July 29, 2005, there were no disagreements between the Company and PricewaterhouseCoopers LLP on any matter of accounting principles or practices, financial statement disclosure, or auditing scope or procedure, which disagreements, if not resolved to PricewaterhouseCoopers LLP’s satisfaction, would have caused them to make reference to the subject matter of the disagreement in connection with their reports on the financial statements of the Company for such years.</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None of the reportable events described in Item 304 (a)(1)(v) of Regulation S-K occurred during the years ended December 31, 2004 and 2003 or during the subsequent interim period through July 29, 2005.</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has provided PricewaterhouseCoopers LLP with a copy of the foregoing disclosures.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years ended December 31, 2004 and 2003, and the subsequent interim period through July 27, 2005, the Company did not consult with Deloitte &amp; Touche LLP regarding any of the matters or events set forth in Item 304 (a)(2)(i) and (ii)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Manpower has filed the Chief Executive Officer/Chief Financial Officer certifications that are required by Section 302 of the Sarbanes-Oxley Act of 2002 as exhibits to it’s Annual Report on Form 10-K. In 2005, Jeffrey A. Joerres, Manpower’s Chief Executive Officer, submitted a certification to the New York Stock Exchange in accordance with Section 303A.12 of the NYSE Listed Company Manual stating that, as of the date of the certification, he was not aware of any violation by Manpower of the NYSE’s corporate governance listing standards.</w:t>
      </w:r>
    </w:p>
    <w:p>
      <w:pPr>
        <w:spacing w:after="0" w:line="124" w:lineRule="exact"/>
        <w:rPr>
          <w:sz w:val="20"/>
          <w:szCs w:val="20"/>
          <w:color w:val="auto"/>
        </w:rPr>
      </w:pPr>
    </w:p>
    <w:p>
      <w:pPr>
        <w:spacing w:after="0"/>
        <w:tabs>
          <w:tab w:leader="none" w:pos="5740" w:val="left"/>
          <w:tab w:leader="none" w:pos="9160" w:val="left"/>
        </w:tabs>
        <w:rPr>
          <w:sz w:val="20"/>
          <w:szCs w:val="20"/>
          <w:color w:val="auto"/>
        </w:rPr>
      </w:pPr>
      <w:r>
        <w:rPr>
          <w:rFonts w:ascii="Arial" w:cs="Arial" w:eastAsia="Arial" w:hAnsi="Arial"/>
          <w:sz w:val="18"/>
          <w:szCs w:val="18"/>
          <w:b w:val="1"/>
          <w:bCs w:val="1"/>
          <w:color w:val="auto"/>
        </w:rPr>
        <w:t>Report of Independent Auditors</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16,080.4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14,930.0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services</w:t>
            </w: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13,131.8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12,141.9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10,047.7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2,948.6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2,512.1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2,392.3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0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30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 – basic</w:t>
            </w: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30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540" w:type="dxa"/>
            <w:vAlign w:val="bottom"/>
            <w:gridSpan w:val="5"/>
          </w:tcPr>
          <w:p>
            <w:pPr>
              <w:jc w:val="right"/>
              <w:ind w:right="214"/>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140" w:type="dxa"/>
            <w:vAlign w:val="bottom"/>
            <w:gridSpan w:val="2"/>
          </w:tcPr>
          <w:p>
            <w:pPr>
              <w:spacing w:after="0"/>
              <w:rPr>
                <w:sz w:val="20"/>
                <w:szCs w:val="20"/>
                <w:color w:val="auto"/>
              </w:rPr>
            </w:pPr>
            <w:r>
              <w:rPr>
                <w:rFonts w:ascii="Arial" w:cs="Arial" w:eastAsia="Arial" w:hAnsi="Arial"/>
                <w:sz w:val="18"/>
                <w:szCs w:val="18"/>
                <w:color w:val="auto"/>
              </w:rPr>
              <w:t>Manpower 2005 Annual Report</w:t>
            </w:r>
          </w:p>
        </w:tc>
        <w:tc>
          <w:tcPr>
            <w:tcW w:w="3060" w:type="dxa"/>
            <w:vAlign w:val="bottom"/>
          </w:tcPr>
          <w:p>
            <w:pPr>
              <w:jc w:val="right"/>
              <w:ind w:right="1172"/>
              <w:spacing w:after="0"/>
              <w:rPr>
                <w:sz w:val="20"/>
                <w:szCs w:val="20"/>
                <w:color w:val="auto"/>
              </w:rPr>
            </w:pPr>
            <w:r>
              <w:rPr>
                <w:rFonts w:ascii="Arial" w:cs="Arial" w:eastAsia="Arial" w:hAnsi="Arial"/>
                <w:sz w:val="18"/>
                <w:szCs w:val="18"/>
                <w:color w:val="auto"/>
              </w:rPr>
              <w:t>56</w:t>
            </w:r>
          </w:p>
        </w:tc>
        <w:tc>
          <w:tcPr>
            <w:tcW w:w="4240" w:type="dxa"/>
            <w:vAlign w:val="bottom"/>
            <w:gridSpan w:val="10"/>
          </w:tcPr>
          <w:p>
            <w:pPr>
              <w:jc w:val="right"/>
              <w:ind w:right="20"/>
              <w:spacing w:after="0"/>
              <w:rPr>
                <w:sz w:val="20"/>
                <w:szCs w:val="20"/>
                <w:color w:val="auto"/>
              </w:rPr>
            </w:pPr>
            <w:r>
              <w:rPr>
                <w:rFonts w:ascii="Arial" w:cs="Arial" w:eastAsia="Arial" w:hAnsi="Arial"/>
                <w:sz w:val="18"/>
                <w:szCs w:val="18"/>
                <w:b w:val="1"/>
                <w:bCs w:val="1"/>
                <w:color w:val="auto"/>
              </w:rPr>
              <w:t>Consolidated Statements of Operations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3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60" w:type="dxa"/>
            <w:vAlign w:val="bottom"/>
            <w:shd w:val="clear" w:color="auto" w:fill="CCEEFF"/>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Accounts receivable, less allowance for doubtful accounts of $86.5 and $91.4, respectively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3"/>
              </w:rPr>
              <w:t>3,208.2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3,227.8</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107.5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Future income tax benefits</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3,841.7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4,017.5</w:t>
            </w:r>
          </w:p>
        </w:tc>
        <w:tc>
          <w:tcPr>
            <w:tcW w:w="60" w:type="dxa"/>
            <w:vAlign w:val="bottom"/>
            <w:shd w:val="clear" w:color="auto" w:fill="CCEEFF"/>
          </w:tcPr>
          <w:p>
            <w:pPr>
              <w:spacing w:after="0"/>
              <w:rPr>
                <w:sz w:val="18"/>
                <w:szCs w:val="18"/>
                <w:color w:val="auto"/>
              </w:rPr>
            </w:pPr>
          </w:p>
        </w:tc>
      </w:tr>
      <w:tr>
        <w:trPr>
          <w:trHeight w:val="322"/>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less accumulated amortization of $29.8 and $15.9, respectively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1,256.5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1,297.0</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assets</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273.8</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1,530.3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1,602.5</w:t>
            </w:r>
          </w:p>
        </w:tc>
        <w:tc>
          <w:tcPr>
            <w:tcW w:w="60" w:type="dxa"/>
            <w:vAlign w:val="bottom"/>
            <w:shd w:val="clear" w:color="auto" w:fill="CCEEFF"/>
          </w:tcPr>
          <w:p>
            <w:pPr>
              <w:spacing w:after="0"/>
              <w:rPr>
                <w:sz w:val="18"/>
                <w:szCs w:val="18"/>
                <w:color w:val="auto"/>
              </w:rPr>
            </w:pPr>
          </w:p>
        </w:tc>
      </w:tr>
      <w:tr>
        <w:trPr>
          <w:trHeight w:val="322"/>
        </w:trPr>
        <w:tc>
          <w:tcPr>
            <w:tcW w:w="54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446.0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and equipment</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196.4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5,568.4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5,843.1</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2"/>
        </w:trPr>
        <w:tc>
          <w:tcPr>
            <w:tcW w:w="54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150.6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156.0</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607.2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569.6</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441.9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260.0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225.7</w:t>
            </w:r>
          </w:p>
        </w:tc>
        <w:tc>
          <w:tcPr>
            <w:tcW w:w="6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2,580.5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2,601.9</w:t>
            </w:r>
          </w:p>
        </w:tc>
        <w:tc>
          <w:tcPr>
            <w:tcW w:w="60" w:type="dxa"/>
            <w:vAlign w:val="bottom"/>
            <w:shd w:val="clear" w:color="auto" w:fill="CCEEFF"/>
          </w:tcPr>
          <w:p>
            <w:pPr>
              <w:spacing w:after="0"/>
              <w:rPr>
                <w:sz w:val="18"/>
                <w:szCs w:val="18"/>
                <w:color w:val="auto"/>
              </w:rPr>
            </w:pPr>
          </w:p>
        </w:tc>
      </w:tr>
      <w:tr>
        <w:trPr>
          <w:trHeight w:val="322"/>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475.0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366.3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391.1</w:t>
            </w:r>
          </w:p>
        </w:tc>
        <w:tc>
          <w:tcPr>
            <w:tcW w:w="6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841.3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1,067.2</w:t>
            </w:r>
          </w:p>
        </w:tc>
        <w:tc>
          <w:tcPr>
            <w:tcW w:w="60" w:type="dxa"/>
            <w:vAlign w:val="bottom"/>
            <w:shd w:val="clear" w:color="auto" w:fill="CCEEFF"/>
          </w:tcPr>
          <w:p>
            <w:pPr>
              <w:spacing w:after="0"/>
              <w:rPr>
                <w:sz w:val="18"/>
                <w:szCs w:val="18"/>
                <w:color w:val="auto"/>
              </w:rPr>
            </w:pPr>
          </w:p>
        </w:tc>
      </w:tr>
      <w:tr>
        <w:trPr>
          <w:trHeight w:val="322"/>
        </w:trPr>
        <w:tc>
          <w:tcPr>
            <w:tcW w:w="5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$.01 par value, authorized 25,000,000 shares, none issued</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w w:val="90"/>
              </w:rPr>
              <w:t>Common stock, $.01 par value, authorized 125,000,000 shares, issued 101,239,813 and 100,236,635 shares, respectively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2,346.7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2,296.4</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Retained earnings</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269.9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7"/>
              </w:rPr>
              <w:t>Treasury stock at cost, 13,867,805 and 9,946,475 shares, respectively</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(460.0)</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(283.8)</w:t>
            </w:r>
          </w:p>
        </w:tc>
      </w:tr>
      <w:tr>
        <w:trPr>
          <w:trHeight w:val="27"/>
        </w:trPr>
        <w:tc>
          <w:tcPr>
            <w:tcW w:w="5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shareholders’ equity</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2,146.6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2,174.0</w:t>
            </w: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3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5,568.4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5,843.1</w:t>
            </w:r>
          </w:p>
        </w:tc>
        <w:tc>
          <w:tcPr>
            <w:tcW w:w="60" w:type="dxa"/>
            <w:vAlign w:val="bottom"/>
          </w:tcPr>
          <w:p>
            <w:pPr>
              <w:spacing w:after="0"/>
              <w:rPr>
                <w:sz w:val="19"/>
                <w:szCs w:val="19"/>
                <w:color w:val="auto"/>
              </w:rPr>
            </w:pPr>
          </w:p>
        </w:tc>
      </w:tr>
      <w:tr>
        <w:trPr>
          <w:trHeight w:val="20"/>
        </w:trPr>
        <w:tc>
          <w:tcPr>
            <w:tcW w:w="982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9920" w:type="dxa"/>
            <w:vAlign w:val="bottom"/>
            <w:gridSpan w:val="4"/>
          </w:tcPr>
          <w:p>
            <w:pPr>
              <w:ind w:left="2040"/>
              <w:spacing w:after="0"/>
              <w:rPr>
                <w:sz w:val="20"/>
                <w:szCs w:val="20"/>
                <w:color w:val="auto"/>
              </w:rPr>
            </w:pPr>
            <w:r>
              <w:rPr>
                <w:rFonts w:ascii="Arial" w:cs="Arial" w:eastAsia="Arial" w:hAnsi="Arial"/>
                <w:sz w:val="18"/>
                <w:szCs w:val="18"/>
                <w:color w:val="auto"/>
                <w:w w:val="92"/>
              </w:rPr>
              <w:t>The accompanying notes to consolidated financial statements are an integral part of these balance sheets.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546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3380" w:type="dxa"/>
            <w:vAlign w:val="bottom"/>
          </w:tcPr>
          <w:p>
            <w:pPr>
              <w:jc w:val="right"/>
              <w:ind w:right="2892"/>
              <w:spacing w:after="0"/>
              <w:rPr>
                <w:sz w:val="20"/>
                <w:szCs w:val="20"/>
                <w:color w:val="auto"/>
              </w:rPr>
            </w:pPr>
            <w:r>
              <w:rPr>
                <w:rFonts w:ascii="Arial" w:cs="Arial" w:eastAsia="Arial" w:hAnsi="Arial"/>
                <w:sz w:val="18"/>
                <w:szCs w:val="18"/>
                <w:color w:val="auto"/>
              </w:rPr>
              <w:t>57</w:t>
            </w:r>
          </w:p>
        </w:tc>
        <w:tc>
          <w:tcPr>
            <w:tcW w:w="2580" w:type="dxa"/>
            <w:vAlign w:val="bottom"/>
            <w:gridSpan w:val="7"/>
          </w:tcPr>
          <w:p>
            <w:pPr>
              <w:jc w:val="right"/>
              <w:spacing w:after="0"/>
              <w:rPr>
                <w:sz w:val="20"/>
                <w:szCs w:val="20"/>
                <w:color w:val="auto"/>
              </w:rPr>
            </w:pPr>
            <w:r>
              <w:rPr>
                <w:rFonts w:ascii="Arial" w:cs="Arial" w:eastAsia="Arial" w:hAnsi="Arial"/>
                <w:sz w:val="18"/>
                <w:szCs w:val="18"/>
                <w:color w:val="auto"/>
              </w:rPr>
              <w:t>Manpower 2005 Annual Report</w:t>
            </w:r>
          </w:p>
        </w:tc>
      </w:tr>
    </w:tbl>
    <w:p>
      <w:pPr>
        <w:sectPr>
          <w:pgSz w:w="11900" w:h="16838" w:orient="portrait"/>
          <w:cols w:equalWidth="0" w:num="1">
            <w:col w:w="11420"/>
          </w:cols>
          <w:pgMar w:left="240" w:top="274"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earnings</w:t>
            </w:r>
          </w:p>
        </w:tc>
        <w:tc>
          <w:tcPr>
            <w:tcW w:w="22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260.1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245.7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92.9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discount on convertible debentures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49.1</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Other non-operating gains</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operating assets and liabilities, excluding the impact of acquisitions: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(350.4)</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(363.9)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239.3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165.5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operating activities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267.1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Acquisitions of businesses, net of cash acquired</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(117.3)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an equity interest</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2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by investing activities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(149.8)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short-term borrowings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785.4</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paid to settle convertible debt</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(206.6)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(606.3)</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settlement of swap agreements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Proceeds from stock option and purchase plans</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(217.6)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Dividends paid</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(41.2)</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provided by financing activities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(210.2)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(decrease) increase in cash and cash equivalents</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531.8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426.2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454.9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taxes paid</w:t>
            </w:r>
          </w:p>
        </w:tc>
        <w:tc>
          <w:tcPr>
            <w:tcW w:w="2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9200" w:type="dxa"/>
            <w:vAlign w:val="bottom"/>
            <w:gridSpan w:val="4"/>
          </w:tcPr>
          <w:p>
            <w:pPr>
              <w:ind w:left="2620"/>
              <w:spacing w:after="0"/>
              <w:rPr>
                <w:sz w:val="20"/>
                <w:szCs w:val="20"/>
                <w:color w:val="auto"/>
              </w:rPr>
            </w:pPr>
            <w:r>
              <w:rPr>
                <w:rFonts w:ascii="Arial" w:cs="Arial" w:eastAsia="Arial" w:hAnsi="Arial"/>
                <w:sz w:val="18"/>
                <w:szCs w:val="18"/>
                <w:color w:val="auto"/>
                <w:w w:val="92"/>
              </w:rPr>
              <w:t>The accompanying notes to financial statements are an integral part of these statements.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40" w:type="dxa"/>
            <w:vAlign w:val="bottom"/>
            <w:gridSpan w:val="2"/>
          </w:tcPr>
          <w:p>
            <w:pPr>
              <w:spacing w:after="0"/>
              <w:rPr>
                <w:sz w:val="20"/>
                <w:szCs w:val="20"/>
                <w:color w:val="auto"/>
              </w:rPr>
            </w:pPr>
            <w:r>
              <w:rPr>
                <w:rFonts w:ascii="Arial" w:cs="Arial" w:eastAsia="Arial" w:hAnsi="Arial"/>
                <w:sz w:val="18"/>
                <w:szCs w:val="18"/>
                <w:color w:val="auto"/>
              </w:rPr>
              <w:t>Manpower 2005 Annual Report</w:t>
            </w:r>
          </w:p>
        </w:tc>
        <w:tc>
          <w:tcPr>
            <w:tcW w:w="2280" w:type="dxa"/>
            <w:vAlign w:val="bottom"/>
          </w:tcPr>
          <w:p>
            <w:pPr>
              <w:jc w:val="right"/>
              <w:ind w:right="1292"/>
              <w:spacing w:after="0"/>
              <w:rPr>
                <w:sz w:val="20"/>
                <w:szCs w:val="20"/>
                <w:color w:val="auto"/>
              </w:rPr>
            </w:pPr>
            <w:r>
              <w:rPr>
                <w:rFonts w:ascii="Arial" w:cs="Arial" w:eastAsia="Arial" w:hAnsi="Arial"/>
                <w:sz w:val="18"/>
                <w:szCs w:val="18"/>
                <w:color w:val="auto"/>
              </w:rPr>
              <w:t>58</w:t>
            </w:r>
          </w:p>
        </w:tc>
        <w:tc>
          <w:tcPr>
            <w:tcW w:w="4300" w:type="dxa"/>
            <w:vAlign w:val="bottom"/>
            <w:gridSpan w:val="10"/>
          </w:tcPr>
          <w:p>
            <w:pPr>
              <w:jc w:val="right"/>
              <w:spacing w:after="0"/>
              <w:rPr>
                <w:sz w:val="20"/>
                <w:szCs w:val="20"/>
                <w:color w:val="auto"/>
              </w:rPr>
            </w:pPr>
            <w:r>
              <w:rPr>
                <w:rFonts w:ascii="Arial" w:cs="Arial" w:eastAsia="Arial" w:hAnsi="Arial"/>
                <w:sz w:val="18"/>
                <w:szCs w:val="18"/>
                <w:b w:val="1"/>
                <w:bCs w:val="1"/>
                <w:color w:val="auto"/>
              </w:rPr>
              <w:t>Consolidated Statements of Cash Flows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Retained</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Capital in</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Common</w:t>
            </w:r>
          </w:p>
        </w:tc>
        <w:tc>
          <w:tcPr>
            <w:tcW w:w="3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Excess of</w:t>
            </w: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Par Value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8"/>
              </w:rPr>
              <w:t>Deficit)</w:t>
            </w:r>
          </w:p>
        </w:tc>
        <w:tc>
          <w:tcPr>
            <w:tcW w:w="3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6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(289.7)</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derivatives, net of tax</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Reclassification adjustment for losses included in net earnings, net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Issuances for acquisitions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equity plans, including tax benefits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Dividends ($0.20 per share)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(283.8)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 of tax</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Issuances for acquisitions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487.8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Issuances under equity plans, including tax benefits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Dividends ($0.30 per share)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2004</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2,296.4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(283.8)</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260.1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Unrealized gain on derivatives, net of tax</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Issuances under equity plans, including tax benefits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Issuances for settlement of convertible debentures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Dividends ($0.47 per share)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2005</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360" w:type="dxa"/>
            <w:vAlign w:val="bottom"/>
            <w:gridSpan w:val="3"/>
          </w:tcPr>
          <w:p>
            <w:pPr>
              <w:jc w:val="center"/>
              <w:ind w:left="1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269.9</w:t>
            </w: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9640" w:type="dxa"/>
            <w:vAlign w:val="bottom"/>
            <w:gridSpan w:val="14"/>
          </w:tcPr>
          <w:p>
            <w:pPr>
              <w:jc w:val="right"/>
              <w:ind w:right="40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800" w:type="dxa"/>
            <w:vAlign w:val="bottom"/>
            <w:gridSpan w:val="4"/>
          </w:tcPr>
          <w:p>
            <w:pPr>
              <w:jc w:val="center"/>
              <w:ind w:right="96"/>
              <w:spacing w:after="0"/>
              <w:rPr>
                <w:sz w:val="20"/>
                <w:szCs w:val="20"/>
                <w:color w:val="auto"/>
              </w:rPr>
            </w:pPr>
            <w:r>
              <w:rPr>
                <w:rFonts w:ascii="Arial" w:cs="Arial" w:eastAsia="Arial" w:hAnsi="Arial"/>
                <w:sz w:val="18"/>
                <w:szCs w:val="18"/>
                <w:color w:val="auto"/>
                <w:w w:val="89"/>
              </w:rPr>
              <w:t>59</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8"/>
          </w:tcPr>
          <w:p>
            <w:pPr>
              <w:jc w:val="right"/>
              <w:spacing w:after="0"/>
              <w:rPr>
                <w:sz w:val="20"/>
                <w:szCs w:val="20"/>
                <w:color w:val="auto"/>
              </w:rPr>
            </w:pPr>
            <w:r>
              <w:rPr>
                <w:rFonts w:ascii="Arial" w:cs="Arial" w:eastAsia="Arial" w:hAnsi="Arial"/>
                <w:sz w:val="18"/>
                <w:szCs w:val="18"/>
                <w:color w:val="auto"/>
              </w:rPr>
              <w:t>Manpower 2005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Inc. is a world leader in the employment services industry. Our worldwide network of over 4,400 offices in 72 countries and territories enables us to meet the needs of our customers in all industry segments. Our largest operations, based on revenues, are located in the United States, France and the United Kingdom. We specialize in permanent, temporary and contract recruitment; employee assessment and selection; training; outsourcing; outplacement and consulting services. We provide services to a wide variety of customers, none of which individually comprise a significant portion of revenues for us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France, we recently settled the audit for payroll tax remittances made during 2001, 2002 and 2003. As a result, we reduced our liability related to these remittances by $9.0 million in the fourth quarter of 2005. During 2004, based on the status of the audit at that time we increased our estimated liability related to these remittances by $12.8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FASB (Financial Accounting Standards Board) Interpretation No. 46R, “Consolidation of Variable Interest Entities.” These investments were $86.7 and $82.7 as of December 31, 2005 and 2004, respectively, and are included as Other Assets in the consolidated balance sheets. Included in Shareholders’ Equity as of December 31, 2005 and 2004 are $48.0 and $45.7 of unremitted earnings from investments accounted for using the equity method. All significant intercompany accounts and transactions have been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Receivables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employees are placed, we record revenue based on the hours worked. Permanent recruitment revenues are recorded as placements are made. Provisions for sales allowances, based on historical experience, are recognized at the time the related sale is recognized. 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$35.8, $34.5 and $26.5 for the years ended December 31, 2005, 2004 and 2003, respectively.</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our outplacement business, we recognize revenue from individual programs on a straight-line basis over the average length of time for candidates to find jobs based on statistically valid data for the specific type of program. For group programs and large projects within the outplacement business, we defer and recognize revenue over the period within which the contracts are completed. In our consulting business, revenue is recognized upon the performance of the obligations under the consulting service contract. The amount billed for outplacement and consulting services in excess of the amount recognized as revenue is recorded as Deferred Revenue and included in Accrued Liabilities in our consolidated balance sheet. We had $42.7 and $43.8 recorded as Deferred Revenue as of December 31, 2005 and 2004, respectively.</w:t>
      </w:r>
    </w:p>
    <w:p>
      <w:pPr>
        <w:spacing w:after="0" w:line="125"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60</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Allowance for Doubtful Accounts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Selling and Administrative Expense in our consolidated statements of operations and was $22.9, $27.3 and $16.7 in 2005, 2004 and 2003,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$18.3, $21.9 and $19.5, for 2005, 2004 and 2003,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expense production costs of advertising as they are incurred. Advertising expenses were $45.8, $43.2 and $28.1 in 2005, 2004 and 2003,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Costs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2005, we recorded a total of $15.3 in France and $4.0 at Right Management for severance costs related to reorganization in both segments. Of the $15.3 in France, $1.3 was paid in 2005 and the remaining $14.0 will be paid in 2006. The full $4.0 recognized at Right Management was paid in 2005. In 2004, in connection with the acquisition of Right Management, we also established reserves for severance and other office closure costs related to streamlining Right Management’s worldwide operations that total $24.5. As of December 31, 2005 approximately $19.4 has been paid from these reserves, of which $11.6 was paid in 2005. As of December 31, 2005, there was $5.1 remaining to be paid from these reserves, primarily representing future operating lease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account for the securitization of accounts receivable in accordance with SFAS No. 140, “Accounting for Transfers and Servicing of Financial Assets and Extinguishments of Liabilities.” Accordingly, transfers of receivables are evaluated for sale accounting treatment and if such a transfer qualifies as a sale under SFAS No.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 the corresponding advance is recorded as debt and the related cost of the transaction is recorded as interest expense. (See note 5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carrying values of cash and cash equivalents, accounts receivable, accounts payable, and other current assets and liabilities approximate their fair values because of the short-term nature of these instruments. The carrying value of Long-Term Debt approximates fair value, except for the Euro-denominated notes and Zero Coupon Convertible Debentures, for which fair value is estimated based on quoted market prices for the same or similar issues.</w:t>
      </w:r>
    </w:p>
    <w:p>
      <w:pPr>
        <w:spacing w:after="0" w:line="87"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center"/>
              <w:ind w:left="174"/>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Franchise Agreements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center"/>
              <w:ind w:left="214"/>
              <w:spacing w:after="0"/>
              <w:rPr>
                <w:sz w:val="20"/>
                <w:szCs w:val="20"/>
                <w:color w:val="auto"/>
              </w:rPr>
            </w:pPr>
            <w:r>
              <w:rPr>
                <w:rFonts w:ascii="Arial" w:cs="Arial" w:eastAsia="Arial" w:hAnsi="Arial"/>
                <w:sz w:val="18"/>
                <w:szCs w:val="18"/>
                <w:b w:val="1"/>
                <w:bCs w:val="1"/>
                <w:color w:val="auto"/>
                <w:w w:val="85"/>
              </w:rPr>
              <w:t>29.8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Non-Amortizable: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Tradename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left="54"/>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74"/>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center"/>
              <w:ind w:left="174"/>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1,286.3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3"/>
              </w:rPr>
              <w:t>1,256.5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1,312.9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Amortization expense related to intangibles was $13.1 and $12.3 in 2005 and 2004, respectively, and immaterial in 2003. Amortization expense expected in each of the next five years is as follows: 2006 – $14.0, 2007 – $14.0, 2008 – $14.0, 2009 – $10.3, and 2010 – $9.2. The useful lives of the technology, franchise agreements, and customer relationships are 5, 10, and 17 years, respectively. The non-amortizable tradename results from our acquisition of Right Management. The trade-name has been assigned an indefinite life based on our expectation of renewing the tradename, as required, without material modifications and at a minimal cost, and our expectation of positive cash flows beyond the foreseeable future.</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 of Right Management. Our remaining goodwill relates primarily to our acquisitions of Elan and Jefferson Wells.</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our discounted cash flow analysis include: expected future revenue growth rates, operating unit profit margins, and working capital levels; a discount rate; and a terminal value multiple.</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completed our annual impairment review for 2005 and determined there to be no impairment of either goodwill or indefinite-lived intangible assets. We plan to perform our next annual impairment review during the third quarter of 2006.</w:t>
      </w:r>
    </w:p>
    <w:p>
      <w:pPr>
        <w:spacing w:after="0" w:line="1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 than forecasted earnings levels for certain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124"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Marketable Securities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account for our marketable security investments under SFAS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which is a separate component of Shareholders’ Equity. Realized gains and losses, and unrealized losses determined to be other-than-temporary, are recorded in our consolidated statements of operations. As of December 31, 2005 and 2004, our available-for-sale investments had a market value of $0.2 and $8.8, respectively, and an adjusted cost basis of $0.1 and $6.3, respectively. As of December 31, 2005 and 2004, none of these available-for-sale investments had unrealized losses. In December 2005, we sold one of our available-for-sale investments for a gain of $2.6.</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hold a 49% interest in our Swiss franchise, which maintains an investment portfolio with a market value of $114.1 and $115.2 as of December 31, 2005 and 2004, respectively.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Our share of net unrealized gains and unrealized losses that are determined to be temporary related to these investments are included in Accumulated Other Comprehensive Income, with the offsetting amount increasing or decreasing our investment in the franchise. In this portfolio, there were no unrealized losses by investment type as of December 31, 2005 and 2004.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$42.6 and $47.2 as of December 31, 2005 and 2004, respectively, is included in Other Assets in the consolidated balance sheets. Amortization expense related to the capitalized software costs was $10.8, $9.3 and $5.5 for 2005,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autos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221.2</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Computer equipment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169.9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169.8</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233.6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243.9</w:t>
            </w:r>
          </w:p>
        </w:tc>
        <w:tc>
          <w:tcPr>
            <w:tcW w:w="20" w:type="dxa"/>
            <w:vAlign w:val="bottom"/>
          </w:tcPr>
          <w:p>
            <w:pPr>
              <w:spacing w:after="0"/>
              <w:rPr>
                <w:sz w:val="18"/>
                <w:szCs w:val="18"/>
                <w:color w:val="auto"/>
              </w:rPr>
            </w:pPr>
          </w:p>
        </w:tc>
      </w:tr>
      <w:tr>
        <w:trPr>
          <w:trHeight w:val="223"/>
        </w:trPr>
        <w:tc>
          <w:tcPr>
            <w:tcW w:w="9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642.4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669.8</w:t>
            </w:r>
          </w:p>
        </w:tc>
      </w:tr>
      <w:tr>
        <w:trPr>
          <w:trHeight w:val="20"/>
        </w:trPr>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leasehold improvements – lesser of life of asset or expected lease term; furniture and equipment – 3 to 15 years.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w:t>
      </w:r>
    </w:p>
    <w:p>
      <w:pPr>
        <w:spacing w:after="0" w:line="123"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account for our derivative instruments in accordance with SFAS Nos. 133, 137, and 149 related to “Accounting for Derivative Instruments and Hedging Activities” (“SFAS 133, as amended”).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and recognized in the consolidated statements of operations when the hedged item affects earnings. Ineffective portions of changes in the fair value of hedges are recognized in earnings.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financial statements of our non-U.S. subsidiaries have been translated in accordance with SFAS No. 52, “Foreign Currency Translation.” Under SFAS 52, asset and liability accounts are translated at the current exchange rate and income statement items are translated at the weighted-average exchange rate for the year. The resulting translation adjustments are recorded as a component of Accumulated Other Comprehensive Income, which is included in Shareholders’ Equity. In accordance with SFAS 109, no deferred taxes have been recorded related to the cumulative translation adjustments.</w:t>
      </w:r>
    </w:p>
    <w:p>
      <w:pPr>
        <w:spacing w:after="0" w:line="11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2004, the Board of Directors authorized the repurchase of 5.0 million shares of our common stock, not to exceed a total purchase price of $250.0. In October 2005, the Board of Directors authorized the repurchase of an additional 5.0 million shares of our common stock, not to exceed a total purchase price of $250.0. Share repurchases may be made from time to time and may be implemented through a variety of methods, including open market purchases, block transactions, privately negotiated transactions, accelerated share repurchase programs, forward repurchase agreements or similar facilities. During the first half of 2005, we repurchased the entire 5.0 million shares of common stock at a total cost of $203.5 under the 2004 authorization and during the fourth quarter we repurchased 300,000 shares under the 2005 authorization at a cost of $14.1. There were no share repurchases in 2004 and 2003.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account for all of our fixed stock option plans and our 1990 Employee Stock Purchase Plan in accordance with APB Opinion No. 25, “Accounting for Stock Issued to Employees,” and related Interpretations (“APB 25”). No stock-based employee compensation expense related to options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SFAS No. 123, “Accounting for Stock-Based Compensation,” (“SFAS 123”) to stock-based employee compensation.</w:t>
      </w:r>
    </w:p>
    <w:p>
      <w:pPr>
        <w:spacing w:after="0" w:line="96"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Net earnings, 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260.1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245.7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Add: Total stock-based employee compensation expense under APB 25, net of related tax effects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Less: Total stock-based employee compensation expense determined under the fair value method for all awards, net of related tax</w:t>
            </w:r>
          </w:p>
        </w:tc>
        <w:tc>
          <w:tcPr>
            <w:tcW w:w="1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rPr>
              <w:t>effects</w:t>
            </w: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249.7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236.2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Basic – pro forma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 as reported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Diluted – pro forma</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spacing w:after="0"/>
              <w:rPr>
                <w:sz w:val="20"/>
                <w:szCs w:val="20"/>
                <w:color w:val="auto"/>
              </w:rPr>
            </w:pPr>
            <w:r>
              <w:rPr>
                <w:rFonts w:ascii="Arial" w:cs="Arial" w:eastAsia="Arial" w:hAnsi="Arial"/>
                <w:sz w:val="11"/>
                <w:szCs w:val="11"/>
                <w:color w:val="auto"/>
              </w:rPr>
              <w:t>(1)</w:t>
            </w:r>
          </w:p>
        </w:tc>
        <w:tc>
          <w:tcPr>
            <w:tcW w:w="9300" w:type="dxa"/>
            <w:vAlign w:val="bottom"/>
            <w:vMerge w:val="restart"/>
          </w:tcPr>
          <w:p>
            <w:pPr>
              <w:ind w:left="280"/>
              <w:spacing w:after="0"/>
              <w:rPr>
                <w:sz w:val="20"/>
                <w:szCs w:val="20"/>
                <w:color w:val="auto"/>
              </w:rPr>
            </w:pPr>
            <w:r>
              <w:rPr>
                <w:rFonts w:ascii="Arial" w:cs="Arial" w:eastAsia="Arial" w:hAnsi="Arial"/>
                <w:sz w:val="18"/>
                <w:szCs w:val="18"/>
                <w:color w:val="auto"/>
              </w:rPr>
              <w:t>The stock-based employee compensation is related to restricted stock.</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500"/>
        <w:spacing w:after="0" w:line="305" w:lineRule="auto"/>
        <w:rPr>
          <w:sz w:val="20"/>
          <w:szCs w:val="20"/>
          <w:color w:val="auto"/>
        </w:rPr>
      </w:pPr>
      <w:r>
        <w:rPr>
          <w:rFonts w:ascii="Arial" w:cs="Arial" w:eastAsia="Arial" w:hAnsi="Arial"/>
          <w:sz w:val="15"/>
          <w:szCs w:val="15"/>
          <w:color w:val="auto"/>
        </w:rPr>
        <w:t>The fair value of each option grant is estimated on the date of grant using the Black-Scholes option-pricing model with the following weighted-average assumptions used for grants in 2005, 2004 and 2003, respectively: risk-free interest rates of 3.8%, 3.2% and 3.3%; expected volatility of 30.0%, 39.8% and</w:t>
      </w:r>
    </w:p>
    <w:p>
      <w:pPr>
        <w:ind w:right="140"/>
        <w:spacing w:after="0" w:line="261" w:lineRule="auto"/>
        <w:rPr>
          <w:sz w:val="20"/>
          <w:szCs w:val="20"/>
          <w:color w:val="auto"/>
        </w:rPr>
      </w:pPr>
      <w:r>
        <w:rPr>
          <w:rFonts w:ascii="Arial" w:cs="Arial" w:eastAsia="Arial" w:hAnsi="Arial"/>
          <w:sz w:val="18"/>
          <w:szCs w:val="18"/>
          <w:color w:val="auto"/>
        </w:rPr>
        <w:t>40.1%; dividend yield of 0.9%, 0.5% and 0.5%; and expected lives of 4.7 years, 6.0 years and 7.4 years. The weighted-average fair value of options granted was $12.98, $17.76 and $10.32 per share in 2005, 2004 and 2003,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During December 2004, the Financial Accounting Standards Board (“FASB”) issued SFAS No. 123(R) “Share-Based Payment” (“SFAS 123R”), which revises SFAS 123 and supercedes APB 25. SFAS 123R requires all share-based payments to employees, including grants of employee stock options, to be recognized as expense based on their fair values. In April 2005, the Securities and Exchange Commission (“SEC”) amended the effective date of SFAS 123R to be the first annual period beginning after June 15, 2005. The pro forma disclosures previously permitted under SFAS 123 will no longer be an alternative to expense recognition. We plan to adopt SFAS 123 in the first quarter of 2006 using the modified prospective method of adoption. We currently expect SFAS 123R to have approximately a $0.10 per share impact on Net Earnings Per Share – Diluted in 2006. The impact of adopting SFAS 123R on 2006 results of operations and financial position will depend upon many factors including the level of stock-based compensation granted in 2006, the fair value of those options which will be determined at the date of grant, the level of participation in the employee stock purchase plan, the related tax benefits recorded and the diluted shares outstanding.</w:t>
      </w:r>
    </w:p>
    <w:p>
      <w:pPr>
        <w:spacing w:after="0" w:line="10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December 2004, the FASB issued FSP No. 109-2, “Accounting and Disclosure Guidance for the Foreign Earnings Repatriation Provision within the American Jobs Creation Act of 2004” (“FSP 109-2”), which provides guidance on the accounting for the potential impact of the repatriation provisions of the American Jobs Creation Act of 2004 (the “Jobs Act”) on enterprises’’ income tax expense and deferred tax liability. The Jobs Act, which was signed into law on October 22, 2004, introduces relief on the potential income tax impact of repatriating foreign earnings and certain other provisions. We have completed our assessment and will not repatriate any foreign earnings under the provisions of the Jobs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January 31, 2006, we received the final approval from the Swedish Competition Authorities and sold a non-core payroll processing business in Sweden.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Currently, we expect a pre-tax gain of approximately $28.2 million related to this sale which will be recorded in the first quarter of 2006.</w:t>
      </w:r>
    </w:p>
    <w:p>
      <w:pPr>
        <w:spacing w:after="0" w:line="145"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U.S. franchises. The total cash consideration for acquisitions was $12.9, $117.3 and $6.7 in 2005, 2004 and 2003, respectively. The 2004 amount includes acquisition related costs and the $123.8 repayment of Right Management’s long-term debt that we were required to make due to change of control provisions contained in the agreements. We financed the acquisition-related costs and this repayment with excess cash and borrowings under our U.S. Receivables Facility, which was repaid in 2004. Cash acquired of approximately $39.5 offsets these payments.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Management Acquisition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22, 2004, we completed our exchange offer to acquire Right Management, the world’s largest career transition and organizational consulting services firm, operating through over 250 offices in 35 countries. The results of Right Management’s operations are included in our consolidated financial statements since that date. The acquisition of Right Management expands the range of services that we offer to customers as a strategic partner throughout every stage of the employment cycle. We have merged our Empower operations into Right Management, and the results of the combined entity are reported as the Right Management segment.</w:t>
      </w:r>
    </w:p>
    <w:p>
      <w:pPr>
        <w:spacing w:after="0" w:line="14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Substantially all of Right Management’s outstanding shares were tendered and exchanged at a rate of 0.3874 of a share of our common stock and cash was paid for fractional shares. The remaining outstanding shares were converted into the right to acquire our common stock at the same exchange rate.</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980" w:type="dxa"/>
            <w:vAlign w:val="bottom"/>
            <w:gridSpan w:val="2"/>
          </w:tcPr>
          <w:p>
            <w:pPr>
              <w:spacing w:after="0"/>
              <w:rPr>
                <w:sz w:val="20"/>
                <w:szCs w:val="20"/>
                <w:color w:val="auto"/>
              </w:rPr>
            </w:pPr>
            <w:r>
              <w:rPr>
                <w:rFonts w:ascii="Arial" w:cs="Arial" w:eastAsia="Arial" w:hAnsi="Arial"/>
                <w:sz w:val="18"/>
                <w:szCs w:val="18"/>
                <w:color w:val="auto"/>
              </w:rPr>
              <w:t>The purchase price is comprised of the following items:</w:t>
            </w:r>
          </w:p>
        </w:tc>
        <w:tc>
          <w:tcPr>
            <w:tcW w:w="500" w:type="dxa"/>
            <w:vAlign w:val="bottom"/>
          </w:tcPr>
          <w:p>
            <w:pPr>
              <w:spacing w:after="0"/>
              <w:rPr>
                <w:sz w:val="19"/>
                <w:szCs w:val="19"/>
                <w:color w:val="auto"/>
              </w:rPr>
            </w:pPr>
          </w:p>
        </w:tc>
      </w:tr>
      <w:tr>
        <w:trPr>
          <w:trHeight w:val="205"/>
        </w:trPr>
        <w:tc>
          <w:tcPr>
            <w:tcW w:w="90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our common stock issued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$428.4</w:t>
            </w:r>
          </w:p>
        </w:tc>
      </w:tr>
      <w:tr>
        <w:trPr>
          <w:trHeight w:val="216"/>
        </w:trPr>
        <w:tc>
          <w:tcPr>
            <w:tcW w:w="90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Fair value of Right Management stock options assumed</w:t>
            </w:r>
          </w:p>
        </w:tc>
        <w:tc>
          <w:tcPr>
            <w:tcW w:w="50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90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16"/>
        </w:trPr>
        <w:tc>
          <w:tcPr>
            <w:tcW w:w="90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Severance and additional SERP liabilities, net of deferred tax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 net of deferred tax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90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630.6</w:t>
            </w: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issued 8,852,000 shares of our common stock in the exchange. The value of these shares was calculated based on an average share price over a 2-day period prior to the completion of the transaction.</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assumed both of Right Management’s stock option plans, converting outstanding options to purchase shares of Right Management common stock into options to purchase 1,962,000 shares of our common stock. The fair value of these options was based on an independent valuation using the Black-Scholes option-pricing model.</w:t>
      </w:r>
    </w:p>
    <w:p>
      <w:pPr>
        <w:spacing w:after="0" w:line="14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were required to repay certain of Right Management’s long-term debt due to change of control provisions contained in these agreements. We financed this repayment with excess cash and borrowings under our U.S. Receivables Facility which were subsequently repaid.</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purchase price also includes amounts paid or accrued for a severance agreement and the liability resulting from the accelerated vesting of Right Management’s Supplemental Executive Retirement Plan (“SERP”). The liability resulting from the accelerated vesting of the SERP was based on an independent valuation. Deferred tax assets of $3.8 were recorded related to these items.</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acquisition-related costs consist primarily of investment banking, legal and accounting fees, printing costs and other external costs directly related to the acquisition.</w:t>
      </w:r>
    </w:p>
    <w:p>
      <w:pPr>
        <w:spacing w:after="0" w:line="112"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37" w:name="page138"/>
    <w:bookmarkEnd w:id="137"/>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this acquisition, we also established reserves for severances and other office closure costs related to streamlining Right Management’s worldwide operations that total $24.5. We recorded a net deferred tax asset of $6.5 related to these items. As of December 31, 2005 approximately $19.4 has been paid from these reserves, of which $11.6 was paid in 2005. As of December 31, 2005, there was $5.1 remaining to be paid from these reserves, primarily representing future operating lease expenditures.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Based on an independent valuation, we identified $162.5 of amortizable intangible assets related to Right Management’s customer list, technology and franchise agreements. These items were assigned a weighted-average useful life of approximately 15 years. We also identified $191.3 as a non-amortizable intangible asset related to Right Management’s tradename. A deferred tax liability of $136.3 was established for the difference between book and tax basis related to Right Management’s intangible assets. Based on the independent valuation and the fair value of tangible assets acquired, $389.6 was recorded as goodwill. Approximately $8.0 of goodwill related to acquisition costs will be deductible for tax purposes, therefore we have recorded a deferred tax asset of $2.9.</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represents the assets acquired and liabilities assumed to arrive at net cash paid and equity issued for the acquisition of Right Management as of January 22, 2004.</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(122.4)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(123.7)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Total liabilities assumed</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(290.4)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paid and value of equity issued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pro forma consolidated results below combine the historical results of our operations and Right Management’s operations for the years ended December 31, 2004 and 2003 and have been prepared to reflect the acquisition as if it had been consummated as of the beginning of each period.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474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4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$ 14,954.0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$ 12,636.1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earnings</w:t>
            </w:r>
          </w:p>
        </w:tc>
        <w:tc>
          <w:tcPr>
            <w:tcW w:w="4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4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4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19"/>
                <w:szCs w:val="19"/>
                <w:color w:val="auto"/>
              </w:rPr>
            </w:pPr>
          </w:p>
        </w:tc>
      </w:tr>
      <w:tr>
        <w:trPr>
          <w:trHeight w:val="35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4740" w:type="dxa"/>
            <w:vAlign w:val="bottom"/>
          </w:tcPr>
          <w:p>
            <w:pPr>
              <w:jc w:val="right"/>
              <w:ind w:right="3332"/>
              <w:spacing w:after="0"/>
              <w:rPr>
                <w:sz w:val="20"/>
                <w:szCs w:val="20"/>
                <w:color w:val="auto"/>
              </w:rPr>
            </w:pPr>
            <w:r>
              <w:rPr>
                <w:rFonts w:ascii="Arial" w:cs="Arial" w:eastAsia="Arial" w:hAnsi="Arial"/>
                <w:sz w:val="18"/>
                <w:szCs w:val="18"/>
                <w:color w:val="auto"/>
              </w:rPr>
              <w:t>67</w:t>
            </w:r>
          </w:p>
        </w:tc>
        <w:tc>
          <w:tcPr>
            <w:tcW w:w="2260" w:type="dxa"/>
            <w:vAlign w:val="bottom"/>
            <w:gridSpan w:val="4"/>
          </w:tcPr>
          <w:p>
            <w:pPr>
              <w:ind w:left="20"/>
              <w:spacing w:after="0"/>
              <w:rPr>
                <w:sz w:val="20"/>
                <w:szCs w:val="20"/>
                <w:color w:val="auto"/>
              </w:rPr>
            </w:pPr>
            <w:r>
              <w:rPr>
                <w:rFonts w:ascii="Arial" w:cs="Arial" w:eastAsia="Arial" w:hAnsi="Arial"/>
                <w:sz w:val="18"/>
                <w:szCs w:val="18"/>
                <w:color w:val="auto"/>
                <w:w w:val="89"/>
              </w:rPr>
              <w:t>Manpower 2005 Annual Report</w:t>
            </w:r>
          </w:p>
        </w:tc>
      </w:tr>
    </w:tbl>
    <w:p>
      <w:pPr>
        <w:sectPr>
          <w:pgSz w:w="11900" w:h="16838" w:orient="portrait"/>
          <w:cols w:equalWidth="0" w:num="1">
            <w:col w:w="11420"/>
          </w:cols>
          <w:pgMar w:left="240" w:top="280"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9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total cash consideration, net of cash acquired, for acquisitions other than Right Management was $12.9, ($14.7) and $6.7, in 2005, 2004 and 2003, respectively. In addition to the cash consideration, in 2003, we acquired ownership interests in certain U.S. franchises in exchange for approximately 13,000 shares of our common stock, which had an aggregate market value of $0.7 at the dates of acquisition.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a European acquisition completed during the first quarter of 2004, we established a reserve of $16.7 for severance and other exit costs related to the acquired company. These expenses were being funded by the inflow of cash that resulted from the acquisition. The full amount has been paid from this reserve.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calculation of Net Earnings Per Share – Basic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8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245.7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7"/>
              </w:rPr>
              <w:t>The calculation of Net Earnings Per Share – Diluted is as follows:</w:t>
            </w:r>
          </w:p>
        </w:tc>
        <w:tc>
          <w:tcPr>
            <w:tcW w:w="1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245.7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 Amortization of contingently convertible debt, net of taxes</w:t>
            </w:r>
          </w:p>
        </w:tc>
        <w:tc>
          <w:tcPr>
            <w:tcW w:w="1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250.5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stock grants</w:t>
            </w:r>
          </w:p>
        </w:tc>
        <w:tc>
          <w:tcPr>
            <w:tcW w:w="1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1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convertible debentures (in millions)</w:t>
            </w:r>
          </w:p>
        </w:tc>
        <w:tc>
          <w:tcPr>
            <w:tcW w:w="1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gridSpan w:val="2"/>
          </w:tcPr>
          <w:p>
            <w:pPr>
              <w:spacing w:after="0"/>
              <w:rPr>
                <w:sz w:val="20"/>
                <w:szCs w:val="20"/>
                <w:color w:val="auto"/>
              </w:rPr>
            </w:pPr>
            <w:r>
              <w:rPr>
                <w:rFonts w:ascii="Arial" w:cs="Arial" w:eastAsia="Arial" w:hAnsi="Arial"/>
                <w:sz w:val="18"/>
                <w:szCs w:val="18"/>
                <w:color w:val="auto"/>
              </w:rPr>
              <w:t>Manpower 2005 Annual Report</w:t>
            </w:r>
          </w:p>
        </w:tc>
        <w:tc>
          <w:tcPr>
            <w:tcW w:w="1840" w:type="dxa"/>
            <w:vAlign w:val="bottom"/>
          </w:tcPr>
          <w:p>
            <w:pPr>
              <w:jc w:val="right"/>
              <w:ind w:right="1112"/>
              <w:spacing w:after="0"/>
              <w:rPr>
                <w:sz w:val="20"/>
                <w:szCs w:val="20"/>
                <w:color w:val="auto"/>
              </w:rPr>
            </w:pPr>
            <w:r>
              <w:rPr>
                <w:rFonts w:ascii="Arial" w:cs="Arial" w:eastAsia="Arial" w:hAnsi="Arial"/>
                <w:sz w:val="18"/>
                <w:szCs w:val="18"/>
                <w:color w:val="auto"/>
              </w:rPr>
              <w:t>68</w:t>
            </w:r>
          </w:p>
        </w:tc>
        <w:tc>
          <w:tcPr>
            <w:tcW w:w="4500" w:type="dxa"/>
            <w:vAlign w:val="bottom"/>
            <w:gridSpan w:val="11"/>
          </w:tcPr>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9" w:name="page140"/>
    <w:bookmarkEnd w:id="13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calculation of Net Earnings Per Share – Diluted for the years ended December 31, 2005, 2004 and 2003 does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Shares (in thousands)</w:t>
            </w:r>
          </w:p>
        </w:tc>
        <w:tc>
          <w:tcPr>
            <w:tcW w:w="4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1,312</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Exercise price ranges</w:t>
            </w:r>
          </w:p>
        </w:tc>
        <w:tc>
          <w:tcPr>
            <w:tcW w:w="4300" w:type="dxa"/>
            <w:vAlign w:val="bottom"/>
          </w:tcPr>
          <w:p>
            <w:pPr>
              <w:spacing w:after="0"/>
              <w:rPr>
                <w:sz w:val="18"/>
                <w:szCs w:val="18"/>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$44–$49</w:t>
            </w: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w w:val="85"/>
              </w:rPr>
              <w:t>$48–$ 49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$37–$44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life</w:t>
            </w:r>
          </w:p>
        </w:tc>
        <w:tc>
          <w:tcPr>
            <w:tcW w:w="430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9.1 years</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86"/>
              </w:rPr>
              <w:t>9.1 years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7.3 years</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04.</w:t>
            </w: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The provision for (benefit of) income taxes consists of:</w:t>
            </w: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300" w:type="dxa"/>
            <w:vAlign w:val="bottom"/>
          </w:tcPr>
          <w:p>
            <w:pPr>
              <w:spacing w:after="0"/>
              <w:rPr>
                <w:sz w:val="24"/>
                <w:szCs w:val="2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United States:</w:t>
            </w:r>
          </w:p>
        </w:tc>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3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$ 12.9</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State</w:t>
            </w:r>
          </w:p>
        </w:tc>
        <w:tc>
          <w:tcPr>
            <w:tcW w:w="430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8.4</w:t>
            </w:r>
          </w:p>
        </w:tc>
        <w:tc>
          <w:tcPr>
            <w:tcW w:w="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4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132.6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United States:</w:t>
            </w:r>
          </w:p>
        </w:tc>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3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38.6</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State</w:t>
            </w:r>
          </w:p>
        </w:tc>
        <w:tc>
          <w:tcPr>
            <w:tcW w:w="430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2.4</w:t>
            </w:r>
          </w:p>
        </w:tc>
        <w:tc>
          <w:tcPr>
            <w:tcW w:w="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43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43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49.1</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43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134.6</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760" w:type="dxa"/>
            <w:vAlign w:val="bottom"/>
            <w:gridSpan w:val="14"/>
          </w:tcPr>
          <w:p>
            <w:pPr>
              <w:spacing w:after="0"/>
              <w:rPr>
                <w:sz w:val="20"/>
                <w:szCs w:val="20"/>
                <w:color w:val="auto"/>
              </w:rPr>
            </w:pPr>
            <w:r>
              <w:rPr>
                <w:rFonts w:ascii="Arial" w:cs="Arial" w:eastAsia="Arial" w:hAnsi="Arial"/>
                <w:sz w:val="18"/>
                <w:szCs w:val="18"/>
                <w:color w:val="auto"/>
                <w:w w:val="91"/>
              </w:rPr>
              <w:t>A reconciliation between taxes computed at the United States Federal statutory tax rate of 35% and the consolidated effective tax rate is as follows: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3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based on statutory rate</w:t>
            </w:r>
          </w:p>
        </w:tc>
        <w:tc>
          <w:tcPr>
            <w:tcW w:w="43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$138.1</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rate differences</w:t>
            </w:r>
          </w:p>
        </w:tc>
        <w:tc>
          <w:tcPr>
            <w:tcW w:w="43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Tax effect of foreign earnings</w:t>
            </w:r>
          </w:p>
        </w:tc>
        <w:tc>
          <w:tcPr>
            <w:tcW w:w="430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b w:val="1"/>
                <w:bCs w:val="1"/>
                <w:color w:val="auto"/>
              </w:rPr>
              <w:t>(14.7)</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(12.2)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reserve</w:t>
            </w:r>
          </w:p>
        </w:tc>
        <w:tc>
          <w:tcPr>
            <w:tcW w:w="430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Reversal of tax contingency reserve</w:t>
            </w:r>
          </w:p>
        </w:tc>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4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Total provision</w:t>
            </w:r>
          </w:p>
        </w:tc>
        <w:tc>
          <w:tcPr>
            <w:tcW w:w="4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4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20" w:type="dxa"/>
            <w:vAlign w:val="bottom"/>
            <w:gridSpan w:val="2"/>
            <w:vMerge w:val="continue"/>
          </w:tcPr>
          <w:p>
            <w:pPr>
              <w:spacing w:after="0"/>
              <w:rPr>
                <w:sz w:val="24"/>
                <w:szCs w:val="24"/>
                <w:color w:val="auto"/>
              </w:rPr>
            </w:pPr>
          </w:p>
        </w:tc>
        <w:tc>
          <w:tcPr>
            <w:tcW w:w="4300" w:type="dxa"/>
            <w:vAlign w:val="bottom"/>
          </w:tcPr>
          <w:p>
            <w:pPr>
              <w:jc w:val="right"/>
              <w:ind w:right="3192"/>
              <w:spacing w:after="0"/>
              <w:rPr>
                <w:sz w:val="20"/>
                <w:szCs w:val="20"/>
                <w:color w:val="auto"/>
              </w:rPr>
            </w:pPr>
            <w:r>
              <w:rPr>
                <w:rFonts w:ascii="Arial" w:cs="Arial" w:eastAsia="Arial" w:hAnsi="Arial"/>
                <w:sz w:val="18"/>
                <w:szCs w:val="18"/>
                <w:color w:val="auto"/>
              </w:rPr>
              <w:t>69</w:t>
            </w:r>
          </w:p>
        </w:tc>
        <w:tc>
          <w:tcPr>
            <w:tcW w:w="2420" w:type="dxa"/>
            <w:vAlign w:val="bottom"/>
            <w:gridSpan w:val="14"/>
          </w:tcPr>
          <w:p>
            <w:pPr>
              <w:jc w:val="right"/>
              <w:ind w:right="20"/>
              <w:spacing w:after="0"/>
              <w:rPr>
                <w:sz w:val="20"/>
                <w:szCs w:val="20"/>
                <w:color w:val="auto"/>
              </w:rPr>
            </w:pPr>
            <w:r>
              <w:rPr>
                <w:rFonts w:ascii="Arial" w:cs="Arial" w:eastAsia="Arial" w:hAnsi="Arial"/>
                <w:sz w:val="18"/>
                <w:szCs w:val="18"/>
                <w:color w:val="auto"/>
                <w:w w:val="95"/>
              </w:rPr>
              <w:t>Manpower 2005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8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 Temporary differences, which gave rise to the deferred taxes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Future Income Tax Benefits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Valuation allowance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 w:type="dxa"/>
            <w:vAlign w:val="bottom"/>
            <w:shd w:val="clear" w:color="auto" w:fill="CCEEFF"/>
          </w:tcPr>
          <w:p>
            <w:pPr>
              <w:spacing w:after="0"/>
              <w:rPr>
                <w:sz w:val="18"/>
                <w:szCs w:val="18"/>
                <w:color w:val="auto"/>
              </w:rPr>
            </w:pPr>
          </w:p>
        </w:tc>
      </w:tr>
      <w:tr>
        <w:trPr>
          <w:trHeight w:val="22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Noncurrent Future Income Tax Benefits (Expense)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7"/>
              </w:rPr>
              <w:t>(126.5)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(131.5)</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operating losses and other</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120.5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(62.8)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future tax benefits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noncurrent future income tax benefits have been classified as Other Assets in the consolidated balance sheets.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have U.S. Federal and foreign net operating loss carryforwards and U.S. state net operating loss carryforwards totaling $335.4 and $136.9, respectively,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The net operating loss carryforwards expire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U.S. Federal</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86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Foreign</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5"/>
              </w:rPr>
              <w:t>U.S. State</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 expirations</w:t>
            </w: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Total net operating loss carryforwards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335.4</w:t>
            </w:r>
          </w:p>
        </w:tc>
        <w:tc>
          <w:tcPr>
            <w:tcW w:w="6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136.9</w:t>
            </w:r>
          </w:p>
        </w:tc>
      </w:tr>
      <w:tr>
        <w:trPr>
          <w:trHeight w:val="20"/>
        </w:trPr>
        <w:tc>
          <w:tcPr>
            <w:tcW w:w="8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recorded a deferred tax asset of $129.3 as of December 31, 2005, for the benefit of these net operating losses. Realization of this asset is dependent on generating sufficient taxable income prior to the expiration of the loss carryforwards. A valuation allowance of $66.0 has been recorded as of December 31, 2005, as management believes that realization of certain loss carryforwards and other deferred tax assets is unlikely. During 2005 and 2004, we reversed valuation allowances of $14.4 and $16.7, respectively, on certain loss carryforwards that are expected to be utilized as a result of certain internal corporate restructurings and transactions.</w:t>
      </w:r>
    </w:p>
    <w:p>
      <w:pPr>
        <w:spacing w:after="0" w:line="123"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41" w:name="page142"/>
    <w:bookmarkEnd w:id="141"/>
    <w:p>
      <w:pPr>
        <w:jc w:val="both"/>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income of foreign operations was $189.7, $170.9 and $169.5 in 2005, 2004 and 2003, respectively. We have not provided United States income taxes and foreign withholding taxes on $491.8 of unremitted earnings of foreign subsidiaries that is considered to be reinvested indefinitely. Deferred taxes are provided on unremitted earnings of foreign subsidiaries when we plan to remit those earnings. As of December 31, 2005 and 2004, we have recorded a deferred tax liability of $9.8 and $9.5, respectively, related to foreign earnings that we plan to remit.</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October 22, 2004, the President signed the American Jobs Creation Act of 2004 (the “Act”). The Act creates a temporary incentive for U.S. corporations to repatriate accumulated earnings from foreign subsidiaries by providing an 85% dividends received deduction for certain dividends from controlled foreign corporations. We have completed our assessment and will not repatriate any foreign earnings under the provisions of the Act.</w:t>
      </w:r>
    </w:p>
    <w:p>
      <w:pPr>
        <w:spacing w:after="0" w:line="1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have tax contingencies recorded related to items in various countries, which are included in Other Long-Term Liabilities. These reserve balances will be adjusted to the extent that these items are settled for amounts different than the amounts we have recorded. In 2004, we received notification that income tax audits for certain years have been completed. Based on the results of these audits, we reversed a tax contingency of $8.0 to income in the third quarter of 2004 ($.08 per share on a diluted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and certain of our U.S. subsidiaries have an agreement (the “Receivables Facility”) with a financial institution whereby we may transfer on a continuous basis an interest in all eligible trade accounts receivable. Pursuant to the Receivables Facility, we formed Ironwood Capital Corporation, a wholly owned, special purpose, bankruptcy-remote subsidiary (“ICC”) that is fully consolidated in our financial statements. ICC was formed for the sole purpose of transferring receivables that we and certain of our subsidiaries generate. Under the Receivables Facility, we and certain of our subsidiaries, irrevocably and without recourse, may transfer all of our accounts receivable to ICC. ICC, in turn, subject to certain conditions, may from time to time transfer an undivided interest in these receivables and is permitted to receive advances of up to $200.0 for the transfer of such undivided interest. In July 2005, we amended the Receivables Facility to extend its maturity to July 2006. Among other changes, the agreement was amended to remove the ratings trigger provision clause that would have caused an event of termination if our long-term debt rating was lowered to non-investment grade. With this amendment we no longer have any financing agreements with prepayment requirements that would trigger solely based on our long-term debt rating being lowered to non-investment grade.</w:t>
      </w:r>
    </w:p>
    <w:p>
      <w:pPr>
        <w:spacing w:after="0" w:line="12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Under the Receivables Facility, ICC has the ability to repurchase, in full or in part, the accounts receivable it transferred to the third party. Therefore, transfers made do not qualify for sale accounting, and accordingly, the receivables transferred to the third party remain on our consolidated balance sheet with the corresponding advance being recorded as debt and amounts charged on outstanding borrowings during the year are recorded as interest expense. No amounts were advanced under this facility as of December 31, 2005 and 2004.</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Fees associated with the amounts advanced were $0.4 in each of 2005, 2004 and 2003 respectively, and were recorded as other expense in the consolidated statements of operations.</w:t>
      </w:r>
    </w:p>
    <w:p>
      <w:pPr>
        <w:spacing w:after="0" w:line="112"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the carrying value of goodwill by reportable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United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Jefferson</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5"/>
              </w:rPr>
              <w:t>States</w:t>
            </w:r>
          </w:p>
        </w:tc>
        <w:tc>
          <w:tcPr>
            <w:tcW w:w="2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auto"/>
              </w:rPr>
              <w:t>Wells</w:t>
            </w:r>
          </w:p>
        </w:tc>
        <w:tc>
          <w:tcPr>
            <w:tcW w:w="260" w:type="dxa"/>
            <w:vAlign w:val="bottom"/>
          </w:tcPr>
          <w:p>
            <w:pPr>
              <w:spacing w:after="0"/>
              <w:rPr>
                <w:sz w:val="14"/>
                <w:szCs w:val="14"/>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Right</w:t>
            </w:r>
          </w:p>
        </w:tc>
        <w:tc>
          <w:tcPr>
            <w:tcW w:w="280" w:type="dxa"/>
            <w:vAlign w:val="bottom"/>
            <w:gridSpan w:val="2"/>
          </w:tcPr>
          <w:p>
            <w:pPr>
              <w:spacing w:after="0"/>
              <w:rPr>
                <w:sz w:val="14"/>
                <w:szCs w:val="14"/>
                <w:color w:val="auto"/>
              </w:rPr>
            </w:pPr>
          </w:p>
        </w:tc>
        <w:tc>
          <w:tcPr>
            <w:tcW w:w="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Operations</w:t>
            </w: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$81.1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 acquired throughout the year</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and other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Balance, December 31, 2004</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3"/>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acquired throughout the year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Currency impact and other</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81.1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w w:val="91"/>
              </w:rPr>
              <w:t>There were no significant reductions to goodwill as a result of dispositions during 2005 or 2004.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07.</w:t>
            </w:r>
          </w:p>
        </w:tc>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DEBT</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Information concerning Short-Term Borrowings is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96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Weighted-average interest rates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b w:val="1"/>
                <w:bCs w:val="1"/>
                <w:color w:val="auto"/>
              </w:rPr>
              <w:t>8.7%</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maintain separate bank facilities with financial institutions to meet working capital needs of our subsidiary operations. As of December 31, 2005, such facilities totaled $254.3, of which $241.9 was unused. We have no significant compensating balance requirements or commitment fees related to these lines. Due to limitations on subsidiary borrowings in our revolving credit agreement, additional borrowings of $100.4 could be made under these facilities as of December 31, 2005.</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Long-Term Debt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c>
          <w:tcPr>
            <w:tcW w:w="2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Zero-coupon convertible debentures</w:t>
            </w:r>
          </w:p>
        </w:tc>
        <w:tc>
          <w:tcPr>
            <w:tcW w:w="28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Euro-denominated notes:</w:t>
            </w:r>
          </w:p>
        </w:tc>
        <w:tc>
          <w:tcPr>
            <w:tcW w:w="2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 due June 2012</w:t>
            </w:r>
          </w:p>
        </w:tc>
        <w:tc>
          <w:tcPr>
            <w:tcW w:w="2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353.8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20" w:type="dxa"/>
            <w:vAlign w:val="bottom"/>
          </w:tcPr>
          <w:p>
            <w:pPr>
              <w:ind w:left="440"/>
              <w:spacing w:after="0"/>
              <w:rPr>
                <w:sz w:val="20"/>
                <w:szCs w:val="20"/>
                <w:color w:val="auto"/>
              </w:rPr>
            </w:pPr>
            <w:r>
              <w:rPr>
                <w:rFonts w:ascii="Arial" w:cs="Arial" w:eastAsia="Arial" w:hAnsi="Arial"/>
                <w:sz w:val="18"/>
                <w:szCs w:val="18"/>
                <w:color w:val="auto"/>
              </w:rPr>
              <w:t>€200 due July 2006</w:t>
            </w:r>
          </w:p>
        </w:tc>
        <w:tc>
          <w:tcPr>
            <w:tcW w:w="2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237.0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€150 due March 2005</w:t>
            </w:r>
          </w:p>
        </w:tc>
        <w:tc>
          <w:tcPr>
            <w:tcW w:w="2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Revolving credit agreement:</w:t>
            </w:r>
          </w:p>
        </w:tc>
        <w:tc>
          <w:tcPr>
            <w:tcW w:w="2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Euro-denominated borrowings, at a rate of 5.71% and 3.0%, respectively</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6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722.6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46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 current maturities</w:t>
            </w:r>
          </w:p>
        </w:tc>
        <w:tc>
          <w:tcPr>
            <w:tcW w:w="2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247.6</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4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676.1</w:t>
            </w:r>
          </w:p>
        </w:tc>
        <w:tc>
          <w:tcPr>
            <w:tcW w:w="460" w:type="dxa"/>
            <w:vAlign w:val="bottom"/>
          </w:tcPr>
          <w:p>
            <w:pPr>
              <w:spacing w:after="0"/>
              <w:rPr>
                <w:sz w:val="18"/>
                <w:szCs w:val="18"/>
                <w:color w:val="auto"/>
              </w:rPr>
            </w:pPr>
          </w:p>
        </w:tc>
      </w:tr>
      <w:tr>
        <w:trPr>
          <w:trHeight w:val="20"/>
        </w:trPr>
        <w:tc>
          <w:tcPr>
            <w:tcW w:w="42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57"/>
        </w:trPr>
        <w:tc>
          <w:tcPr>
            <w:tcW w:w="4280" w:type="dxa"/>
            <w:vAlign w:val="bottom"/>
            <w:gridSpan w:val="2"/>
          </w:tcPr>
          <w:p>
            <w:pPr>
              <w:spacing w:after="0"/>
              <w:rPr>
                <w:sz w:val="20"/>
                <w:szCs w:val="20"/>
                <w:color w:val="auto"/>
              </w:rPr>
            </w:pPr>
            <w:r>
              <w:rPr>
                <w:rFonts w:ascii="Arial" w:cs="Arial" w:eastAsia="Arial" w:hAnsi="Arial"/>
                <w:sz w:val="18"/>
                <w:szCs w:val="18"/>
                <w:color w:val="auto"/>
              </w:rPr>
              <w:t>Manpower 2005 Annual Report</w:t>
            </w:r>
          </w:p>
        </w:tc>
        <w:tc>
          <w:tcPr>
            <w:tcW w:w="2820" w:type="dxa"/>
            <w:vAlign w:val="bottom"/>
          </w:tcPr>
          <w:p>
            <w:pPr>
              <w:jc w:val="right"/>
              <w:ind w:right="1272"/>
              <w:spacing w:after="0"/>
              <w:rPr>
                <w:sz w:val="20"/>
                <w:szCs w:val="20"/>
                <w:color w:val="auto"/>
              </w:rPr>
            </w:pPr>
            <w:r>
              <w:rPr>
                <w:rFonts w:ascii="Arial" w:cs="Arial" w:eastAsia="Arial" w:hAnsi="Arial"/>
                <w:sz w:val="18"/>
                <w:szCs w:val="18"/>
                <w:color w:val="auto"/>
              </w:rPr>
              <w:t>72</w:t>
            </w:r>
          </w:p>
        </w:tc>
        <w:tc>
          <w:tcPr>
            <w:tcW w:w="4320" w:type="dxa"/>
            <w:vAlign w:val="bottom"/>
            <w:gridSpan w:val="6"/>
          </w:tcPr>
          <w:p>
            <w:pPr>
              <w:ind w:left="1060"/>
              <w:spacing w:after="0"/>
              <w:rPr>
                <w:sz w:val="20"/>
                <w:szCs w:val="20"/>
                <w:color w:val="auto"/>
              </w:rPr>
            </w:pPr>
            <w:r>
              <w:rPr>
                <w:rFonts w:ascii="Arial" w:cs="Arial" w:eastAsia="Arial" w:hAnsi="Arial"/>
                <w:sz w:val="18"/>
                <w:szCs w:val="18"/>
                <w:b w:val="1"/>
                <w:bCs w:val="1"/>
                <w:color w:val="auto"/>
                <w:w w:val="86"/>
              </w:rPr>
              <w:t>Notes to Consolidated Financial Statements</w:t>
            </w:r>
          </w:p>
        </w:tc>
      </w:tr>
    </w:tbl>
    <w:p>
      <w:pPr>
        <w:sectPr>
          <w:pgSz w:w="11900" w:h="16838" w:orient="portrait"/>
          <w:cols w:equalWidth="0" w:num="1">
            <w:col w:w="11420"/>
          </w:cols>
          <w:pgMar w:left="240" w:top="27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Convertible Debentures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February 28, 2005, we elected to call our Zero Coupon Convertible Debentures due August 17, 2021 (the “Debentures”) at a redemption price of $613.99 per $1,000 of principal amount at maturity of the Debentures. Under the Indenture related to the Debentures, the Debentures could be converted at a conversion rate of 13.9559 shares of Manpower common stock per $1,000 of principal amount at maturity of Debentures, at the option of the debenture holders. On March 30, 2005, the Debentures were redeemed, and of the $435.2 principal amount at maturity of Debentures, $336.4 principal amount at maturity was redeemed for an aggregate cash payment of $206.6 and $98.8 principal amount at maturity ($60.6 in accreted value) was converted into 1,378,670 shares of Manpower common stock. These shares were issued from Treasury Stock at the average price per treasury share, which totaled $41.4. The remaining $19.2 was recorded as Capital in Excess of Par Value. The cash payment was financed through borrowings under our U.S. Receivables Facility ($187.0) and our revolving credit agreement ($20.0).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 Notes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June 1, 2005, we offered and sold €300.0 aggregate principal amount of 4.50% notes due June 1, 2012 (the “€300.0 Notes”). Net proceeds of approximately €297.7 ($372.3) were used to repay a portion of the outstanding indebtedness under our revolving credit facility and U.S. Receivables Facility, to fund our share repurchase program, and for general corporate purposes. The €300.0 Notes were issued at a price of 99.518% to yield an effective interest rate of 4.58%. The discount of €1.4 ($1.8) will be amortized to interest expense over the term of the notes. Interest is payable annually on June 1. The €300.0 Notes are unsecured senior obligations and rank equally with all of our existing and future senior unsecured debt and other liabilities. We may redeem the €300.0 Notes, in whole but not in part, at our option at any time for a redemption price as defined in the agreement. These notes also contain certain customary restrictive covenants and events of default.</w:t>
      </w:r>
    </w:p>
    <w:p>
      <w:pPr>
        <w:spacing w:after="0" w:line="14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€300.0 Notes, along with our other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Income.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€ 200.0 in unsecured notes due July 2006 and have scheduled annual interest payments at a rate of 5.63%. (See note 13 for further information.)</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€150.0 notes ($198.4), due March 2005, were retired on March 7, 2005, with available cash. In September 2002, we entered into derivative financial instruments to swap these notes to floating U.S. LIBOR, which expired concurrently with the notes. Cash received from settlement of the foreign currency component of these derivative financial instruments was approximately $50.7, resulting in a net repayment of $147.7 related to the €150.0 notes, and is reflected in cash flows from financing activities on the consolidated statements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$625.0 revolving credit agreement (the “agreement”) with a syndicate of commercial banks that expires in October 2009. The revolving credit agreement allows for borrowings in various currencies and up to $150.0 may be used for the issuance of stand-by letters of credit. Outstanding letters of credit issued under the credit agreement totaled $85.8 and $77.7 as of December 31, 2005 and 2004, respectively. Additional borrowings of $420.7 were available to us under this revolving credit agreement as of December 31, 2005.</w:t>
      </w:r>
    </w:p>
    <w:p>
      <w:pPr>
        <w:spacing w:after="0" w:line="14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In January 2006, the agreement was amended (the “amended agreement”) to extend the expiration date to October 2010, from October 2009, and to revise the borrowing margin and to reflect improved market pricing conditions. Also under the amended revolving credit agreement, effective January 2006, total subsidiary borrowings cannot exceed $150.0 in the first, second and fourth quarters, and $300.0 in the third quarter of each year, an increase from the previous $125.0 limit.</w:t>
      </w:r>
    </w:p>
    <w:p>
      <w:pPr>
        <w:spacing w:after="0" w:line="69"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4"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borrowing margin rate and facility fee on the agreement, as well as the fee paid for the issuance of letters of credit under the facility, vary based on our public debt ratings and borrowing level. As of December 31, 2005 the interest rate under the agreement was LIBOR plus 0.675% (for USD borrowings, or alternative base rate for foreign currency borrowings), and the facility and issuance fees are 0.20% and 0.675%, respectively. The current interest rate under the amended agreement is LIBOR plus 0.50% (for USD borrowings, or alternative base rate for foreign currency borrowings), and the facility and issuance fees are 0.125% and 0.50%, respectively.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agreement requires, among other things, that we comply with a Debt-to-EBITDA ratio of less than 3.25 to 1 and a fixed charge ratio of greater than 2.00 to 1. As defined in the agreement, we had a Debt-to-EBITDA ratio of 1.39 to 1 and a fixed charge ratio of 2.85 to 1 as of December 31, 2005. Based upon current forecasts, we expect to be in compliance with these covenants throughout the coming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$125.0 U.S. commercial paper program at December 31, 2005 and 2004,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entered into various interest rate swap agreements to manage the interest rate and currency risk associated with our debt instruments. (See note 13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carrying value of Long-Term Debt approximates fair value, except for the Euro-denominated notes and the Debentures, which had a fair value, as determined by quoted market prices, as of December 31,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Euro denominated notes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$600.3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20" w:type="dxa"/>
            <w:vAlign w:val="bottom"/>
          </w:tcPr>
          <w:p>
            <w:pPr>
              <w:spacing w:after="0"/>
              <w:rPr>
                <w:sz w:val="18"/>
                <w:szCs w:val="18"/>
                <w:color w:val="auto"/>
              </w:rPr>
            </w:pPr>
          </w:p>
        </w:tc>
      </w:tr>
      <w:tr>
        <w:trPr>
          <w:trHeight w:val="228"/>
        </w:trPr>
        <w:tc>
          <w:tcPr>
            <w:tcW w:w="9200" w:type="dxa"/>
            <w:vAlign w:val="bottom"/>
          </w:tcPr>
          <w:p>
            <w:pPr>
              <w:spacing w:after="0"/>
              <w:rPr>
                <w:sz w:val="20"/>
                <w:szCs w:val="20"/>
                <w:color w:val="auto"/>
              </w:rPr>
            </w:pPr>
            <w:r>
              <w:rPr>
                <w:rFonts w:ascii="Arial" w:cs="Arial" w:eastAsia="Arial" w:hAnsi="Arial"/>
                <w:sz w:val="18"/>
                <w:szCs w:val="18"/>
                <w:color w:val="auto"/>
              </w:rPr>
              <w:t>Zero-coupon convertible debentures</w:t>
            </w: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299.8</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maturities of Long-Term Debt payable within each of the four years subsequent to December 31, 2006 are as follows: 2007 – $1.3, 2008 – $1.1, 2009 – $0.1, 2010 – $118.5, and $354.0 thereafter. These maturities reflect the change in maturity of the $625.0 revolving credit agreement under the amendment effective January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96" w:lineRule="exact"/>
        <w:rPr>
          <w:sz w:val="20"/>
          <w:szCs w:val="20"/>
          <w:color w:val="auto"/>
        </w:rPr>
      </w:pPr>
    </w:p>
    <w:p>
      <w:pPr>
        <w:jc w:val="both"/>
        <w:ind w:right="220"/>
        <w:spacing w:after="0" w:line="335" w:lineRule="auto"/>
        <w:rPr>
          <w:sz w:val="20"/>
          <w:szCs w:val="20"/>
          <w:color w:val="auto"/>
        </w:rPr>
      </w:pPr>
      <w:r>
        <w:rPr>
          <w:rFonts w:ascii="Arial" w:cs="Arial" w:eastAsia="Arial" w:hAnsi="Arial"/>
          <w:sz w:val="15"/>
          <w:szCs w:val="15"/>
          <w:color w:val="auto"/>
        </w:rPr>
        <w:t>Our 2003 Equity Incentive Plan of Manpower Inc. (“2003 Plan”) has 4,500,000 shares authorized for grant. Under this plan, all of our full-time employees and non-employee directors are eligible to receive grants of stock options, stock appreciation rights, restricted stock, restricted stock units, performance share units, and deferred stock grants. As of December 31, 2005, we had approximately 2,100,000 shares of common stock remaining available for grant under this plan.</w:t>
      </w:r>
    </w:p>
    <w:p>
      <w:pPr>
        <w:spacing w:after="0" w:line="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Awards may be granted under the plan to eligible employees at the discretion of the plan administrator, which currently is a committee of the Board of Directors. All options and stock appreciation rights are granted at a price determined by the administrator, not less than 100% of the fair market value of the common stock at the date of grant. The administrator also determines the period during which options and stock appreciation rights are exercisable. Generally, options are granted with a vesting period of up to four years and expire ten years from the date of grant. As of December 31, 2005, no stock appreciation rights had been granted or were outstanding.</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the current compensation arrangement, all of our non-employee directors may elect to receive deferred stock in lieu of the portion of the annual cash retainer as to which there was not an election in effect as of July 29, 2003 under the prior compensation arrangement. Non-employee directors who were in office prior to July 29, 2003 for whom an election was not in effect through November 4, 2006 had the right to elect to receive an option to purchase shares of our common stock under the prior compensation arrangement, with respect to a portion of the annual cash retainer through November 2006.</w:t>
      </w:r>
    </w:p>
    <w:p>
      <w:pPr>
        <w:spacing w:after="0" w:line="93"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45" w:name="page146"/>
    <w:bookmarkEnd w:id="14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shares of deferred stock is determined pursuant to a formula set forth in the terms and conditions adopted under the 2003 Plan and the number of shares covered by the option were determined in accordance with the terms of the prior compensation arrangement. Deferred stock is settled in shares of common stock following the directors’ termination of service.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January 1, 2006, the non-employee directors also receive an annual grant of deferred stock as additional compensation for board service. The number of shares of deferred stock is equal to $100,000 ($117,000 for 2006) divided by the closing sale price of a share of the our common stock on the last trading day of the preceding year. The stock vests in equal quarterly installments and the vested portion is settled in shares of common stock after three years (which may be extended at the directors’ election) or upon the directors’ termination of service. Instead of receiving this grant of deferred stock, directors may elect to receive a grant for the same number of shares of restricted stock.</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value of restricted stock granted is charged to equity and amortized to expense over the restriction period. There were 112,000 and 41,000 restricted shares granted during 2005 and 2004, respectively. During 2005, 2004 and 2003, we recognized $1.7, $0.9 and $0.5, respectively, of expense, net of tax, related to restricted stock grants. As of December 31, 2005, there were 201,500 restricted shares that had not vested.</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stock option plan discussed above, we have the Savings Related Share Option Scheme for United Kingdom employees with at least one year of service. As of December 31, 2005, there were approximately 888,000 shares of common stock remaining available for grant under this plan.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related to options outstanding under our plans, and the related weighted-average exercise prices,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Shares (000)</w:t>
            </w:r>
          </w:p>
        </w:tc>
        <w:tc>
          <w:tcPr>
            <w:tcW w:w="380" w:type="dxa"/>
            <w:vAlign w:val="bottom"/>
            <w:tcBorders>
              <w:top w:val="single" w:sz="8" w:color="auto"/>
            </w:tcBorders>
            <w:gridSpan w:val="2"/>
          </w:tcPr>
          <w:p>
            <w:pPr>
              <w:spacing w:after="0"/>
              <w:rPr>
                <w:sz w:val="12"/>
                <w:szCs w:val="12"/>
                <w:color w:val="auto"/>
              </w:rPr>
            </w:pPr>
          </w:p>
        </w:tc>
        <w:tc>
          <w:tcPr>
            <w:tcW w:w="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4"/>
              </w:rPr>
              <w:t>Shares (000)</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Price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w w:val="79"/>
              </w:rPr>
              <w:t>Shares (000)</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beginning of period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$ 31</w:t>
            </w:r>
          </w:p>
        </w:tc>
        <w:tc>
          <w:tcPr>
            <w:tcW w:w="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8"/>
                <w:szCs w:val="18"/>
                <w:color w:val="auto"/>
              </w:rPr>
              <w:t>982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Assumed in Right Management acquisition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left w:val="single" w:sz="8" w:color="CCEEFF"/>
            </w:tcBorders>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(803)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(2,542)</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(1,345)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(470)</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Options outstanding, end of period</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5,257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$ 33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5,064</w:t>
            </w: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end of period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$ 31</w:t>
            </w:r>
          </w:p>
        </w:tc>
        <w:tc>
          <w:tcPr>
            <w:tcW w:w="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w w:val="96"/>
              </w:rPr>
              <w:t>Options outstanding and exercisable as of December 31, 2005 are as follows: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Options Outstanding</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 (000)</w:t>
            </w:r>
          </w:p>
        </w:tc>
        <w:tc>
          <w:tcPr>
            <w:tcW w:w="320" w:type="dxa"/>
            <w:vAlign w:val="bottom"/>
          </w:tcPr>
          <w:p>
            <w:pPr>
              <w:spacing w:after="0"/>
              <w:rPr>
                <w:sz w:val="14"/>
                <w:szCs w:val="14"/>
                <w:color w:val="auto"/>
              </w:rPr>
            </w:pPr>
          </w:p>
        </w:tc>
        <w:tc>
          <w:tcPr>
            <w:tcW w:w="12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8"/>
              </w:rPr>
              <w:t>Contractual Life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3"/>
              </w:rPr>
              <w:t>Exercise Price</w:t>
            </w:r>
          </w:p>
        </w:tc>
        <w:tc>
          <w:tcPr>
            <w:tcW w:w="2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74"/>
              </w:rPr>
              <w:t>Shares (000)</w:t>
            </w:r>
          </w:p>
        </w:tc>
        <w:tc>
          <w:tcPr>
            <w:tcW w:w="600" w:type="dxa"/>
            <w:vAlign w:val="bottom"/>
          </w:tcPr>
          <w:p>
            <w:pPr>
              <w:spacing w:after="0"/>
              <w:rPr>
                <w:sz w:val="14"/>
                <w:szCs w:val="14"/>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$8 – $ 31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760" w:type="dxa"/>
            <w:vAlign w:val="bottom"/>
            <w:tcBorders>
              <w:left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$32 – $ 34</w:t>
            </w:r>
          </w:p>
        </w:tc>
        <w:tc>
          <w:tcPr>
            <w:tcW w:w="700" w:type="dxa"/>
            <w:vAlign w:val="bottom"/>
          </w:tcPr>
          <w:p>
            <w:pPr>
              <w:jc w:val="right"/>
              <w:spacing w:after="0"/>
              <w:rPr>
                <w:sz w:val="20"/>
                <w:szCs w:val="20"/>
                <w:color w:val="auto"/>
              </w:rPr>
            </w:pPr>
            <w:r>
              <w:rPr>
                <w:rFonts w:ascii="Arial" w:cs="Arial" w:eastAsia="Arial" w:hAnsi="Arial"/>
                <w:sz w:val="18"/>
                <w:szCs w:val="18"/>
                <w:color w:val="auto"/>
              </w:rPr>
              <w:t>1,411</w:t>
            </w:r>
          </w:p>
        </w:tc>
        <w:tc>
          <w:tcPr>
            <w:tcW w:w="28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957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$35 – $ 43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466</w:t>
            </w: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$44 – $ 49</w:t>
            </w:r>
          </w:p>
        </w:tc>
        <w:tc>
          <w:tcPr>
            <w:tcW w:w="700" w:type="dxa"/>
            <w:vAlign w:val="bottom"/>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760" w:type="dxa"/>
            <w:vAlign w:val="bottom"/>
            <w:tcBorders>
              <w:left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0" w:type="dxa"/>
            <w:vAlign w:val="bottom"/>
            <w:gridSpan w:val="2"/>
            <w:vMerge w:val="continue"/>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11"/>
          </w:tcPr>
          <w:p>
            <w:pPr>
              <w:jc w:val="right"/>
              <w:ind w:right="20"/>
              <w:spacing w:after="0"/>
              <w:rPr>
                <w:sz w:val="20"/>
                <w:szCs w:val="20"/>
                <w:color w:val="auto"/>
              </w:rPr>
            </w:pPr>
            <w:r>
              <w:rPr>
                <w:rFonts w:ascii="Arial" w:cs="Arial" w:eastAsia="Arial" w:hAnsi="Arial"/>
                <w:sz w:val="18"/>
                <w:szCs w:val="18"/>
                <w:color w:val="auto"/>
                <w:w w:val="90"/>
              </w:rPr>
              <w:t>Manpower 2005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 Plans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reserved 2,250,000 shares of common stock for issuance under the 1990 Employee Stock Purchase Plan, of which 800,000 shares remained available for future issuance as of December 31, 2005. Under the plan, designated Manpower employees meeting certain service requirements may purchase shares of our common stock through payroll deductions. These shares may be purchased at the lesser of 85% of their fair market value at the beginning or end of each year. During 2005, 2004 and 2003, employees purchased 99,000, 92,000 and 193,000 shares, respectively, under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DEFERRED COMPENSATION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Plans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4"/>
                <w:szCs w:val="14"/>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2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2640" w:type="dxa"/>
            <w:vAlign w:val="bottom"/>
          </w:tcPr>
          <w:p>
            <w:pPr>
              <w:spacing w:after="0"/>
              <w:rPr>
                <w:sz w:val="18"/>
                <w:szCs w:val="18"/>
                <w:color w:val="auto"/>
              </w:rPr>
            </w:pPr>
          </w:p>
        </w:tc>
        <w:tc>
          <w:tcPr>
            <w:tcW w:w="238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$ 52.3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$203.9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2640" w:type="dxa"/>
            <w:vAlign w:val="bottom"/>
          </w:tcPr>
          <w:p>
            <w:pPr>
              <w:spacing w:after="0"/>
              <w:rPr>
                <w:sz w:val="18"/>
                <w:szCs w:val="18"/>
                <w:color w:val="auto"/>
              </w:rPr>
            </w:pPr>
          </w:p>
        </w:tc>
        <w:tc>
          <w:tcPr>
            <w:tcW w:w="238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Curtailments</w:t>
            </w: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(0.9)</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Actuarial loss</w:t>
            </w:r>
          </w:p>
        </w:tc>
        <w:tc>
          <w:tcPr>
            <w:tcW w:w="2640" w:type="dxa"/>
            <w:vAlign w:val="bottom"/>
          </w:tcPr>
          <w:p>
            <w:pPr>
              <w:spacing w:after="0"/>
              <w:rPr>
                <w:sz w:val="18"/>
                <w:szCs w:val="18"/>
                <w:color w:val="auto"/>
              </w:rPr>
            </w:pPr>
          </w:p>
        </w:tc>
        <w:tc>
          <w:tcPr>
            <w:tcW w:w="238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34.7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 contributions</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Benefits paid</w:t>
            </w:r>
          </w:p>
        </w:tc>
        <w:tc>
          <w:tcPr>
            <w:tcW w:w="2640" w:type="dxa"/>
            <w:vAlign w:val="bottom"/>
          </w:tcPr>
          <w:p>
            <w:pPr>
              <w:spacing w:after="0"/>
              <w:rPr>
                <w:sz w:val="18"/>
                <w:szCs w:val="18"/>
                <w:color w:val="auto"/>
              </w:rPr>
            </w:pPr>
          </w:p>
        </w:tc>
        <w:tc>
          <w:tcPr>
            <w:tcW w:w="23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90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Currency exchange rate changes</w:t>
            </w: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rPr>
              <w:t>(26.1)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$ 52.6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gridSpan w:val="2"/>
            <w:vMerge w:val="continue"/>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beginning of year</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$ 37.5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$126.5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640" w:type="dxa"/>
            <w:vAlign w:val="bottom"/>
          </w:tcPr>
          <w:p>
            <w:pPr>
              <w:spacing w:after="0"/>
              <w:rPr>
                <w:sz w:val="18"/>
                <w:szCs w:val="18"/>
                <w:color w:val="auto"/>
              </w:rPr>
            </w:pPr>
          </w:p>
        </w:tc>
        <w:tc>
          <w:tcPr>
            <w:tcW w:w="238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23.0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Plan participant contributions</w:t>
            </w: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Benefits paid</w:t>
            </w:r>
          </w:p>
        </w:tc>
        <w:tc>
          <w:tcPr>
            <w:tcW w:w="2640" w:type="dxa"/>
            <w:vAlign w:val="bottom"/>
          </w:tcPr>
          <w:p>
            <w:pPr>
              <w:spacing w:after="0"/>
              <w:rPr>
                <w:sz w:val="18"/>
                <w:szCs w:val="18"/>
                <w:color w:val="auto"/>
              </w:rPr>
            </w:pPr>
          </w:p>
        </w:tc>
        <w:tc>
          <w:tcPr>
            <w:tcW w:w="23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90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rate changes</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(15.3)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Fair value of plan assets, end of year</w:t>
            </w:r>
          </w:p>
        </w:tc>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$ 39.1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145.0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Funded status of plan</w:t>
            </w:r>
          </w:p>
        </w:tc>
        <w:tc>
          <w:tcPr>
            <w:tcW w:w="2640" w:type="dxa"/>
            <w:vAlign w:val="bottom"/>
          </w:tcPr>
          <w:p>
            <w:pPr>
              <w:spacing w:after="0"/>
              <w:rPr>
                <w:sz w:val="18"/>
                <w:szCs w:val="18"/>
                <w:color w:val="auto"/>
              </w:rPr>
            </w:pPr>
          </w:p>
        </w:tc>
        <w:tc>
          <w:tcPr>
            <w:tcW w:w="23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$(13.5)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(14.8)</w:t>
            </w:r>
          </w:p>
        </w:tc>
        <w:tc>
          <w:tcPr>
            <w:tcW w:w="90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 (89.2)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 loss</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2640" w:type="dxa"/>
            <w:vAlign w:val="bottom"/>
          </w:tcPr>
          <w:p>
            <w:pPr>
              <w:spacing w:after="0"/>
              <w:rPr>
                <w:sz w:val="18"/>
                <w:szCs w:val="18"/>
                <w:color w:val="auto"/>
              </w:rPr>
            </w:pPr>
          </w:p>
        </w:tc>
        <w:tc>
          <w:tcPr>
            <w:tcW w:w="238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transitional asset</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2640" w:type="dxa"/>
            <w:vAlign w:val="bottom"/>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26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(17.7</w:t>
            </w:r>
          </w:p>
        </w:tc>
        <w:tc>
          <w:tcPr>
            <w:tcW w:w="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(19.3)</w:t>
            </w:r>
          </w:p>
        </w:tc>
        <w:tc>
          <w:tcPr>
            <w:tcW w:w="10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9"/>
              </w:rPr>
              <w:t>$ (34.1</w:t>
            </w:r>
          </w:p>
        </w:tc>
        <w:tc>
          <w:tcPr>
            <w:tcW w:w="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w:t>
            </w:r>
          </w:p>
        </w:tc>
        <w:tc>
          <w:tcPr>
            <w:tcW w:w="2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2640" w:type="dxa"/>
            <w:vAlign w:val="bottom"/>
          </w:tcPr>
          <w:p>
            <w:pPr>
              <w:spacing w:after="0"/>
              <w:rPr>
                <w:sz w:val="18"/>
                <w:szCs w:val="18"/>
                <w:color w:val="auto"/>
              </w:rPr>
            </w:pPr>
          </w:p>
        </w:tc>
        <w:tc>
          <w:tcPr>
            <w:tcW w:w="23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$(21.0)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(22.8)</w:t>
            </w:r>
          </w:p>
        </w:tc>
        <w:tc>
          <w:tcPr>
            <w:tcW w:w="90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 (69.7)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90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35.5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64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(19.3)</w:t>
            </w:r>
          </w:p>
        </w:tc>
        <w:tc>
          <w:tcPr>
            <w:tcW w:w="90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 (34.1)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(33.3)</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00" w:type="dxa"/>
            <w:vAlign w:val="bottom"/>
            <w:gridSpan w:val="2"/>
          </w:tcPr>
          <w:p>
            <w:pPr>
              <w:spacing w:after="0"/>
              <w:rPr>
                <w:sz w:val="20"/>
                <w:szCs w:val="20"/>
                <w:color w:val="auto"/>
              </w:rPr>
            </w:pPr>
            <w:r>
              <w:rPr>
                <w:rFonts w:ascii="Arial" w:cs="Arial" w:eastAsia="Arial" w:hAnsi="Arial"/>
                <w:sz w:val="18"/>
                <w:szCs w:val="18"/>
                <w:color w:val="auto"/>
              </w:rPr>
              <w:t>Manpower 2005 Annual Report</w:t>
            </w:r>
          </w:p>
        </w:tc>
        <w:tc>
          <w:tcPr>
            <w:tcW w:w="2640" w:type="dxa"/>
            <w:vAlign w:val="bottom"/>
          </w:tcPr>
          <w:p>
            <w:pPr>
              <w:jc w:val="right"/>
              <w:ind w:right="1112"/>
              <w:spacing w:after="0"/>
              <w:rPr>
                <w:sz w:val="20"/>
                <w:szCs w:val="20"/>
                <w:color w:val="auto"/>
              </w:rPr>
            </w:pPr>
            <w:r>
              <w:rPr>
                <w:rFonts w:ascii="Arial" w:cs="Arial" w:eastAsia="Arial" w:hAnsi="Arial"/>
                <w:sz w:val="18"/>
                <w:szCs w:val="18"/>
                <w:color w:val="auto"/>
              </w:rPr>
              <w:t>76</w:t>
            </w:r>
          </w:p>
        </w:tc>
        <w:tc>
          <w:tcPr>
            <w:tcW w:w="4480" w:type="dxa"/>
            <w:vAlign w:val="bottom"/>
            <w:gridSpan w:val="12"/>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measurement dates for our U.S. plans are primarily September 30 and for our non-U.S. plans are December 31.</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accumulated benefit obligation for our plans that have plan assets was $209.2 and $181.8 as of December 31, 2005 and 2004, respectively. The accumulated benefit obligation for certain of these plans exceeded the fair value of plan assets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Plan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$45.3 and $42.8 as of December 31, 2005 and 2004, respectively.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the net periodic benefit cost for all plans are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gridSpan w:val="2"/>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70"/>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00" w:type="dxa"/>
            <w:vAlign w:val="bottom"/>
            <w:gridSpan w:val="3"/>
            <w:shd w:val="clear" w:color="auto" w:fill="CCEEFF"/>
          </w:tcPr>
          <w:p>
            <w:pPr>
              <w:jc w:val="center"/>
              <w:ind w:left="42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13.0</w:t>
            </w:r>
          </w:p>
        </w:tc>
        <w:tc>
          <w:tcPr>
            <w:tcW w:w="2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(10.4)</w:t>
            </w:r>
          </w:p>
        </w:tc>
        <w:tc>
          <w:tcPr>
            <w:tcW w:w="2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loss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w:t>
            </w: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ind w:left="440"/>
              <w:spacing w:after="0"/>
              <w:rPr>
                <w:sz w:val="20"/>
                <w:szCs w:val="20"/>
                <w:color w:val="auto"/>
              </w:rPr>
            </w:pPr>
            <w:r>
              <w:rPr>
                <w:rFonts w:ascii="Arial" w:cs="Arial" w:eastAsia="Arial" w:hAnsi="Arial"/>
                <w:sz w:val="18"/>
                <w:szCs w:val="18"/>
                <w:color w:val="auto"/>
              </w:rPr>
              <w:t>Unrecognized prior service cost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0.3</w:t>
            </w:r>
          </w:p>
        </w:tc>
        <w:tc>
          <w:tcPr>
            <w:tcW w:w="2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transitional asset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benefit cost</w:t>
            </w:r>
          </w:p>
        </w:tc>
        <w:tc>
          <w:tcPr>
            <w:tcW w:w="2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w:t>
            </w:r>
          </w:p>
        </w:tc>
        <w:tc>
          <w:tcPr>
            <w:tcW w:w="3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8140" w:type="dxa"/>
            <w:vAlign w:val="bottom"/>
            <w:gridSpan w:val="2"/>
          </w:tcPr>
          <w:p>
            <w:pPr>
              <w:spacing w:after="0"/>
              <w:rPr>
                <w:sz w:val="20"/>
                <w:szCs w:val="20"/>
                <w:color w:val="auto"/>
              </w:rPr>
            </w:pPr>
            <w:r>
              <w:rPr>
                <w:rFonts w:ascii="Arial" w:cs="Arial" w:eastAsia="Arial" w:hAnsi="Arial"/>
                <w:sz w:val="18"/>
                <w:szCs w:val="18"/>
                <w:color w:val="auto"/>
              </w:rPr>
              <w:t>The weighted-average assumptions used in the measurement of the benefit obligation are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4"/>
              </w:rPr>
              <w:t>U.S. Plans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Non-U.S. Plans</w:t>
            </w:r>
          </w:p>
        </w:tc>
        <w:tc>
          <w:tcPr>
            <w:tcW w:w="0" w:type="dxa"/>
            <w:vAlign w:val="bottom"/>
          </w:tcPr>
          <w:p>
            <w:pPr>
              <w:spacing w:after="0"/>
              <w:rPr>
                <w:sz w:val="1"/>
                <w:szCs w:val="1"/>
                <w:color w:val="auto"/>
              </w:rPr>
            </w:pPr>
          </w:p>
        </w:tc>
      </w:tr>
      <w:tr>
        <w:trPr>
          <w:trHeight w:val="142"/>
        </w:trPr>
        <w:tc>
          <w:tcPr>
            <w:tcW w:w="814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5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76"/>
              </w:rPr>
              <w:t>2005</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4.5%</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weighted-average assumptions used in the measurement of the net periodic benefit cost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4"/>
              </w:rPr>
              <w:t>U.S. Plans</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Non-U.S. Plans</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420" w:type="dxa"/>
            <w:vAlign w:val="bottom"/>
          </w:tcPr>
          <w:p>
            <w:pPr>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34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w w:val="76"/>
              </w:rPr>
              <w:t>2005</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2004</w:t>
            </w:r>
          </w:p>
        </w:tc>
        <w:tc>
          <w:tcPr>
            <w:tcW w:w="32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2"/>
                <w:szCs w:val="12"/>
                <w:color w:val="auto"/>
              </w:rPr>
            </w:pPr>
          </w:p>
        </w:tc>
      </w:tr>
      <w:tr>
        <w:trPr>
          <w:trHeight w:val="20"/>
        </w:trPr>
        <w:tc>
          <w:tcPr>
            <w:tcW w:w="4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3940" w:type="dxa"/>
            <w:vAlign w:val="bottom"/>
            <w:gridSpan w:val="3"/>
          </w:tcPr>
          <w:p>
            <w:pPr>
              <w:jc w:val="right"/>
              <w:spacing w:after="0"/>
              <w:rPr>
                <w:sz w:val="20"/>
                <w:szCs w:val="20"/>
                <w:color w:val="auto"/>
              </w:rPr>
            </w:pPr>
            <w:r>
              <w:rPr>
                <w:rFonts w:ascii="Arial" w:cs="Arial" w:eastAsia="Arial" w:hAnsi="Arial"/>
                <w:sz w:val="18"/>
                <w:szCs w:val="18"/>
                <w:b w:val="1"/>
                <w:bCs w:val="1"/>
                <w:color w:val="auto"/>
              </w:rPr>
              <w:t>8.3%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74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5.8%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5.7%</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363"/>
        </w:trPr>
        <w:tc>
          <w:tcPr>
            <w:tcW w:w="442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3480" w:type="dxa"/>
            <w:vAlign w:val="bottom"/>
          </w:tcPr>
          <w:p>
            <w:pPr>
              <w:jc w:val="right"/>
              <w:ind w:right="2072"/>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0"/>
          </w:tcPr>
          <w:p>
            <w:pPr>
              <w:jc w:val="right"/>
              <w:spacing w:after="0"/>
              <w:rPr>
                <w:sz w:val="20"/>
                <w:szCs w:val="20"/>
                <w:color w:val="auto"/>
              </w:rPr>
            </w:pPr>
            <w:r>
              <w:rPr>
                <w:rFonts w:ascii="Arial" w:cs="Arial" w:eastAsia="Arial" w:hAnsi="Arial"/>
                <w:sz w:val="18"/>
                <w:szCs w:val="18"/>
                <w:color w:val="auto"/>
                <w:w w:val="89"/>
              </w:rPr>
              <w:t>Manpower 2005 Annual Report</w:t>
            </w:r>
          </w:p>
        </w:tc>
      </w:tr>
    </w:tbl>
    <w:p>
      <w:pPr>
        <w:sectPr>
          <w:pgSz w:w="11900" w:h="16838" w:orient="portrait"/>
          <w:cols w:equalWidth="0" w:num="1">
            <w:col w:w="11420"/>
          </w:cols>
          <w:pgMar w:left="240" w:top="280"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overall expected long-term rate of return on U.S. plan assets is 8.3%. Our overall expected long-term rate of return on our non-U.S. plans varies by country and ranges from 1.3% to 7.0%.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via a building block approach with proper consideration of diversification and rebalancing. We also use guaranteed insurance contracts for one of our foreign plans. Peer data and historical returns are reviewed to check for reasonableness and appropriateness of our expected rate of return.</w:t>
      </w:r>
    </w:p>
    <w:p>
      <w:pPr>
        <w:spacing w:after="0" w:line="118"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Projected salary levels utilized in the determination of the projected benefit obligation for the pension plans are based upon historical experience. The unrecognized transitional assets are being amortized over the estimated remaining service lives of the employees.</w:t>
      </w:r>
    </w:p>
    <w:p>
      <w:pPr>
        <w:spacing w:after="0" w:line="8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generally use an external investment manager to assist us in establishing our investment strategies and policies.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2005 allocations, are determined based on the favorable risk tolerance characteristics of the plan and, at times, may be adjusted within a specified range to advance our overall objective.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plans as of December 31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40.0%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40.3%</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47.5%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43.2%</w:t>
            </w:r>
          </w:p>
        </w:tc>
      </w:tr>
      <w:tr>
        <w:trPr>
          <w:trHeight w:val="228"/>
        </w:trPr>
        <w:tc>
          <w:tcPr>
            <w:tcW w:w="9260" w:type="dxa"/>
            <w:vAlign w:val="bottom"/>
          </w:tcPr>
          <w:p>
            <w:pPr>
              <w:spacing w:after="0"/>
              <w:rPr>
                <w:sz w:val="20"/>
                <w:szCs w:val="20"/>
                <w:color w:val="auto"/>
              </w:rPr>
            </w:pPr>
            <w:r>
              <w:rPr>
                <w:rFonts w:ascii="Arial" w:cs="Arial" w:eastAsia="Arial" w:hAnsi="Arial"/>
                <w:sz w:val="18"/>
                <w:szCs w:val="18"/>
                <w:color w:val="auto"/>
              </w:rPr>
              <w:t>Cash and other</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12.5%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16.5%</w:t>
            </w:r>
          </w:p>
        </w:tc>
      </w:tr>
    </w:tbl>
    <w:p>
      <w:pPr>
        <w:spacing w:after="0" w:line="14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Plan assets are primarily comprised of domestic and foreign equity securities, professionally-managed equity and bond funds, government and agency securities and guaranteed insurance contracts. None of our plan assets include any of our debt or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Retiree Health Care Plan</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262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Service cost</w:t>
            </w:r>
          </w:p>
        </w:tc>
        <w:tc>
          <w:tcPr>
            <w:tcW w:w="2620" w:type="dxa"/>
            <w:vAlign w:val="bottom"/>
          </w:tcPr>
          <w:p>
            <w:pPr>
              <w:spacing w:after="0"/>
              <w:rPr>
                <w:sz w:val="18"/>
                <w:szCs w:val="18"/>
                <w:color w:val="auto"/>
              </w:rPr>
            </w:pPr>
          </w:p>
        </w:tc>
        <w:tc>
          <w:tcPr>
            <w:tcW w:w="3180" w:type="dxa"/>
            <w:vAlign w:val="bottom"/>
            <w:gridSpan w:val="3"/>
          </w:tcPr>
          <w:p>
            <w:pPr>
              <w:jc w:val="right"/>
              <w:spacing w:after="0"/>
              <w:rPr>
                <w:sz w:val="20"/>
                <w:szCs w:val="20"/>
                <w:color w:val="auto"/>
              </w:rPr>
            </w:pPr>
            <w:r>
              <w:rPr>
                <w:rFonts w:ascii="Arial" w:cs="Arial" w:eastAsia="Arial" w:hAnsi="Arial"/>
                <w:sz w:val="18"/>
                <w:szCs w:val="18"/>
                <w:b w:val="1"/>
                <w:bCs w:val="1"/>
                <w:color w:val="auto"/>
              </w:rPr>
              <w:t>0.4</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62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Actuarial (gain) loss</w:t>
            </w:r>
          </w:p>
        </w:tc>
        <w:tc>
          <w:tcPr>
            <w:tcW w:w="2620" w:type="dxa"/>
            <w:vAlign w:val="bottom"/>
          </w:tcPr>
          <w:p>
            <w:pPr>
              <w:spacing w:after="0"/>
              <w:rPr>
                <w:sz w:val="18"/>
                <w:szCs w:val="18"/>
                <w:color w:val="auto"/>
              </w:rPr>
            </w:pPr>
          </w:p>
        </w:tc>
        <w:tc>
          <w:tcPr>
            <w:tcW w:w="33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6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r>
      <w:tr>
        <w:trPr>
          <w:trHeight w:val="222"/>
        </w:trPr>
        <w:tc>
          <w:tcPr>
            <w:tcW w:w="4320" w:type="dxa"/>
            <w:vAlign w:val="bottom"/>
            <w:gridSpan w:val="2"/>
          </w:tcPr>
          <w:p>
            <w:pPr>
              <w:ind w:left="460"/>
              <w:spacing w:after="0"/>
              <w:rPr>
                <w:sz w:val="20"/>
                <w:szCs w:val="20"/>
                <w:color w:val="auto"/>
              </w:rPr>
            </w:pPr>
            <w:r>
              <w:rPr>
                <w:rFonts w:ascii="Arial" w:cs="Arial" w:eastAsia="Arial" w:hAnsi="Arial"/>
                <w:sz w:val="18"/>
                <w:szCs w:val="18"/>
                <w:color w:val="auto"/>
              </w:rPr>
              <w:t>Benefit obligation, end of year</w:t>
            </w:r>
          </w:p>
        </w:tc>
        <w:tc>
          <w:tcPr>
            <w:tcW w:w="26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60" w:type="dxa"/>
            <w:vAlign w:val="bottom"/>
          </w:tcPr>
          <w:p>
            <w:pPr>
              <w:spacing w:after="0"/>
              <w:rPr>
                <w:sz w:val="19"/>
                <w:szCs w:val="19"/>
                <w:color w:val="auto"/>
              </w:rPr>
            </w:pPr>
          </w:p>
        </w:tc>
      </w:tr>
      <w:tr>
        <w:trPr>
          <w:trHeight w:val="217"/>
        </w:trPr>
        <w:tc>
          <w:tcPr>
            <w:tcW w:w="4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w:t>
            </w:r>
          </w:p>
        </w:tc>
        <w:tc>
          <w:tcPr>
            <w:tcW w:w="26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r>
      <w:tr>
        <w:trPr>
          <w:trHeight w:val="223"/>
        </w:trPr>
        <w:tc>
          <w:tcPr>
            <w:tcW w:w="4320" w:type="dxa"/>
            <w:vAlign w:val="bottom"/>
            <w:gridSpan w:val="2"/>
          </w:tcPr>
          <w:p>
            <w:pPr>
              <w:ind w:left="460"/>
              <w:spacing w:after="0"/>
              <w:rPr>
                <w:sz w:val="20"/>
                <w:szCs w:val="20"/>
                <w:color w:val="auto"/>
              </w:rPr>
            </w:pPr>
            <w:r>
              <w:rPr>
                <w:rFonts w:ascii="Arial" w:cs="Arial" w:eastAsia="Arial" w:hAnsi="Arial"/>
                <w:sz w:val="18"/>
                <w:szCs w:val="18"/>
                <w:color w:val="auto"/>
              </w:rPr>
              <w:t>Accrued liability recognized</w:t>
            </w:r>
          </w:p>
        </w:tc>
        <w:tc>
          <w:tcPr>
            <w:tcW w:w="26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28.7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28.5</w:t>
            </w:r>
          </w:p>
        </w:tc>
        <w:tc>
          <w:tcPr>
            <w:tcW w:w="460" w:type="dxa"/>
            <w:vAlign w:val="bottom"/>
          </w:tcPr>
          <w:p>
            <w:pPr>
              <w:spacing w:after="0"/>
              <w:rPr>
                <w:sz w:val="19"/>
                <w:szCs w:val="19"/>
                <w:color w:val="auto"/>
              </w:rPr>
            </w:pPr>
          </w:p>
        </w:tc>
      </w:tr>
      <w:tr>
        <w:trPr>
          <w:trHeight w:val="20"/>
        </w:trPr>
        <w:tc>
          <w:tcPr>
            <w:tcW w:w="43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57"/>
        </w:trPr>
        <w:tc>
          <w:tcPr>
            <w:tcW w:w="4320" w:type="dxa"/>
            <w:vAlign w:val="bottom"/>
            <w:gridSpan w:val="2"/>
          </w:tcPr>
          <w:p>
            <w:pPr>
              <w:spacing w:after="0"/>
              <w:rPr>
                <w:sz w:val="20"/>
                <w:szCs w:val="20"/>
                <w:color w:val="auto"/>
              </w:rPr>
            </w:pPr>
            <w:r>
              <w:rPr>
                <w:rFonts w:ascii="Arial" w:cs="Arial" w:eastAsia="Arial" w:hAnsi="Arial"/>
                <w:sz w:val="18"/>
                <w:szCs w:val="18"/>
                <w:color w:val="auto"/>
              </w:rPr>
              <w:t>Manpower 2005 Annual Report</w:t>
            </w:r>
          </w:p>
        </w:tc>
        <w:tc>
          <w:tcPr>
            <w:tcW w:w="2620" w:type="dxa"/>
            <w:vAlign w:val="bottom"/>
          </w:tcPr>
          <w:p>
            <w:pPr>
              <w:jc w:val="right"/>
              <w:ind w:right="1112"/>
              <w:spacing w:after="0"/>
              <w:rPr>
                <w:sz w:val="20"/>
                <w:szCs w:val="20"/>
                <w:color w:val="auto"/>
              </w:rPr>
            </w:pPr>
            <w:r>
              <w:rPr>
                <w:rFonts w:ascii="Arial" w:cs="Arial" w:eastAsia="Arial" w:hAnsi="Arial"/>
                <w:sz w:val="18"/>
                <w:szCs w:val="18"/>
                <w:color w:val="auto"/>
              </w:rPr>
              <w:t>78</w:t>
            </w:r>
          </w:p>
        </w:tc>
        <w:tc>
          <w:tcPr>
            <w:tcW w:w="4480" w:type="dxa"/>
            <w:vAlign w:val="bottom"/>
            <w:gridSpan w:val="7"/>
          </w:tcPr>
          <w:p>
            <w:pPr>
              <w:ind w:left="1220"/>
              <w:spacing w:after="0"/>
              <w:rPr>
                <w:sz w:val="20"/>
                <w:szCs w:val="20"/>
                <w:color w:val="auto"/>
              </w:rPr>
            </w:pPr>
            <w:r>
              <w:rPr>
                <w:rFonts w:ascii="Arial" w:cs="Arial" w:eastAsia="Arial" w:hAnsi="Arial"/>
                <w:sz w:val="18"/>
                <w:szCs w:val="18"/>
                <w:b w:val="1"/>
                <w:bCs w:val="1"/>
                <w:color w:val="auto"/>
                <w:w w:val="86"/>
              </w:rPr>
              <w:t>Notes to Consolidated Financial Statements</w:t>
            </w:r>
          </w:p>
        </w:tc>
      </w:tr>
    </w:tbl>
    <w:p>
      <w:pPr>
        <w:sectPr>
          <w:pgSz w:w="11900" w:h="16838" w:orient="portrait"/>
          <w:cols w:equalWidth="0" w:num="1">
            <w:col w:w="11420"/>
          </w:cols>
          <w:pgMar w:left="240" w:top="274" w:right="239" w:bottom="1440" w:gutter="0" w:footer="0" w:header="0"/>
        </w:sectPr>
      </w:pPr>
    </w:p>
    <w:bookmarkStart w:id="149" w:name="page150"/>
    <w:bookmarkEnd w:id="14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use a December 31 measurement date for this plan. The discount rate used in the measurement of the benefit obligation was 5.5% and 5.8% in 2005 and 2004, respectively. The discount rate used in the measurement of net periodic benefit cost was 5.8%, 6.3% and 6.5% in 2005, 2004 and 2003, respectively. The components of net periodic benefit cost for this plan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$ 0.4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gain</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$ 1.4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$ 1.2</w:t>
            </w: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health care cost trend rate was assumed to be 9.0% for 2005, decreasing gradually to 5.5% for the years 2009 and beyond. Assumed health care cost trend rates have a significant effect on the amounts reported. A one-percentage point change in the assumed health care cost trend rate would have the following effects: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1% Increase</w:t>
            </w:r>
          </w:p>
        </w:tc>
        <w:tc>
          <w:tcPr>
            <w:tcW w:w="7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1% Decrease</w:t>
            </w:r>
          </w:p>
        </w:tc>
        <w:tc>
          <w:tcPr>
            <w:tcW w:w="60" w:type="dxa"/>
            <w:vAlign w:val="bottom"/>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14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plan to contribute $15.6 to our pension plans and $1.2 to our retiree health care plan in 2006. Projected benefit payments from the plans as of December 31, 2005 are estimated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1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Pension Plans</w:t>
            </w:r>
          </w:p>
        </w:tc>
        <w:tc>
          <w:tcPr>
            <w:tcW w:w="6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Retiree Health</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4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2007</w:t>
            </w: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2009</w:t>
            </w: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2011-2015</w:t>
            </w:r>
          </w:p>
        </w:tc>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defined contribution plans covering substantially all permanent U.S.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$22.9, $14.2 and $7.9 for 2005, 2004 and 2003, respectively.</w:t>
      </w:r>
    </w:p>
    <w:p>
      <w:pPr>
        <w:spacing w:after="0" w:line="124"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8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February 2004, we established the Senior Management Performance-Based Deferred Compensation Plan. The plan is intended to focus our corporate executives on the achievement of certain annual operating goals, shareholder value creation, and execution of our business strategies over the longer term by aligning company executives’ interests with shareholders’ interests. Under the plan, incentives are focused on improving our Net Earnings Per Share – Diluted and economic profit. Participation in the plan is determined annually by a Committee of the Board of Directors. Deferred compensation benefits are earned by participants for the plan year based on our attainment of certain established goals and any deferred benefits earn interest based on the effective yield on a fixed 10-year U.S. Treasury note at the beginning of each year. Participants become vested in the deferred benefits if they are still employed by Manpower when they reach age 50 with 15 years of service, when they reach age 62, or in certain other circumstances. There was approximately $1.4 earned under this plan in both 2005 and 2004.</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also maintain a non-qualified deferred compensation plan for certain employees at Right Management. Under the plan, participants may defer from their pre-tax income, up to a maximum of 15% of their total compensation. A matching contribution is made of 25% of the participating employees’ contributions to the plan. Additional contributions are made to the plan if certain internal financial targets are met. No additional contributions were made to the plan in 2005 and 2004. Contributions vest at 33.3% over a three-year period from the employee’s date of hire. Our contributions were $0.2 for both 2005 and 2004.</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2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8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$ 15.8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2800" w:type="dxa"/>
            <w:vAlign w:val="bottom"/>
          </w:tcPr>
          <w:p>
            <w:pPr>
              <w:spacing w:after="0"/>
              <w:rPr>
                <w:sz w:val="18"/>
                <w:szCs w:val="18"/>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6.9</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derivatives</w:t>
            </w:r>
          </w:p>
        </w:tc>
        <w:tc>
          <w:tcPr>
            <w:tcW w:w="28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$ 28.3</w:t>
            </w:r>
          </w:p>
        </w:tc>
        <w:tc>
          <w:tcPr>
            <w:tcW w:w="6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140" w:type="dxa"/>
            <w:vAlign w:val="bottom"/>
          </w:tcPr>
          <w:p>
            <w:pPr>
              <w:spacing w:after="0"/>
              <w:rPr>
                <w:sz w:val="20"/>
                <w:szCs w:val="20"/>
                <w:color w:val="auto"/>
              </w:rPr>
            </w:pPr>
            <w:r>
              <w:rPr>
                <w:rFonts w:ascii="Arial" w:cs="Arial" w:eastAsia="Arial" w:hAnsi="Arial"/>
                <w:sz w:val="18"/>
                <w:szCs w:val="18"/>
                <w:color w:val="auto"/>
              </w:rPr>
              <w:t>Manpower 2005 Annual Report</w:t>
            </w:r>
          </w:p>
        </w:tc>
        <w:tc>
          <w:tcPr>
            <w:tcW w:w="2800" w:type="dxa"/>
            <w:vAlign w:val="bottom"/>
          </w:tcPr>
          <w:p>
            <w:pPr>
              <w:jc w:val="right"/>
              <w:ind w:right="1112"/>
              <w:spacing w:after="0"/>
              <w:rPr>
                <w:sz w:val="20"/>
                <w:szCs w:val="20"/>
                <w:color w:val="auto"/>
              </w:rPr>
            </w:pPr>
            <w:r>
              <w:rPr>
                <w:rFonts w:ascii="Arial" w:cs="Arial" w:eastAsia="Arial" w:hAnsi="Arial"/>
                <w:sz w:val="18"/>
                <w:szCs w:val="18"/>
                <w:color w:val="auto"/>
              </w:rPr>
              <w:t>80</w:t>
            </w:r>
          </w:p>
        </w:tc>
        <w:tc>
          <w:tcPr>
            <w:tcW w:w="4480" w:type="dxa"/>
            <w:vAlign w:val="bottom"/>
            <w:gridSpan w:val="8"/>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r>
    </w:tbl>
    <w:p>
      <w:pPr>
        <w:sectPr>
          <w:pgSz w:w="11900" w:h="16838" w:orient="portrait"/>
          <w:cols w:equalWidth="0" w:num="1">
            <w:col w:w="11420"/>
          </w:cols>
          <w:pgMar w:left="240" w:top="274"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2005: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$ 113.2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60" w:type="dxa"/>
            <w:vAlign w:val="bottom"/>
            <w:gridSpan w:val="4"/>
            <w:vMerge w:val="restart"/>
          </w:tcPr>
          <w:p>
            <w:pPr>
              <w:spacing w:after="0"/>
              <w:rPr>
                <w:sz w:val="20"/>
                <w:szCs w:val="20"/>
                <w:color w:val="auto"/>
              </w:rPr>
            </w:pPr>
            <w:r>
              <w:rPr>
                <w:rFonts w:ascii="Arial" w:cs="Arial" w:eastAsia="Arial" w:hAnsi="Arial"/>
                <w:sz w:val="18"/>
                <w:szCs w:val="18"/>
                <w:color w:val="auto"/>
                <w:w w:val="90"/>
              </w:rPr>
              <w:t>Rental expense for all operating leases was $213.3, $215.7 and $167.2 for the years ended December 31, 2005, 2004 and 2003, respectively.</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26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INTEREST AND OTHER EXPENSE</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Interest and Other Expense consists of the following:</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$46.7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$45.4</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Miscellaneous expense (income), net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41.8</w:t>
            </w: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Miscellaneous Expense (Income), Net in 2005, includes a non-operating gain of $2.6 related to an equity investment we sold in the fourth quarter. Miscellaneous Expense (Income), Net in 2004, includes non-operating gains of $14.2, primarily related to the sale of our equity interest in a European internet job board.</w:t>
      </w:r>
    </w:p>
    <w:p>
      <w:pPr>
        <w:spacing w:after="0" w:line="43" w:lineRule="exact"/>
        <w:rPr>
          <w:sz w:val="20"/>
          <w:szCs w:val="20"/>
          <w:color w:val="auto"/>
        </w:rPr>
      </w:pPr>
    </w:p>
    <w:p>
      <w:pPr>
        <w:spacing w:after="0"/>
        <w:tabs>
          <w:tab w:leader="none" w:pos="55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3"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certain circumstances, we enter into foreign currency forward exchange contracts to reduce the effects of fluctuating foreign currency exchange rates on cash flows with foreign subsidiaries. All such contracts entered into during 2005 and 2004 were designated as cash flow hedges and were considered highly effective, as defined by SFAS No. 133, as amended.</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of December 31, 2005, there was a £5.0 ($8.7) forward contract related to cash flows to be received in January 2006 as a result of a sale of an equity investment in the United Kingdom. In addition, two forward contracts are outstanding relating to cash flows to be received from our foreign subsidiaries totaling £11.0 ($19.0) in March and June 2006 and three forward contracts are outstanding that relate to cash flows owed to our foreign subsidiaries totaling £38.0 ($65.5) in March and June 2006. As of December 31, 2004 there were no forward contracts outstanding.</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revolving credit agreement borrowings of €100.0 ($118.5), and the €200.0 ($237.0) unsecured notes and €300.0 ($353.8) unsecured notes, have been designated and are effective as economic hedges of our net investment in our foreign subsidiaries with a Euro-functional currency. Therefore, all translation gains or losses related to these borrowings are recorded as a component of Accumulated Other Comprehensive Income (Loss).</w:t>
      </w:r>
    </w:p>
    <w:p>
      <w:pPr>
        <w:spacing w:after="0" w:line="107"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had derivative financial instruments to swap our €150.0 ($198.4) unsecured notes, at 6.25% due March 2005, to floating U.S. LIBOR. These instruments expired in March 2005. Cash received from settlement of the foreign currency component of these derivative financial instruments was approximately $50.7. Gains and losses arising from foreign exchange fluctuations throughout the contract term on the derivative instruments were recorded in the consolidated statements of operations, offsetting the foreign exchange gain or loss recorded on the notes.</w:t>
      </w:r>
    </w:p>
    <w:p>
      <w:pPr>
        <w:spacing w:after="0" w:line="93" w:lineRule="exact"/>
        <w:rPr>
          <w:sz w:val="20"/>
          <w:szCs w:val="20"/>
          <w:color w:val="auto"/>
        </w:rPr>
      </w:pPr>
    </w:p>
    <w:p>
      <w:pPr>
        <w:spacing w:after="0"/>
        <w:tabs>
          <w:tab w:leader="none" w:pos="55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Rate Risk Management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mentioned, we had derivative instruments to swap our €150.0 ($198.4) unsecured notes, at 6.25% due March 2005, to floating U.S. LIBOR. We designated these interest rate swaps as a fair value hedge, offsetting changes in the fair value of the notes that were due to interest rate fluctuations. Changes in the fair value hedge and the fair value of the notes throughout the contract term were reflected in the consolidated statements of operations. These instruments had a favorable impact of $0.6, $4.7 and $5.0 in 2005, 2004 and 2003, respectively. Any ineffectiveness on the swaps was recorded in the consolidated statements of operations and was immaterial for 2005, 2004 and 2003.</w:t>
      </w:r>
    </w:p>
    <w:p>
      <w:pPr>
        <w:spacing w:after="0" w:line="14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have various interest rate swap agreements to fix our interest costs on a portion of our Euro-denominated variable rate borrowings. The Euro interest rate swap agreements have a notional value of €100.0 ($118.5), which fix the interest rate, on a weighted-average basis, at 5.7% and expire in 2010. Such contracts have been designated as cash flow hedges and were considered highly effective, as defined by SFAS No. 133, as amended, as of December 31, 2005. For the years ended December 31, 2005, 2004 and 2003 these instruments increased interest expense by $4.6, $4.6 and $3.9, respectively.</w:t>
      </w:r>
    </w:p>
    <w:p>
      <w:pPr>
        <w:spacing w:after="0" w:line="11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March 2003, we terminated our interest rate swap agreement with a notional value of ¥4,000.0 ($34.0), which was scheduled to expire in June 2003 for $0.1. In September 2003, we terminated our interest rate swap agreement with a notional value of ¥4,150.0 ($36.1), which was scheduled to expire in 2006 for $0.5.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Financial Instruments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fair value of our derivative financial instruments are reflected in the consolidated balance sheets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c>
          <w:tcPr>
            <w:tcW w:w="3060" w:type="dxa"/>
            <w:vAlign w:val="bottom"/>
          </w:tcPr>
          <w:p>
            <w:pPr>
              <w:spacing w:after="0"/>
              <w:rPr>
                <w:sz w:val="14"/>
                <w:szCs w:val="14"/>
                <w:color w:val="auto"/>
              </w:rPr>
            </w:pPr>
          </w:p>
        </w:tc>
        <w:tc>
          <w:tcPr>
            <w:tcW w:w="24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€150.0 Interest Rate Swaps</w:t>
            </w:r>
          </w:p>
        </w:tc>
        <w:tc>
          <w:tcPr>
            <w:tcW w:w="3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$ 64.5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3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€100.0 Interest Rate Swaps</w:t>
            </w:r>
          </w:p>
        </w:tc>
        <w:tc>
          <w:tcPr>
            <w:tcW w:w="3060" w:type="dxa"/>
            <w:vAlign w:val="bottom"/>
          </w:tcPr>
          <w:p>
            <w:pPr>
              <w:spacing w:after="0"/>
              <w:rPr>
                <w:sz w:val="18"/>
                <w:szCs w:val="18"/>
                <w:color w:val="auto"/>
              </w:rPr>
            </w:pPr>
          </w:p>
        </w:tc>
        <w:tc>
          <w:tcPr>
            <w:tcW w:w="2900" w:type="dxa"/>
            <w:vAlign w:val="bottom"/>
            <w:gridSpan w:val="4"/>
          </w:tcPr>
          <w:p>
            <w:pPr>
              <w:jc w:val="right"/>
              <w:ind w:right="338"/>
              <w:spacing w:after="0"/>
              <w:rPr>
                <w:sz w:val="20"/>
                <w:szCs w:val="20"/>
                <w:color w:val="auto"/>
              </w:rPr>
            </w:pPr>
            <w:r>
              <w:rPr>
                <w:rFonts w:ascii="Arial" w:cs="Arial" w:eastAsia="Arial" w:hAnsi="Arial"/>
                <w:sz w:val="18"/>
                <w:szCs w:val="18"/>
                <w:b w:val="1"/>
                <w:bCs w:val="1"/>
                <w:color w:val="auto"/>
              </w:rPr>
              <w:t>(13.5)</w:t>
            </w: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contracts</w:t>
            </w:r>
          </w:p>
        </w:tc>
        <w:tc>
          <w:tcPr>
            <w:tcW w:w="3060" w:type="dxa"/>
            <w:vAlign w:val="bottom"/>
            <w:shd w:val="clear" w:color="auto" w:fill="CCEEFF"/>
          </w:tcPr>
          <w:p>
            <w:pPr>
              <w:spacing w:after="0"/>
              <w:rPr>
                <w:sz w:val="18"/>
                <w:szCs w:val="18"/>
                <w:color w:val="auto"/>
              </w:rPr>
            </w:pPr>
          </w:p>
        </w:tc>
        <w:tc>
          <w:tcPr>
            <w:tcW w:w="2900" w:type="dxa"/>
            <w:vAlign w:val="bottom"/>
            <w:gridSpan w:val="4"/>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(0.4)</w:t>
            </w:r>
          </w:p>
        </w:tc>
        <w:tc>
          <w:tcPr>
            <w:tcW w:w="54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(13.9</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$ 46.1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3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60" w:type="dxa"/>
            <w:vAlign w:val="bottom"/>
            <w:gridSpan w:val="2"/>
            <w:vMerge w:val="continue"/>
          </w:tcPr>
          <w:p>
            <w:pPr>
              <w:spacing w:after="0"/>
              <w:rPr>
                <w:sz w:val="24"/>
                <w:szCs w:val="24"/>
                <w:color w:val="auto"/>
              </w:rPr>
            </w:pPr>
          </w:p>
        </w:tc>
        <w:tc>
          <w:tcPr>
            <w:tcW w:w="3060" w:type="dxa"/>
            <w:vAlign w:val="bottom"/>
          </w:tcPr>
          <w:p>
            <w:pPr>
              <w:jc w:val="right"/>
              <w:ind w:right="1592"/>
              <w:spacing w:after="0"/>
              <w:rPr>
                <w:sz w:val="20"/>
                <w:szCs w:val="20"/>
                <w:color w:val="auto"/>
              </w:rPr>
            </w:pPr>
            <w:r>
              <w:rPr>
                <w:rFonts w:ascii="Arial" w:cs="Arial" w:eastAsia="Arial" w:hAnsi="Arial"/>
                <w:sz w:val="18"/>
                <w:szCs w:val="18"/>
                <w:color w:val="auto"/>
              </w:rPr>
              <w:t>83</w:t>
            </w:r>
          </w:p>
        </w:tc>
        <w:tc>
          <w:tcPr>
            <w:tcW w:w="3900" w:type="dxa"/>
            <w:vAlign w:val="bottom"/>
            <w:gridSpan w:val="6"/>
          </w:tcPr>
          <w:p>
            <w:pPr>
              <w:ind w:left="1660"/>
              <w:spacing w:after="0"/>
              <w:rPr>
                <w:sz w:val="20"/>
                <w:szCs w:val="20"/>
                <w:color w:val="auto"/>
              </w:rPr>
            </w:pPr>
            <w:r>
              <w:rPr>
                <w:rFonts w:ascii="Arial" w:cs="Arial" w:eastAsia="Arial" w:hAnsi="Arial"/>
                <w:sz w:val="18"/>
                <w:szCs w:val="18"/>
                <w:color w:val="auto"/>
                <w:w w:val="89"/>
              </w:rPr>
              <w:t>Manpower 2005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involved in a number of lawsuits arising in the ordinary course of business which will not, in the opinion of management, have a material effect on our results of operations, financial position or cash flows.</w:t>
      </w:r>
    </w:p>
    <w:p>
      <w:pPr>
        <w:spacing w:after="0" w:line="132"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On November 30, 2004, we were informed that authorities had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are cooperating fully. We are currently not able to predict the outcome of the investigation and consequently no amounts have been recorded in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We have entered into certain guarantee contracts and stand-by letters of credit that total $128.6 ($41.0 for guarantees and $87.6 for stand-by letters of credit). The guarantees primarily relate to indebtedness, bank accounts and leases. The stand-by letters of credit relate to workers’ compensation,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organized and managed primarily on a geographic basis, with the exception of Jefferson Wells and Right Management, which are operated as separate global business units.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Jefferson Wells; Right Management; and Other Operations.</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Jefferson Wells revenues are derived from services related to three primary business lines – internal controls, tax operations and finance operations. The Right Management segment revenues are derived from outplacement and consulting services. Segment revenues represent sales to external customers primarily within a single segment. Due to the nature of our business, we do not have export or intersegment sales. We provide services to a wide variety of customers, none of which individually comprise a significant portion of revenue for us as a whole, however approximately 13% and 19% of Jefferson Wells’ revenues for 2005 and 2004, respectively, were generated from providing services to one customer. We do not anticipate a significant change in the level of services to this customer in 2006.</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amoritization of intangibles related to the acquisition of Right Management, interest and other income and expense amounts or income taxes. Total assets for the segments are reported after the elimination of investments in subsidiaries and intercompany accounts.</w:t>
      </w:r>
    </w:p>
    <w:p>
      <w:pPr>
        <w:spacing w:after="0" w:line="93" w:lineRule="exact"/>
        <w:rPr>
          <w:sz w:val="20"/>
          <w:szCs w:val="20"/>
          <w:color w:val="auto"/>
        </w:rPr>
      </w:pPr>
    </w:p>
    <w:p>
      <w:pPr>
        <w:spacing w:after="0"/>
        <w:tabs>
          <w:tab w:leader="none" w:pos="5640" w:val="left"/>
          <w:tab w:leader="none" w:pos="81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 xml:space="preserve">Revenues from Services </w:t>
            </w:r>
            <w:r>
              <w:rPr>
                <w:rFonts w:ascii="Arial" w:cs="Arial" w:eastAsia="Arial" w:hAnsi="Arial"/>
                <w:sz w:val="22"/>
                <w:szCs w:val="22"/>
                <w:b w:val="1"/>
                <w:bCs w:val="1"/>
                <w:color w:val="auto"/>
                <w:vertAlign w:val="superscript"/>
              </w:rPr>
              <w:t>(a)</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7"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2"/>
                <w:szCs w:val="22"/>
                <w:color w:val="auto"/>
                <w:vertAlign w:val="superscript"/>
              </w:rPr>
              <w:t>(b)</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2,048.3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2,041.1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EMEA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5,604.8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5,084.3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3,920.2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Right Management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16,080.4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14,930.0</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Unit Profit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United States</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EMEA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Right Management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394.7</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369.5</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United States</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EMEA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Right Management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r>
              <w:rPr>
                <w:rFonts w:ascii="Arial" w:cs="Arial" w:eastAsia="Arial" w:hAnsi="Arial"/>
                <w:sz w:val="18"/>
                <w:szCs w:val="18"/>
                <w:b w:val="1"/>
                <w:bCs w:val="1"/>
                <w:u w:val="single" w:color="auto"/>
                <w:color w:val="auto"/>
              </w:rPr>
              <w:t>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Earnings from Equity Investments</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France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Operations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hanging="292"/>
        <w:spacing w:after="0" w:line="215" w:lineRule="auto"/>
        <w:tabs>
          <w:tab w:leader="none" w:pos="30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geographic information is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from Services</w:t>
            </w:r>
          </w:p>
        </w:tc>
        <w:tc>
          <w:tcPr>
            <w:tcW w:w="3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United States</w:t>
            </w:r>
          </w:p>
        </w:tc>
        <w:tc>
          <w:tcPr>
            <w:tcW w:w="4140" w:type="dxa"/>
            <w:vAlign w:val="bottom"/>
            <w:gridSpan w:val="2"/>
          </w:tcPr>
          <w:p>
            <w:pPr>
              <w:jc w:val="right"/>
              <w:spacing w:after="0"/>
              <w:rPr>
                <w:sz w:val="20"/>
                <w:szCs w:val="20"/>
                <w:color w:val="auto"/>
              </w:rPr>
            </w:pPr>
            <w:r>
              <w:rPr>
                <w:rFonts w:ascii="Arial" w:cs="Arial" w:eastAsia="Arial" w:hAnsi="Arial"/>
                <w:sz w:val="18"/>
                <w:szCs w:val="18"/>
                <w:b w:val="1"/>
                <w:bCs w:val="1"/>
                <w:color w:val="auto"/>
              </w:rPr>
              <w:t>$ 2,593.1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$ 2,542.7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$ 2,092.4</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5,563.0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4,638.8</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United Kingdom</w:t>
            </w:r>
          </w:p>
        </w:tc>
        <w:tc>
          <w:tcPr>
            <w:tcW w:w="4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1,791.5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1,371.8</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Foreign</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13,487.3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10,092.1</w:t>
            </w:r>
          </w:p>
        </w:tc>
        <w:tc>
          <w:tcPr>
            <w:tcW w:w="6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420" w:hanging="452"/>
        <w:spacing w:after="0" w:line="272" w:lineRule="auto"/>
        <w:tabs>
          <w:tab w:leader="none" w:pos="460" w:val="left"/>
        </w:tabs>
        <w:numPr>
          <w:ilvl w:val="0"/>
          <w:numId w:val="84"/>
        </w:numPr>
        <w:rPr>
          <w:rFonts w:ascii="Arial" w:cs="Arial" w:eastAsia="Arial" w:hAnsi="Arial"/>
          <w:sz w:val="20"/>
          <w:szCs w:val="20"/>
          <w:color w:val="auto"/>
          <w:vertAlign w:val="superscript"/>
        </w:rPr>
      </w:pPr>
      <w:r>
        <w:rPr>
          <w:rFonts w:ascii="Arial" w:cs="Arial" w:eastAsia="Arial" w:hAnsi="Arial"/>
          <w:sz w:val="16"/>
          <w:szCs w:val="16"/>
          <w:color w:val="auto"/>
        </w:rPr>
        <w:t>U.S. revenues above represent revenues from our Company-owned branches and franchise fees received from our franchise operations. These fees are primarily based on revenues generated by our franchise operations, which are discussed further on the financial highlights page.</w:t>
      </w:r>
    </w:p>
    <w:p>
      <w:pPr>
        <w:spacing w:after="0" w:line="106" w:lineRule="exact"/>
        <w:rPr>
          <w:sz w:val="20"/>
          <w:szCs w:val="20"/>
          <w:color w:val="auto"/>
        </w:rPr>
      </w:pPr>
    </w:p>
    <w:p>
      <w:pPr>
        <w:spacing w:after="0"/>
        <w:tabs>
          <w:tab w:leader="none" w:pos="5640" w:val="left"/>
          <w:tab w:leader="none" w:pos="916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Manpower 2005 Annual Report</w:t>
      </w:r>
    </w:p>
    <w:p>
      <w:pPr>
        <w:sectPr>
          <w:pgSz w:w="11900" w:h="16838" w:orient="portrait"/>
          <w:cols w:equalWidth="0" w:num="1">
            <w:col w:w="11420"/>
          </w:cols>
          <w:pgMar w:left="240" w:top="275"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1,664.3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EMEA</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1,478.6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1,563.6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Right Management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260.8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line="217"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2"/>
                <w:szCs w:val="22"/>
                <w:color w:val="auto"/>
                <w:vertAlign w:val="superscript"/>
              </w:rPr>
              <w:t>(a)</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814.2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5,568.4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5,843.1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Equity Investments</w:t>
            </w: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France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Operations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line="250" w:lineRule="exact"/>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2"/>
                <w:szCs w:val="22"/>
                <w:b w:val="1"/>
                <w:bCs w:val="1"/>
                <w:color w:val="auto"/>
                <w:vertAlign w:val="superscript"/>
              </w:rPr>
              <w:t>(b)</w:t>
            </w: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France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Jefferson Wells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Operations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240.1</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 to Long-Lived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EMEA</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Right Management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Corporate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20"/>
          <w:szCs w:val="20"/>
          <w:color w:val="auto"/>
          <w:vertAlign w:val="superscript"/>
        </w:rPr>
      </w:pPr>
      <w:r>
        <w:rPr>
          <w:rFonts w:ascii="Arial" w:cs="Arial" w:eastAsia="Arial" w:hAnsi="Arial"/>
          <w:sz w:val="16"/>
          <w:szCs w:val="16"/>
          <w:color w:val="auto"/>
        </w:rPr>
        <w:t>Corporate assets include assets that are not used in the operations of any segment, the most significant of which are goodwill and purchased intangibles.</w:t>
      </w:r>
    </w:p>
    <w:p>
      <w:pPr>
        <w:spacing w:after="0" w:line="62" w:lineRule="exact"/>
        <w:rPr>
          <w:rFonts w:ascii="Arial" w:cs="Arial" w:eastAsia="Arial" w:hAnsi="Arial"/>
          <w:sz w:val="20"/>
          <w:szCs w:val="20"/>
          <w:color w:val="auto"/>
          <w:vertAlign w:val="superscript"/>
        </w:rPr>
      </w:pPr>
    </w:p>
    <w:p>
      <w:pPr>
        <w:ind w:left="460" w:hanging="452"/>
        <w:spacing w:after="0" w:line="222" w:lineRule="auto"/>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8"/>
          <w:szCs w:val="18"/>
          <w:color w:val="auto"/>
        </w:rPr>
        <w:t>Supplemental geographic information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30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United States</w:t>
            </w:r>
          </w:p>
        </w:tc>
        <w:tc>
          <w:tcPr>
            <w:tcW w:w="3060" w:type="dxa"/>
            <w:vAlign w:val="bottom"/>
          </w:tcPr>
          <w:p>
            <w:pPr>
              <w:spacing w:after="0"/>
              <w:rPr>
                <w:sz w:val="18"/>
                <w:szCs w:val="18"/>
                <w:color w:val="auto"/>
              </w:rPr>
            </w:pPr>
          </w:p>
        </w:tc>
        <w:tc>
          <w:tcPr>
            <w:tcW w:w="3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$ 67.6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$ 73.6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$ 59.8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30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United Kingdom</w:t>
            </w:r>
          </w:p>
        </w:tc>
        <w:tc>
          <w:tcPr>
            <w:tcW w:w="3060" w:type="dxa"/>
            <w:vAlign w:val="bottom"/>
          </w:tcPr>
          <w:p>
            <w:pPr>
              <w:spacing w:after="0"/>
              <w:rPr>
                <w:sz w:val="18"/>
                <w:szCs w:val="18"/>
                <w:color w:val="auto"/>
              </w:rPr>
            </w:pPr>
          </w:p>
        </w:tc>
        <w:tc>
          <w:tcPr>
            <w:tcW w:w="3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23.1</w:t>
            </w: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Foreign</w:t>
            </w:r>
          </w:p>
        </w:tc>
        <w:tc>
          <w:tcPr>
            <w:tcW w:w="30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363"/>
        </w:trPr>
        <w:tc>
          <w:tcPr>
            <w:tcW w:w="3940" w:type="dxa"/>
            <w:vAlign w:val="bottom"/>
          </w:tcPr>
          <w:p>
            <w:pPr>
              <w:spacing w:after="0"/>
              <w:rPr>
                <w:sz w:val="20"/>
                <w:szCs w:val="20"/>
                <w:color w:val="auto"/>
              </w:rPr>
            </w:pPr>
            <w:r>
              <w:rPr>
                <w:rFonts w:ascii="Arial" w:cs="Arial" w:eastAsia="Arial" w:hAnsi="Arial"/>
                <w:sz w:val="18"/>
                <w:szCs w:val="18"/>
                <w:color w:val="auto"/>
              </w:rPr>
              <w:t>Manpower 2005 Annual Report</w:t>
            </w:r>
          </w:p>
        </w:tc>
        <w:tc>
          <w:tcPr>
            <w:tcW w:w="3060" w:type="dxa"/>
            <w:vAlign w:val="bottom"/>
          </w:tcPr>
          <w:p>
            <w:pPr>
              <w:jc w:val="right"/>
              <w:ind w:right="1092"/>
              <w:spacing w:after="0"/>
              <w:rPr>
                <w:sz w:val="20"/>
                <w:szCs w:val="20"/>
                <w:color w:val="auto"/>
              </w:rPr>
            </w:pPr>
            <w:r>
              <w:rPr>
                <w:rFonts w:ascii="Arial" w:cs="Arial" w:eastAsia="Arial" w:hAnsi="Arial"/>
                <w:sz w:val="18"/>
                <w:szCs w:val="18"/>
                <w:color w:val="auto"/>
              </w:rPr>
              <w:t>86</w:t>
            </w:r>
          </w:p>
        </w:tc>
        <w:tc>
          <w:tcPr>
            <w:tcW w:w="4420" w:type="dxa"/>
            <w:vAlign w:val="bottom"/>
            <w:gridSpan w:val="6"/>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r>
    </w:tbl>
    <w:p>
      <w:pPr>
        <w:sectPr>
          <w:pgSz w:w="11900" w:h="16838" w:orient="portrait"/>
          <w:cols w:equalWidth="0" w:num="1">
            <w:col w:w="11420"/>
          </w:cols>
          <w:pgMar w:left="240" w:top="274"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b w:val="1"/>
                <w:bCs w:val="1"/>
                <w:color w:val="auto"/>
                <w:w w:val="79"/>
              </w:rPr>
              <w:t>Second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1"/>
        </w:trPr>
        <w:tc>
          <w:tcPr>
            <w:tcW w:w="4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2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3,758.7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4,053.7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4,144.8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4,123.2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16,080.4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2,948.6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Operating profit</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Dividends per share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Market price:</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High</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322"/>
        </w:trPr>
        <w:tc>
          <w:tcPr>
            <w:tcW w:w="4460" w:type="dxa"/>
            <w:vAlign w:val="bottom"/>
          </w:tcPr>
          <w:p>
            <w:pPr>
              <w:spacing w:after="0"/>
              <w:rPr>
                <w:sz w:val="20"/>
                <w:szCs w:val="20"/>
                <w:color w:val="auto"/>
              </w:rPr>
            </w:pPr>
            <w:r>
              <w:rPr>
                <w:rFonts w:ascii="Arial" w:cs="Arial" w:eastAsia="Arial" w:hAnsi="Arial"/>
                <w:sz w:val="18"/>
                <w:szCs w:val="18"/>
                <w:b w:val="1"/>
                <w:bCs w:val="1"/>
                <w:color w:val="auto"/>
              </w:rPr>
              <w:t>Year Ended December 31, 2004</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8"/>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3,334.1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3,900.8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4,072.7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14,930.0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2,788.1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earnings</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Market price:</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Low</w:t>
            </w: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56"/>
        </w:trPr>
        <w:tc>
          <w:tcPr>
            <w:tcW w:w="446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900" w:type="dxa"/>
            <w:vAlign w:val="bottom"/>
          </w:tcPr>
          <w:p>
            <w:pPr>
              <w:jc w:val="right"/>
              <w:ind w:right="1432"/>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8"/>
          </w:tcPr>
          <w:p>
            <w:pPr>
              <w:ind w:left="60"/>
              <w:spacing w:after="0"/>
              <w:rPr>
                <w:sz w:val="20"/>
                <w:szCs w:val="20"/>
                <w:color w:val="auto"/>
              </w:rPr>
            </w:pPr>
            <w:r>
              <w:rPr>
                <w:rFonts w:ascii="Arial" w:cs="Arial" w:eastAsia="Arial" w:hAnsi="Arial"/>
                <w:sz w:val="18"/>
                <w:szCs w:val="18"/>
                <w:color w:val="auto"/>
                <w:w w:val="89"/>
              </w:rPr>
              <w:t>Manpower 2005 Annual Report</w:t>
            </w:r>
          </w:p>
        </w:tc>
      </w:tr>
    </w:tbl>
    <w:p>
      <w:pPr>
        <w:sectPr>
          <w:pgSz w:w="11900" w:h="16838" w:orient="portrait"/>
          <w:cols w:equalWidth="0" w:num="1">
            <w:col w:w="11420"/>
          </w:cols>
          <w:pgMar w:left="240" w:top="27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2001</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16,080.4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14,930.0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12,184.5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10,610.9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10,483.8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2,948.6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2,788.1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1,956.5</w:t>
            </w:r>
          </w:p>
        </w:tc>
      </w:tr>
      <w:tr>
        <w:trPr>
          <w:trHeight w:val="216"/>
        </w:trPr>
        <w:tc>
          <w:tcPr>
            <w:tcW w:w="6980" w:type="dxa"/>
            <w:vAlign w:val="bottom"/>
          </w:tcPr>
          <w:p>
            <w:pPr>
              <w:spacing w:after="0" w:line="217" w:lineRule="exact"/>
              <w:rPr>
                <w:sz w:val="20"/>
                <w:szCs w:val="20"/>
                <w:color w:val="auto"/>
              </w:rPr>
            </w:pPr>
            <w:r>
              <w:rPr>
                <w:rFonts w:ascii="Arial" w:cs="Arial" w:eastAsia="Arial" w:hAnsi="Arial"/>
                <w:sz w:val="18"/>
                <w:szCs w:val="18"/>
                <w:color w:val="auto"/>
              </w:rPr>
              <w:t xml:space="preserve">Operating profit </w:t>
            </w:r>
            <w:r>
              <w:rPr>
                <w:rFonts w:ascii="Arial" w:cs="Arial" w:eastAsia="Arial" w:hAnsi="Arial"/>
                <w:sz w:val="22"/>
                <w:szCs w:val="22"/>
                <w:color w:val="auto"/>
                <w:vertAlign w:val="superscript"/>
              </w:rPr>
              <w:t>(a)</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16"/>
        </w:trPr>
        <w:tc>
          <w:tcPr>
            <w:tcW w:w="6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Net earnings </w:t>
            </w:r>
            <w:r>
              <w:rPr>
                <w:rFonts w:ascii="Arial" w:cs="Arial" w:eastAsia="Arial" w:hAnsi="Arial"/>
                <w:sz w:val="22"/>
                <w:szCs w:val="22"/>
                <w:color w:val="auto"/>
                <w:vertAlign w:val="superscript"/>
              </w:rPr>
              <w:t>(a)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Net earnings – basic </w:t>
            </w:r>
            <w:r>
              <w:rPr>
                <w:rFonts w:ascii="Arial" w:cs="Arial" w:eastAsia="Arial" w:hAnsi="Arial"/>
                <w:sz w:val="22"/>
                <w:szCs w:val="22"/>
                <w:color w:val="auto"/>
                <w:vertAlign w:val="superscript"/>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6980" w:type="dxa"/>
            <w:vAlign w:val="bottom"/>
          </w:tcPr>
          <w:p>
            <w:pPr>
              <w:spacing w:after="0" w:line="217" w:lineRule="exact"/>
              <w:rPr>
                <w:sz w:val="20"/>
                <w:szCs w:val="20"/>
                <w:color w:val="auto"/>
              </w:rPr>
            </w:pPr>
            <w:r>
              <w:rPr>
                <w:rFonts w:ascii="Arial" w:cs="Arial" w:eastAsia="Arial" w:hAnsi="Arial"/>
                <w:sz w:val="18"/>
                <w:szCs w:val="18"/>
                <w:color w:val="auto"/>
              </w:rPr>
              <w:t xml:space="preserve">Net earnings – diluted </w:t>
            </w:r>
            <w:r>
              <w:rPr>
                <w:rFonts w:ascii="Arial" w:cs="Arial" w:eastAsia="Arial" w:hAnsi="Arial"/>
                <w:sz w:val="22"/>
                <w:szCs w:val="22"/>
                <w:color w:val="auto"/>
                <w:vertAlign w:val="superscript"/>
              </w:rPr>
              <w:t>(a)</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5,568.4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5,843.1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3,228.0</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811.1</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should be read in conjunction with the above summary.</w:t>
      </w:r>
    </w:p>
    <w:p>
      <w:pPr>
        <w:spacing w:after="0" w:line="90" w:lineRule="exact"/>
        <w:rPr>
          <w:sz w:val="20"/>
          <w:szCs w:val="20"/>
          <w:color w:val="auto"/>
        </w:rPr>
      </w:pPr>
    </w:p>
    <w:p>
      <w:pPr>
        <w:ind w:left="460" w:right="360" w:hanging="452"/>
        <w:spacing w:after="0" w:line="241" w:lineRule="auto"/>
        <w:tabs>
          <w:tab w:leader="none" w:pos="460" w:val="left"/>
        </w:tabs>
        <w:numPr>
          <w:ilvl w:val="0"/>
          <w:numId w:val="86"/>
        </w:numPr>
        <w:rPr>
          <w:rFonts w:ascii="Arial" w:cs="Arial" w:eastAsia="Arial" w:hAnsi="Arial"/>
          <w:sz w:val="21"/>
          <w:szCs w:val="21"/>
          <w:color w:val="auto"/>
          <w:vertAlign w:val="superscript"/>
        </w:rPr>
      </w:pPr>
      <w:r>
        <w:rPr>
          <w:rFonts w:ascii="Arial" w:cs="Arial" w:eastAsia="Arial" w:hAnsi="Arial"/>
          <w:sz w:val="17"/>
          <w:szCs w:val="17"/>
          <w:color w:val="auto"/>
        </w:rPr>
        <w:t>On January 1, 2002, we adopted SFAS No. 142, “Goodwill and Other Intangible Assets,” which prohibits the amortization of goodwill and identifiable intangible assets with an indefinite life. (See notes 1 and 6 to the consolidated financial statements for further information.)</w:t>
      </w:r>
    </w:p>
    <w:p>
      <w:pPr>
        <w:spacing w:after="0" w:line="136" w:lineRule="exact"/>
        <w:rPr>
          <w:sz w:val="20"/>
          <w:szCs w:val="20"/>
          <w:color w:val="auto"/>
        </w:rPr>
      </w:pPr>
    </w:p>
    <w:p>
      <w:pPr>
        <w:spacing w:after="0"/>
        <w:tabs>
          <w:tab w:leader="none" w:pos="5640" w:val="left"/>
          <w:tab w:leader="none" w:pos="964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88</w:t>
      </w:r>
      <w:r>
        <w:rPr>
          <w:sz w:val="20"/>
          <w:szCs w:val="20"/>
          <w:color w:val="auto"/>
        </w:rPr>
        <w:tab/>
      </w:r>
      <w:r>
        <w:rPr>
          <w:rFonts w:ascii="Arial" w:cs="Arial" w:eastAsia="Arial" w:hAnsi="Arial"/>
          <w:sz w:val="15"/>
          <w:szCs w:val="15"/>
          <w:b w:val="1"/>
          <w:bCs w:val="1"/>
          <w:color w:val="auto"/>
        </w:rPr>
        <w:t>Selected Financial Data</w:t>
      </w:r>
    </w:p>
    <w:p>
      <w:pPr>
        <w:sectPr>
          <w:pgSz w:w="11900" w:h="16838" w:orient="portrait"/>
          <w:cols w:equalWidth="0" w:num="1">
            <w:col w:w="11420"/>
          </w:cols>
          <w:pgMar w:left="240" w:top="274" w:right="239" w:bottom="1440" w:gutter="0" w:footer="0" w:header="0"/>
        </w:sectPr>
      </w:pPr>
    </w:p>
    <w:bookmarkStart w:id="159" w:name="page160"/>
    <w:bookmarkEnd w:id="159"/>
    <w:p>
      <w:pPr>
        <w:spacing w:after="0"/>
        <w:tabs>
          <w:tab w:leader="none" w:pos="5640" w:val="left"/>
          <w:tab w:leader="none" w:pos="9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891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PRINCIPLE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118110</wp:posOffset>
            </wp:positionV>
            <wp:extent cx="4433570" cy="4485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33570" cy="448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Manpower Inc. </w:t>
      </w:r>
      <w:r>
        <w:rPr>
          <w:rFonts w:ascii="Arial" w:cs="Arial" w:eastAsia="Arial" w:hAnsi="Arial"/>
          <w:sz w:val="18"/>
          <w:szCs w:val="18"/>
          <w:color w:val="auto"/>
        </w:rPr>
        <w:t>(NYSE: MAN) is a world leader in the employment services industry; creating and delivering services that enable its clients to win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world of work. The $16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72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ectPr>
          <w:pgSz w:w="11900" w:h="16838" w:orient="portrait"/>
          <w:cols w:equalWidth="0" w:num="1">
            <w:col w:w="11400"/>
          </w:cols>
          <w:pgMar w:left="240" w:top="274" w:right="259" w:bottom="1440" w:gutter="0" w:footer="0" w:header="0"/>
        </w:sectPr>
      </w:pPr>
    </w:p>
    <w:bookmarkStart w:id="161" w:name="page162"/>
    <w:bookmarkEnd w:id="161"/>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4114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CORPORATE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CEO and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Marc J. Bolland </w:t>
      </w:r>
      <w:r>
        <w:rPr>
          <w:rFonts w:ascii="Arial" w:cs="Arial" w:eastAsia="Arial" w:hAnsi="Arial"/>
          <w:sz w:val="22"/>
          <w:szCs w:val="22"/>
          <w:b w:val="1"/>
          <w:bCs w:val="1"/>
          <w:color w:val="auto"/>
          <w:vertAlign w:val="superscript"/>
        </w:rPr>
        <w:t>2</w:t>
      </w:r>
    </w:p>
    <w:p>
      <w:pPr>
        <w:ind w:left="20"/>
        <w:spacing w:after="0"/>
        <w:rPr>
          <w:sz w:val="20"/>
          <w:szCs w:val="20"/>
          <w:color w:val="auto"/>
        </w:rPr>
      </w:pPr>
      <w:r>
        <w:rPr>
          <w:rFonts w:ascii="Arial" w:cs="Arial" w:eastAsia="Arial" w:hAnsi="Arial"/>
          <w:sz w:val="18"/>
          <w:szCs w:val="18"/>
          <w:color w:val="auto"/>
        </w:rPr>
        <w:t>Executive Board Member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Heineken N.V.</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 Thomas Bouchard </w:t>
      </w:r>
      <w:r>
        <w:rPr>
          <w:rFonts w:ascii="Arial" w:cs="Arial" w:eastAsia="Arial" w:hAnsi="Arial"/>
          <w:sz w:val="22"/>
          <w:szCs w:val="22"/>
          <w:b w:val="1"/>
          <w:bCs w:val="1"/>
          <w:color w:val="auto"/>
          <w:vertAlign w:val="superscript"/>
        </w:rPr>
        <w:t>1,2*</w:t>
      </w:r>
    </w:p>
    <w:p>
      <w:pPr>
        <w:ind w:left="20"/>
        <w:spacing w:after="0"/>
        <w:rPr>
          <w:sz w:val="20"/>
          <w:szCs w:val="20"/>
          <w:color w:val="auto"/>
        </w:rPr>
      </w:pPr>
      <w:r>
        <w:rPr>
          <w:rFonts w:ascii="Arial" w:cs="Arial" w:eastAsia="Arial" w:hAnsi="Arial"/>
          <w:sz w:val="15"/>
          <w:szCs w:val="15"/>
          <w:color w:val="auto"/>
        </w:rPr>
        <w:t>Retired Senior Vice President, Human Resources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IBM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Stephanie A. Burns </w:t>
      </w:r>
      <w:r>
        <w:rPr>
          <w:rFonts w:ascii="Arial" w:cs="Arial" w:eastAsia="Arial" w:hAnsi="Arial"/>
          <w:sz w:val="22"/>
          <w:szCs w:val="22"/>
          <w:b w:val="1"/>
          <w:bCs w:val="1"/>
          <w:color w:val="auto"/>
          <w:vertAlign w:val="superscript"/>
        </w:rPr>
        <w:t>1,3</w:t>
      </w:r>
    </w:p>
    <w:p>
      <w:pPr>
        <w:ind w:left="20"/>
        <w:spacing w:after="0"/>
        <w:rPr>
          <w:sz w:val="20"/>
          <w:szCs w:val="20"/>
          <w:color w:val="auto"/>
        </w:rPr>
      </w:pPr>
      <w:r>
        <w:rPr>
          <w:rFonts w:ascii="Arial" w:cs="Arial" w:eastAsia="Arial" w:hAnsi="Arial"/>
          <w:sz w:val="18"/>
          <w:szCs w:val="18"/>
          <w:color w:val="auto"/>
        </w:rPr>
        <w:t>Chairman, President and CEO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Dow Corning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Willie D. Davis </w:t>
      </w:r>
      <w:r>
        <w:rPr>
          <w:rFonts w:ascii="Arial" w:cs="Arial" w:eastAsia="Arial" w:hAnsi="Arial"/>
          <w:sz w:val="22"/>
          <w:szCs w:val="22"/>
          <w:b w:val="1"/>
          <w:bCs w:val="1"/>
          <w:color w:val="auto"/>
          <w:vertAlign w:val="superscript"/>
        </w:rPr>
        <w:t>1,3</w:t>
      </w:r>
    </w:p>
    <w:p>
      <w:pPr>
        <w:ind w:left="20"/>
        <w:spacing w:after="0"/>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Pro Broadcasting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Jack M. Greenberg </w:t>
      </w:r>
      <w:r>
        <w:rPr>
          <w:rFonts w:ascii="Arial" w:cs="Arial" w:eastAsia="Arial" w:hAnsi="Arial"/>
          <w:sz w:val="22"/>
          <w:szCs w:val="22"/>
          <w:b w:val="1"/>
          <w:bCs w:val="1"/>
          <w:color w:val="auto"/>
          <w:vertAlign w:val="superscript"/>
        </w:rPr>
        <w:t>2</w:t>
      </w:r>
    </w:p>
    <w:p>
      <w:pPr>
        <w:ind w:left="20"/>
        <w:spacing w:after="0"/>
        <w:rPr>
          <w:sz w:val="20"/>
          <w:szCs w:val="20"/>
          <w:color w:val="auto"/>
        </w:rPr>
      </w:pPr>
      <w:r>
        <w:rPr>
          <w:rFonts w:ascii="Arial" w:cs="Arial" w:eastAsia="Arial" w:hAnsi="Arial"/>
          <w:sz w:val="18"/>
          <w:szCs w:val="18"/>
          <w:color w:val="auto"/>
        </w:rPr>
        <w:t>Retired Chairman and CEO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McDonald’s Corporation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Terry A. Hueneke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Retired Executive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Rozanne L. Ridgway </w:t>
      </w:r>
      <w:r>
        <w:rPr>
          <w:rFonts w:ascii="Arial" w:cs="Arial" w:eastAsia="Arial" w:hAnsi="Arial"/>
          <w:sz w:val="22"/>
          <w:szCs w:val="22"/>
          <w:b w:val="1"/>
          <w:bCs w:val="1"/>
          <w:color w:val="auto"/>
          <w:vertAlign w:val="superscript"/>
        </w:rPr>
        <w:t>2,3</w:t>
      </w:r>
    </w:p>
    <w:p>
      <w:pPr>
        <w:ind w:left="20"/>
        <w:spacing w:after="0"/>
        <w:rPr>
          <w:sz w:val="20"/>
          <w:szCs w:val="20"/>
          <w:color w:val="auto"/>
        </w:rPr>
      </w:pPr>
      <w:r>
        <w:rPr>
          <w:rFonts w:ascii="Arial" w:cs="Arial" w:eastAsia="Arial" w:hAnsi="Arial"/>
          <w:sz w:val="18"/>
          <w:szCs w:val="18"/>
          <w:color w:val="auto"/>
        </w:rPr>
        <w:t>Former Assistant Secretary of State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Europe and Canada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Lord Dennis Stevenson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HBOS plc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R. Walter </w:t>
      </w:r>
      <w:r>
        <w:rPr>
          <w:rFonts w:ascii="Arial" w:cs="Arial" w:eastAsia="Arial" w:hAnsi="Arial"/>
          <w:sz w:val="22"/>
          <w:szCs w:val="22"/>
          <w:b w:val="1"/>
          <w:bCs w:val="1"/>
          <w:color w:val="auto"/>
          <w:vertAlign w:val="superscript"/>
        </w:rPr>
        <w:t>2,3*</w:t>
      </w:r>
    </w:p>
    <w:p>
      <w:pPr>
        <w:ind w:left="20"/>
        <w:spacing w:after="0"/>
        <w:rPr>
          <w:sz w:val="20"/>
          <w:szCs w:val="20"/>
          <w:color w:val="auto"/>
        </w:rPr>
      </w:pPr>
      <w:r>
        <w:rPr>
          <w:rFonts w:ascii="Arial" w:cs="Arial" w:eastAsia="Arial" w:hAnsi="Arial"/>
          <w:sz w:val="18"/>
          <w:szCs w:val="18"/>
          <w:color w:val="auto"/>
        </w:rPr>
        <w:t>Retired President and COO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AT&amp;T Corp.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Former Chairman, President and CEO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R.R. Donnelley &amp; Sons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J. Zore </w:t>
      </w:r>
      <w:r>
        <w:rPr>
          <w:rFonts w:ascii="Arial" w:cs="Arial" w:eastAsia="Arial" w:hAnsi="Arial"/>
          <w:sz w:val="22"/>
          <w:szCs w:val="22"/>
          <w:b w:val="1"/>
          <w:bCs w:val="1"/>
          <w:color w:val="auto"/>
          <w:vertAlign w:val="superscript"/>
        </w:rPr>
        <w:t>1*,3</w:t>
      </w:r>
    </w:p>
    <w:p>
      <w:pPr>
        <w:ind w:left="20"/>
        <w:spacing w:after="0"/>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Northwestern Mutual</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Committees</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Compensation Committee</w:t>
      </w:r>
    </w:p>
    <w:p>
      <w:pPr>
        <w:spacing w:after="0" w:line="9" w:lineRule="exact"/>
        <w:rPr>
          <w:sz w:val="20"/>
          <w:szCs w:val="20"/>
          <w:color w:val="auto"/>
        </w:rPr>
      </w:pPr>
    </w:p>
    <w:p>
      <w:pPr>
        <w:ind w:right="6919" w:firstLine="8"/>
        <w:spacing w:after="0" w:line="355"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Nominating and Governance Committee * Denotes Committee Chair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CEO and President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CFO</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 Europe, Middle East and Africa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(Excluding France)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Jean-Pierre Lemonnier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 France and Region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Yoav Michaely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ectPr>
          <w:pgSz w:w="11900" w:h="16873" w:orient="portrait"/>
          <w:cols w:equalWidth="0" w:num="1">
            <w:col w:w="10219"/>
          </w:cols>
          <w:pgMar w:left="240" w:top="274" w:right="1440" w:bottom="0" w:gutter="0" w:footer="0" w:header="0"/>
        </w:sectPr>
      </w:pPr>
    </w:p>
    <w:bookmarkStart w:id="163" w:name="page164"/>
    <w:bookmarkEnd w:id="163"/>
    <w:p>
      <w:pPr>
        <w:ind w:left="20"/>
        <w:spacing w:after="0"/>
        <w:rPr>
          <w:sz w:val="20"/>
          <w:szCs w:val="20"/>
          <w:color w:val="auto"/>
        </w:rPr>
      </w:pPr>
      <w:r>
        <w:rPr>
          <w:rFonts w:ascii="Arial" w:cs="Arial" w:eastAsia="Arial" w:hAnsi="Arial"/>
          <w:sz w:val="18"/>
          <w:szCs w:val="18"/>
          <w:color w:val="auto"/>
        </w:rPr>
        <w:t>Global Operational Effectiveness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 United States and Canadian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Sullivan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CEO of Right Management and Jefferson Wells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Arkless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Affairs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 Davidson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Chief Information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Iain Herbertson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 Asia Pacific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Johns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Sales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Mara Swan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Human Resources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DESIGN: SamataMason PRINTING: Lake County Press</w:t>
      </w:r>
    </w:p>
    <w:p>
      <w:pPr>
        <w:spacing w:after="0" w:line="152" w:lineRule="exact"/>
        <w:rPr>
          <w:sz w:val="20"/>
          <w:szCs w:val="20"/>
          <w:color w:val="auto"/>
        </w:rPr>
      </w:pPr>
    </w:p>
    <w:p>
      <w:pPr>
        <w:spacing w:after="0"/>
        <w:tabs>
          <w:tab w:leader="none" w:pos="5640" w:val="left"/>
          <w:tab w:leader="none" w:pos="9660" w:val="left"/>
        </w:tabs>
        <w:rPr>
          <w:sz w:val="20"/>
          <w:szCs w:val="20"/>
          <w:color w:val="auto"/>
        </w:rPr>
      </w:pPr>
      <w:r>
        <w:rPr>
          <w:rFonts w:ascii="Arial" w:cs="Arial" w:eastAsia="Arial" w:hAnsi="Arial"/>
          <w:sz w:val="18"/>
          <w:szCs w:val="18"/>
          <w:color w:val="auto"/>
        </w:rPr>
        <w:t>Manpower 2005 Annual Report</w:t>
      </w:r>
      <w:r>
        <w:rPr>
          <w:sz w:val="20"/>
          <w:szCs w:val="20"/>
          <w:color w:val="auto"/>
        </w:rPr>
        <w:tab/>
      </w: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Corporate Information</w:t>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Headquarters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www.manpower.com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Mellon Investor Services,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 Box 3315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 Hackensack, NJ 07606 USA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www.mellon-investor.com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NYSE Symbol: MAN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copy of Form 10-K filed with the Securities and Exchange Commission for the year ended December 31, 2005 is available without charge after February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 and can be obtained online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www.investor.manpower.com</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 by writing to: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Van Handel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 53201 USA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February 14, 2006, Manpower Inc. common stock was held by approximately 6,500 record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25, 2006 at 9 a.m.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International Headquarters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 53217 USA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Website</w:t>
      </w:r>
    </w:p>
    <w:p>
      <w:pPr>
        <w:spacing w:after="0" w:line="96"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 xml:space="preserve">The most current corporate and investor information can be found on the Manpower Inc. corporate website at www.manpower.com. Interested individuals may also choose to receive Manpower press releases and other information via e-mail by subscribing to our E-mail Alert service at </w:t>
      </w:r>
      <w:r>
        <w:rPr>
          <w:rFonts w:ascii="Arial" w:cs="Arial" w:eastAsia="Arial" w:hAnsi="Arial"/>
          <w:sz w:val="15"/>
          <w:szCs w:val="15"/>
          <w:b w:val="1"/>
          <w:bCs w:val="1"/>
          <w:color w:val="auto"/>
        </w:rPr>
        <w:t>www.investor.manpower.com</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Manpower’s governance structure is designed to ensure transparency in our operations and adherence to the regulations set forth by the U.S. Securities and Exchange Commission (SEC). Information on Manpower’s corporate governance structure and policies can be found at </w:t>
      </w:r>
      <w:r>
        <w:rPr>
          <w:rFonts w:ascii="Arial" w:cs="Arial" w:eastAsia="Arial" w:hAnsi="Arial"/>
          <w:sz w:val="18"/>
          <w:szCs w:val="18"/>
          <w:b w:val="1"/>
          <w:bCs w:val="1"/>
          <w:color w:val="auto"/>
        </w:rPr>
        <w:t>www.manpower.com</w:t>
      </w:r>
      <w:r>
        <w:rPr>
          <w:rFonts w:ascii="Arial" w:cs="Arial" w:eastAsia="Arial" w:hAnsi="Arial"/>
          <w:sz w:val="18"/>
          <w:szCs w:val="18"/>
          <w:color w:val="auto"/>
        </w:rPr>
        <w:t xml:space="preserve"> in the section titled, “About Manpower.”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1, 2005, the Corporate Governance Quotient indicated that Manpower outperformed 86.9% of the companies in the S&amp;P 400 and 95.4% of the companies in the Commercial Services &amp; Supplies group. The Corporate Governance Quotient index is issued by Institutional Shareholder Services, a respected authority on proxy voting and corporate governance.</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Governance Metrics International, an independent corporate governance rating agency, rated Manpower a 6.5 on a scale of 1 to 10, with 10 being the highest ranking, in July 2005. The average score of all companies rated by GMI is 6.5.</w:t>
      </w:r>
    </w:p>
    <w:p>
      <w:pPr>
        <w:sectPr>
          <w:pgSz w:w="11900" w:h="16838" w:orient="portrait"/>
          <w:cols w:equalWidth="0" w:num="1">
            <w:col w:w="11280"/>
          </w:cols>
          <w:pgMar w:left="240" w:top="274" w:right="3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Power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34365" cy="6343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Manpower Power Award is an annual recognition program to honor operations around the world for their financial achievements and their performance in positively representing the Manpower brand and culture. In addition to the offices around the world that win the award each year, Manpower also bestows the Power Award on a few individuals each year who have performed their duties in an outstanding way in the previous year. This year, Manpower has awarded an individual Power Award to Daniel Kasmir, Director of Human Resources and Corporate Affairs – EMEA region, for his dedication to advancing Manpower’s thought leadership in the employment services industry, in addition to his normal duties. Congratulations to Daniel and all of the other 2005 Power Award winners worldwide.</w:t>
      </w:r>
    </w:p>
    <w:p>
      <w:pPr>
        <w:sectPr>
          <w:pgSz w:w="11900" w:h="16838" w:orient="portrait"/>
          <w:cols w:equalWidth="0" w:num="1">
            <w:col w:w="11200"/>
          </w:cols>
          <w:pgMar w:left="240" w:top="125" w:right="4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SUBSIDIARIES OF MANPOWER INC.</w:t>
            </w:r>
          </w:p>
        </w:tc>
      </w:tr>
      <w:tr>
        <w:trPr>
          <w:trHeight w:val="228"/>
        </w:trPr>
        <w:tc>
          <w:tcPr>
            <w:tcW w:w="4580" w:type="dxa"/>
            <w:vAlign w:val="bottom"/>
          </w:tcPr>
          <w:p>
            <w:pPr>
              <w:spacing w:after="0"/>
              <w:rPr>
                <w:sz w:val="19"/>
                <w:szCs w:val="19"/>
                <w:color w:val="auto"/>
              </w:rPr>
            </w:pPr>
          </w:p>
        </w:tc>
        <w:tc>
          <w:tcPr>
            <w:tcW w:w="6840" w:type="dxa"/>
            <w:vAlign w:val="bottom"/>
            <w:gridSpan w:val="3"/>
          </w:tcPr>
          <w:p>
            <w:pPr>
              <w:jc w:val="center"/>
              <w:ind w:right="4473"/>
              <w:spacing w:after="0"/>
              <w:rPr>
                <w:sz w:val="20"/>
                <w:szCs w:val="20"/>
                <w:color w:val="auto"/>
              </w:rPr>
            </w:pPr>
            <w:r>
              <w:rPr>
                <w:rFonts w:ascii="Arial" w:cs="Arial" w:eastAsia="Arial" w:hAnsi="Arial"/>
                <w:sz w:val="18"/>
                <w:szCs w:val="18"/>
                <w:b w:val="1"/>
                <w:bCs w:val="1"/>
                <w:color w:val="auto"/>
                <w:w w:val="86"/>
              </w:rPr>
              <w:t>As of December 31, 2005</w:t>
            </w:r>
          </w:p>
        </w:tc>
      </w:tr>
      <w:tr>
        <w:trPr>
          <w:trHeight w:val="353"/>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Corporation Name</w:t>
            </w:r>
          </w:p>
        </w:tc>
        <w:tc>
          <w:tcPr>
            <w:tcW w:w="1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Incorporated in State / Country of</w:t>
            </w:r>
          </w:p>
        </w:tc>
      </w:tr>
      <w:tr>
        <w:trPr>
          <w:trHeight w:val="289"/>
        </w:trPr>
        <w:tc>
          <w:tcPr>
            <w:tcW w:w="4580" w:type="dxa"/>
            <w:vAlign w:val="bottom"/>
          </w:tcPr>
          <w:p>
            <w:pPr>
              <w:spacing w:after="0"/>
              <w:rPr>
                <w:sz w:val="20"/>
                <w:szCs w:val="20"/>
                <w:color w:val="auto"/>
              </w:rPr>
            </w:pPr>
            <w:r>
              <w:rPr>
                <w:rFonts w:ascii="Arial" w:cs="Arial" w:eastAsia="Arial" w:hAnsi="Arial"/>
                <w:sz w:val="18"/>
                <w:szCs w:val="18"/>
                <w:color w:val="auto"/>
              </w:rPr>
              <w:t>Huntsville Service Contractors, Inc.</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Alabama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Benefits S.A.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Argentina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Cotecsud S.A.S.E.</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Argentina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Rural Power S.A.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Argentina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Empower Corporate Research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Compower Pty. Limited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ICV International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Intellectual Capital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Services (Australia)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(OC)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ORMS Group APS Pty Limited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Polson Pty. Ltd. B104</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Workforce (Vic) Pty. Limited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from Home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(NSW)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(QLD)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Holdings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International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No. 10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No. 11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No. 12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No. 13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No. 14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No. 15 Pty.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Human Power Projects GmbH</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GmbH</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Holding GmbH</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Unternehmens und Personalberatungs GmbH</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MTW Personaldienstleistungen GmbH</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Elan IT Resource S.A.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Mulitskill S.A.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S.A. Manpower (Belgium) N.V.</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(Belgium) SA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Coutts Consulting</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Empower-BCI Europe</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Brasil Ltda.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Brazil</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Professional Ltda.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Brazil</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Staffing Ltda.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Brazil</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de Brasil Ltda.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Brazil</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AMFO Members Insurance Company,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Jefferson Wells International (Canada), Inc.</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Canada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Services Canada Limited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Canada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Coutts Consulting Canada Inc.</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Canada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Murray Axmith &amp; Associates Limited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Canada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Right Management Consultants Canada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Canada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CEL Management Consultancy (Shanghai) Co.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Business Consulting (Shanghai) Co.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w w:val="92"/>
              </w:rPr>
              <w:t>Manpower &amp; Standard Human Resources (Shanghai) Co.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de Columbia Ltda.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Colombia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Professional Ltd.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Colombia</w:t>
            </w: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Manpower Costa Rica, S.A.</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Costa Rica</w:t>
            </w:r>
          </w:p>
        </w:tc>
      </w:tr>
    </w:tbl>
    <w:p>
      <w:pPr>
        <w:sectPr>
          <w:pgSz w:w="11900" w:h="16838" w:orient="portrait"/>
          <w:cols w:equalWidth="0" w:num="1">
            <w:col w:w="11420"/>
          </w:cols>
          <w:pgMar w:left="240" w:top="131" w:right="239" w:bottom="20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Manpower Republique Tcheque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Ironwood Capital 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International,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CIS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International,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License Holdings,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USCaden 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Empower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Europe Holdings Aps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A/S (Denmark)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Facilities Management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Contact Center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Kjaer &amp; Kerulf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Search and Selection Denmark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Sinova International Holding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Republica Dominicana,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El Salvador,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EESTI OÜ</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OY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Oy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Direct OY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OY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OY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Alisia SARL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Holding SAS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Solertis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Coutts Consultants France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SAS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Supplay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Guadalupe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Adservice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Ambridge Group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Bankpower GmbH Personaldienstleistungen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Consulting by Manpower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(Deutschland)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GmbH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Manpower GmbH &amp; Co. KG Personaldienstleistungen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Elan Telecommunications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Engineering by Manpower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Deutschland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Coutts (Deutschland)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AviationPower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Beteiligungsgesellschaft mbH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Manpower Finance - Personaldienstleistungen GmbH</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Manpower Erkner GmbH Personaldienstleistungen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Managed Structures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Project Support by Manpower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PSA by Manpower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Team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Project Solutions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Guatemala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Honduras,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Center for Effective Leadership (HK)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Czech Republic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-262890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Guadalupe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ectPr>
          <w:pgSz w:w="11900" w:h="16838" w:orient="portrait"/>
          <w:cols w:equalWidth="0" w:num="2">
            <w:col w:w="5340" w:space="720"/>
            <w:col w:w="4159"/>
          </w:cols>
          <w:pgMar w:left="240" w:top="348" w:right="1440" w:bottom="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t>Elan Computing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w:t>
      </w:r>
    </w:p>
    <w:p>
      <w:pPr>
        <w:spacing w:after="0" w:line="100" w:lineRule="exact"/>
        <w:rPr>
          <w:sz w:val="20"/>
          <w:szCs w:val="20"/>
          <w:color w:val="auto"/>
        </w:rPr>
      </w:pPr>
    </w:p>
    <w:p>
      <w:pPr>
        <w:sectPr>
          <w:pgSz w:w="11900" w:h="16838" w:orient="portrait"/>
          <w:cols w:equalWidth="0" w:num="2">
            <w:col w:w="5340" w:space="720"/>
            <w:col w:w="4159"/>
          </w:cols>
          <w:pgMar w:left="240" w:top="131" w:right="1440" w:bottom="1440" w:gutter="0" w:footer="0" w:header="0"/>
        </w:sectPr>
      </w:pPr>
    </w:p>
    <w:p>
      <w:pPr>
        <w:spacing w:after="0"/>
        <w:rPr>
          <w:sz w:val="20"/>
          <w:szCs w:val="20"/>
          <w:color w:val="auto"/>
        </w:rPr>
      </w:pPr>
      <w:r>
        <w:rPr>
          <w:rFonts w:ascii="Arial" w:cs="Arial" w:eastAsia="Arial" w:hAnsi="Arial"/>
          <w:sz w:val="16"/>
          <w:szCs w:val="16"/>
          <w:color w:val="auto"/>
        </w:rPr>
        <w:t>Manpower Services (Hong Kong) Limited</w:t>
      </w:r>
    </w:p>
    <w:p>
      <w:pPr>
        <w:spacing w:after="0" w:line="20" w:lineRule="exact"/>
        <w:rPr>
          <w:sz w:val="20"/>
          <w:szCs w:val="20"/>
          <w:color w:val="auto"/>
        </w:rPr>
      </w:pPr>
      <w:r>
        <w:rPr>
          <w:sz w:val="20"/>
          <w:szCs w:val="20"/>
          <w:color w:val="auto"/>
        </w:rPr>
        <w:br w:type="column"/>
      </w:r>
    </w:p>
    <w:p>
      <w:pPr>
        <w:jc w:val="center"/>
        <w:ind w:right="3339"/>
        <w:spacing w:after="0"/>
        <w:rPr>
          <w:sz w:val="20"/>
          <w:szCs w:val="20"/>
          <w:color w:val="auto"/>
        </w:rPr>
      </w:pPr>
      <w:r>
        <w:rPr>
          <w:rFonts w:ascii="Arial" w:cs="Arial" w:eastAsia="Arial" w:hAnsi="Arial"/>
          <w:sz w:val="16"/>
          <w:szCs w:val="16"/>
          <w:color w:val="auto"/>
        </w:rPr>
        <w:t>Hong Kong</w:t>
      </w:r>
    </w:p>
    <w:p>
      <w:pPr>
        <w:spacing w:after="0" w:line="181" w:lineRule="exact"/>
        <w:rPr>
          <w:sz w:val="20"/>
          <w:szCs w:val="20"/>
          <w:color w:val="auto"/>
        </w:rPr>
      </w:pPr>
    </w:p>
    <w:p>
      <w:pPr>
        <w:sectPr>
          <w:pgSz w:w="11900" w:h="16838" w:orient="portrait"/>
          <w:cols w:equalWidth="0" w:num="2">
            <w:col w:w="5340" w:space="720"/>
            <w:col w:w="4159"/>
          </w:cols>
          <w:pgMar w:left="240" w:top="131" w:right="1440"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19"/>
          </w:cols>
          <w:pgMar w:left="240" w:top="131" w:right="1440"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color w:val="auto"/>
        </w:rPr>
        <w:t>Standard Management Consulting Limited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Right Management Consultants Ltd (Hong Kong)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Munkaero Szervezesi KFT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Complete Business Services of Illinois,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of Illinois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Transpersonnel,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India Pvt.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Recruitment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Group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Ireland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Transition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Skills Group Contract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Skills Group Financial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Skills Group International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Adam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Adi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Career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Hahaklai Ltd.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Career – Management of Housing for Elderly Ltd.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Career Harmony, Ltd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M.I.T. (Manpower Information Technology) Ltd.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M.P.H. Holdings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Israel Holdings (1999)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(Israel)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Miluot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Nativ 2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S.T.M Technologies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Telepower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Storetail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Unison Engineering Projects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Brook Street S.P.A. Selection and Recruiting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Brook Street S.P.A. Temporary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Italia Srl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S.P.A.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Formazione Spa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(Italy) SRL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Payroll Service S.P.A.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Italia S.r.l.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Management S.P.A.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Adgrams,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JobSearchpower Co.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JobSupportpower Co.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Japan Co.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Mates Co.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Japan Inc.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Jordanian American Manpower Company, W.L.L.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Kazakhstan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Korea,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Inc.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Right Management Consultants Korea Co. Ltd.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Lat UAB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Lit UAB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Aide Temporaire SARL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Right Management Consultants (Luxembourg) SA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Right Holdings (Luxembourg) SarL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Agensi Pekerjaan Manpower Recruitment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-248285</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ectPr>
          <w:pgSz w:w="11900" w:h="16838" w:orient="portrait"/>
          <w:cols w:equalWidth="0" w:num="2">
            <w:col w:w="5340" w:space="720"/>
            <w:col w:w="4159"/>
          </w:cols>
          <w:pgMar w:left="240" w:top="347" w:right="1440" w:bottom="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Manpower Staffing Services (Malaysia)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Malaysia</w:t>
      </w:r>
    </w:p>
    <w:p>
      <w:pPr>
        <w:spacing w:after="0" w:line="100" w:lineRule="exact"/>
        <w:rPr>
          <w:sz w:val="20"/>
          <w:szCs w:val="20"/>
          <w:color w:val="auto"/>
        </w:rPr>
      </w:pPr>
    </w:p>
    <w:p>
      <w:pPr>
        <w:sectPr>
          <w:pgSz w:w="11900" w:h="16838" w:orient="portrait"/>
          <w:cols w:equalWidth="0" w:num="2">
            <w:col w:w="5340" w:space="720"/>
            <w:col w:w="4159"/>
          </w:cols>
          <w:pgMar w:left="240" w:top="131" w:right="1440" w:bottom="1440" w:gutter="0" w:footer="0" w:header="0"/>
        </w:sectPr>
      </w:pPr>
    </w:p>
    <w:p>
      <w:pPr>
        <w:spacing w:after="0"/>
        <w:rPr>
          <w:sz w:val="20"/>
          <w:szCs w:val="20"/>
          <w:color w:val="auto"/>
        </w:rPr>
      </w:pPr>
      <w:r>
        <w:rPr>
          <w:rFonts w:ascii="Arial" w:cs="Arial" w:eastAsia="Arial" w:hAnsi="Arial"/>
          <w:sz w:val="16"/>
          <w:szCs w:val="16"/>
          <w:color w:val="auto"/>
        </w:rPr>
        <w:t>Techpower Consulting Sdn Bhd</w:t>
      </w:r>
    </w:p>
    <w:p>
      <w:pPr>
        <w:spacing w:after="0" w:line="20" w:lineRule="exact"/>
        <w:rPr>
          <w:sz w:val="20"/>
          <w:szCs w:val="20"/>
          <w:color w:val="auto"/>
        </w:rPr>
      </w:pPr>
      <w:r>
        <w:rPr>
          <w:sz w:val="20"/>
          <w:szCs w:val="20"/>
          <w:color w:val="auto"/>
        </w:rPr>
        <w:br w:type="column"/>
      </w:r>
    </w:p>
    <w:p>
      <w:pPr>
        <w:jc w:val="center"/>
        <w:ind w:right="3519"/>
        <w:spacing w:after="0"/>
        <w:rPr>
          <w:sz w:val="20"/>
          <w:szCs w:val="20"/>
          <w:color w:val="auto"/>
        </w:rPr>
      </w:pPr>
      <w:r>
        <w:rPr>
          <w:rFonts w:ascii="Arial" w:cs="Arial" w:eastAsia="Arial" w:hAnsi="Arial"/>
          <w:sz w:val="16"/>
          <w:szCs w:val="16"/>
          <w:color w:val="auto"/>
        </w:rPr>
        <w:t>Malaysia</w:t>
      </w:r>
    </w:p>
    <w:p>
      <w:pPr>
        <w:spacing w:after="0" w:line="181" w:lineRule="exact"/>
        <w:rPr>
          <w:sz w:val="20"/>
          <w:szCs w:val="20"/>
          <w:color w:val="auto"/>
        </w:rPr>
      </w:pPr>
    </w:p>
    <w:p>
      <w:pPr>
        <w:sectPr>
          <w:pgSz w:w="11900" w:h="16838" w:orient="portrait"/>
          <w:cols w:equalWidth="0" w:num="2">
            <w:col w:w="5340" w:space="720"/>
            <w:col w:w="4159"/>
          </w:cols>
          <w:pgMar w:left="240" w:top="131" w:right="1440"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19"/>
          </w:cols>
          <w:pgMar w:left="240" w:top="131" w:right="1440"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6"/>
          <w:szCs w:val="16"/>
          <w:color w:val="auto"/>
        </w:rPr>
        <w:t>Right Management Consultants International Pty. Ltd.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Antilles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Intelecto Tecnologico,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Corporativo,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Industrial,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Mensajeria,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Tecnologia Y Manufactura,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Headpower,S.A.de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Nurse Co. de Mexico, S.A. de C.V.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Monaco SAM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Societe Marocaine De Travail Temporaire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(Netherlands)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Consultancy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Direkt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Management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Nederland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Special Staffing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Uitzendorganisatie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Mobilans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Nederland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Performance Improvement Network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Ultraflex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Ultrasearch B.V.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 Caledonie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Incorporated of New York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(New Zealand) Ltd.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Right Management Consultants Ltd. (New Zealand)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Nicaruagua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Bankpower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Framnaes Installajon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Contact Center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Facility Management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Norway Holdings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Quality People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Raadhuset Rekruttering &amp; Utuelgelse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Raadhuset Rogaland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Norway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Techpower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Tri County Business Services,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Panama,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Temporales Panama,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Paraguay S.R.L.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Peru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Outsourcing Services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Prime Manpower Resources Development,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Polska SP. ZO. 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Ocean Indien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Romania SRL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Bowker Consultants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-262890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Martinique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New Caledonia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Paraguay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Reunion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ectPr>
          <w:pgSz w:w="11900" w:h="16838" w:orient="portrait"/>
          <w:cols w:equalWidth="0" w:num="2">
            <w:col w:w="5340" w:space="720"/>
            <w:col w:w="4159"/>
          </w:cols>
          <w:pgMar w:left="240" w:top="347" w:right="1440" w:bottom="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Center for Effective Leadership (Asia)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Singapore</w:t>
      </w:r>
    </w:p>
    <w:p>
      <w:pPr>
        <w:spacing w:after="0" w:line="111" w:lineRule="exact"/>
        <w:rPr>
          <w:sz w:val="20"/>
          <w:szCs w:val="20"/>
          <w:color w:val="auto"/>
        </w:rPr>
      </w:pPr>
    </w:p>
    <w:p>
      <w:pPr>
        <w:sectPr>
          <w:pgSz w:w="11900" w:h="16838" w:orient="portrait"/>
          <w:cols w:equalWidth="0" w:num="2">
            <w:col w:w="5340" w:space="720"/>
            <w:col w:w="4159"/>
          </w:cols>
          <w:pgMar w:left="240" w:top="131" w:right="1440" w:bottom="1440" w:gutter="0" w:footer="0" w:header="0"/>
        </w:sectPr>
      </w:pPr>
    </w:p>
    <w:p>
      <w:pPr>
        <w:spacing w:after="0"/>
        <w:rPr>
          <w:sz w:val="20"/>
          <w:szCs w:val="20"/>
          <w:color w:val="auto"/>
        </w:rPr>
      </w:pPr>
      <w:r>
        <w:rPr>
          <w:rFonts w:ascii="Arial" w:cs="Arial" w:eastAsia="Arial" w:hAnsi="Arial"/>
          <w:sz w:val="16"/>
          <w:szCs w:val="16"/>
          <w:color w:val="auto"/>
        </w:rPr>
        <w:t>Highly Effective Youth (Asia) Pte. Ltd.</w:t>
      </w:r>
    </w:p>
    <w:p>
      <w:pPr>
        <w:spacing w:after="0" w:line="20" w:lineRule="exact"/>
        <w:rPr>
          <w:sz w:val="20"/>
          <w:szCs w:val="20"/>
          <w:color w:val="auto"/>
        </w:rPr>
      </w:pPr>
      <w:r>
        <w:rPr>
          <w:sz w:val="20"/>
          <w:szCs w:val="20"/>
          <w:color w:val="auto"/>
        </w:rPr>
        <w:br w:type="column"/>
      </w:r>
    </w:p>
    <w:p>
      <w:pPr>
        <w:jc w:val="center"/>
        <w:ind w:right="3439"/>
        <w:spacing w:after="0"/>
        <w:rPr>
          <w:sz w:val="20"/>
          <w:szCs w:val="20"/>
          <w:color w:val="auto"/>
        </w:rPr>
      </w:pPr>
      <w:r>
        <w:rPr>
          <w:rFonts w:ascii="Arial" w:cs="Arial" w:eastAsia="Arial" w:hAnsi="Arial"/>
          <w:sz w:val="15"/>
          <w:szCs w:val="15"/>
          <w:color w:val="auto"/>
        </w:rPr>
        <w:t>Singapore</w:t>
      </w:r>
    </w:p>
    <w:p>
      <w:pPr>
        <w:spacing w:after="0" w:line="192" w:lineRule="exact"/>
        <w:rPr>
          <w:sz w:val="20"/>
          <w:szCs w:val="20"/>
          <w:color w:val="auto"/>
        </w:rPr>
      </w:pPr>
    </w:p>
    <w:p>
      <w:pPr>
        <w:sectPr>
          <w:pgSz w:w="11900" w:h="16838" w:orient="portrait"/>
          <w:cols w:equalWidth="0" w:num="2">
            <w:col w:w="5340" w:space="720"/>
            <w:col w:w="4159"/>
          </w:cols>
          <w:pgMar w:left="240" w:top="131" w:right="1440"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19"/>
          </w:cols>
          <w:pgMar w:left="240" w:top="131" w:right="1440"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8"/>
          <w:szCs w:val="18"/>
          <w:color w:val="auto"/>
        </w:rPr>
        <w:t>Manpower Staffing Services (Singapore) Pte.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(Asia) Ltd.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Right Management Consultants International Pty. Ltd.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Slovakia SRO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Apel Servis d.o.o.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S.A. (Pty)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Vuya Manpower (Pty)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Vuya Manpower Contact Centre Solutions (Pty)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By Manpower S.L.U.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Computing S.L.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Link Externalizacion de Servicios, S.L.U.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Team E.T.T., S.A.U.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Iberia, S.L.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Resources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HalsoPartners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Contact Center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Construction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Security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Servicenter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Sverige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Contage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Nordea Bemanning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Resurscenter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Industriservice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Sinova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Sinova Sweden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Holding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Sweden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Contact Center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Administration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Foretagsservice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Forvaltning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INgroup Support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Communication 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Allegra Finanz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(Schweiz) AG, Zurich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HR Management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Worklink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Telecommunications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Ambridge Professional Services GmbH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Coutts (Schweiz)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MRC Consulting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(Taiwan) Co.,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Recruitment Solutions Co.,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Skillpower Services (Thailand) Co. Ltd.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Manpower (Pathumwan) Professional Services Co. Ltd.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Insan Kaynaklari Limited Sirketi</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Manpower Secme ve Yerlestirme Hizmetleri Limited Sirketi</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Ukraine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Bafin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-262890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ectPr>
          <w:pgSz w:w="11900" w:h="16838" w:orient="portrait"/>
          <w:cols w:equalWidth="0" w:num="2">
            <w:col w:w="5340" w:space="720"/>
            <w:col w:w="4159"/>
          </w:cols>
          <w:pgMar w:left="240" w:top="347" w:right="1440" w:bottom="0" w:gutter="0" w:footer="0" w:header="0"/>
        </w:sectPr>
      </w:pPr>
    </w:p>
    <w:bookmarkStart w:id="174" w:name="page175"/>
    <w:bookmarkEnd w:id="174"/>
    <w:p>
      <w:pPr>
        <w:spacing w:after="0"/>
        <w:rPr>
          <w:sz w:val="20"/>
          <w:szCs w:val="20"/>
          <w:color w:val="auto"/>
        </w:rPr>
      </w:pPr>
      <w:r>
        <w:rPr>
          <w:rFonts w:ascii="Arial" w:cs="Arial" w:eastAsia="Arial" w:hAnsi="Arial"/>
          <w:sz w:val="16"/>
          <w:szCs w:val="16"/>
          <w:color w:val="auto"/>
        </w:rPr>
        <w:t>Bafin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ectPr>
          <w:pgSz w:w="11900" w:h="16838" w:orient="portrait"/>
          <w:cols w:equalWidth="0" w:num="2">
            <w:col w:w="5340" w:space="720"/>
            <w:col w:w="4159"/>
          </w:cols>
          <w:pgMar w:left="240" w:top="131" w:right="1440" w:bottom="1440" w:gutter="0" w:footer="0" w:header="0"/>
        </w:sectPr>
      </w:pPr>
    </w:p>
    <w:p>
      <w:pPr>
        <w:spacing w:after="0"/>
        <w:rPr>
          <w:sz w:val="20"/>
          <w:szCs w:val="20"/>
          <w:color w:val="auto"/>
        </w:rPr>
      </w:pPr>
      <w:r>
        <w:rPr>
          <w:rFonts w:ascii="Arial" w:cs="Arial" w:eastAsia="Arial" w:hAnsi="Arial"/>
          <w:sz w:val="16"/>
          <w:szCs w:val="16"/>
          <w:color w:val="auto"/>
        </w:rPr>
        <w:t>Bafin Services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181" w:lineRule="exact"/>
        <w:rPr>
          <w:sz w:val="20"/>
          <w:szCs w:val="20"/>
          <w:color w:val="auto"/>
        </w:rPr>
      </w:pPr>
    </w:p>
    <w:p>
      <w:pPr>
        <w:sectPr>
          <w:pgSz w:w="11900" w:h="16838" w:orient="portrait"/>
          <w:cols w:equalWidth="0" w:num="2">
            <w:col w:w="5340" w:space="720"/>
            <w:col w:w="4159"/>
          </w:cols>
          <w:pgMar w:left="240" w:top="131" w:right="1440"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19"/>
          </w:cols>
          <w:pgMar w:left="240" w:top="131" w:right="1440"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color w:val="auto"/>
        </w:rPr>
        <w:t>Brook Street Bureau PLC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Brook Street (UK)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BS Project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Challoners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(UK)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DP Support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Group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Resource Support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Telecommunications Group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Elan Telecommunications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Ferribush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Girlpower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(UK)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Contract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IT Services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Public Limited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Nicholas Andrews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Overdrive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Psyconsult International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Salespower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Screenactive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SHL Group PLC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Temp Finance &amp; Accounting Service Limited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Elan Telecommunications Group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Trotman Group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Trotman &amp; Company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Working Links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Alternative International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Atlas Group Holdings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Coutts Career Consultants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Coutts Holding Limited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Coutts Outplacement International Limited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Right Associates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Corecare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Coutts Consulting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Coutts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CSCB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Winkfield Place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PWR1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Aris Sociedad Anonima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de Venezuela C.A.</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Manpower Empresa de Trabajo Temporal, 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Servicios Alleray, C.A.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Right Associates Government Services, Inc.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of Texas Limited Partnership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Manpower Texas Holdings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Resource Consulting Group,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Signature Graphics of Milwaukee,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-248285</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ectPr>
          <w:pgSz w:w="11900" w:h="16838" w:orient="portrait"/>
          <w:cols w:equalWidth="0" w:num="2">
            <w:col w:w="5340" w:space="720"/>
            <w:col w:w="4159"/>
          </w:cols>
          <w:pgMar w:left="240" w:top="347" w:right="1440" w:bottom="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131"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consent to the incorporation by reference in Registration Statement No. 33-40441, 33-55264, 33-84736, 333-1040, 333-31021, 333-82459, 333-66656, 333-105205, 333-112164 and 333-12703 on Form S-8 and 333-650, 33-95896 and 333-87554 on Form S-4 of our reports dated February 21, 2006, relating to the financial statements and financial statement schedule of Manpower Inc. and subsidiaries and management’s report on the effectiveness of internal control over financial reporting, appearing in and incorporated by reference in this Annual Report on Form 10-K of Manpower Inc. for the year ended December 31, 2005.</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ectPr>
          <w:pgSz w:w="11900" w:h="16838" w:orient="portrait"/>
          <w:cols w:equalWidth="0" w:num="1">
            <w:col w:w="11420"/>
          </w:cols>
          <w:pgMar w:left="240" w:top="13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Exhibit 23.2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33-40441, 33-55264, 33-84736, 333-1040, 333-31021, 333-82459, 333-66656, 333-105205, 333-112164 and 333-12703), and Form S-4 (File Nos. 333-650, 33-95896 and 333-87554) of Manpower Inc. of our report dated February 16, 2005 relating to the consolidated financial statements, which appears in the Annual Report to Shareholders, which is incorporated in this Annual Report on Form 10-K. We also consent to the incorporation by reference of our report dated February 16, 2005 relating to the financial statement schedule, which appears in this Form 10-K.</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2006</w:t>
      </w:r>
    </w:p>
    <w:p>
      <w:pPr>
        <w:sectPr>
          <w:pgSz w:w="11900" w:h="16838" w:orient="portrait"/>
          <w:cols w:equalWidth="0" w:num="1">
            <w:col w:w="11420"/>
          </w:cols>
          <w:pgMar w:left="240" w:top="13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2005,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20th day of January, 2006.</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6155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 Thomas Bouchard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 J. Bolland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Stephanie A.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155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Stephanie A. Burns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Willie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Willie D. Davis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155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Jack M. Greenberg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Terry A. Hueneke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10795</wp:posOffset>
            </wp:positionV>
            <wp:extent cx="2744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Rozanne L. Ridgway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25400</wp:posOffset>
            </wp:positionV>
            <wp:extent cx="2744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Rozanne L. Ridgway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Dennis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25400</wp:posOffset>
            </wp:positionV>
            <wp:extent cx="2744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Dennis Stevenson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10795</wp:posOffset>
            </wp:positionV>
            <wp:extent cx="2744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10795</wp:posOffset>
            </wp:positionV>
            <wp:extent cx="2744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J. Zore</w:t>
      </w:r>
    </w:p>
    <w:p>
      <w:pPr>
        <w:sectPr>
          <w:pgSz w:w="11900" w:h="16838" w:orient="portrait"/>
          <w:cols w:equalWidth="0" w:num="2">
            <w:col w:w="6480" w:space="720"/>
            <w:col w:w="4220"/>
          </w:cols>
          <w:pgMar w:left="240" w:top="131" w:right="23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right"/>
        <w:ind w:right="500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13"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3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9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12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2005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3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12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2005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1)"/>
      <w:numFmt w:val="lowerLetter"/>
      <w:start w:val="1"/>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lowerLetter"/>
      <w:start w:val="3"/>
    </w:lvl>
  </w:abstractNum>
  <w:abstractNum w:abstractNumId="22">
    <w:nsid w:val="235BA861"/>
    <w:multiLevelType w:val="hybridMultilevel"/>
    <w:lvl w:ilvl="0">
      <w:lvlJc w:val="left"/>
      <w:lvlText w:val="%1"/>
      <w:numFmt w:val="decimal"/>
      <w:start w:val="13"/>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1"/>
    </w:lvl>
    <w:lvl w:ilvl="1">
      <w:lvlJc w:val="left"/>
      <w:lvlText w:val="(%2)"/>
      <w:numFmt w:val="lowerLetter"/>
      <w:start w:val="9"/>
    </w:lvl>
  </w:abstractNum>
  <w:abstractNum w:abstractNumId="27">
    <w:nsid w:val="D34B6A8"/>
    <w:multiLevelType w:val="hybridMultilevel"/>
    <w:lvl w:ilvl="0">
      <w:lvlJc w:val="left"/>
      <w:lvlText w:val="(%1)"/>
      <w:numFmt w:val="lowerRoman"/>
      <w:start w:val="2"/>
    </w:lvl>
  </w:abstractNum>
  <w:abstractNum w:abstractNumId="28">
    <w:nsid w:val="10233C99"/>
    <w:multiLevelType w:val="hybridMultilevel"/>
    <w:lvl w:ilvl="0">
      <w:lvlJc w:val="left"/>
      <w:lvlText w:val="(%1)"/>
      <w:numFmt w:val="lowerRoman"/>
      <w:start w:val="5"/>
    </w:lvl>
  </w:abstractNum>
  <w:abstractNum w:abstractNumId="29">
    <w:nsid w:val="3F6AB60F"/>
    <w:multiLevelType w:val="hybridMultilevel"/>
    <w:lvl w:ilvl="0">
      <w:lvlJc w:val="left"/>
      <w:lvlText w:val="(%1)"/>
      <w:numFmt w:val="lowerLetter"/>
      <w:start w:val="8"/>
    </w:lvl>
    <w:lvl w:ilvl="1">
      <w:lvlJc w:val="left"/>
      <w:lvlText w:val="(%2)"/>
      <w:numFmt w:val="lowerRoman"/>
      <w:start w:val="1"/>
    </w:lvl>
  </w:abstractNum>
  <w:abstractNum w:abstractNumId="30">
    <w:nsid w:val="61574095"/>
    <w:multiLevelType w:val="hybridMultilevel"/>
    <w:lvl w:ilvl="0">
      <w:lvlJc w:val="left"/>
      <w:lvlText w:val="(%1)"/>
      <w:numFmt w:val="lowerLetter"/>
      <w:start w:val="16"/>
    </w:lvl>
    <w:lvl w:ilvl="1">
      <w:lvlJc w:val="left"/>
      <w:lvlText w:val="(%2)"/>
      <w:numFmt w:val="lowerRoman"/>
      <w:start w:val="1"/>
    </w:lvl>
  </w:abstractNum>
  <w:abstractNum w:abstractNumId="31">
    <w:nsid w:val="7E0C57B1"/>
    <w:multiLevelType w:val="hybridMultilevel"/>
    <w:lvl w:ilvl="0">
      <w:lvlJc w:val="left"/>
      <w:lvlText w:val="(%1)"/>
      <w:numFmt w:val="lowerLetter"/>
      <w:start w:val="1"/>
    </w:lvl>
  </w:abstractNum>
  <w:abstractNum w:abstractNumId="32">
    <w:nsid w:val="77AE35EB"/>
    <w:multiLevelType w:val="hybridMultilevel"/>
    <w:lvl w:ilvl="0">
      <w:lvlJc w:val="left"/>
      <w:lvlText w:val="(%1)"/>
      <w:numFmt w:val="lowerLetter"/>
      <w:start w:val="1"/>
    </w:lvl>
    <w:lvl w:ilvl="1">
      <w:lvlJc w:val="left"/>
      <w:lvlText w:val="(%2)"/>
      <w:numFmt w:val="lowerLetter"/>
      <w:start w:val="9"/>
    </w:lvl>
  </w:abstractNum>
  <w:abstractNum w:abstractNumId="33">
    <w:nsid w:val="579BE4F1"/>
    <w:multiLevelType w:val="hybridMultilevel"/>
    <w:lvl w:ilvl="0">
      <w:lvlJc w:val="left"/>
      <w:lvlText w:val="(%1)"/>
      <w:numFmt w:val="lowerRoman"/>
      <w:start w:val="2"/>
    </w:lvl>
  </w:abstractNum>
  <w:abstractNum w:abstractNumId="34">
    <w:nsid w:val="310C50B3"/>
    <w:multiLevelType w:val="hybridMultilevel"/>
    <w:lvl w:ilvl="0">
      <w:lvlJc w:val="left"/>
      <w:lvlText w:val="(%1)"/>
      <w:numFmt w:val="lowerLetter"/>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1"/>
    </w:lvl>
    <w:lvl w:ilvl="1">
      <w:lvlJc w:val="left"/>
      <w:lvlText w:val="(%2)"/>
      <w:numFmt w:val="lowerRoman"/>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1"/>
    </w:lvl>
    <w:lvl w:ilvl="1">
      <w:lvlJc w:val="left"/>
      <w:lvlText w:val="(%2)"/>
      <w:numFmt w:val="lowerRoman"/>
      <w:start w:val="1"/>
    </w:lvl>
  </w:abstractNum>
  <w:abstractNum w:abstractNumId="39">
    <w:nsid w:val="4AD084E9"/>
    <w:multiLevelType w:val="hybridMultilevel"/>
    <w:lvl w:ilvl="0">
      <w:lvlJc w:val="left"/>
      <w:lvlText w:val="(%1)"/>
      <w:numFmt w:val="lowerLetter"/>
      <w:start w:val="2"/>
    </w:lvl>
  </w:abstractNum>
  <w:abstractNum w:abstractNumId="40">
    <w:nsid w:val="1F48EAA1"/>
    <w:multiLevelType w:val="hybridMultilevel"/>
    <w:lvl w:ilvl="0">
      <w:lvlJc w:val="left"/>
      <w:lvlText w:val="(%1)"/>
      <w:numFmt w:val="lowerLetter"/>
      <w:start w:val="1"/>
    </w:lvl>
  </w:abstractNum>
  <w:abstractNum w:abstractNumId="41">
    <w:nsid w:val="1381823A"/>
    <w:multiLevelType w:val="hybridMultilevel"/>
    <w:lvl w:ilvl="0">
      <w:lvlJc w:val="left"/>
      <w:lvlText w:val="(%1)"/>
      <w:numFmt w:val="lowerLetter"/>
      <w:start w:val="1"/>
    </w:lvl>
    <w:lvl w:ilvl="1">
      <w:lvlJc w:val="left"/>
      <w:lvlText w:val="(%2)"/>
      <w:numFmt w:val="lowerRoman"/>
      <w:start w:val="1"/>
    </w:lvl>
  </w:abstractNum>
  <w:abstractNum w:abstractNumId="42">
    <w:nsid w:val="5DB70AE5"/>
    <w:multiLevelType w:val="hybridMultilevel"/>
    <w:lvl w:ilvl="0">
      <w:lvlJc w:val="left"/>
      <w:lvlText w:val="(%1)"/>
      <w:numFmt w:val="lowerLetter"/>
      <w:start w:val="2"/>
    </w:lvl>
    <w:lvl w:ilvl="1">
      <w:lvlJc w:val="left"/>
      <w:lvlText w:val="(%2)"/>
      <w:numFmt w:val="lowerRoman"/>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Letter"/>
      <w:start w:val="2"/>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3"/>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lowerLetter"/>
      <w:start w:val="2"/>
    </w:lvl>
  </w:abstractNum>
  <w:abstractNum w:abstractNumId="50">
    <w:nsid w:val="42C296BD"/>
    <w:multiLevelType w:val="hybridMultilevel"/>
    <w:lvl w:ilvl="0">
      <w:lvlJc w:val="left"/>
      <w:lvlText w:val="(%1)"/>
      <w:numFmt w:val="lowerLetter"/>
      <w:start w:val="7"/>
    </w:lvl>
  </w:abstractNum>
  <w:abstractNum w:abstractNumId="51">
    <w:nsid w:val="168E121F"/>
    <w:multiLevelType w:val="hybridMultilevel"/>
    <w:lvl w:ilvl="0">
      <w:lvlJc w:val="left"/>
      <w:lvlText w:val="(%1)"/>
      <w:numFmt w:val="decimal"/>
      <w:start w:val="90"/>
    </w:lvl>
    <w:lvl w:ilvl="1">
      <w:lvlJc w:val="left"/>
      <w:lvlText w:val="(%2)"/>
      <w:numFmt w:val="lowerLetter"/>
      <w:start w:val="1"/>
    </w:lvl>
  </w:abstractNum>
  <w:abstractNum w:abstractNumId="52">
    <w:nsid w:val="1EBA5D23"/>
    <w:multiLevelType w:val="hybridMultilevel"/>
    <w:lvl w:ilvl="0">
      <w:lvlJc w:val="left"/>
      <w:lvlText w:val="(%1)"/>
      <w:numFmt w:val="lowerRoman"/>
      <w:start w:val="3"/>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5"/>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6"/>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2"/>
    </w:lvl>
    <w:lvl w:ilvl="1">
      <w:lvlJc w:val="left"/>
      <w:lvlText w:val="(%2)"/>
      <w:numFmt w:val="lowerLetter"/>
      <w:start w:val="35"/>
    </w:lvl>
  </w:abstractNum>
  <w:abstractNum w:abstractNumId="62">
    <w:nsid w:val="A0382C5"/>
    <w:multiLevelType w:val="hybridMultilevel"/>
    <w:lvl w:ilvl="0">
      <w:lvlJc w:val="left"/>
      <w:lvlText w:val="(%1)"/>
      <w:numFmt w:val="lowerLetter"/>
      <w:start w:val="1"/>
    </w:lvl>
    <w:lvl w:ilvl="1">
      <w:lvlJc w:val="left"/>
      <w:lvlText w:val="(%2)"/>
      <w:numFmt w:val="lowerRoman"/>
      <w:start w:val="1"/>
    </w:lvl>
  </w:abstractNum>
  <w:abstractNum w:abstractNumId="63">
    <w:nsid w:val="8F2B15E"/>
    <w:multiLevelType w:val="hybridMultilevel"/>
    <w:lvl w:ilvl="0">
      <w:lvlJc w:val="left"/>
      <w:lvlText w:val="%1"/>
      <w:numFmt w:val="lowerLetter"/>
      <w:start w:val="1"/>
    </w:lvl>
    <w:lvl w:ilvl="1">
      <w:lvlJc w:val="left"/>
      <w:lvlText w:val="(%2)"/>
      <w:numFmt w:val="lowerLetter"/>
      <w:start w:val="1"/>
    </w:lvl>
  </w:abstractNum>
  <w:abstractNum w:abstractNumId="64">
    <w:nsid w:val="1A32234B"/>
    <w:multiLevelType w:val="hybridMultilevel"/>
    <w:lvl w:ilvl="0">
      <w:lvlJc w:val="left"/>
      <w:lvlText w:val="(%1)"/>
      <w:numFmt w:val="lowerLetter"/>
      <w:start w:val="35"/>
    </w:lvl>
    <w:lvl w:ilvl="1">
      <w:lvlJc w:val="left"/>
      <w:lvlText w:val="(%2)"/>
      <w:numFmt w:val="lowerLetter"/>
      <w:start w:val="3"/>
    </w:lvl>
  </w:abstractNum>
  <w:abstractNum w:abstractNumId="65">
    <w:nsid w:val="3B0FD379"/>
    <w:multiLevelType w:val="hybridMultilevel"/>
    <w:lvl w:ilvl="0">
      <w:lvlJc w:val="left"/>
      <w:lvlText w:val="(%1)"/>
      <w:numFmt w:val="lowerLetter"/>
      <w:start w:val="4"/>
    </w:lvl>
  </w:abstractNum>
  <w:abstractNum w:abstractNumId="66">
    <w:nsid w:val="68EB2F63"/>
    <w:multiLevelType w:val="hybridMultilevel"/>
    <w:lvl w:ilvl="0">
      <w:lvlJc w:val="left"/>
      <w:lvlText w:val="(%1)"/>
      <w:numFmt w:val="lowerLetter"/>
      <w:start w:val="2"/>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9"/>
    </w:lvl>
  </w:abstractNum>
  <w:abstractNum w:abstractNumId="69">
    <w:nsid w:val="6A5EE64"/>
    <w:multiLevelType w:val="hybridMultilevel"/>
    <w:lvl w:ilvl="0">
      <w:lvlJc w:val="left"/>
      <w:lvlText w:val="%1"/>
      <w:numFmt w:val="decimal"/>
      <w:start w:val="29"/>
    </w:lvl>
  </w:abstractNum>
  <w:abstractNum w:abstractNumId="70">
    <w:nsid w:val="14330624"/>
    <w:multiLevelType w:val="hybridMultilevel"/>
    <w:lvl w:ilvl="0">
      <w:lvlJc w:val="left"/>
      <w:lvlText w:val="%1"/>
      <w:numFmt w:val="decimal"/>
      <w:start w:val="32"/>
    </w:lvl>
  </w:abstractNum>
  <w:abstractNum w:abstractNumId="71">
    <w:nsid w:val="7FFFCA11"/>
    <w:multiLevelType w:val="hybridMultilevel"/>
    <w:lvl w:ilvl="0">
      <w:lvlJc w:val="left"/>
      <w:lvlText w:val="%1"/>
      <w:numFmt w:val="decimal"/>
      <w:start w:val="41"/>
    </w:lvl>
  </w:abstractNum>
  <w:abstractNum w:abstractNumId="72">
    <w:nsid w:val="1A27709E"/>
    <w:multiLevelType w:val="hybridMultilevel"/>
    <w:lvl w:ilvl="0">
      <w:lvlJc w:val="left"/>
      <w:lvlText w:val="%1"/>
      <w:numFmt w:val="decimal"/>
      <w:start w:val="53"/>
    </w:lvl>
  </w:abstractNum>
  <w:abstractNum w:abstractNumId="73">
    <w:nsid w:val="71EA1109"/>
    <w:multiLevelType w:val="hybridMultilevel"/>
    <w:lvl w:ilvl="0">
      <w:lvlJc w:val="left"/>
      <w:lvlText w:val="%1"/>
      <w:numFmt w:val="decimal"/>
      <w:start w:val="53"/>
    </w:lvl>
  </w:abstractNum>
  <w:abstractNum w:abstractNumId="74">
    <w:nsid w:val="100F59DC"/>
    <w:multiLevelType w:val="hybridMultilevel"/>
    <w:lvl w:ilvl="0">
      <w:lvlJc w:val="left"/>
      <w:lvlText w:val="%1"/>
      <w:numFmt w:val="decimal"/>
      <w:start w:val="56"/>
    </w:lvl>
  </w:abstractNum>
  <w:abstractNum w:abstractNumId="75">
    <w:nsid w:val="7FB7E0AA"/>
    <w:multiLevelType w:val="hybridMultilevel"/>
    <w:lvl w:ilvl="0">
      <w:lvlJc w:val="left"/>
      <w:lvlText w:val="%1"/>
      <w:numFmt w:val="decimal"/>
      <w:start w:val="88"/>
    </w:lvl>
  </w:abstractNum>
  <w:abstractNum w:abstractNumId="76">
    <w:nsid w:val="6EB5BD4"/>
    <w:multiLevelType w:val="hybridMultilevel"/>
    <w:lvl w:ilvl="0">
      <w:lvlJc w:val="left"/>
      <w:lvlText w:val="%1"/>
      <w:numFmt w:val="decimal"/>
      <w:start w:val="90"/>
    </w:lvl>
  </w:abstractNum>
  <w:abstractNum w:abstractNumId="77">
    <w:nsid w:val="6F6DD9AC"/>
    <w:multiLevelType w:val="hybridMultilevel"/>
    <w:lvl w:ilvl="0">
      <w:lvlJc w:val="left"/>
      <w:lvlText w:val="%1"/>
      <w:numFmt w:val="decimal"/>
      <w:start w:val="92"/>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Letter"/>
      <w:start w:val="2"/>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bullet"/>
      <w:start w:val="1"/>
    </w:lvl>
  </w:abstractNum>
  <w:abstractNum w:abstractNumId="87">
    <w:nsid w:val="2DF6D648"/>
    <w:multiLevelType w:val="hybridMultilevel"/>
    <w:lvl w:ilvl="0">
      <w:lvlJc w:val="left"/>
      <w:lvlText w:val="2"/>
      <w:numFmt w:val="bullet"/>
      <w:start w:val="1"/>
    </w:lvl>
  </w:abstractNum>
  <w:abstractNum w:abstractNumId="88">
    <w:nsid w:val="46B7D447"/>
    <w:multiLevelType w:val="hybridMultilevel"/>
    <w:lvl w:ilvl="0">
      <w:lvlJc w:val="left"/>
      <w:lvlText w:val="3"/>
      <w:numFmt w:val="bullet"/>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2019-12-20T17:39:47Z</dcterms:created>
  <dcterms:modified xsi:type="dcterms:W3CDTF">2019-12-20T17:39:47Z</dcterms:modified>
</cp:coreProperties>
</file>