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4"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SECURITIES AND EXCHANGE COMMISSION</w:t>
      </w:r>
    </w:p>
    <w:p>
      <w:pPr>
        <w:ind w:left="474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169545</wp:posOffset>
            </wp:positionV>
            <wp:extent cx="1246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363"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191770</wp:posOffset>
            </wp:positionV>
            <wp:extent cx="1246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48" w:lineRule="exact"/>
        <w:rPr>
          <w:sz w:val="24"/>
          <w:szCs w:val="24"/>
          <w:color w:val="auto"/>
        </w:rPr>
      </w:pPr>
    </w:p>
    <w:p>
      <w:pPr>
        <w:ind w:left="3666"/>
        <w:spacing w:after="0"/>
        <w:rPr>
          <w:sz w:val="20"/>
          <w:szCs w:val="20"/>
          <w:color w:val="auto"/>
        </w:rPr>
      </w:pPr>
      <w:r>
        <w:rPr>
          <w:rFonts w:ascii="Arial" w:cs="Arial" w:eastAsia="Arial" w:hAnsi="Arial"/>
          <w:sz w:val="15"/>
          <w:szCs w:val="15"/>
          <w:b w:val="1"/>
          <w:bCs w:val="1"/>
          <w:color w:val="auto"/>
        </w:rPr>
        <w:t>Date of Report (Date of earliest event reported): April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188595</wp:posOffset>
            </wp:positionV>
            <wp:extent cx="1246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392"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165735</wp:posOffset>
            </wp:positionV>
            <wp:extent cx="1246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1266" w:type="dxa"/>
        <w:tblCellMar>
          <w:top w:w="0" w:type="dxa"/>
          <w:left w:w="0" w:type="dxa"/>
          <w:bottom w:w="0" w:type="dxa"/>
          <w:right w:w="0" w:type="dxa"/>
        </w:tblCellMar>
      </w:tblPr>
      <w:tr>
        <w:trPr>
          <w:trHeight w:val="188"/>
        </w:trPr>
        <w:tc>
          <w:tcPr>
            <w:tcW w:w="3240" w:type="dxa"/>
            <w:vAlign w:val="bottom"/>
          </w:tcPr>
          <w:p>
            <w:pPr>
              <w:jc w:val="center"/>
              <w:ind w:right="1812"/>
              <w:spacing w:after="0"/>
              <w:rPr>
                <w:sz w:val="20"/>
                <w:szCs w:val="20"/>
                <w:color w:val="auto"/>
              </w:rPr>
            </w:pPr>
            <w:r>
              <w:rPr>
                <w:rFonts w:ascii="Arial" w:cs="Arial" w:eastAsia="Arial" w:hAnsi="Arial"/>
                <w:sz w:val="15"/>
                <w:szCs w:val="15"/>
                <w:b w:val="1"/>
                <w:bCs w:val="1"/>
                <w:color w:val="auto"/>
                <w:w w:val="90"/>
              </w:rPr>
              <w:t>Wisconsin</w:t>
            </w:r>
          </w:p>
        </w:tc>
        <w:tc>
          <w:tcPr>
            <w:tcW w:w="2960" w:type="dxa"/>
            <w:vAlign w:val="bottom"/>
          </w:tcPr>
          <w:p>
            <w:pPr>
              <w:jc w:val="right"/>
              <w:ind w:right="1292"/>
              <w:spacing w:after="0"/>
              <w:rPr>
                <w:sz w:val="20"/>
                <w:szCs w:val="20"/>
                <w:color w:val="auto"/>
              </w:rPr>
            </w:pPr>
            <w:r>
              <w:rPr>
                <w:rFonts w:ascii="Arial" w:cs="Arial" w:eastAsia="Arial" w:hAnsi="Arial"/>
                <w:sz w:val="15"/>
                <w:szCs w:val="15"/>
                <w:b w:val="1"/>
                <w:bCs w:val="1"/>
                <w:color w:val="auto"/>
              </w:rPr>
              <w:t>1-10686</w:t>
            </w:r>
          </w:p>
        </w:tc>
        <w:tc>
          <w:tcPr>
            <w:tcW w:w="2600" w:type="dxa"/>
            <w:vAlign w:val="bottom"/>
          </w:tcPr>
          <w:p>
            <w:pPr>
              <w:jc w:val="center"/>
              <w:ind w:left="1634"/>
              <w:spacing w:after="0"/>
              <w:rPr>
                <w:sz w:val="20"/>
                <w:szCs w:val="20"/>
                <w:color w:val="auto"/>
              </w:rPr>
            </w:pPr>
            <w:r>
              <w:rPr>
                <w:rFonts w:ascii="Arial" w:cs="Arial" w:eastAsia="Arial" w:hAnsi="Arial"/>
                <w:sz w:val="15"/>
                <w:szCs w:val="15"/>
                <w:b w:val="1"/>
                <w:bCs w:val="1"/>
                <w:color w:val="auto"/>
                <w:w w:val="92"/>
              </w:rPr>
              <w:t>39-1672779</w:t>
            </w:r>
          </w:p>
        </w:tc>
      </w:tr>
      <w:tr>
        <w:trPr>
          <w:trHeight w:val="129"/>
        </w:trPr>
        <w:tc>
          <w:tcPr>
            <w:tcW w:w="3240" w:type="dxa"/>
            <w:vAlign w:val="bottom"/>
          </w:tcPr>
          <w:p>
            <w:pPr>
              <w:jc w:val="center"/>
              <w:ind w:right="1812"/>
              <w:spacing w:after="0" w:line="129" w:lineRule="exact"/>
              <w:rPr>
                <w:sz w:val="20"/>
                <w:szCs w:val="20"/>
                <w:color w:val="auto"/>
              </w:rPr>
            </w:pPr>
            <w:r>
              <w:rPr>
                <w:rFonts w:ascii="Arial" w:cs="Arial" w:eastAsia="Arial" w:hAnsi="Arial"/>
                <w:sz w:val="12"/>
                <w:szCs w:val="12"/>
                <w:b w:val="1"/>
                <w:bCs w:val="1"/>
                <w:color w:val="auto"/>
                <w:w w:val="90"/>
              </w:rPr>
              <w:t>(State or other jurisdiction</w:t>
            </w:r>
          </w:p>
        </w:tc>
        <w:tc>
          <w:tcPr>
            <w:tcW w:w="2960" w:type="dxa"/>
            <w:vAlign w:val="bottom"/>
          </w:tcPr>
          <w:p>
            <w:pPr>
              <w:jc w:val="center"/>
              <w:ind w:right="212"/>
              <w:spacing w:after="0" w:line="129" w:lineRule="exact"/>
              <w:rPr>
                <w:sz w:val="20"/>
                <w:szCs w:val="20"/>
                <w:color w:val="auto"/>
              </w:rPr>
            </w:pPr>
            <w:r>
              <w:rPr>
                <w:rFonts w:ascii="Arial" w:cs="Arial" w:eastAsia="Arial" w:hAnsi="Arial"/>
                <w:sz w:val="12"/>
                <w:szCs w:val="12"/>
                <w:b w:val="1"/>
                <w:bCs w:val="1"/>
                <w:color w:val="auto"/>
                <w:w w:val="89"/>
              </w:rPr>
              <w:t>(Commission File Number)</w:t>
            </w:r>
          </w:p>
        </w:tc>
        <w:tc>
          <w:tcPr>
            <w:tcW w:w="2600" w:type="dxa"/>
            <w:vAlign w:val="bottom"/>
          </w:tcPr>
          <w:p>
            <w:pPr>
              <w:jc w:val="center"/>
              <w:ind w:left="1614"/>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3240" w:type="dxa"/>
            <w:vAlign w:val="bottom"/>
          </w:tcPr>
          <w:p>
            <w:pPr>
              <w:jc w:val="center"/>
              <w:ind w:right="1812"/>
              <w:spacing w:after="0"/>
              <w:rPr>
                <w:sz w:val="20"/>
                <w:szCs w:val="20"/>
                <w:color w:val="auto"/>
              </w:rPr>
            </w:pPr>
            <w:r>
              <w:rPr>
                <w:rFonts w:ascii="Arial" w:cs="Arial" w:eastAsia="Arial" w:hAnsi="Arial"/>
                <w:sz w:val="12"/>
                <w:szCs w:val="12"/>
                <w:b w:val="1"/>
                <w:bCs w:val="1"/>
                <w:color w:val="auto"/>
                <w:w w:val="87"/>
              </w:rPr>
              <w:t>of incorporation)</w:t>
            </w:r>
          </w:p>
        </w:tc>
        <w:tc>
          <w:tcPr>
            <w:tcW w:w="2960" w:type="dxa"/>
            <w:vAlign w:val="bottom"/>
          </w:tcPr>
          <w:p>
            <w:pPr>
              <w:spacing w:after="0"/>
              <w:rPr>
                <w:sz w:val="13"/>
                <w:szCs w:val="13"/>
                <w:color w:val="auto"/>
              </w:rPr>
            </w:pPr>
          </w:p>
        </w:tc>
        <w:tc>
          <w:tcPr>
            <w:tcW w:w="2600" w:type="dxa"/>
            <w:vAlign w:val="bottom"/>
          </w:tcPr>
          <w:p>
            <w:pPr>
              <w:jc w:val="center"/>
              <w:ind w:left="1614"/>
              <w:spacing w:after="0"/>
              <w:rPr>
                <w:sz w:val="20"/>
                <w:szCs w:val="20"/>
                <w:color w:val="auto"/>
              </w:rPr>
            </w:pPr>
            <w:r>
              <w:rPr>
                <w:rFonts w:ascii="Arial" w:cs="Arial" w:eastAsia="Arial" w:hAnsi="Arial"/>
                <w:sz w:val="12"/>
                <w:szCs w:val="12"/>
                <w:b w:val="1"/>
                <w:bCs w:val="1"/>
                <w:color w:val="auto"/>
                <w:w w:val="90"/>
              </w:rPr>
              <w:t>Identification No.)</w:t>
            </w:r>
          </w:p>
        </w:tc>
      </w:tr>
      <w:tr>
        <w:trPr>
          <w:trHeight w:val="355"/>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4"/>
              </w:rPr>
              <w:t>5301 North Ironwood Road</w:t>
            </w:r>
          </w:p>
        </w:tc>
        <w:tc>
          <w:tcPr>
            <w:tcW w:w="29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0"/>
        </w:trPr>
        <w:tc>
          <w:tcPr>
            <w:tcW w:w="3240" w:type="dxa"/>
            <w:vAlign w:val="bottom"/>
          </w:tcPr>
          <w:p>
            <w:pPr>
              <w:jc w:val="center"/>
              <w:spacing w:after="0"/>
              <w:rPr>
                <w:sz w:val="20"/>
                <w:szCs w:val="20"/>
                <w:color w:val="auto"/>
              </w:rPr>
            </w:pPr>
            <w:r>
              <w:rPr>
                <w:rFonts w:ascii="Arial" w:cs="Arial" w:eastAsia="Arial" w:hAnsi="Arial"/>
                <w:sz w:val="15"/>
                <w:szCs w:val="15"/>
                <w:b w:val="1"/>
                <w:bCs w:val="1"/>
                <w:color w:val="auto"/>
                <w:w w:val="93"/>
              </w:rPr>
              <w:t>Milwaukee, Wisconsin</w:t>
            </w:r>
          </w:p>
        </w:tc>
        <w:tc>
          <w:tcPr>
            <w:tcW w:w="2960" w:type="dxa"/>
            <w:vAlign w:val="bottom"/>
          </w:tcPr>
          <w:p>
            <w:pPr>
              <w:spacing w:after="0"/>
              <w:rPr>
                <w:sz w:val="17"/>
                <w:szCs w:val="17"/>
                <w:color w:val="auto"/>
              </w:rPr>
            </w:pPr>
          </w:p>
        </w:tc>
        <w:tc>
          <w:tcPr>
            <w:tcW w:w="2600" w:type="dxa"/>
            <w:vAlign w:val="bottom"/>
          </w:tcPr>
          <w:p>
            <w:pPr>
              <w:jc w:val="right"/>
              <w:ind w:right="1114"/>
              <w:spacing w:after="0"/>
              <w:rPr>
                <w:sz w:val="20"/>
                <w:szCs w:val="20"/>
                <w:color w:val="auto"/>
              </w:rPr>
            </w:pPr>
            <w:r>
              <w:rPr>
                <w:rFonts w:ascii="Arial" w:cs="Arial" w:eastAsia="Arial" w:hAnsi="Arial"/>
                <w:sz w:val="15"/>
                <w:szCs w:val="15"/>
                <w:b w:val="1"/>
                <w:bCs w:val="1"/>
                <w:color w:val="auto"/>
              </w:rPr>
              <w:t>53217</w:t>
            </w:r>
          </w:p>
        </w:tc>
      </w:tr>
      <w:tr>
        <w:trPr>
          <w:trHeight w:val="151"/>
        </w:trPr>
        <w:tc>
          <w:tcPr>
            <w:tcW w:w="3240" w:type="dxa"/>
            <w:vAlign w:val="bottom"/>
          </w:tcPr>
          <w:p>
            <w:pPr>
              <w:jc w:val="center"/>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960" w:type="dxa"/>
            <w:vAlign w:val="bottom"/>
          </w:tcPr>
          <w:p>
            <w:pPr>
              <w:spacing w:after="0"/>
              <w:rPr>
                <w:sz w:val="13"/>
                <w:szCs w:val="13"/>
                <w:color w:val="auto"/>
              </w:rPr>
            </w:pPr>
          </w:p>
        </w:tc>
        <w:tc>
          <w:tcPr>
            <w:tcW w:w="2600" w:type="dxa"/>
            <w:vAlign w:val="bottom"/>
          </w:tcPr>
          <w:p>
            <w:pPr>
              <w:jc w:val="center"/>
              <w:ind w:right="74"/>
              <w:spacing w:after="0"/>
              <w:rPr>
                <w:sz w:val="20"/>
                <w:szCs w:val="20"/>
                <w:color w:val="auto"/>
              </w:rPr>
            </w:pPr>
            <w:r>
              <w:rPr>
                <w:rFonts w:ascii="Arial" w:cs="Arial" w:eastAsia="Arial" w:hAnsi="Arial"/>
                <w:sz w:val="12"/>
                <w:szCs w:val="12"/>
                <w:b w:val="1"/>
                <w:bCs w:val="1"/>
                <w:color w:val="auto"/>
                <w:w w:val="90"/>
              </w:rPr>
              <w:t>(Zip Code)</w:t>
            </w:r>
          </w:p>
        </w:tc>
      </w:tr>
    </w:tbl>
    <w:p>
      <w:pPr>
        <w:spacing w:after="0" w:line="120" w:lineRule="exact"/>
        <w:rPr>
          <w:sz w:val="24"/>
          <w:szCs w:val="24"/>
          <w:color w:val="auto"/>
        </w:rPr>
      </w:pPr>
    </w:p>
    <w:p>
      <w:pPr>
        <w:ind w:left="3526"/>
        <w:spacing w:after="0"/>
        <w:rPr>
          <w:sz w:val="20"/>
          <w:szCs w:val="20"/>
          <w:color w:val="auto"/>
        </w:rPr>
      </w:pPr>
      <w:r>
        <w:rPr>
          <w:rFonts w:ascii="Arial" w:cs="Arial" w:eastAsia="Arial" w:hAnsi="Arial"/>
          <w:sz w:val="15"/>
          <w:szCs w:val="15"/>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3008630</wp:posOffset>
            </wp:positionH>
            <wp:positionV relativeFrom="paragraph">
              <wp:posOffset>188595</wp:posOffset>
            </wp:positionV>
            <wp:extent cx="1246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6505" cy="762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948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326" w:right="135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 Results of Operations and Financial Condition</w:t>
      </w:r>
    </w:p>
    <w:p>
      <w:pPr>
        <w:spacing w:after="0" w:line="86"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On April 20, 2007, we issued a press release announcing our results of operations for the quarter ended March 31, 2007. A copy of the press release is attached hereto as Exhibit 99.1 and is incorporated herein by reference.</w:t>
      </w:r>
    </w:p>
    <w:p>
      <w:pPr>
        <w:spacing w:after="0" w:line="99" w:lineRule="exact"/>
        <w:rPr>
          <w:sz w:val="20"/>
          <w:szCs w:val="20"/>
          <w:color w:val="auto"/>
        </w:rPr>
      </w:pPr>
    </w:p>
    <w:p>
      <w:pPr>
        <w:ind w:right="20" w:firstLine="457"/>
        <w:spacing w:after="0" w:line="276" w:lineRule="auto"/>
        <w:rPr>
          <w:sz w:val="20"/>
          <w:szCs w:val="20"/>
          <w:color w:val="auto"/>
        </w:rPr>
      </w:pPr>
      <w:r>
        <w:rPr>
          <w:rFonts w:ascii="Arial" w:cs="Arial" w:eastAsia="Arial" w:hAnsi="Arial"/>
          <w:sz w:val="15"/>
          <w:szCs w:val="15"/>
          <w:color w:val="auto"/>
        </w:rPr>
        <w:t>Reflected in our earnings for the quarter ended March 31, 2007 is one item that requires us to revise previously reported financial results. Italy and Other EMEA are now identified as separate reportable segments, which were previously combined and reported as the EMEA segment. Attached hereto as Exhibit 99.3 is our Operating Unit Results since January 1, 2005, restated to conform to the current year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Item 9.01.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w w:val="86"/>
              </w:rPr>
              <w:t>Exhibit No.</w:t>
            </w:r>
          </w:p>
        </w:tc>
        <w:tc>
          <w:tcPr>
            <w:tcW w:w="220" w:type="dxa"/>
            <w:vAlign w:val="bottom"/>
          </w:tcPr>
          <w:p>
            <w:pPr>
              <w:spacing w:after="0"/>
              <w:rPr>
                <w:sz w:val="13"/>
                <w:szCs w:val="13"/>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99.1</w:t>
            </w:r>
          </w:p>
        </w:tc>
        <w:tc>
          <w:tcPr>
            <w:tcW w:w="2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5"/>
                <w:szCs w:val="15"/>
                <w:color w:val="auto"/>
              </w:rPr>
              <w:t>Press Release dated April 20, 2007</w:t>
            </w:r>
          </w:p>
        </w:tc>
      </w:tr>
      <w:tr>
        <w:trPr>
          <w:trHeight w:val="275"/>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99.2</w:t>
            </w:r>
          </w:p>
        </w:tc>
        <w:tc>
          <w:tcPr>
            <w:tcW w:w="220" w:type="dxa"/>
            <w:vAlign w:val="bottom"/>
          </w:tcPr>
          <w:p>
            <w:pPr>
              <w:spacing w:after="0"/>
              <w:rPr>
                <w:sz w:val="23"/>
                <w:szCs w:val="23"/>
                <w:color w:val="auto"/>
              </w:rPr>
            </w:pPr>
          </w:p>
        </w:tc>
        <w:tc>
          <w:tcPr>
            <w:tcW w:w="10420" w:type="dxa"/>
            <w:vAlign w:val="bottom"/>
          </w:tcPr>
          <w:p>
            <w:pPr>
              <w:spacing w:after="0"/>
              <w:rPr>
                <w:sz w:val="20"/>
                <w:szCs w:val="20"/>
                <w:color w:val="auto"/>
              </w:rPr>
            </w:pPr>
            <w:r>
              <w:rPr>
                <w:rFonts w:ascii="Arial" w:cs="Arial" w:eastAsia="Arial" w:hAnsi="Arial"/>
                <w:sz w:val="15"/>
                <w:szCs w:val="15"/>
                <w:color w:val="auto"/>
              </w:rPr>
              <w:t>Presentation materials for April 20, 2007 conference call</w:t>
            </w:r>
          </w:p>
        </w:tc>
      </w:tr>
      <w:tr>
        <w:trPr>
          <w:trHeight w:val="282"/>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99.3</w:t>
            </w:r>
          </w:p>
        </w:tc>
        <w:tc>
          <w:tcPr>
            <w:tcW w:w="2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5"/>
                <w:szCs w:val="15"/>
                <w:color w:val="auto"/>
              </w:rPr>
              <w:t>Operating Unit Results reflecting the restatement of segment results</w:t>
            </w:r>
          </w:p>
        </w:tc>
      </w:tr>
    </w:tbl>
    <w:p>
      <w:pPr>
        <w:sectPr>
          <w:pgSz w:w="11900" w:h="16838" w:orient="portrait"/>
          <w:cols w:equalWidth="0" w:num="1">
            <w:col w:w="11440"/>
          </w:cols>
          <w:pgMar w:left="240" w:top="262" w:right="2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MANPOWER INC.</w:t>
      </w:r>
    </w:p>
    <w:p>
      <w:pPr>
        <w:spacing w:after="0" w:line="204" w:lineRule="exact"/>
        <w:rPr>
          <w:sz w:val="20"/>
          <w:szCs w:val="20"/>
          <w:color w:val="auto"/>
        </w:rPr>
      </w:pPr>
    </w:p>
    <w:p>
      <w:pPr>
        <w:spacing w:after="0"/>
        <w:tabs>
          <w:tab w:leader="none" w:pos="5600" w:val="left"/>
        </w:tabs>
        <w:rPr>
          <w:sz w:val="20"/>
          <w:szCs w:val="20"/>
          <w:color w:val="auto"/>
        </w:rPr>
      </w:pPr>
      <w:r>
        <w:rPr>
          <w:rFonts w:ascii="Arial" w:cs="Arial" w:eastAsia="Arial" w:hAnsi="Arial"/>
          <w:sz w:val="15"/>
          <w:szCs w:val="15"/>
          <w:color w:val="auto"/>
        </w:rPr>
        <w:t>Dated: April 20, 2007</w:t>
      </w:r>
      <w:r>
        <w:rPr>
          <w:sz w:val="20"/>
          <w:szCs w:val="20"/>
          <w:color w:val="auto"/>
        </w:rPr>
        <w:tab/>
      </w:r>
      <w:r>
        <w:rPr>
          <w:rFonts w:ascii="Arial" w:cs="Arial" w:eastAsia="Arial" w:hAnsi="Arial"/>
          <w:sz w:val="14"/>
          <w:szCs w:val="14"/>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14605</wp:posOffset>
            </wp:positionV>
            <wp:extent cx="34867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6785" cy="7620"/>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Michael J. Van Handel</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Executive Vice President,</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Chief Financial Officer and Secretary</w:t>
      </w:r>
    </w:p>
    <w:p>
      <w:pPr>
        <w:sectPr>
          <w:pgSz w:w="11900" w:h="16838" w:orient="portrait"/>
          <w:cols w:equalWidth="0" w:num="1">
            <w:col w:w="10940"/>
          </w:cols>
          <w:pgMar w:left="240" w:top="258"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8"/>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300" w:type="dxa"/>
            <w:vAlign w:val="bottom"/>
          </w:tcPr>
          <w:p>
            <w:pPr>
              <w:ind w:left="3980"/>
              <w:spacing w:after="0"/>
              <w:rPr>
                <w:sz w:val="20"/>
                <w:szCs w:val="20"/>
                <w:color w:val="auto"/>
              </w:rPr>
            </w:pPr>
            <w:r>
              <w:rPr>
                <w:rFonts w:ascii="Arial" w:cs="Arial" w:eastAsia="Arial" w:hAnsi="Arial"/>
                <w:sz w:val="15"/>
                <w:szCs w:val="15"/>
                <w:b w:val="1"/>
                <w:bCs w:val="1"/>
                <w:color w:val="auto"/>
              </w:rPr>
              <w:t>EXHIBIT INDEX</w:t>
            </w:r>
          </w:p>
        </w:tc>
      </w:tr>
      <w:tr>
        <w:trPr>
          <w:trHeight w:val="307"/>
        </w:trPr>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w w:val="86"/>
              </w:rPr>
              <w:t>Exhibit No.</w:t>
            </w:r>
          </w:p>
        </w:tc>
        <w:tc>
          <w:tcPr>
            <w:tcW w:w="340" w:type="dxa"/>
            <w:vAlign w:val="bottom"/>
          </w:tcPr>
          <w:p>
            <w:pPr>
              <w:spacing w:after="0"/>
              <w:rPr>
                <w:sz w:val="24"/>
                <w:szCs w:val="24"/>
                <w:color w:val="auto"/>
              </w:rPr>
            </w:pPr>
          </w:p>
        </w:tc>
        <w:tc>
          <w:tcPr>
            <w:tcW w:w="10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91"/>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99.1</w:t>
            </w:r>
          </w:p>
        </w:tc>
        <w:tc>
          <w:tcPr>
            <w:tcW w:w="10640" w:type="dxa"/>
            <w:vAlign w:val="bottom"/>
            <w:gridSpan w:val="2"/>
          </w:tcPr>
          <w:p>
            <w:pPr>
              <w:ind w:left="340"/>
              <w:spacing w:after="0"/>
              <w:rPr>
                <w:sz w:val="20"/>
                <w:szCs w:val="20"/>
                <w:color w:val="auto"/>
              </w:rPr>
            </w:pPr>
            <w:r>
              <w:rPr>
                <w:rFonts w:ascii="Arial" w:cs="Arial" w:eastAsia="Arial" w:hAnsi="Arial"/>
                <w:sz w:val="15"/>
                <w:szCs w:val="15"/>
                <w:color w:val="auto"/>
              </w:rPr>
              <w:t>Press Release dated April 20, 2007</w:t>
            </w:r>
          </w:p>
        </w:tc>
      </w:tr>
      <w:tr>
        <w:trPr>
          <w:trHeight w:val="282"/>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99.2</w:t>
            </w:r>
          </w:p>
        </w:tc>
        <w:tc>
          <w:tcPr>
            <w:tcW w:w="10640" w:type="dxa"/>
            <w:vAlign w:val="bottom"/>
            <w:gridSpan w:val="2"/>
          </w:tcPr>
          <w:p>
            <w:pPr>
              <w:ind w:left="340"/>
              <w:spacing w:after="0"/>
              <w:rPr>
                <w:sz w:val="20"/>
                <w:szCs w:val="20"/>
                <w:color w:val="auto"/>
              </w:rPr>
            </w:pPr>
            <w:r>
              <w:rPr>
                <w:rFonts w:ascii="Arial" w:cs="Arial" w:eastAsia="Arial" w:hAnsi="Arial"/>
                <w:sz w:val="15"/>
                <w:szCs w:val="15"/>
                <w:color w:val="auto"/>
              </w:rPr>
              <w:t>Presentation materials for April 20, 2007 conference call</w:t>
            </w:r>
          </w:p>
        </w:tc>
      </w:tr>
      <w:tr>
        <w:trPr>
          <w:trHeight w:val="282"/>
        </w:trPr>
        <w:tc>
          <w:tcPr>
            <w:tcW w:w="800" w:type="dxa"/>
            <w:vAlign w:val="bottom"/>
          </w:tcPr>
          <w:p>
            <w:pPr>
              <w:jc w:val="right"/>
              <w:ind w:right="188"/>
              <w:spacing w:after="0"/>
              <w:rPr>
                <w:sz w:val="20"/>
                <w:szCs w:val="20"/>
                <w:color w:val="auto"/>
              </w:rPr>
            </w:pPr>
            <w:r>
              <w:rPr>
                <w:rFonts w:ascii="Arial" w:cs="Arial" w:eastAsia="Arial" w:hAnsi="Arial"/>
                <w:sz w:val="15"/>
                <w:szCs w:val="15"/>
                <w:color w:val="auto"/>
              </w:rPr>
              <w:t>99.3</w:t>
            </w:r>
          </w:p>
        </w:tc>
        <w:tc>
          <w:tcPr>
            <w:tcW w:w="10640" w:type="dxa"/>
            <w:vAlign w:val="bottom"/>
            <w:gridSpan w:val="2"/>
          </w:tcPr>
          <w:p>
            <w:pPr>
              <w:ind w:left="340"/>
              <w:spacing w:after="0"/>
              <w:rPr>
                <w:sz w:val="20"/>
                <w:szCs w:val="20"/>
                <w:color w:val="auto"/>
              </w:rPr>
            </w:pPr>
            <w:r>
              <w:rPr>
                <w:rFonts w:ascii="Arial" w:cs="Arial" w:eastAsia="Arial" w:hAnsi="Arial"/>
                <w:sz w:val="15"/>
                <w:szCs w:val="15"/>
                <w:color w:val="auto"/>
              </w:rPr>
              <w:t>Operating Unit Results reflecting the restatement of segment results</w:t>
            </w:r>
          </w:p>
        </w:tc>
      </w:tr>
    </w:tbl>
    <w:p>
      <w:pPr>
        <w:ind w:left="340"/>
        <w:spacing w:after="0"/>
        <w:rPr>
          <w:sz w:val="20"/>
          <w:szCs w:val="20"/>
          <w:color w:val="auto"/>
        </w:rPr>
        <w:sectPr>
          <w:pgSz w:w="11900" w:h="16838" w:orient="portrait"/>
          <w:cols w:equalWidth="0" w:num="1">
            <w:col w:w="11440"/>
          </w:cols>
          <w:pgMar w:left="240" w:top="258" w:right="2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[MANPOWER logo]</w:t>
      </w:r>
    </w:p>
    <w:p>
      <w:pPr>
        <w:spacing w:after="0" w:line="188" w:lineRule="exact"/>
        <w:rPr>
          <w:sz w:val="20"/>
          <w:szCs w:val="20"/>
          <w:color w:val="auto"/>
        </w:rPr>
      </w:pPr>
    </w:p>
    <w:p>
      <w:pPr>
        <w:spacing w:after="0"/>
        <w:tabs>
          <w:tab w:leader="none" w:pos="59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14"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Mike Van Handel</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michael.vanhandel@manpower.com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Manpower Reports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Quarter 2007 Results</w:t>
      </w:r>
    </w:p>
    <w:p>
      <w:pPr>
        <w:spacing w:after="0" w:line="134"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MILWAUKEE, WI, USA, April 20, 2007 – Manpower Inc. (NYSE: MAN) today reported that net earnings from continuing operations for the three months ended March 31, 2007 more than doubled to $59.5 million, or 69 cents per diluted share, compared to $29.5 million, or 33 cents per diluted share, a year earlier. Revenues for the first quarter were $4.5 billion, an increase of 17 percent from the year earlier period.</w:t>
      </w:r>
    </w:p>
    <w:p>
      <w:pPr>
        <w:spacing w:after="0" w:line="110" w:lineRule="exact"/>
        <w:rPr>
          <w:sz w:val="20"/>
          <w:szCs w:val="20"/>
          <w:color w:val="auto"/>
        </w:rPr>
      </w:pPr>
    </w:p>
    <w:p>
      <w:pPr>
        <w:jc w:val="both"/>
        <w:ind w:right="20" w:firstLine="457"/>
        <w:spacing w:after="0" w:line="337" w:lineRule="auto"/>
        <w:rPr>
          <w:sz w:val="20"/>
          <w:szCs w:val="20"/>
          <w:color w:val="auto"/>
        </w:rPr>
      </w:pPr>
      <w:r>
        <w:rPr>
          <w:rFonts w:ascii="Arial" w:cs="Arial" w:eastAsia="Arial" w:hAnsi="Arial"/>
          <w:sz w:val="13"/>
          <w:szCs w:val="13"/>
          <w:color w:val="auto"/>
        </w:rPr>
        <w:t>Results for the first quarter were favorably impacted by 5 cents per diluted share as foreign currencies were relatively stronger compared to the first quarter of 2006. On a constant currency basis, revenues increased 10 percent over the prior year period. Included in prior year net earnings of 59 cents per diluted share is 26 cents per diluted share of earnings related to discontinued operations. Also included in prior year net earnings is a 16 cents per diluted share charge related to reorganization costs and a global cost reduction initiative.</w:t>
      </w:r>
    </w:p>
    <w:p>
      <w:pPr>
        <w:spacing w:after="0" w:line="76" w:lineRule="exact"/>
        <w:rPr>
          <w:sz w:val="20"/>
          <w:szCs w:val="20"/>
          <w:color w:val="auto"/>
        </w:rPr>
      </w:pPr>
    </w:p>
    <w:p>
      <w:pPr>
        <w:ind w:right="520" w:firstLine="457"/>
        <w:spacing w:after="0" w:line="291" w:lineRule="auto"/>
        <w:rPr>
          <w:sz w:val="20"/>
          <w:szCs w:val="20"/>
          <w:color w:val="auto"/>
        </w:rPr>
      </w:pPr>
      <w:r>
        <w:rPr>
          <w:rFonts w:ascii="Arial" w:cs="Arial" w:eastAsia="Arial" w:hAnsi="Arial"/>
          <w:sz w:val="15"/>
          <w:szCs w:val="15"/>
          <w:color w:val="auto"/>
        </w:rPr>
        <w:t>Jeffrey A. Joerres, Manpower Chairman and Chief Executive Officer, said, “The strength of our European geography combined with company-wide operational excellence resulted in a very strong first quarter for Manpower.</w:t>
      </w:r>
    </w:p>
    <w:p>
      <w:pPr>
        <w:spacing w:after="0" w:line="99"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5"/>
          <w:szCs w:val="15"/>
          <w:color w:val="auto"/>
        </w:rPr>
        <w:t>“The Manpower team is executing extremely well, our Other EMEA segment (Europe excluding France and Italy) increased profitability by 144 percent, while Manpower France, our single largest operation, increased profitability by 33 percent on a constant currency basis. The U.S. operation, expectedly, experienced softness in revenue, but realized an increase in profitability of 22 percent.</w:t>
      </w:r>
    </w:p>
    <w:p>
      <w:pPr>
        <w:spacing w:after="0" w:line="110" w:lineRule="exact"/>
        <w:rPr>
          <w:sz w:val="20"/>
          <w:szCs w:val="20"/>
          <w:color w:val="auto"/>
        </w:rPr>
      </w:pPr>
    </w:p>
    <w:p>
      <w:pPr>
        <w:ind w:right="120" w:firstLine="457"/>
        <w:spacing w:after="0" w:line="291" w:lineRule="auto"/>
        <w:rPr>
          <w:sz w:val="20"/>
          <w:szCs w:val="20"/>
          <w:color w:val="auto"/>
        </w:rPr>
      </w:pPr>
      <w:r>
        <w:rPr>
          <w:rFonts w:ascii="Arial" w:cs="Arial" w:eastAsia="Arial" w:hAnsi="Arial"/>
          <w:sz w:val="15"/>
          <w:szCs w:val="15"/>
          <w:color w:val="auto"/>
        </w:rPr>
        <w:t>“Our ability to deliver such strong earnings, given the softness in the U.S. market, demonstrates the strength of our geographic and business mix as well as the underlying quality, talent and dedication of our people throughout the world.</w:t>
      </w:r>
    </w:p>
    <w:p>
      <w:pPr>
        <w:spacing w:after="0" w:line="99"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“Given the current trends, we anticipate our second quarter diluted earnings per share to be in the range of $1.12 to $1.16, which includes an estimated favorable currency impact of 6 cents.”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first quarter earnings release, Manpower will broadcast its conference call live over the Internet on April 20, 2007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and view the presentation by logging on to http://investor.manpower.com.</w:t>
      </w:r>
    </w:p>
    <w:p>
      <w:pPr>
        <w:sectPr>
          <w:pgSz w:w="11900" w:h="16838" w:orient="portrait"/>
          <w:cols w:equalWidth="0" w:num="1">
            <w:col w:w="11440"/>
          </w:cols>
          <w:pgMar w:left="240" w:top="128" w:right="219" w:bottom="1440" w:gutter="0" w:footer="0" w:header="0"/>
        </w:sectPr>
      </w:pPr>
    </w:p>
    <w:bookmarkStart w:id="5" w:name="page6"/>
    <w:bookmarkEnd w:id="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$18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73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2006, which information is incorporated herein by reference.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w:t>
      </w:r>
    </w:p>
    <w:p>
      <w:pPr>
        <w:sectPr>
          <w:pgSz w:w="11900" w:h="16838" w:orient="portrait"/>
          <w:cols w:equalWidth="0" w:num="1">
            <w:col w:w="11420"/>
          </w:cols>
          <w:pgMar w:left="240" w:top="262" w:right="23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2"/>
                <w:szCs w:val="12"/>
                <w:b w:val="1"/>
                <w:bCs w:val="1"/>
                <w:color w:val="auto"/>
              </w:rPr>
              <w:t>Three Months Ended March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4,535.6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3,877.2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82"/>
        </w:trPr>
        <w:tc>
          <w:tcPr>
            <w:tcW w:w="6040" w:type="dxa"/>
            <w:vAlign w:val="bottom"/>
            <w:gridSpan w:val="2"/>
          </w:tcPr>
          <w:p>
            <w:pPr>
              <w:spacing w:after="0"/>
              <w:rPr>
                <w:sz w:val="20"/>
                <w:szCs w:val="20"/>
                <w:color w:val="auto"/>
              </w:rPr>
            </w:pPr>
            <w:r>
              <w:rPr>
                <w:rFonts w:ascii="Arial" w:cs="Arial" w:eastAsia="Arial" w:hAnsi="Arial"/>
                <w:sz w:val="15"/>
                <w:szCs w:val="15"/>
                <w:color w:val="auto"/>
              </w:rPr>
              <w:t>Cost of services</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3,735.6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3,184.0</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17.3%</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693.2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82"/>
        </w:trPr>
        <w:tc>
          <w:tcPr>
            <w:tcW w:w="6040" w:type="dxa"/>
            <w:vAlign w:val="bottom"/>
            <w:gridSpan w:val="2"/>
          </w:tcPr>
          <w:p>
            <w:pPr>
              <w:spacing w:after="0"/>
              <w:rPr>
                <w:sz w:val="20"/>
                <w:szCs w:val="20"/>
                <w:color w:val="auto"/>
              </w:rPr>
            </w:pPr>
            <w:r>
              <w:rPr>
                <w:rFonts w:ascii="Arial" w:cs="Arial" w:eastAsia="Arial" w:hAnsi="Arial"/>
                <w:sz w:val="15"/>
                <w:szCs w:val="15"/>
                <w:color w:val="auto"/>
              </w:rPr>
              <w:t>Selling and administrative expenses</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696.7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632.9</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10.1%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60.3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282"/>
        </w:trPr>
        <w:tc>
          <w:tcPr>
            <w:tcW w:w="6040" w:type="dxa"/>
            <w:vAlign w:val="bottom"/>
            <w:gridSpan w:val="2"/>
          </w:tcPr>
          <w:p>
            <w:pPr>
              <w:spacing w:after="0"/>
              <w:rPr>
                <w:sz w:val="20"/>
                <w:szCs w:val="20"/>
                <w:color w:val="auto"/>
              </w:rPr>
            </w:pPr>
            <w:r>
              <w:rPr>
                <w:rFonts w:ascii="Arial" w:cs="Arial" w:eastAsia="Arial" w:hAnsi="Arial"/>
                <w:sz w:val="15"/>
                <w:szCs w:val="15"/>
                <w:color w:val="auto"/>
              </w:rPr>
              <w:t>Interest and other expenses</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13.0</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-26.2%</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47.3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97.9%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84.5%</w:t>
            </w:r>
          </w:p>
        </w:tc>
        <w:tc>
          <w:tcPr>
            <w:tcW w:w="0" w:type="dxa"/>
            <w:vAlign w:val="bottom"/>
          </w:tcPr>
          <w:p>
            <w:pPr>
              <w:spacing w:after="0"/>
              <w:rPr>
                <w:sz w:val="1"/>
                <w:szCs w:val="1"/>
                <w:color w:val="auto"/>
              </w:rPr>
            </w:pPr>
          </w:p>
        </w:tc>
      </w:tr>
      <w:tr>
        <w:trPr>
          <w:trHeight w:val="282"/>
        </w:trPr>
        <w:tc>
          <w:tcPr>
            <w:tcW w:w="604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17.8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91.5%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 from continuing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29.5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0" w:type="dxa"/>
            <w:vAlign w:val="bottom"/>
          </w:tcPr>
          <w:p>
            <w:pPr>
              <w:spacing w:after="0"/>
              <w:rPr>
                <w:sz w:val="1"/>
                <w:szCs w:val="1"/>
                <w:color w:val="auto"/>
              </w:rPr>
            </w:pPr>
          </w:p>
        </w:tc>
      </w:tr>
      <w:tr>
        <w:trPr>
          <w:trHeight w:val="282"/>
        </w:trPr>
        <w:tc>
          <w:tcPr>
            <w:tcW w:w="6040" w:type="dxa"/>
            <w:vAlign w:val="bottom"/>
            <w:gridSpan w:val="2"/>
          </w:tcPr>
          <w:p>
            <w:pPr>
              <w:spacing w:after="0"/>
              <w:rPr>
                <w:sz w:val="20"/>
                <w:szCs w:val="20"/>
                <w:color w:val="auto"/>
              </w:rPr>
            </w:pPr>
            <w:r>
              <w:rPr>
                <w:rFonts w:ascii="Arial" w:cs="Arial" w:eastAsia="Arial" w:hAnsi="Arial"/>
                <w:sz w:val="15"/>
                <w:szCs w:val="15"/>
                <w:color w:val="auto"/>
              </w:rPr>
              <w:t>Income from discontinued operations, net of income taxes</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23.1</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52.6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gridSpan w:val="2"/>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0.34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105.9%</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0.26</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0.60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Net earnings per share - diluted:</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gridSpan w:val="2"/>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0.33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109.1%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Discontinued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0.26</w:t>
            </w: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0.59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shares - basic</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-2.9%</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gridSpan w:val="2"/>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84.9</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87.4</w:t>
            </w:r>
          </w:p>
        </w:tc>
        <w:tc>
          <w:tcPr>
            <w:tcW w:w="9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88.7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-2.4%</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6" w:right="60" w:hanging="446"/>
        <w:spacing w:after="0" w:line="27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$8.4 million and $8.0 million for the three months ended March 31, 2007 and 2006, respectively. These fees are primarily based on revenues generated by the franchise offices, which were $362.4 million and $362.8 million for the three months ended March 31, 2007 and 2006, respectively.</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8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2"/>
                <w:szCs w:val="12"/>
                <w:b w:val="1"/>
                <w:bCs w:val="1"/>
                <w:color w:val="auto"/>
                <w:w w:val="96"/>
              </w:rPr>
              <w:t>Three Months Ended March 31</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4"/>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83"/>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w w:val="71"/>
              </w:rPr>
              <w:t>(Unaudited)</w:t>
            </w: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United States (a)</w:t>
            </w:r>
          </w:p>
        </w:tc>
        <w:tc>
          <w:tcPr>
            <w:tcW w:w="2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483.6</w:t>
            </w:r>
          </w:p>
        </w:tc>
        <w:tc>
          <w:tcPr>
            <w:tcW w:w="12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510.3</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1,493.0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1,240.5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1,476.4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w w:val="87"/>
              </w:rPr>
              <w:t>1,149.8</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28.4%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242.4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95.5</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-14.9%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95.3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543.4</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10.9%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spacing w:after="0"/>
              <w:rPr>
                <w:sz w:val="16"/>
                <w:szCs w:val="16"/>
                <w:color w:val="auto"/>
              </w:rPr>
            </w:pPr>
          </w:p>
        </w:tc>
        <w:tc>
          <w:tcPr>
            <w:tcW w:w="510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4,535.6</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w w:val="87"/>
              </w:rPr>
              <w:t>3,877.2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Operating Unit Profit:</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gridSpan w:val="2"/>
            <w:vMerge w:val="continue"/>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9.5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France</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30.4</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44.4%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EMEA (b)</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13.6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168.6%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144.5%</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Italy (b)</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9.4</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75.2%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60.4%</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5.7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-82.4%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0" w:type="dxa"/>
            <w:vAlign w:val="bottom"/>
          </w:tcPr>
          <w:p>
            <w:pPr>
              <w:spacing w:after="0"/>
              <w:rPr>
                <w:sz w:val="1"/>
                <w:szCs w:val="1"/>
                <w:color w:val="auto"/>
              </w:rPr>
            </w:pPr>
          </w:p>
        </w:tc>
      </w:tr>
      <w:tr>
        <w:trPr>
          <w:trHeight w:val="188"/>
        </w:trPr>
        <w:tc>
          <w:tcPr>
            <w:tcW w:w="6040" w:type="dxa"/>
            <w:vAlign w:val="bottom"/>
            <w:gridSpan w:val="2"/>
          </w:tcPr>
          <w:p>
            <w:pPr>
              <w:ind w:left="380"/>
              <w:spacing w:after="0"/>
              <w:rPr>
                <w:sz w:val="20"/>
                <w:szCs w:val="20"/>
                <w:color w:val="auto"/>
              </w:rPr>
            </w:pPr>
            <w:r>
              <w:rPr>
                <w:rFonts w:ascii="Arial" w:cs="Arial" w:eastAsia="Arial" w:hAnsi="Arial"/>
                <w:sz w:val="15"/>
                <w:szCs w:val="15"/>
                <w:color w:val="auto"/>
              </w:rPr>
              <w:t>Right Management</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4.6</w:t>
            </w: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31.8%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17.6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-27.7%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90.8</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27.3</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4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3.2</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60.3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88"/>
        </w:trPr>
        <w:tc>
          <w:tcPr>
            <w:tcW w:w="6040" w:type="dxa"/>
            <w:vAlign w:val="bottom"/>
            <w:gridSpan w:val="2"/>
          </w:tcPr>
          <w:p>
            <w:pPr>
              <w:spacing w:after="0"/>
              <w:rPr>
                <w:sz w:val="20"/>
                <w:szCs w:val="20"/>
                <w:color w:val="auto"/>
              </w:rPr>
            </w:pPr>
            <w:r>
              <w:rPr>
                <w:rFonts w:ascii="Arial" w:cs="Arial" w:eastAsia="Arial" w:hAnsi="Arial"/>
                <w:sz w:val="15"/>
                <w:szCs w:val="15"/>
                <w:color w:val="auto"/>
              </w:rPr>
              <w:t>Interest and other expenses (c)</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99"/>
              <w:spacing w:after="0"/>
              <w:rPr>
                <w:sz w:val="20"/>
                <w:szCs w:val="20"/>
                <w:color w:val="auto"/>
              </w:rPr>
            </w:pPr>
            <w:r>
              <w:rPr>
                <w:rFonts w:ascii="Arial" w:cs="Arial" w:eastAsia="Arial" w:hAnsi="Arial"/>
                <w:sz w:val="15"/>
                <w:szCs w:val="15"/>
                <w:color w:val="auto"/>
              </w:rPr>
              <w:t>13.0</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Earnings before income taxes and discontinued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5"/>
                <w:szCs w:val="15"/>
                <w:color w:val="auto"/>
              </w:rPr>
              <w:t>47.3</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94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6" w:right="220" w:hanging="446"/>
        <w:spacing w:after="0" w:line="264"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$5.3 million for the three months ended March 31, 2007 and 2006. These fees are primarily based on revenues generated by the franchise offices, which were $269.1 million and $282.3 million for the three months ended March 31, 2007 and 2006, respectively.</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Italy and Other EMEA were previously combined as the EMEA segment. All previously reported results have been revised to conform to the current year presentation.</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2"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50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r>
      <w:tr>
        <w:trPr>
          <w:trHeight w:val="180"/>
        </w:trPr>
        <w:tc>
          <w:tcPr>
            <w:tcW w:w="95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14.2</w:t>
            </w: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60" w:type="dxa"/>
            <w:vAlign w:val="bottom"/>
            <w:shd w:val="clear" w:color="auto" w:fill="CCEEFF"/>
          </w:tcPr>
          <w:p>
            <w:pPr>
              <w:spacing w:after="0"/>
              <w:rPr>
                <w:sz w:val="15"/>
                <w:szCs w:val="15"/>
                <w:color w:val="auto"/>
              </w:rPr>
            </w:pPr>
          </w:p>
        </w:tc>
      </w:tr>
      <w:tr>
        <w:trPr>
          <w:trHeight w:val="188"/>
        </w:trPr>
        <w:tc>
          <w:tcPr>
            <w:tcW w:w="9500" w:type="dxa"/>
            <w:vAlign w:val="bottom"/>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5"/>
                <w:szCs w:val="15"/>
                <w:color w:val="auto"/>
                <w:w w:val="97"/>
              </w:rPr>
              <w:t>(7.2)</w:t>
            </w: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(3.3)</w:t>
            </w:r>
          </w:p>
        </w:tc>
      </w:tr>
      <w:tr>
        <w:trPr>
          <w:trHeight w:val="188"/>
        </w:trPr>
        <w:tc>
          <w:tcPr>
            <w:tcW w:w="950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60" w:type="dxa"/>
            <w:vAlign w:val="bottom"/>
            <w:shd w:val="clear" w:color="auto" w:fill="CCEEFF"/>
          </w:tcPr>
          <w:p>
            <w:pPr>
              <w:spacing w:after="0"/>
              <w:rPr>
                <w:sz w:val="16"/>
                <w:szCs w:val="16"/>
                <w:color w:val="auto"/>
              </w:rPr>
            </w:pPr>
          </w:p>
        </w:tc>
      </w:tr>
      <w:tr>
        <w:trPr>
          <w:trHeight w:val="192"/>
        </w:trPr>
        <w:tc>
          <w:tcPr>
            <w:tcW w:w="9500" w:type="dxa"/>
            <w:vAlign w:val="bottom"/>
          </w:tcPr>
          <w:p>
            <w:pPr>
              <w:spacing w:after="0"/>
              <w:rPr>
                <w:sz w:val="20"/>
                <w:szCs w:val="20"/>
                <w:color w:val="auto"/>
              </w:rPr>
            </w:pPr>
            <w:r>
              <w:rPr>
                <w:rFonts w:ascii="Arial" w:cs="Arial" w:eastAsia="Arial" w:hAnsi="Arial"/>
                <w:sz w:val="15"/>
                <w:szCs w:val="15"/>
                <w:color w:val="auto"/>
              </w:rPr>
              <w:t>Miscellaneous expenses</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60" w:type="dxa"/>
            <w:vAlign w:val="bottom"/>
          </w:tcPr>
          <w:p>
            <w:pPr>
              <w:spacing w:after="0"/>
              <w:rPr>
                <w:sz w:val="16"/>
                <w:szCs w:val="16"/>
                <w:color w:val="auto"/>
              </w:rPr>
            </w:pPr>
          </w:p>
        </w:tc>
      </w:tr>
      <w:tr>
        <w:trPr>
          <w:trHeight w:val="188"/>
        </w:trPr>
        <w:tc>
          <w:tcPr>
            <w:tcW w:w="95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13.0</w:t>
            </w:r>
          </w:p>
        </w:tc>
        <w:tc>
          <w:tcPr>
            <w:tcW w:w="60" w:type="dxa"/>
            <w:vAlign w:val="bottom"/>
            <w:shd w:val="clear" w:color="auto" w:fill="CCEEFF"/>
          </w:tcPr>
          <w:p>
            <w:pPr>
              <w:spacing w:after="0"/>
              <w:rPr>
                <w:sz w:val="16"/>
                <w:szCs w:val="16"/>
                <w:color w:val="auto"/>
              </w:rPr>
            </w:pPr>
          </w:p>
        </w:tc>
      </w:tr>
      <w:tr>
        <w:trPr>
          <w:trHeight w:val="20"/>
        </w:trPr>
        <w:tc>
          <w:tcPr>
            <w:tcW w:w="9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1"/>
              </w:rPr>
              <w:t>Mar. 31</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40"/>
        </w:trPr>
        <w:tc>
          <w:tcPr>
            <w:tcW w:w="100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2007</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60" w:type="dxa"/>
            <w:vAlign w:val="bottom"/>
          </w:tcPr>
          <w:p>
            <w:pPr>
              <w:spacing w:after="0"/>
              <w:rPr>
                <w:sz w:val="12"/>
                <w:szCs w:val="12"/>
                <w:color w:val="auto"/>
              </w:rPr>
            </w:pPr>
          </w:p>
        </w:tc>
      </w:tr>
      <w:tr>
        <w:trPr>
          <w:trHeight w:val="121"/>
        </w:trPr>
        <w:tc>
          <w:tcPr>
            <w:tcW w:w="10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jc w:val="right"/>
              <w:ind w:right="440"/>
              <w:spacing w:after="0" w:line="121"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687.9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3,775.2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3,837.2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142.4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4,731.9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4,682.0</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1,305.7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1,293.6</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320.7</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336.4</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assets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1,626.4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1,630.0</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712.5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693.2</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511.1</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201.4</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ind w:left="1120"/>
              <w:spacing w:after="0"/>
              <w:rPr>
                <w:sz w:val="20"/>
                <w:szCs w:val="20"/>
                <w:color w:val="auto"/>
              </w:rPr>
            </w:pPr>
            <w:r>
              <w:rPr>
                <w:rFonts w:ascii="Arial" w:cs="Arial" w:eastAsia="Arial" w:hAnsi="Arial"/>
                <w:sz w:val="15"/>
                <w:szCs w:val="15"/>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6,559.7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6,514.1</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939.2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889.9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150.2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180.7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554.4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562.1</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652.2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699.9</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510.7</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517.0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current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2,842.8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2,881.6</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800.5</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791.2</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416.1</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other liabilities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1,216.6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1,158.3</w:t>
            </w:r>
          </w:p>
        </w:tc>
      </w:tr>
      <w:tr>
        <w:trPr>
          <w:trHeight w:val="282"/>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w w:val="91"/>
              </w:rPr>
              <w:t>2,446.7</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2,420.7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672.2</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617.0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5"/>
                <w:szCs w:val="15"/>
                <w:color w:val="auto"/>
              </w:rPr>
              <w:t>136.2</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(755.8)</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(685.1)</w:t>
            </w:r>
          </w:p>
        </w:tc>
      </w:tr>
      <w:tr>
        <w:trPr>
          <w:trHeight w:val="195"/>
        </w:trPr>
        <w:tc>
          <w:tcPr>
            <w:tcW w:w="10020" w:type="dxa"/>
            <w:vAlign w:val="bottom"/>
          </w:tcPr>
          <w:p>
            <w:pPr>
              <w:ind w:left="740"/>
              <w:spacing w:after="0"/>
              <w:rPr>
                <w:sz w:val="20"/>
                <w:szCs w:val="20"/>
                <w:color w:val="auto"/>
              </w:rPr>
            </w:pPr>
            <w:r>
              <w:rPr>
                <w:rFonts w:ascii="Arial" w:cs="Arial" w:eastAsia="Arial" w:hAnsi="Arial"/>
                <w:sz w:val="15"/>
                <w:szCs w:val="15"/>
                <w:color w:val="auto"/>
              </w:rPr>
              <w:t>Total shareholders’ equity</w:t>
            </w:r>
          </w:p>
        </w:tc>
        <w:tc>
          <w:tcPr>
            <w:tcW w:w="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2,500.3</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2,474.2</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1"/>
              </w:rPr>
              <w:t>6,559.7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6,514.1</w:t>
            </w:r>
          </w:p>
        </w:tc>
      </w:tr>
      <w:tr>
        <w:trPr>
          <w:trHeight w:val="20"/>
        </w:trPr>
        <w:tc>
          <w:tcPr>
            <w:tcW w:w="10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9" w:name="page10"/>
    <w:bookmarkEnd w:id="9"/>
    <w:p>
      <w:pPr>
        <w:jc w:val="center"/>
        <w:ind w:left="20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86" w:lineRule="exact"/>
        <w:rPr>
          <w:sz w:val="20"/>
          <w:szCs w:val="20"/>
          <w:color w:val="auto"/>
        </w:rPr>
      </w:pPr>
    </w:p>
    <w:p>
      <w:pPr>
        <w:jc w:val="center"/>
        <w:ind w:left="2040"/>
        <w:spacing w:after="0"/>
        <w:rPr>
          <w:sz w:val="20"/>
          <w:szCs w:val="20"/>
          <w:color w:val="auto"/>
        </w:rPr>
      </w:pPr>
      <w:r>
        <w:rPr>
          <w:rFonts w:ascii="Arial" w:cs="Arial" w:eastAsia="Arial" w:hAnsi="Arial"/>
          <w:sz w:val="13"/>
          <w:szCs w:val="13"/>
          <w:color w:val="auto"/>
        </w:rPr>
        <w:t>Consolidated Statements of Cash Flows</w:t>
      </w:r>
    </w:p>
    <w:p>
      <w:pPr>
        <w:spacing w:after="0" w:line="109" w:lineRule="exact"/>
        <w:rPr>
          <w:sz w:val="20"/>
          <w:szCs w:val="20"/>
          <w:color w:val="auto"/>
        </w:rPr>
      </w:pPr>
    </w:p>
    <w:p>
      <w:pPr>
        <w:jc w:val="center"/>
        <w:ind w:left="2040"/>
        <w:spacing w:after="0"/>
        <w:rPr>
          <w:sz w:val="20"/>
          <w:szCs w:val="20"/>
          <w:color w:val="auto"/>
        </w:rPr>
      </w:pPr>
      <w:r>
        <w:rPr>
          <w:rFonts w:ascii="Arial" w:cs="Arial" w:eastAsia="Arial" w:hAnsi="Arial"/>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64400" cy="119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earnings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Adjustments to reconcile net earnings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5"/>
          <w:szCs w:val="15"/>
          <w:color w:val="auto"/>
        </w:rPr>
        <w:t>Gain on sale of business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5"/>
          <w:szCs w:val="15"/>
          <w:color w:val="auto"/>
        </w:rPr>
        <w:t>Deferred income taxes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5"/>
          <w:szCs w:val="15"/>
          <w:color w:val="auto"/>
        </w:rPr>
        <w:t>Stock based compensation</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Excess tax benefit 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5"/>
          <w:szCs w:val="15"/>
          <w:color w:val="auto"/>
        </w:rPr>
        <w:t>Changes in operating assets and liabilities excluding the impact of acquisitions:</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5"/>
          <w:szCs w:val="15"/>
          <w:color w:val="auto"/>
        </w:rPr>
        <w:t>Other assets</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Cash provided by operating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64400" cy="119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Capital expenditures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Acquisitions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Proceeds from sale of business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Proceeds from sale of an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Proceeds from the sale of property and equipment</w:t>
      </w:r>
    </w:p>
    <w:p>
      <w:pPr>
        <w:spacing w:after="0" w:line="3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Cash (used)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4400" cy="119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 from Financing Activities:</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borrowings of short-term facilities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Proceeds from stock option and purchase plans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Excess tax benefit 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4400" cy="119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Repurchases of common stock</w:t>
      </w:r>
    </w:p>
    <w:p>
      <w:pPr>
        <w:spacing w:after="0" w:line="3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Cash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4400" cy="119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Effect of exchange rate changes on cash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4400" cy="119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beginning of period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4400" cy="119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119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Three Months Ended</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Mar.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988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jc w:val="center"/>
        <w:ind w:right="-59"/>
        <w:spacing w:after="0"/>
        <w:tabs>
          <w:tab w:leader="none" w:pos="520" w:val="left"/>
        </w:tabs>
        <w:rPr>
          <w:sz w:val="20"/>
          <w:szCs w:val="20"/>
          <w:color w:val="auto"/>
        </w:rPr>
      </w:pPr>
      <w:r>
        <w:rPr>
          <w:rFonts w:ascii="Arial" w:cs="Arial" w:eastAsia="Arial" w:hAnsi="Arial"/>
          <w:sz w:val="12"/>
          <w:szCs w:val="12"/>
          <w:b w:val="1"/>
          <w:bCs w:val="1"/>
          <w:color w:val="auto"/>
        </w:rPr>
        <w:t>2007</w:t>
      </w:r>
      <w:r>
        <w:rPr>
          <w:sz w:val="20"/>
          <w:szCs w:val="20"/>
          <w:color w:val="auto"/>
        </w:rPr>
        <w:tab/>
      </w:r>
      <w:r>
        <w:rPr>
          <w:rFonts w:ascii="Arial" w:cs="Arial" w:eastAsia="Arial" w:hAnsi="Arial"/>
          <w:sz w:val="12"/>
          <w:szCs w:val="12"/>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988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2"/>
          <w:szCs w:val="12"/>
          <w:b w:val="1"/>
          <w:bCs w:val="1"/>
          <w:color w:val="auto"/>
        </w:rPr>
        <w:t>(Unaudited)</w:t>
      </w:r>
    </w:p>
    <w:p>
      <w:pPr>
        <w:spacing w:after="0" w:line="174" w:lineRule="exact"/>
        <w:rPr>
          <w:sz w:val="20"/>
          <w:szCs w:val="20"/>
          <w:color w:val="auto"/>
        </w:rPr>
      </w:pPr>
    </w:p>
    <w:p>
      <w:pPr>
        <w:spacing w:after="0"/>
        <w:tabs>
          <w:tab w:leader="none" w:pos="180" w:val="left"/>
          <w:tab w:leader="none" w:pos="720" w:val="left"/>
          <w:tab w:leader="none" w:pos="960" w:val="left"/>
        </w:tabs>
        <w:rPr>
          <w:sz w:val="20"/>
          <w:szCs w:val="20"/>
          <w:color w:val="auto"/>
        </w:rPr>
      </w:pPr>
      <w:r>
        <w:rPr>
          <w:rFonts w:ascii="Arial" w:cs="Arial" w:eastAsia="Arial" w:hAnsi="Arial"/>
          <w:sz w:val="15"/>
          <w:szCs w:val="15"/>
          <w:color w:val="auto"/>
        </w:rPr>
        <w:t>$</w:t>
        <w:tab/>
        <w:t>59.5</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52.6</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(29.3)</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21.5</w:t>
      </w:r>
      <w:r>
        <w:rPr>
          <w:rFonts w:ascii="Arial" w:cs="Arial" w:eastAsia="Arial" w:hAnsi="Arial"/>
          <w:sz w:val="14"/>
          <w:szCs w:val="14"/>
          <w:color w:val="auto"/>
        </w:rPr>
        <w:t>21.8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spacing w:after="0"/>
              <w:rPr>
                <w:sz w:val="20"/>
                <w:szCs w:val="20"/>
                <w:color w:val="auto"/>
              </w:rPr>
            </w:pPr>
            <w:r>
              <w:rPr>
                <w:rFonts w:ascii="Arial" w:cs="Arial" w:eastAsia="Arial" w:hAnsi="Arial"/>
                <w:sz w:val="15"/>
                <w:szCs w:val="15"/>
                <w:color w:val="auto"/>
              </w:rPr>
              <w:t>15.7</w:t>
            </w:r>
          </w:p>
        </w:tc>
        <w:tc>
          <w:tcPr>
            <w:tcW w:w="2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188"/>
        </w:trPr>
        <w:tc>
          <w:tcPr>
            <w:tcW w:w="460" w:type="dxa"/>
            <w:vAlign w:val="bottom"/>
          </w:tcPr>
          <w:p>
            <w:pPr>
              <w:jc w:val="right"/>
              <w:spacing w:after="0"/>
              <w:rPr>
                <w:sz w:val="20"/>
                <w:szCs w:val="20"/>
                <w:color w:val="auto"/>
              </w:rPr>
            </w:pPr>
            <w:r>
              <w:rPr>
                <w:rFonts w:ascii="Arial" w:cs="Arial" w:eastAsia="Arial" w:hAnsi="Arial"/>
                <w:sz w:val="15"/>
                <w:szCs w:val="15"/>
                <w:color w:val="auto"/>
              </w:rPr>
              <w:t>5.1</w:t>
            </w:r>
          </w:p>
        </w:tc>
        <w:tc>
          <w:tcPr>
            <w:tcW w:w="2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6.1</w:t>
            </w:r>
          </w:p>
        </w:tc>
      </w:tr>
      <w:tr>
        <w:trPr>
          <w:trHeight w:val="188"/>
        </w:trPr>
        <w:tc>
          <w:tcPr>
            <w:tcW w:w="460" w:type="dxa"/>
            <w:vAlign w:val="bottom"/>
          </w:tcPr>
          <w:p>
            <w:pPr>
              <w:jc w:val="right"/>
              <w:spacing w:after="0"/>
              <w:rPr>
                <w:sz w:val="20"/>
                <w:szCs w:val="20"/>
                <w:color w:val="auto"/>
              </w:rPr>
            </w:pPr>
            <w:r>
              <w:rPr>
                <w:rFonts w:ascii="Arial" w:cs="Arial" w:eastAsia="Arial" w:hAnsi="Arial"/>
                <w:sz w:val="15"/>
                <w:szCs w:val="15"/>
                <w:color w:val="auto"/>
              </w:rPr>
              <w:t>5.7</w:t>
            </w:r>
          </w:p>
        </w:tc>
        <w:tc>
          <w:tcPr>
            <w:tcW w:w="2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4.6</w:t>
            </w:r>
          </w:p>
        </w:tc>
      </w:tr>
      <w:tr>
        <w:trPr>
          <w:trHeight w:val="194"/>
        </w:trPr>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(2.3)</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(2.7)</w:t>
            </w:r>
          </w:p>
        </w:tc>
      </w:tr>
      <w:tr>
        <w:trPr>
          <w:trHeight w:val="370"/>
        </w:trPr>
        <w:tc>
          <w:tcPr>
            <w:tcW w:w="460" w:type="dxa"/>
            <w:vAlign w:val="bottom"/>
          </w:tcPr>
          <w:p>
            <w:pPr>
              <w:jc w:val="right"/>
              <w:spacing w:after="0"/>
              <w:rPr>
                <w:sz w:val="20"/>
                <w:szCs w:val="20"/>
                <w:color w:val="auto"/>
              </w:rPr>
            </w:pPr>
            <w:r>
              <w:rPr>
                <w:rFonts w:ascii="Arial" w:cs="Arial" w:eastAsia="Arial" w:hAnsi="Arial"/>
                <w:sz w:val="15"/>
                <w:szCs w:val="15"/>
                <w:color w:val="auto"/>
              </w:rPr>
              <w:t>88.2</w:t>
            </w:r>
          </w:p>
        </w:tc>
        <w:tc>
          <w:tcPr>
            <w:tcW w:w="2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76.9</w:t>
            </w:r>
          </w:p>
        </w:tc>
      </w:tr>
      <w:tr>
        <w:trPr>
          <w:trHeight w:val="188"/>
        </w:trPr>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(57.4)</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(19.5)</w:t>
            </w:r>
          </w:p>
        </w:tc>
      </w:tr>
      <w:tr>
        <w:trPr>
          <w:trHeight w:val="195"/>
        </w:trPr>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(33.2)</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(26.0)</w:t>
            </w:r>
          </w:p>
        </w:tc>
      </w:tr>
      <w:tr>
        <w:trPr>
          <w:trHeight w:val="192"/>
        </w:trPr>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102.8</w:t>
            </w:r>
          </w:p>
        </w:tc>
        <w:tc>
          <w:tcPr>
            <w:tcW w:w="2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r>
    </w:tbl>
    <w:p>
      <w:pPr>
        <w:spacing w:after="0" w:line="193"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5"/>
          <w:szCs w:val="15"/>
          <w:color w:val="auto"/>
        </w:rPr>
        <w:t>(16.8)</w:t>
      </w:r>
      <w:r>
        <w:rPr>
          <w:sz w:val="20"/>
          <w:szCs w:val="20"/>
          <w:color w:val="auto"/>
        </w:rPr>
        <w:tab/>
      </w:r>
      <w:r>
        <w:rPr>
          <w:rFonts w:ascii="Arial" w:cs="Arial" w:eastAsia="Arial" w:hAnsi="Arial"/>
          <w:sz w:val="13"/>
          <w:szCs w:val="13"/>
          <w:color w:val="auto"/>
        </w:rPr>
        <w:t>(15.2)</w:t>
      </w:r>
    </w:p>
    <w:p>
      <w:pPr>
        <w:spacing w:after="0" w:line="22"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5"/>
          <w:szCs w:val="15"/>
          <w:color w:val="auto"/>
        </w:rPr>
        <w:t>(5.0)</w:t>
      </w:r>
      <w:r>
        <w:rPr>
          <w:sz w:val="20"/>
          <w:szCs w:val="20"/>
          <w:color w:val="auto"/>
        </w:rPr>
        <w:tab/>
      </w:r>
      <w:r>
        <w:rPr>
          <w:rFonts w:ascii="Arial" w:cs="Arial" w:eastAsia="Arial" w:hAnsi="Arial"/>
          <w:sz w:val="13"/>
          <w:szCs w:val="13"/>
          <w:color w:val="auto"/>
        </w:rPr>
        <w:t>(7.2)</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29.6</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8.8</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1.6</w:t>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988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13" w:lineRule="exact"/>
        <w:rPr>
          <w:sz w:val="20"/>
          <w:szCs w:val="20"/>
          <w:color w:val="auto"/>
        </w:rPr>
      </w:pPr>
    </w:p>
    <w:p>
      <w:pPr>
        <w:ind w:left="140"/>
        <w:spacing w:after="0"/>
        <w:tabs>
          <w:tab w:leader="none" w:pos="960" w:val="left"/>
        </w:tabs>
        <w:rPr>
          <w:sz w:val="20"/>
          <w:szCs w:val="20"/>
          <w:color w:val="auto"/>
        </w:rPr>
      </w:pPr>
      <w:r>
        <w:rPr>
          <w:rFonts w:ascii="Arial" w:cs="Arial" w:eastAsia="Arial" w:hAnsi="Arial"/>
          <w:sz w:val="15"/>
          <w:szCs w:val="15"/>
          <w:color w:val="auto"/>
        </w:rPr>
        <w:t>(20.2)</w:t>
      </w:r>
      <w:r>
        <w:rPr>
          <w:sz w:val="20"/>
          <w:szCs w:val="20"/>
          <w:color w:val="auto"/>
        </w:rPr>
        <w:tab/>
      </w: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988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207"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5"/>
          <w:szCs w:val="15"/>
          <w:color w:val="auto"/>
        </w:rPr>
        <w:t>3.8</w:t>
      </w:r>
      <w:r>
        <w:rPr>
          <w:sz w:val="20"/>
          <w:szCs w:val="20"/>
          <w:color w:val="auto"/>
        </w:rPr>
        <w:tab/>
      </w:r>
      <w:r>
        <w:rPr>
          <w:rFonts w:ascii="Arial" w:cs="Arial" w:eastAsia="Arial" w:hAnsi="Arial"/>
          <w:sz w:val="14"/>
          <w:szCs w:val="14"/>
          <w:color w:val="auto"/>
        </w:rPr>
        <w:t>3.2</w:t>
      </w:r>
    </w:p>
    <w:p>
      <w:pPr>
        <w:spacing w:after="0" w:line="2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5"/>
          <w:szCs w:val="15"/>
          <w:color w:val="auto"/>
        </w:rPr>
        <w:t>20.0</w:t>
      </w:r>
      <w:r>
        <w:rPr>
          <w:sz w:val="20"/>
          <w:szCs w:val="20"/>
          <w:color w:val="auto"/>
        </w:rPr>
        <w:tab/>
      </w:r>
      <w:r>
        <w:rPr>
          <w:rFonts w:ascii="Arial" w:cs="Arial" w:eastAsia="Arial" w:hAnsi="Arial"/>
          <w:sz w:val="14"/>
          <w:szCs w:val="14"/>
          <w:color w:val="auto"/>
        </w:rPr>
        <w:t>26.5</w:t>
      </w:r>
    </w:p>
    <w:p>
      <w:pPr>
        <w:spacing w:after="0" w:line="16"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2.7</w:t>
      </w:r>
    </w:p>
    <w:p>
      <w:pPr>
        <w:spacing w:after="0" w:line="1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5"/>
          <w:szCs w:val="15"/>
          <w:color w:val="auto"/>
        </w:rPr>
        <w:t>(72.7)</w:t>
      </w:r>
      <w:r>
        <w:rPr>
          <w:sz w:val="20"/>
          <w:szCs w:val="20"/>
          <w:color w:val="auto"/>
        </w:rPr>
        <w:tab/>
      </w:r>
      <w:r>
        <w:rPr>
          <w:rFonts w:ascii="Arial" w:cs="Arial" w:eastAsia="Arial" w:hAnsi="Arial"/>
          <w:sz w:val="13"/>
          <w:szCs w:val="13"/>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988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1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5"/>
          <w:szCs w:val="15"/>
          <w:color w:val="auto"/>
        </w:rPr>
        <w:t>(46.6)</w:t>
      </w:r>
      <w:r>
        <w:rPr>
          <w:sz w:val="20"/>
          <w:szCs w:val="20"/>
          <w:color w:val="auto"/>
        </w:rPr>
        <w:tab/>
      </w:r>
      <w:r>
        <w:rPr>
          <w:rFonts w:ascii="Arial" w:cs="Arial" w:eastAsia="Arial" w:hAnsi="Arial"/>
          <w:sz w:val="13"/>
          <w:szCs w:val="13"/>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988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19"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988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1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5"/>
          <w:szCs w:val="15"/>
          <w:color w:val="auto"/>
        </w:rPr>
        <w:t>39.4</w:t>
      </w:r>
      <w:r>
        <w:rPr>
          <w:sz w:val="20"/>
          <w:szCs w:val="20"/>
          <w:color w:val="auto"/>
        </w:rPr>
        <w:tab/>
      </w:r>
      <w:r>
        <w:rPr>
          <w:rFonts w:ascii="Arial" w:cs="Arial" w:eastAsia="Arial" w:hAnsi="Arial"/>
          <w:sz w:val="14"/>
          <w:szCs w:val="14"/>
          <w:color w:val="auto"/>
        </w:rPr>
        <w:t>99.6</w:t>
      </w:r>
    </w:p>
    <w:p>
      <w:pPr>
        <w:spacing w:after="0" w:line="110"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5"/>
          <w:szCs w:val="15"/>
          <w:color w:val="auto"/>
        </w:rPr>
        <w:t>687.9</w:t>
      </w:r>
      <w:r>
        <w:rPr>
          <w:sz w:val="20"/>
          <w:szCs w:val="20"/>
          <w:color w:val="auto"/>
        </w:rPr>
        <w:tab/>
      </w:r>
      <w:r>
        <w:rPr>
          <w:rFonts w:ascii="Arial" w:cs="Arial" w:eastAsia="Arial" w:hAnsi="Arial"/>
          <w:sz w:val="13"/>
          <w:szCs w:val="13"/>
          <w:color w:val="auto"/>
        </w:rPr>
        <w:t>454.9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988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pacing w:after="0" w:line="19"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u w:val="single" w:color="auto"/>
          <w:color w:val="auto"/>
        </w:rPr>
        <w:t>$ 727.3</w:t>
      </w:r>
      <w:r>
        <w:rPr>
          <w:sz w:val="20"/>
          <w:szCs w:val="20"/>
          <w:color w:val="auto"/>
        </w:rPr>
        <w:tab/>
      </w:r>
      <w:r>
        <w:rPr>
          <w:rFonts w:ascii="Arial" w:cs="Arial" w:eastAsia="Arial" w:hAnsi="Arial"/>
          <w:sz w:val="15"/>
          <w:szCs w:val="15"/>
          <w:u w:val="single" w:color="auto"/>
          <w:color w:val="auto"/>
        </w:rPr>
        <w:t>$ 554.5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988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8830" cy="7620"/>
                    </a:xfrm>
                    <a:prstGeom prst="rect">
                      <a:avLst/>
                    </a:prstGeom>
                    <a:noFill/>
                  </pic:spPr>
                </pic:pic>
              </a:graphicData>
            </a:graphic>
          </wp:anchor>
        </w:drawing>
      </w:r>
    </w:p>
    <w:p>
      <w:pPr>
        <w:sectPr>
          <w:pgSz w:w="11900" w:h="16838" w:orient="portrait"/>
          <w:cols w:equalWidth="0" w:num="2">
            <w:col w:w="9400" w:space="720"/>
            <w:col w:w="1300"/>
          </w:cols>
          <w:pgMar w:left="240" w:top="262" w:right="239" w:bottom="1440" w:gutter="0" w:footer="0" w:header="0"/>
        </w:sectPr>
      </w:pPr>
    </w:p>
    <w:bookmarkStart w:id="10" w:name="page11"/>
    <w:bookmarkEnd w:id="10"/>
    <w:p>
      <w:pPr>
        <w:jc w:val="right"/>
        <w:ind w:right="139"/>
        <w:spacing w:after="0"/>
        <w:rPr>
          <w:sz w:val="20"/>
          <w:szCs w:val="20"/>
          <w:color w:val="auto"/>
        </w:rPr>
      </w:pPr>
      <w:r>
        <w:rPr>
          <w:rFonts w:ascii="Arial" w:cs="Arial" w:eastAsia="Arial" w:hAnsi="Arial"/>
          <w:sz w:val="20"/>
          <w:szCs w:val="20"/>
          <w:b w:val="1"/>
          <w:bCs w:val="1"/>
          <w:color w:val="auto"/>
        </w:rPr>
        <w:t>Exhibit 99.2</w:t>
      </w:r>
    </w:p>
    <w:p>
      <w:pPr>
        <w:spacing w:after="0" w:line="190" w:lineRule="auto"/>
        <w:rPr>
          <w:sz w:val="20"/>
          <w:szCs w:val="20"/>
          <w:color w:val="auto"/>
        </w:rPr>
      </w:pPr>
      <w:r>
        <w:rPr>
          <w:rFonts w:ascii="Arial" w:cs="Arial" w:eastAsia="Arial" w:hAnsi="Arial"/>
          <w:sz w:val="28"/>
          <w:szCs w:val="28"/>
          <w:b w:val="1"/>
          <w:bCs w:val="1"/>
          <w:color w:val="6698C2"/>
        </w:rPr>
        <w:t>Manpower Inc.</w:t>
      </w:r>
    </w:p>
    <w:p>
      <w:pPr>
        <w:spacing w:after="0"/>
        <w:rPr>
          <w:sz w:val="20"/>
          <w:szCs w:val="20"/>
          <w:color w:val="auto"/>
        </w:rPr>
      </w:pPr>
      <w:r>
        <w:rPr>
          <w:rFonts w:ascii="Arial" w:cs="Arial" w:eastAsia="Arial" w:hAnsi="Arial"/>
          <w:sz w:val="28"/>
          <w:szCs w:val="28"/>
          <w:b w:val="1"/>
          <w:bCs w:val="1"/>
          <w:color w:val="6698C2"/>
        </w:rPr>
        <w:t>2007 1</w:t>
      </w:r>
      <w:r>
        <w:rPr>
          <w:rFonts w:ascii="Arial" w:cs="Arial" w:eastAsia="Arial" w:hAnsi="Arial"/>
          <w:sz w:val="37"/>
          <w:szCs w:val="37"/>
          <w:b w:val="1"/>
          <w:bCs w:val="1"/>
          <w:color w:val="6698C2"/>
          <w:vertAlign w:val="superscript"/>
        </w:rPr>
        <w:t>st</w:t>
      </w:r>
      <w:r>
        <w:rPr>
          <w:rFonts w:ascii="Arial" w:cs="Arial" w:eastAsia="Arial" w:hAnsi="Arial"/>
          <w:sz w:val="28"/>
          <w:szCs w:val="28"/>
          <w:b w:val="1"/>
          <w:bCs w:val="1"/>
          <w:color w:val="6698C2"/>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-22860</wp:posOffset>
            </wp:positionV>
            <wp:extent cx="4128770" cy="4315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color w:val="auto"/>
        </w:rPr>
        <w:t>April 20,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75"/>
          <w:szCs w:val="75"/>
          <w:color w:val="auto"/>
        </w:rPr>
        <w:t>New Face</w:t>
      </w:r>
    </w:p>
    <w:p>
      <w:pPr>
        <w:ind w:left="4500"/>
        <w:spacing w:after="0"/>
        <w:rPr>
          <w:sz w:val="20"/>
          <w:szCs w:val="20"/>
          <w:color w:val="auto"/>
        </w:rPr>
      </w:pPr>
      <w:r>
        <w:rPr>
          <w:rFonts w:ascii="Arial" w:cs="Arial" w:eastAsia="Arial" w:hAnsi="Arial"/>
          <w:sz w:val="103"/>
          <w:szCs w:val="103"/>
          <w:color w:val="auto"/>
        </w:rPr>
        <w:t>New Place</w:t>
      </w:r>
    </w:p>
    <w:p>
      <w:pPr>
        <w:sectPr>
          <w:pgSz w:w="11900" w:h="16838" w:orient="portrait"/>
          <w:cols w:equalWidth="0" w:num="1">
            <w:col w:w="10099"/>
          </w:cols>
          <w:pgMar w:left="360" w:top="183" w:right="1440"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2006, which information is incorporated herein by reference, and such other factors as may be described from time to time in the Company’s SEC filings.</w:t>
      </w:r>
    </w:p>
    <w:p>
      <w:pPr>
        <w:sectPr>
          <w:pgSz w:w="11900" w:h="16838" w:orient="portrait"/>
          <w:cols w:equalWidth="0" w:num="1">
            <w:col w:w="9880"/>
          </w:cols>
          <w:pgMar w:left="1200" w:top="459" w:right="8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Consolidated Financial Highlights</w:t>
      </w:r>
    </w:p>
    <w:p>
      <w:pPr>
        <w:sectPr>
          <w:pgSz w:w="11900" w:h="16838" w:orient="portrait"/>
          <w:cols w:equalWidth="0" w:num="1">
            <w:col w:w="9870"/>
          </w:cols>
          <w:pgMar w:left="121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90"/>
        <w:spacing w:after="0"/>
        <w:rPr>
          <w:sz w:val="20"/>
          <w:szCs w:val="20"/>
          <w:color w:val="auto"/>
        </w:rPr>
      </w:pPr>
      <w:r>
        <w:rPr>
          <w:rFonts w:ascii="Arial" w:cs="Arial" w:eastAsia="Arial" w:hAnsi="Arial"/>
          <w:sz w:val="38"/>
          <w:szCs w:val="38"/>
          <w:color w:val="auto"/>
        </w:rPr>
        <w:t>17%</w:t>
      </w:r>
    </w:p>
    <w:p>
      <w:pPr>
        <w:spacing w:after="0" w:line="10" w:lineRule="exact"/>
        <w:rPr>
          <w:sz w:val="20"/>
          <w:szCs w:val="20"/>
          <w:color w:val="auto"/>
        </w:rPr>
      </w:pPr>
    </w:p>
    <w:p>
      <w:pPr>
        <w:ind w:left="250"/>
        <w:spacing w:after="0"/>
        <w:rPr>
          <w:sz w:val="20"/>
          <w:szCs w:val="20"/>
          <w:color w:val="auto"/>
        </w:rPr>
      </w:pPr>
      <w:r>
        <w:rPr>
          <w:rFonts w:ascii="Arial" w:cs="Arial" w:eastAsia="Arial" w:hAnsi="Arial"/>
          <w:sz w:val="38"/>
          <w:szCs w:val="38"/>
          <w:color w:val="auto"/>
        </w:rPr>
        <w:t>10% CC</w:t>
      </w:r>
    </w:p>
    <w:p>
      <w:pPr>
        <w:spacing w:after="0" w:line="210" w:lineRule="exact"/>
        <w:rPr>
          <w:sz w:val="20"/>
          <w:szCs w:val="20"/>
          <w:color w:val="auto"/>
        </w:rPr>
      </w:pPr>
    </w:p>
    <w:p>
      <w:pPr>
        <w:ind w:left="270"/>
        <w:spacing w:after="0"/>
        <w:rPr>
          <w:sz w:val="20"/>
          <w:szCs w:val="20"/>
          <w:color w:val="auto"/>
        </w:rPr>
      </w:pPr>
      <w:r>
        <w:rPr>
          <w:rFonts w:ascii="Arial" w:cs="Arial" w:eastAsia="Arial" w:hAnsi="Arial"/>
          <w:sz w:val="38"/>
          <w:szCs w:val="38"/>
          <w:color w:val="auto"/>
        </w:rPr>
        <w:t>24 bps</w:t>
      </w:r>
    </w:p>
    <w:p>
      <w:pPr>
        <w:spacing w:after="0" w:line="304" w:lineRule="exact"/>
        <w:rPr>
          <w:sz w:val="20"/>
          <w:szCs w:val="20"/>
          <w:color w:val="auto"/>
        </w:rPr>
      </w:pPr>
    </w:p>
    <w:p>
      <w:pPr>
        <w:ind w:left="630"/>
        <w:spacing w:after="0"/>
        <w:rPr>
          <w:sz w:val="20"/>
          <w:szCs w:val="20"/>
          <w:color w:val="auto"/>
        </w:rPr>
      </w:pPr>
      <w:r>
        <w:rPr>
          <w:rFonts w:ascii="Arial" w:cs="Arial" w:eastAsia="Arial" w:hAnsi="Arial"/>
          <w:sz w:val="38"/>
          <w:szCs w:val="38"/>
          <w:color w:val="auto"/>
        </w:rPr>
        <w:t>71%</w:t>
      </w:r>
    </w:p>
    <w:p>
      <w:pPr>
        <w:spacing w:after="0" w:line="22" w:lineRule="exact"/>
        <w:rPr>
          <w:sz w:val="20"/>
          <w:szCs w:val="20"/>
          <w:color w:val="auto"/>
        </w:rPr>
      </w:pPr>
    </w:p>
    <w:p>
      <w:pPr>
        <w:ind w:left="290"/>
        <w:spacing w:after="0"/>
        <w:rPr>
          <w:sz w:val="20"/>
          <w:szCs w:val="20"/>
          <w:color w:val="auto"/>
        </w:rPr>
      </w:pPr>
      <w:r>
        <w:rPr>
          <w:rFonts w:ascii="Arial" w:cs="Arial" w:eastAsia="Arial" w:hAnsi="Arial"/>
          <w:sz w:val="37"/>
          <w:szCs w:val="37"/>
          <w:color w:val="auto"/>
        </w:rPr>
        <w:t>57% CC</w:t>
      </w:r>
    </w:p>
    <w:p>
      <w:pPr>
        <w:spacing w:after="0" w:line="292" w:lineRule="exact"/>
        <w:rPr>
          <w:sz w:val="20"/>
          <w:szCs w:val="20"/>
          <w:color w:val="auto"/>
        </w:rPr>
      </w:pPr>
    </w:p>
    <w:p>
      <w:pPr>
        <w:ind w:left="290"/>
        <w:spacing w:after="0"/>
        <w:rPr>
          <w:sz w:val="20"/>
          <w:szCs w:val="20"/>
          <w:color w:val="auto"/>
        </w:rPr>
      </w:pPr>
      <w:r>
        <w:rPr>
          <w:rFonts w:ascii="Arial" w:cs="Arial" w:eastAsia="Arial" w:hAnsi="Arial"/>
          <w:sz w:val="38"/>
          <w:szCs w:val="38"/>
          <w:color w:val="auto"/>
        </w:rPr>
        <w:t>70 bps</w:t>
      </w:r>
    </w:p>
    <w:p>
      <w:pPr>
        <w:spacing w:after="0" w:line="280" w:lineRule="exact"/>
        <w:rPr>
          <w:sz w:val="20"/>
          <w:szCs w:val="20"/>
          <w:color w:val="auto"/>
        </w:rPr>
      </w:pPr>
    </w:p>
    <w:p>
      <w:pPr>
        <w:ind w:left="490"/>
        <w:spacing w:after="0"/>
        <w:rPr>
          <w:sz w:val="20"/>
          <w:szCs w:val="20"/>
          <w:color w:val="auto"/>
        </w:rPr>
      </w:pPr>
      <w:r>
        <w:rPr>
          <w:rFonts w:ascii="Arial" w:cs="Arial" w:eastAsia="Arial" w:hAnsi="Arial"/>
          <w:sz w:val="38"/>
          <w:szCs w:val="38"/>
          <w:color w:val="auto"/>
        </w:rPr>
        <w:t>109%</w:t>
      </w:r>
    </w:p>
    <w:p>
      <w:pPr>
        <w:spacing w:after="0" w:line="22" w:lineRule="exact"/>
        <w:rPr>
          <w:sz w:val="20"/>
          <w:szCs w:val="20"/>
          <w:color w:val="auto"/>
        </w:rPr>
      </w:pPr>
    </w:p>
    <w:p>
      <w:pPr>
        <w:jc w:val="center"/>
        <w:ind w:left="210"/>
        <w:spacing w:after="0"/>
        <w:rPr>
          <w:sz w:val="20"/>
          <w:szCs w:val="20"/>
          <w:color w:val="auto"/>
        </w:rPr>
      </w:pPr>
      <w:r>
        <w:rPr>
          <w:rFonts w:ascii="Arial" w:cs="Arial" w:eastAsia="Arial" w:hAnsi="Arial"/>
          <w:sz w:val="37"/>
          <w:szCs w:val="37"/>
          <w:color w:val="auto"/>
        </w:rPr>
        <w:t>94% CC</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0" w:right="3440" w:firstLine="1811"/>
        <w:spacing w:after="0" w:line="417" w:lineRule="auto"/>
        <w:rPr>
          <w:sz w:val="20"/>
          <w:szCs w:val="20"/>
          <w:color w:val="auto"/>
        </w:rPr>
      </w:pPr>
      <w:r>
        <w:rPr>
          <w:rFonts w:ascii="Arial" w:cs="Arial" w:eastAsia="Arial" w:hAnsi="Arial"/>
          <w:sz w:val="41"/>
          <w:szCs w:val="41"/>
          <w:b w:val="1"/>
          <w:bCs w:val="1"/>
          <w:color w:val="auto"/>
        </w:rPr>
        <w:t xml:space="preserve">Q1 Highlights Revenue </w:t>
      </w:r>
      <w:r>
        <w:rPr>
          <w:rFonts w:ascii="Arial" w:cs="Arial" w:eastAsia="Arial" w:hAnsi="Arial"/>
          <w:sz w:val="43"/>
          <w:szCs w:val="43"/>
          <w:b w:val="1"/>
          <w:bCs w:val="1"/>
          <w:color w:val="6698C2"/>
        </w:rPr>
        <w:t>$4.5B</w:t>
      </w:r>
    </w:p>
    <w:p>
      <w:pPr>
        <w:spacing w:after="0" w:line="3"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17.6%</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Operating Profit </w:t>
      </w:r>
      <w:r>
        <w:rPr>
          <w:rFonts w:ascii="Arial" w:cs="Arial" w:eastAsia="Arial" w:hAnsi="Arial"/>
          <w:sz w:val="43"/>
          <w:szCs w:val="43"/>
          <w:b w:val="1"/>
          <w:bCs w:val="1"/>
          <w:color w:val="6698C2"/>
        </w:rPr>
        <w:t>$103M</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OP Margin </w:t>
      </w:r>
      <w:r>
        <w:rPr>
          <w:rFonts w:ascii="Arial" w:cs="Arial" w:eastAsia="Arial" w:hAnsi="Arial"/>
          <w:sz w:val="43"/>
          <w:szCs w:val="43"/>
          <w:b w:val="1"/>
          <w:bCs w:val="1"/>
          <w:color w:val="6698C2"/>
        </w:rPr>
        <w:t>2.3%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 xml:space="preserve">EPS from Continuing Operations </w:t>
      </w:r>
      <w:r>
        <w:rPr>
          <w:rFonts w:ascii="Arial" w:cs="Arial" w:eastAsia="Arial" w:hAnsi="Arial"/>
          <w:sz w:val="42"/>
          <w:szCs w:val="42"/>
          <w:b w:val="1"/>
          <w:bCs w:val="1"/>
          <w:color w:val="6698C2"/>
        </w:rPr>
        <w:t>$.69</w:t>
      </w:r>
    </w:p>
    <w:p>
      <w:pPr>
        <w:spacing w:after="0" w:line="543" w:lineRule="exact"/>
        <w:rPr>
          <w:sz w:val="20"/>
          <w:szCs w:val="20"/>
          <w:color w:val="auto"/>
        </w:rPr>
      </w:pPr>
    </w:p>
    <w:p>
      <w:pPr>
        <w:sectPr>
          <w:pgSz w:w="11900" w:h="16838" w:orient="portrait"/>
          <w:cols w:equalWidth="0" w:num="2">
            <w:col w:w="1690" w:space="240"/>
            <w:col w:w="7940"/>
          </w:cols>
          <w:pgMar w:left="1210" w:top="459" w:right="819" w:bottom="1440" w:gutter="0" w:footer="0" w:header="0"/>
          <w:type w:val="continuous"/>
        </w:sectPr>
      </w:pPr>
    </w:p>
    <w:p>
      <w:pPr>
        <w:spacing w:after="0" w:line="12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Throughout this presentation, the difference between reported variances and Constant Currency</w:t>
      </w:r>
    </w:p>
    <w:p>
      <w:pPr>
        <w:spacing w:after="0" w:line="40" w:lineRule="exact"/>
        <w:rPr>
          <w:sz w:val="20"/>
          <w:szCs w:val="20"/>
          <w:color w:val="auto"/>
        </w:rPr>
      </w:pPr>
    </w:p>
    <w:p>
      <w:pPr>
        <w:ind w:left="10" w:right="1340" w:hanging="10"/>
        <w:spacing w:after="0" w:line="266" w:lineRule="auto"/>
        <w:tabs>
          <w:tab w:leader="none" w:pos="459"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variances represents the impact of currency on our financial results. Constant Currency is further explained on our Web site.</w:t>
      </w:r>
    </w:p>
    <w:p>
      <w:pPr>
        <w:sectPr>
          <w:pgSz w:w="11900" w:h="16838" w:orient="portrait"/>
          <w:cols w:equalWidth="0" w:num="1">
            <w:col w:w="9870"/>
          </w:cols>
          <w:pgMar w:left="1210" w:top="459" w:right="819" w:bottom="1440" w:gutter="0" w:footer="0" w:header="0"/>
          <w:type w:val="continuous"/>
        </w:sectPr>
      </w:pPr>
    </w:p>
    <w:bookmarkStart w:id="13" w:name="page14"/>
    <w:bookmarkEnd w:id="13"/>
    <w:tbl>
      <w:tblPr>
        <w:tblLayout w:type="fixed"/>
        <w:tblInd w:w="36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60"/>
        <w:spacing w:after="0"/>
        <w:rPr>
          <w:sz w:val="20"/>
          <w:szCs w:val="20"/>
          <w:color w:val="auto"/>
        </w:rPr>
      </w:pPr>
      <w:r>
        <w:rPr>
          <w:rFonts w:ascii="Arial" w:cs="Arial" w:eastAsia="Arial" w:hAnsi="Arial"/>
          <w:sz w:val="47"/>
          <w:szCs w:val="47"/>
          <w:color w:val="7EA190"/>
        </w:rPr>
        <w:t>Consolidated Gross Profit Margin Change</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19%</w:t>
      </w:r>
    </w:p>
    <w:p>
      <w:pPr>
        <w:spacing w:after="0" w:line="200" w:lineRule="exact"/>
        <w:rPr>
          <w:sz w:val="20"/>
          <w:szCs w:val="20"/>
          <w:color w:val="auto"/>
        </w:rPr>
      </w:pPr>
    </w:p>
    <w:p>
      <w:pPr>
        <w:spacing w:after="0" w:line="383" w:lineRule="exact"/>
        <w:rPr>
          <w:sz w:val="20"/>
          <w:szCs w:val="20"/>
          <w:color w:val="auto"/>
        </w:rPr>
      </w:pPr>
    </w:p>
    <w:p>
      <w:pPr>
        <w:ind w:left="4880"/>
        <w:spacing w:after="0"/>
        <w:tabs>
          <w:tab w:leader="none" w:pos="6800" w:val="left"/>
        </w:tabs>
        <w:rPr>
          <w:sz w:val="20"/>
          <w:szCs w:val="20"/>
          <w:color w:val="auto"/>
        </w:rPr>
      </w:pPr>
      <w:r>
        <w:rPr>
          <w:rFonts w:ascii="Arial" w:cs="Arial" w:eastAsia="Arial" w:hAnsi="Arial"/>
          <w:sz w:val="25"/>
          <w:szCs w:val="25"/>
          <w:b w:val="1"/>
          <w:bCs w:val="1"/>
          <w:color w:val="auto"/>
        </w:rPr>
        <w:t>+ 0.27%</w:t>
      </w:r>
      <w:r>
        <w:rPr>
          <w:sz w:val="20"/>
          <w:szCs w:val="20"/>
          <w:color w:val="auto"/>
        </w:rPr>
        <w:tab/>
      </w:r>
      <w:r>
        <w:rPr>
          <w:rFonts w:ascii="Arial" w:cs="Arial" w:eastAsia="Arial" w:hAnsi="Arial"/>
          <w:sz w:val="24"/>
          <w:szCs w:val="24"/>
          <w:b w:val="1"/>
          <w:bCs w:val="1"/>
          <w:color w:val="auto"/>
        </w:rPr>
        <w:t>- 0.43%</w:t>
      </w:r>
    </w:p>
    <w:p>
      <w:pPr>
        <w:spacing w:after="0" w:line="183" w:lineRule="auto"/>
        <w:tabs>
          <w:tab w:leader="none" w:pos="3020" w:val="left"/>
        </w:tabs>
        <w:rPr>
          <w:sz w:val="20"/>
          <w:szCs w:val="20"/>
          <w:color w:val="auto"/>
        </w:rPr>
      </w:pPr>
      <w:r>
        <w:rPr>
          <w:rFonts w:ascii="Arial" w:cs="Arial" w:eastAsia="Arial" w:hAnsi="Arial"/>
          <w:sz w:val="34"/>
          <w:szCs w:val="34"/>
          <w:b w:val="1"/>
          <w:bCs w:val="1"/>
          <w:color w:val="auto"/>
          <w:vertAlign w:val="subscript"/>
        </w:rPr>
        <w:t>18%</w:t>
      </w:r>
      <w:r>
        <w:rPr>
          <w:sz w:val="20"/>
          <w:szCs w:val="20"/>
          <w:color w:val="auto"/>
        </w:rPr>
        <w:tab/>
      </w:r>
      <w:r>
        <w:rPr>
          <w:rFonts w:ascii="Arial" w:cs="Arial" w:eastAsia="Arial" w:hAnsi="Arial"/>
          <w:sz w:val="19"/>
          <w:szCs w:val="19"/>
          <w:b w:val="1"/>
          <w:bCs w:val="1"/>
          <w:color w:val="auto"/>
        </w:rPr>
        <w:t>- 0.08%</w:t>
      </w:r>
    </w:p>
    <w:p>
      <w:pPr>
        <w:spacing w:after="0" w:line="108" w:lineRule="exact"/>
        <w:rPr>
          <w:sz w:val="20"/>
          <w:szCs w:val="20"/>
          <w:color w:val="auto"/>
        </w:rPr>
      </w:pPr>
    </w:p>
    <w:p>
      <w:pPr>
        <w:ind w:left="1140"/>
        <w:spacing w:after="0"/>
        <w:rPr>
          <w:sz w:val="20"/>
          <w:szCs w:val="20"/>
          <w:color w:val="auto"/>
        </w:rPr>
      </w:pPr>
      <w:r>
        <w:rPr>
          <w:rFonts w:ascii="Arial" w:cs="Arial" w:eastAsia="Arial" w:hAnsi="Arial"/>
          <w:sz w:val="25"/>
          <w:szCs w:val="25"/>
          <w:b w:val="1"/>
          <w:bCs w:val="1"/>
          <w:color w:val="FFFFFF"/>
        </w:rPr>
        <w:t>17.88%</w:t>
      </w:r>
    </w:p>
    <w:p>
      <w:pPr>
        <w:spacing w:after="0" w:line="25" w:lineRule="exact"/>
        <w:rPr>
          <w:sz w:val="20"/>
          <w:szCs w:val="20"/>
          <w:color w:val="auto"/>
        </w:rPr>
      </w:pPr>
    </w:p>
    <w:p>
      <w:pPr>
        <w:jc w:val="right"/>
        <w:ind w:right="700"/>
        <w:spacing w:after="0"/>
        <w:rPr>
          <w:sz w:val="20"/>
          <w:szCs w:val="20"/>
          <w:color w:val="auto"/>
        </w:rPr>
      </w:pPr>
      <w:r>
        <w:rPr>
          <w:rFonts w:ascii="Arial" w:cs="Arial" w:eastAsia="Arial" w:hAnsi="Arial"/>
          <w:sz w:val="25"/>
          <w:szCs w:val="25"/>
          <w:b w:val="1"/>
          <w:bCs w:val="1"/>
          <w:color w:val="FFFFFF"/>
        </w:rPr>
        <w:t>17.64%</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16%</w:t>
      </w:r>
    </w:p>
    <w:p>
      <w:pPr>
        <w:spacing w:after="0" w:line="40" w:lineRule="exact"/>
        <w:rPr>
          <w:sz w:val="20"/>
          <w:szCs w:val="20"/>
          <w:color w:val="auto"/>
        </w:rPr>
      </w:pPr>
    </w:p>
    <w:tbl>
      <w:tblPr>
        <w:tblLayout w:type="fixed"/>
        <w:tblInd w:w="1100" w:type="dxa"/>
        <w:tblCellMar>
          <w:top w:w="0" w:type="dxa"/>
          <w:left w:w="0" w:type="dxa"/>
          <w:bottom w:w="0" w:type="dxa"/>
          <w:right w:w="0" w:type="dxa"/>
        </w:tblCellMar>
      </w:tblPr>
      <w:tr>
        <w:trPr>
          <w:trHeight w:val="272"/>
        </w:trPr>
        <w:tc>
          <w:tcPr>
            <w:tcW w:w="1260" w:type="dxa"/>
            <w:vAlign w:val="bottom"/>
          </w:tcPr>
          <w:p>
            <w:pPr>
              <w:spacing w:after="0"/>
              <w:rPr>
                <w:sz w:val="20"/>
                <w:szCs w:val="20"/>
                <w:color w:val="auto"/>
              </w:rPr>
            </w:pPr>
            <w:r>
              <w:rPr>
                <w:rFonts w:ascii="Arial" w:cs="Arial" w:eastAsia="Arial" w:hAnsi="Arial"/>
                <w:sz w:val="22"/>
                <w:szCs w:val="22"/>
                <w:b w:val="1"/>
                <w:bCs w:val="1"/>
                <w:color w:val="auto"/>
              </w:rPr>
              <w:t>Q1 2006</w:t>
            </w:r>
          </w:p>
        </w:tc>
        <w:tc>
          <w:tcPr>
            <w:tcW w:w="2020" w:type="dxa"/>
            <w:vAlign w:val="bottom"/>
          </w:tcPr>
          <w:p>
            <w:pPr>
              <w:jc w:val="center"/>
              <w:spacing w:after="0"/>
              <w:rPr>
                <w:sz w:val="20"/>
                <w:szCs w:val="20"/>
                <w:color w:val="auto"/>
              </w:rPr>
            </w:pPr>
            <w:r>
              <w:rPr>
                <w:rFonts w:ascii="Arial" w:cs="Arial" w:eastAsia="Arial" w:hAnsi="Arial"/>
                <w:sz w:val="22"/>
                <w:szCs w:val="22"/>
                <w:b w:val="1"/>
                <w:bCs w:val="1"/>
                <w:color w:val="auto"/>
              </w:rPr>
              <w:t>Temporary</w:t>
            </w:r>
          </w:p>
        </w:tc>
        <w:tc>
          <w:tcPr>
            <w:tcW w:w="1840" w:type="dxa"/>
            <w:vAlign w:val="bottom"/>
          </w:tcPr>
          <w:p>
            <w:pPr>
              <w:jc w:val="center"/>
              <w:spacing w:after="0"/>
              <w:rPr>
                <w:sz w:val="20"/>
                <w:szCs w:val="20"/>
                <w:color w:val="auto"/>
              </w:rPr>
            </w:pPr>
            <w:r>
              <w:rPr>
                <w:rFonts w:ascii="Arial" w:cs="Arial" w:eastAsia="Arial" w:hAnsi="Arial"/>
                <w:sz w:val="22"/>
                <w:szCs w:val="22"/>
                <w:b w:val="1"/>
                <w:bCs w:val="1"/>
                <w:color w:val="auto"/>
              </w:rPr>
              <w:t>Permanent</w:t>
            </w:r>
          </w:p>
        </w:tc>
        <w:tc>
          <w:tcPr>
            <w:tcW w:w="2120" w:type="dxa"/>
            <w:vAlign w:val="bottom"/>
          </w:tcPr>
          <w:p>
            <w:pPr>
              <w:ind w:left="220"/>
              <w:spacing w:after="0"/>
              <w:rPr>
                <w:sz w:val="20"/>
                <w:szCs w:val="20"/>
                <w:color w:val="auto"/>
              </w:rPr>
            </w:pPr>
            <w:r>
              <w:rPr>
                <w:rFonts w:ascii="Arial" w:cs="Arial" w:eastAsia="Arial" w:hAnsi="Arial"/>
                <w:sz w:val="22"/>
                <w:szCs w:val="22"/>
                <w:b w:val="1"/>
                <w:bCs w:val="1"/>
                <w:color w:val="auto"/>
              </w:rPr>
              <w:t>Mix - Specialty</w:t>
            </w:r>
          </w:p>
        </w:tc>
        <w:tc>
          <w:tcPr>
            <w:tcW w:w="1200" w:type="dxa"/>
            <w:vAlign w:val="bottom"/>
          </w:tcPr>
          <w:p>
            <w:pPr>
              <w:ind w:left="340"/>
              <w:spacing w:after="0"/>
              <w:rPr>
                <w:sz w:val="20"/>
                <w:szCs w:val="20"/>
                <w:color w:val="auto"/>
              </w:rPr>
            </w:pPr>
            <w:r>
              <w:rPr>
                <w:rFonts w:ascii="Arial" w:cs="Arial" w:eastAsia="Arial" w:hAnsi="Arial"/>
                <w:sz w:val="22"/>
                <w:szCs w:val="22"/>
                <w:b w:val="1"/>
                <w:bCs w:val="1"/>
                <w:color w:val="auto"/>
                <w:w w:val="99"/>
              </w:rPr>
              <w:t>Q1 2007</w:t>
            </w:r>
          </w:p>
        </w:tc>
      </w:tr>
      <w:tr>
        <w:trPr>
          <w:trHeight w:val="296"/>
        </w:trPr>
        <w:tc>
          <w:tcPr>
            <w:tcW w:w="126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184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20"/>
          </w:cols>
          <w:pgMar w:left="860" w:top="459" w:right="8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rPr>
          <w:sz w:val="20"/>
          <w:szCs w:val="20"/>
          <w:color w:val="auto"/>
        </w:rPr>
      </w:pPr>
      <w:r>
        <w:rPr>
          <w:rFonts w:ascii="Arial" w:cs="Arial" w:eastAsia="Arial" w:hAnsi="Arial"/>
          <w:sz w:val="32"/>
          <w:szCs w:val="32"/>
          <w:color w:val="C8504F"/>
        </w:rPr>
        <w:t>(11%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5%</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$484M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22%</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$12M</w:t>
      </w:r>
    </w:p>
    <w:p>
      <w:pPr>
        <w:spacing w:after="0" w:line="200" w:lineRule="exact"/>
        <w:rPr>
          <w:sz w:val="20"/>
          <w:szCs w:val="20"/>
          <w:color w:val="auto"/>
        </w:rPr>
      </w:pPr>
    </w:p>
    <w:p>
      <w:pPr>
        <w:spacing w:after="0" w:line="399"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50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116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860"/>
          </w:cols>
          <w:pgMar w:left="1220" w:top="459" w:right="8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rPr>
          <w:sz w:val="20"/>
          <w:szCs w:val="20"/>
          <w:color w:val="auto"/>
        </w:rPr>
      </w:pPr>
      <w:r>
        <w:rPr>
          <w:rFonts w:ascii="Arial" w:cs="Arial" w:eastAsia="Arial" w:hAnsi="Arial"/>
          <w:sz w:val="32"/>
          <w:szCs w:val="32"/>
          <w:color w:val="D47C18"/>
        </w:rPr>
        <w:t>(33% of Revenue)</w:t>
      </w:r>
    </w:p>
    <w:p>
      <w:pPr>
        <w:spacing w:after="0" w:line="283"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ind w:left="2080"/>
        <w:spacing w:after="0" w:line="212" w:lineRule="auto"/>
        <w:tabs>
          <w:tab w:leader="none" w:pos="3400" w:val="left"/>
        </w:tabs>
        <w:rPr>
          <w:sz w:val="20"/>
          <w:szCs w:val="20"/>
          <w:color w:val="auto"/>
        </w:rPr>
      </w:pPr>
      <w:r>
        <w:rPr>
          <w:rFonts w:ascii="Arial" w:cs="Arial" w:eastAsia="Arial" w:hAnsi="Arial"/>
          <w:sz w:val="75"/>
          <w:szCs w:val="75"/>
          <w:color w:val="auto"/>
          <w:vertAlign w:val="superscript"/>
        </w:rPr>
        <w:t>20%</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$1.5B</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10% CC</w:t>
      </w:r>
    </w:p>
    <w:p>
      <w:pPr>
        <w:ind w:left="2040"/>
        <w:spacing w:after="0" w:line="182" w:lineRule="auto"/>
        <w:tabs>
          <w:tab w:leader="none" w:pos="3440" w:val="left"/>
        </w:tabs>
        <w:rPr>
          <w:sz w:val="20"/>
          <w:szCs w:val="20"/>
          <w:color w:val="auto"/>
        </w:rPr>
      </w:pPr>
      <w:r>
        <w:rPr>
          <w:rFonts w:ascii="Arial" w:cs="Arial" w:eastAsia="Arial" w:hAnsi="Arial"/>
          <w:sz w:val="66"/>
          <w:szCs w:val="66"/>
          <w:color w:val="auto"/>
          <w:vertAlign w:val="superscript"/>
        </w:rPr>
        <w:t>44%</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D47C18"/>
        </w:rPr>
        <w:t>$44M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33%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40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2.9%</w:t>
      </w:r>
    </w:p>
    <w:p>
      <w:pPr>
        <w:sectPr>
          <w:pgSz w:w="11900" w:h="16838" w:orient="portrait"/>
          <w:cols w:equalWidth="0" w:num="1">
            <w:col w:w="9860"/>
          </w:cols>
          <w:pgMar w:left="1220" w:top="459" w:right="8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5F81AA"/>
        </w:rPr>
        <w:t>Other EMEA Segment</w:t>
      </w:r>
    </w:p>
    <w:p>
      <w:pPr>
        <w:spacing w:after="0"/>
        <w:rPr>
          <w:sz w:val="20"/>
          <w:szCs w:val="20"/>
          <w:color w:val="auto"/>
        </w:rPr>
      </w:pPr>
      <w:r>
        <w:rPr>
          <w:rFonts w:ascii="Arial" w:cs="Arial" w:eastAsia="Arial" w:hAnsi="Arial"/>
          <w:sz w:val="32"/>
          <w:szCs w:val="32"/>
          <w:color w:val="5F81AA"/>
        </w:rPr>
        <w:t>(33% of Revenue)</w:t>
      </w:r>
    </w:p>
    <w:p>
      <w:pPr>
        <w:spacing w:after="0" w:line="259" w:lineRule="exact"/>
        <w:rPr>
          <w:sz w:val="20"/>
          <w:szCs w:val="20"/>
          <w:color w:val="auto"/>
        </w:rPr>
      </w:pPr>
    </w:p>
    <w:p>
      <w:pPr>
        <w:ind w:left="3540"/>
        <w:spacing w:after="0"/>
        <w:rPr>
          <w:sz w:val="20"/>
          <w:szCs w:val="20"/>
          <w:color w:val="auto"/>
        </w:rPr>
      </w:pPr>
      <w:r>
        <w:rPr>
          <w:rFonts w:ascii="Arial" w:cs="Arial" w:eastAsia="Arial" w:hAnsi="Arial"/>
          <w:sz w:val="41"/>
          <w:szCs w:val="41"/>
          <w:b w:val="1"/>
          <w:bCs w:val="1"/>
          <w:color w:val="auto"/>
        </w:rPr>
        <w:t>Q1 Financial Highlights</w:t>
      </w:r>
    </w:p>
    <w:p>
      <w:pPr>
        <w:ind w:left="2080"/>
        <w:spacing w:after="0" w:line="212" w:lineRule="auto"/>
        <w:tabs>
          <w:tab w:leader="none" w:pos="3480" w:val="left"/>
        </w:tabs>
        <w:rPr>
          <w:sz w:val="20"/>
          <w:szCs w:val="20"/>
          <w:color w:val="auto"/>
        </w:rPr>
      </w:pPr>
      <w:r>
        <w:rPr>
          <w:rFonts w:ascii="Arial" w:cs="Arial" w:eastAsia="Arial" w:hAnsi="Arial"/>
          <w:sz w:val="75"/>
          <w:szCs w:val="75"/>
          <w:color w:val="auto"/>
          <w:vertAlign w:val="superscript"/>
        </w:rPr>
        <w:t>28%</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$1.5B</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17% CC</w:t>
      </w:r>
    </w:p>
    <w:p>
      <w:pPr>
        <w:ind w:left="2020"/>
        <w:spacing w:after="0" w:line="182" w:lineRule="auto"/>
        <w:tabs>
          <w:tab w:leader="none" w:pos="3500" w:val="left"/>
        </w:tabs>
        <w:rPr>
          <w:sz w:val="20"/>
          <w:szCs w:val="20"/>
          <w:color w:val="auto"/>
        </w:rPr>
      </w:pPr>
      <w:r>
        <w:rPr>
          <w:rFonts w:ascii="Arial" w:cs="Arial" w:eastAsia="Arial" w:hAnsi="Arial"/>
          <w:sz w:val="66"/>
          <w:szCs w:val="66"/>
          <w:color w:val="auto"/>
          <w:vertAlign w:val="superscript"/>
        </w:rPr>
        <w:t>169%</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$37M</w:t>
      </w:r>
    </w:p>
    <w:p>
      <w:pPr>
        <w:spacing w:after="0" w:line="140" w:lineRule="exact"/>
        <w:rPr>
          <w:sz w:val="20"/>
          <w:szCs w:val="20"/>
          <w:color w:val="auto"/>
        </w:rPr>
      </w:pPr>
    </w:p>
    <w:p>
      <w:pPr>
        <w:ind w:left="1640"/>
        <w:spacing w:after="0"/>
        <w:rPr>
          <w:sz w:val="20"/>
          <w:szCs w:val="20"/>
          <w:color w:val="auto"/>
        </w:rPr>
      </w:pPr>
      <w:r>
        <w:rPr>
          <w:rFonts w:ascii="Arial" w:cs="Arial" w:eastAsia="Arial" w:hAnsi="Arial"/>
          <w:sz w:val="38"/>
          <w:szCs w:val="38"/>
          <w:color w:val="auto"/>
        </w:rPr>
        <w:t>144% CC</w:t>
      </w:r>
    </w:p>
    <w:p>
      <w:pPr>
        <w:spacing w:after="0" w:line="314" w:lineRule="exact"/>
        <w:rPr>
          <w:sz w:val="20"/>
          <w:szCs w:val="20"/>
          <w:color w:val="auto"/>
        </w:rPr>
      </w:pPr>
    </w:p>
    <w:p>
      <w:pPr>
        <w:ind w:left="1720"/>
        <w:spacing w:after="0"/>
        <w:tabs>
          <w:tab w:leader="none" w:pos="3500" w:val="left"/>
        </w:tabs>
        <w:rPr>
          <w:sz w:val="20"/>
          <w:szCs w:val="20"/>
          <w:color w:val="auto"/>
        </w:rPr>
      </w:pPr>
      <w:r>
        <w:rPr>
          <w:rFonts w:ascii="Arial" w:cs="Arial" w:eastAsia="Arial" w:hAnsi="Arial"/>
          <w:sz w:val="38"/>
          <w:szCs w:val="38"/>
          <w:color w:val="auto"/>
        </w:rPr>
        <w:t>130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2.5%</w:t>
      </w:r>
    </w:p>
    <w:p>
      <w:pPr>
        <w:sectPr>
          <w:pgSz w:w="11900" w:h="16838" w:orient="portrait"/>
          <w:cols w:equalWidth="0" w:num="1">
            <w:col w:w="9860"/>
          </w:cols>
          <w:pgMar w:left="1220" w:top="459"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7"/>
          <w:szCs w:val="47"/>
          <w:color w:val="6698C2"/>
        </w:rPr>
        <w:t>Other EMEA – Q1 Revenue Growth YoY</w:t>
      </w:r>
    </w:p>
    <w:p>
      <w:pPr>
        <w:sectPr>
          <w:pgSz w:w="11900" w:h="16838" w:orient="portrait"/>
          <w:cols w:equalWidth="0" w:num="1">
            <w:col w:w="9860"/>
          </w:cols>
          <w:pgMar w:left="1220" w:top="459" w:right="819" w:bottom="1440" w:gutter="0" w:footer="0" w:header="0"/>
        </w:sectPr>
      </w:pPr>
    </w:p>
    <w:p>
      <w:pPr>
        <w:spacing w:after="0" w:line="29" w:lineRule="exact"/>
        <w:rPr>
          <w:sz w:val="20"/>
          <w:szCs w:val="20"/>
          <w:color w:val="auto"/>
        </w:rPr>
      </w:pPr>
    </w:p>
    <w:p>
      <w:pPr>
        <w:ind w:left="180" w:right="1580" w:hanging="2"/>
        <w:spacing w:after="0" w:line="305" w:lineRule="auto"/>
        <w:tabs>
          <w:tab w:leader="none" w:pos="45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9" w:lineRule="exact"/>
        <w:rPr>
          <w:sz w:val="20"/>
          <w:szCs w:val="20"/>
          <w:color w:val="auto"/>
        </w:rPr>
      </w:pPr>
    </w:p>
    <w:p>
      <w:pPr>
        <w:ind w:left="240"/>
        <w:spacing w:after="0"/>
        <w:tabs>
          <w:tab w:leader="none" w:pos="2060" w:val="left"/>
        </w:tabs>
        <w:rPr>
          <w:sz w:val="20"/>
          <w:szCs w:val="20"/>
          <w:color w:val="auto"/>
        </w:rPr>
      </w:pPr>
      <w:r>
        <w:rPr>
          <w:rFonts w:ascii="Arial" w:cs="Arial" w:eastAsia="Arial" w:hAnsi="Arial"/>
          <w:sz w:val="27"/>
          <w:szCs w:val="27"/>
          <w:b w:val="1"/>
          <w:bCs w:val="1"/>
          <w:color w:val="D47C18"/>
        </w:rPr>
        <w:t>20%</w:t>
      </w:r>
      <w:r>
        <w:rPr>
          <w:sz w:val="20"/>
          <w:szCs w:val="20"/>
          <w:color w:val="auto"/>
        </w:rPr>
        <w:tab/>
      </w:r>
      <w:r>
        <w:rPr>
          <w:rFonts w:ascii="Arial" w:cs="Arial" w:eastAsia="Arial" w:hAnsi="Arial"/>
          <w:sz w:val="24"/>
          <w:szCs w:val="24"/>
          <w:b w:val="1"/>
          <w:bCs w:val="1"/>
          <w:color w:val="auto"/>
        </w:rPr>
        <w:t>Nordics</w:t>
      </w:r>
    </w:p>
    <w:p>
      <w:pPr>
        <w:spacing w:after="0" w:line="360"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27"/>
          <w:szCs w:val="27"/>
          <w:b w:val="1"/>
          <w:bCs w:val="1"/>
          <w:color w:val="D47C18"/>
        </w:rPr>
        <w:t>18%</w:t>
      </w:r>
      <w:r>
        <w:rPr>
          <w:sz w:val="20"/>
          <w:szCs w:val="20"/>
          <w:color w:val="auto"/>
        </w:rPr>
        <w:tab/>
      </w:r>
      <w:r>
        <w:rPr>
          <w:rFonts w:ascii="Arial" w:cs="Arial" w:eastAsia="Arial" w:hAnsi="Arial"/>
          <w:sz w:val="24"/>
          <w:szCs w:val="24"/>
          <w:b w:val="1"/>
          <w:bCs w:val="1"/>
          <w:color w:val="auto"/>
        </w:rPr>
        <w:t>UK - Manpower</w:t>
      </w:r>
    </w:p>
    <w:p>
      <w:pPr>
        <w:spacing w:after="0" w:line="360" w:lineRule="exact"/>
        <w:rPr>
          <w:sz w:val="20"/>
          <w:szCs w:val="20"/>
          <w:color w:val="auto"/>
        </w:rPr>
      </w:pPr>
    </w:p>
    <w:p>
      <w:pPr>
        <w:ind w:left="240"/>
        <w:spacing w:after="0"/>
        <w:tabs>
          <w:tab w:leader="none" w:pos="2460" w:val="left"/>
        </w:tabs>
        <w:rPr>
          <w:sz w:val="20"/>
          <w:szCs w:val="20"/>
          <w:color w:val="auto"/>
        </w:rPr>
      </w:pPr>
      <w:r>
        <w:rPr>
          <w:rFonts w:ascii="Arial" w:cs="Arial" w:eastAsia="Arial" w:hAnsi="Arial"/>
          <w:sz w:val="27"/>
          <w:szCs w:val="27"/>
          <w:b w:val="1"/>
          <w:bCs w:val="1"/>
          <w:color w:val="D47C18"/>
        </w:rPr>
        <w:t>14%</w:t>
      </w:r>
      <w:r>
        <w:rPr>
          <w:sz w:val="20"/>
          <w:szCs w:val="20"/>
          <w:color w:val="auto"/>
        </w:rPr>
        <w:tab/>
      </w:r>
      <w:r>
        <w:rPr>
          <w:rFonts w:ascii="Arial" w:cs="Arial" w:eastAsia="Arial" w:hAnsi="Arial"/>
          <w:sz w:val="24"/>
          <w:szCs w:val="24"/>
          <w:b w:val="1"/>
          <w:bCs w:val="1"/>
          <w:color w:val="auto"/>
        </w:rPr>
        <w:t>Elan</w:t>
      </w:r>
    </w:p>
    <w:p>
      <w:pPr>
        <w:spacing w:after="0" w:line="360" w:lineRule="exact"/>
        <w:rPr>
          <w:sz w:val="20"/>
          <w:szCs w:val="20"/>
          <w:color w:val="auto"/>
        </w:rPr>
      </w:pPr>
    </w:p>
    <w:p>
      <w:pPr>
        <w:ind w:left="240"/>
        <w:spacing w:after="0"/>
        <w:tabs>
          <w:tab w:leader="none" w:pos="1900" w:val="left"/>
        </w:tabs>
        <w:rPr>
          <w:sz w:val="20"/>
          <w:szCs w:val="20"/>
          <w:color w:val="auto"/>
        </w:rPr>
      </w:pPr>
      <w:r>
        <w:rPr>
          <w:rFonts w:ascii="Arial" w:cs="Arial" w:eastAsia="Arial" w:hAnsi="Arial"/>
          <w:sz w:val="27"/>
          <w:szCs w:val="27"/>
          <w:b w:val="1"/>
          <w:bCs w:val="1"/>
          <w:color w:val="D47C18"/>
        </w:rPr>
        <w:t>10%</w:t>
      </w:r>
      <w:r>
        <w:rPr>
          <w:sz w:val="20"/>
          <w:szCs w:val="20"/>
          <w:color w:val="auto"/>
        </w:rPr>
        <w:tab/>
      </w:r>
      <w:r>
        <w:rPr>
          <w:rFonts w:ascii="Arial" w:cs="Arial" w:eastAsia="Arial" w:hAnsi="Arial"/>
          <w:sz w:val="24"/>
          <w:szCs w:val="24"/>
          <w:b w:val="1"/>
          <w:bCs w:val="1"/>
          <w:color w:val="auto"/>
        </w:rPr>
        <w:t>Germany</w:t>
      </w:r>
    </w:p>
    <w:p>
      <w:pPr>
        <w:spacing w:after="0" w:line="371"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27"/>
          <w:szCs w:val="27"/>
          <w:b w:val="1"/>
          <w:bCs w:val="1"/>
          <w:color w:val="D47C18"/>
        </w:rPr>
        <w:t>9%</w:t>
      </w:r>
      <w:r>
        <w:rPr>
          <w:sz w:val="20"/>
          <w:szCs w:val="20"/>
          <w:color w:val="auto"/>
        </w:rPr>
        <w:tab/>
      </w:r>
      <w:r>
        <w:rPr>
          <w:rFonts w:ascii="Arial" w:cs="Arial" w:eastAsia="Arial" w:hAnsi="Arial"/>
          <w:sz w:val="24"/>
          <w:szCs w:val="24"/>
          <w:b w:val="1"/>
          <w:bCs w:val="1"/>
          <w:color w:val="auto"/>
        </w:rPr>
        <w:t>Netherlands</w:t>
      </w:r>
    </w:p>
    <w:p>
      <w:pPr>
        <w:spacing w:after="0" w:line="348" w:lineRule="exact"/>
        <w:rPr>
          <w:sz w:val="20"/>
          <w:szCs w:val="20"/>
          <w:color w:val="auto"/>
        </w:rPr>
      </w:pPr>
    </w:p>
    <w:p>
      <w:pPr>
        <w:ind w:left="400"/>
        <w:spacing w:after="0"/>
        <w:tabs>
          <w:tab w:leader="none" w:pos="2300" w:val="left"/>
        </w:tabs>
        <w:rPr>
          <w:sz w:val="20"/>
          <w:szCs w:val="20"/>
          <w:color w:val="auto"/>
        </w:rPr>
      </w:pPr>
      <w:r>
        <w:rPr>
          <w:rFonts w:ascii="Arial" w:cs="Arial" w:eastAsia="Arial" w:hAnsi="Arial"/>
          <w:sz w:val="27"/>
          <w:szCs w:val="27"/>
          <w:b w:val="1"/>
          <w:bCs w:val="1"/>
          <w:color w:val="D47C18"/>
        </w:rPr>
        <w:t>8%</w:t>
      </w:r>
      <w:r>
        <w:rPr>
          <w:sz w:val="20"/>
          <w:szCs w:val="20"/>
          <w:color w:val="auto"/>
        </w:rPr>
        <w:tab/>
      </w:r>
      <w:r>
        <w:rPr>
          <w:rFonts w:ascii="Arial" w:cs="Arial" w:eastAsia="Arial" w:hAnsi="Arial"/>
          <w:sz w:val="24"/>
          <w:szCs w:val="24"/>
          <w:b w:val="1"/>
          <w:bCs w:val="1"/>
          <w:color w:val="auto"/>
        </w:rPr>
        <w:t>Spain</w:t>
      </w:r>
    </w:p>
    <w:p>
      <w:pPr>
        <w:spacing w:after="0" w:line="371" w:lineRule="exact"/>
        <w:rPr>
          <w:sz w:val="20"/>
          <w:szCs w:val="20"/>
          <w:color w:val="auto"/>
        </w:rPr>
      </w:pPr>
    </w:p>
    <w:p>
      <w:pPr>
        <w:ind w:left="340"/>
        <w:spacing w:after="0"/>
        <w:tabs>
          <w:tab w:leader="none" w:pos="2300" w:val="left"/>
        </w:tabs>
        <w:rPr>
          <w:sz w:val="20"/>
          <w:szCs w:val="20"/>
          <w:color w:val="auto"/>
        </w:rPr>
      </w:pPr>
      <w:r>
        <w:rPr>
          <w:rFonts w:ascii="Arial" w:cs="Arial" w:eastAsia="Arial" w:hAnsi="Arial"/>
          <w:sz w:val="28"/>
          <w:szCs w:val="28"/>
          <w:b w:val="1"/>
          <w:bCs w:val="1"/>
          <w:color w:val="D47C18"/>
        </w:rPr>
        <w:t>21%</w:t>
      </w:r>
      <w:r>
        <w:rPr>
          <w:sz w:val="20"/>
          <w:szCs w:val="20"/>
          <w:color w:val="auto"/>
        </w:rPr>
        <w:tab/>
      </w:r>
      <w:r>
        <w:rPr>
          <w:rFonts w:ascii="Arial" w:cs="Arial" w:eastAsia="Arial" w:hAnsi="Arial"/>
          <w:sz w:val="25"/>
          <w:szCs w:val="25"/>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jc w:val="right"/>
        <w:ind w:right="900"/>
        <w:spacing w:after="0"/>
        <w:rPr>
          <w:sz w:val="20"/>
          <w:szCs w:val="20"/>
          <w:color w:val="auto"/>
        </w:rPr>
      </w:pPr>
      <w:r>
        <w:rPr>
          <w:rFonts w:ascii="Arial" w:cs="Arial" w:eastAsia="Arial" w:hAnsi="Arial"/>
          <w:sz w:val="21"/>
          <w:szCs w:val="21"/>
          <w:b w:val="1"/>
          <w:bCs w:val="1"/>
          <w:color w:val="FFFFFF"/>
        </w:rPr>
        <w:t>44%</w:t>
      </w:r>
    </w:p>
    <w:p>
      <w:pPr>
        <w:spacing w:after="0" w:line="41" w:lineRule="exact"/>
        <w:rPr>
          <w:sz w:val="20"/>
          <w:szCs w:val="20"/>
          <w:color w:val="auto"/>
        </w:rPr>
      </w:pPr>
    </w:p>
    <w:p>
      <w:pPr>
        <w:ind w:left="3060"/>
        <w:spacing w:after="0"/>
        <w:rPr>
          <w:sz w:val="20"/>
          <w:szCs w:val="20"/>
          <w:color w:val="auto"/>
        </w:rPr>
      </w:pPr>
      <w:r>
        <w:rPr>
          <w:rFonts w:ascii="Arial" w:cs="Arial" w:eastAsia="Arial" w:hAnsi="Arial"/>
          <w:sz w:val="21"/>
          <w:szCs w:val="21"/>
          <w:b w:val="1"/>
          <w:bCs w:val="1"/>
          <w:color w:val="FFFFFF"/>
        </w:rPr>
        <w:t>32%</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FFFFFF"/>
        </w:rPr>
        <w:t>17%</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5%</w:t>
      </w:r>
    </w:p>
    <w:p>
      <w:pPr>
        <w:spacing w:after="0" w:line="149" w:lineRule="exact"/>
        <w:rPr>
          <w:sz w:val="20"/>
          <w:szCs w:val="20"/>
          <w:color w:val="auto"/>
        </w:rPr>
      </w:pPr>
    </w:p>
    <w:p>
      <w:pPr>
        <w:ind w:left="1640"/>
        <w:spacing w:after="0"/>
        <w:rPr>
          <w:sz w:val="20"/>
          <w:szCs w:val="20"/>
          <w:color w:val="auto"/>
        </w:rPr>
      </w:pPr>
      <w:r>
        <w:rPr>
          <w:rFonts w:ascii="Arial" w:cs="Arial" w:eastAsia="Arial" w:hAnsi="Arial"/>
          <w:sz w:val="21"/>
          <w:szCs w:val="21"/>
          <w:b w:val="1"/>
          <w:bCs w:val="1"/>
          <w:color w:val="FFFFFF"/>
        </w:rPr>
        <w:t>20%</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FFFFFF"/>
        </w:rPr>
        <w:t>8%</w:t>
      </w:r>
    </w:p>
    <w:p>
      <w:pPr>
        <w:spacing w:after="0" w:line="158"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FFFFFF"/>
        </w:rPr>
        <w:t>33%</w:t>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FFFFFF"/>
        </w:rPr>
        <w:t>22%</w:t>
      </w:r>
    </w:p>
    <w:p>
      <w:pPr>
        <w:spacing w:after="0" w:line="149"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FFFFFF"/>
        </w:rPr>
        <w:t>33%</w:t>
      </w:r>
    </w:p>
    <w:p>
      <w:pPr>
        <w:spacing w:after="0" w:line="41"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FFFFFF"/>
        </w:rPr>
        <w:t>22%</w:t>
      </w:r>
    </w:p>
    <w:p>
      <w:pPr>
        <w:spacing w:after="0" w:line="158"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FFFFFF"/>
        </w:rPr>
        <w:t>29%</w:t>
      </w:r>
    </w:p>
    <w:p>
      <w:pPr>
        <w:spacing w:after="0" w:line="38"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FFFFFF"/>
        </w:rPr>
        <w:t>18%</w:t>
      </w:r>
    </w:p>
    <w:p>
      <w:pPr>
        <w:spacing w:after="0" w:line="149" w:lineRule="exact"/>
        <w:rPr>
          <w:sz w:val="20"/>
          <w:szCs w:val="20"/>
          <w:color w:val="auto"/>
        </w:rPr>
      </w:pPr>
    </w:p>
    <w:p>
      <w:pPr>
        <w:ind w:left="2460"/>
        <w:spacing w:after="0"/>
        <w:rPr>
          <w:sz w:val="20"/>
          <w:szCs w:val="20"/>
          <w:color w:val="auto"/>
        </w:rPr>
      </w:pPr>
      <w:r>
        <w:rPr>
          <w:rFonts w:ascii="Arial" w:cs="Arial" w:eastAsia="Arial" w:hAnsi="Arial"/>
          <w:sz w:val="21"/>
          <w:szCs w:val="21"/>
          <w:b w:val="1"/>
          <w:bCs w:val="1"/>
          <w:color w:val="FFFFFF"/>
        </w:rPr>
        <w:t>27%</w:t>
      </w:r>
    </w:p>
    <w:p>
      <w:pPr>
        <w:spacing w:after="0" w:line="41"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FFFFFF"/>
        </w:rPr>
        <w:t>17%</w:t>
      </w:r>
    </w:p>
    <w:p>
      <w:pPr>
        <w:spacing w:after="0" w:line="200" w:lineRule="exact"/>
        <w:rPr>
          <w:sz w:val="20"/>
          <w:szCs w:val="20"/>
          <w:color w:val="auto"/>
        </w:rPr>
      </w:pPr>
    </w:p>
    <w:p>
      <w:pPr>
        <w:sectPr>
          <w:pgSz w:w="11900" w:h="16838" w:orient="portrait"/>
          <w:cols w:equalWidth="0" w:num="2">
            <w:col w:w="3320" w:space="720"/>
            <w:col w:w="5820"/>
          </w:cols>
          <w:pgMar w:left="1220" w:top="459" w:right="819" w:bottom="1440" w:gutter="0" w:footer="0" w:header="0"/>
          <w:type w:val="continuous"/>
        </w:sectPr>
      </w:pPr>
    </w:p>
    <w:p>
      <w:pPr>
        <w:spacing w:after="0" w:line="204" w:lineRule="exact"/>
        <w:rPr>
          <w:sz w:val="20"/>
          <w:szCs w:val="20"/>
          <w:color w:val="auto"/>
        </w:rPr>
      </w:pPr>
    </w:p>
    <w:p>
      <w:pPr>
        <w:ind w:left="3280"/>
        <w:spacing w:after="0"/>
        <w:tabs>
          <w:tab w:leader="none" w:pos="552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60"/>
          </w:cols>
          <w:pgMar w:left="1220" w:top="459" w:right="8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361"/>
        </w:trPr>
        <w:tc>
          <w:tcPr>
            <w:tcW w:w="682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7"/>
          <w:szCs w:val="47"/>
          <w:color w:val="7EA190"/>
        </w:rPr>
        <w:t>Italy Segment</w:t>
      </w:r>
    </w:p>
    <w:p>
      <w:pPr>
        <w:spacing w:after="0"/>
        <w:rPr>
          <w:sz w:val="20"/>
          <w:szCs w:val="20"/>
          <w:color w:val="auto"/>
        </w:rPr>
      </w:pPr>
      <w:r>
        <w:rPr>
          <w:rFonts w:ascii="Arial" w:cs="Arial" w:eastAsia="Arial" w:hAnsi="Arial"/>
          <w:sz w:val="32"/>
          <w:szCs w:val="32"/>
          <w:color w:val="7EA190"/>
        </w:rPr>
        <w:t>(7%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ind w:left="208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26%</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7EA190"/>
        </w:rPr>
        <w:t>$305M</w:t>
      </w:r>
    </w:p>
    <w:p>
      <w:pPr>
        <w:ind w:left="1700"/>
        <w:spacing w:after="0"/>
        <w:rPr>
          <w:sz w:val="20"/>
          <w:szCs w:val="20"/>
          <w:color w:val="auto"/>
        </w:rPr>
      </w:pPr>
      <w:r>
        <w:rPr>
          <w:rFonts w:ascii="Arial" w:cs="Arial" w:eastAsia="Arial" w:hAnsi="Arial"/>
          <w:sz w:val="38"/>
          <w:szCs w:val="38"/>
          <w:color w:val="auto"/>
        </w:rPr>
        <w:t>15% CC</w:t>
      </w:r>
    </w:p>
    <w:p>
      <w:pPr>
        <w:ind w:left="21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75%</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7EA190"/>
        </w:rPr>
        <w:t>$16M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60% CC</w:t>
      </w:r>
    </w:p>
    <w:p>
      <w:pPr>
        <w:spacing w:after="0" w:line="326"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150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5.4%</w:t>
      </w:r>
    </w:p>
    <w:p>
      <w:pPr>
        <w:sectPr>
          <w:pgSz w:w="11900" w:h="16838" w:orient="portrait"/>
          <w:cols w:equalWidth="0" w:num="1">
            <w:col w:w="9860"/>
          </w:cols>
          <w:pgMar w:left="1220" w:top="459" w:right="819" w:bottom="1440" w:gutter="0" w:footer="0" w:header="0"/>
        </w:sectPr>
      </w:pPr>
    </w:p>
    <w:bookmarkStart w:id="19" w:name="page20"/>
    <w:bookmarkEnd w:id="19"/>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47"/>
          <w:szCs w:val="47"/>
          <w:color w:val="C8504F"/>
        </w:rPr>
        <w:t>Jefferson Wells Segment</w:t>
      </w:r>
    </w:p>
    <w:p>
      <w:pPr>
        <w:ind w:left="20"/>
        <w:spacing w:after="0"/>
        <w:rPr>
          <w:sz w:val="20"/>
          <w:szCs w:val="20"/>
          <w:color w:val="auto"/>
        </w:rPr>
      </w:pPr>
      <w:r>
        <w:rPr>
          <w:rFonts w:ascii="Arial" w:cs="Arial" w:eastAsia="Arial" w:hAnsi="Arial"/>
          <w:sz w:val="32"/>
          <w:szCs w:val="32"/>
          <w:color w:val="C8504F"/>
        </w:rPr>
        <w:t>(2%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spacing w:after="0" w:line="200" w:lineRule="exact"/>
        <w:rPr>
          <w:sz w:val="20"/>
          <w:szCs w:val="20"/>
          <w:color w:val="auto"/>
        </w:rPr>
      </w:pPr>
    </w:p>
    <w:p>
      <w:pPr>
        <w:spacing w:after="0" w:line="255" w:lineRule="exact"/>
        <w:rPr>
          <w:sz w:val="20"/>
          <w:szCs w:val="20"/>
          <w:color w:val="auto"/>
        </w:rPr>
      </w:pPr>
    </w:p>
    <w:p>
      <w:pPr>
        <w:ind w:left="2080"/>
        <w:spacing w:after="0"/>
        <w:tabs>
          <w:tab w:leader="none" w:pos="3400" w:val="left"/>
        </w:tabs>
        <w:rPr>
          <w:sz w:val="20"/>
          <w:szCs w:val="20"/>
          <w:color w:val="auto"/>
        </w:rPr>
      </w:pPr>
      <w:r>
        <w:rPr>
          <w:rFonts w:ascii="Arial" w:cs="Arial" w:eastAsia="Arial" w:hAnsi="Arial"/>
          <w:sz w:val="38"/>
          <w:szCs w:val="38"/>
          <w:color w:val="auto"/>
        </w:rPr>
        <w:t>15%</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$81M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00"/>
        <w:spacing w:after="0"/>
        <w:tabs>
          <w:tab w:leader="none" w:pos="3440" w:val="left"/>
          <w:tab w:leader="none" w:pos="4740" w:val="left"/>
        </w:tabs>
        <w:rPr>
          <w:sz w:val="20"/>
          <w:szCs w:val="20"/>
          <w:color w:val="auto"/>
        </w:rPr>
      </w:pPr>
      <w:r>
        <w:rPr>
          <w:rFonts w:ascii="Arial" w:cs="Arial" w:eastAsia="Arial" w:hAnsi="Arial"/>
          <w:sz w:val="38"/>
          <w:szCs w:val="38"/>
          <w:color w:val="auto"/>
        </w:rPr>
        <w:t>82%</w:t>
      </w:r>
      <w:r>
        <w:rPr>
          <w:sz w:val="20"/>
          <w:szCs w:val="20"/>
          <w:color w:val="auto"/>
        </w:rPr>
        <w:tab/>
      </w:r>
      <w:r>
        <w:rPr>
          <w:rFonts w:ascii="Arial" w:cs="Arial" w:eastAsia="Arial" w:hAnsi="Arial"/>
          <w:sz w:val="41"/>
          <w:szCs w:val="41"/>
          <w:b w:val="1"/>
          <w:bCs w:val="1"/>
          <w:color w:val="auto"/>
        </w:rPr>
        <w:t>OUP</w:t>
      </w:r>
      <w:r>
        <w:rPr>
          <w:sz w:val="20"/>
          <w:szCs w:val="20"/>
          <w:color w:val="auto"/>
        </w:rPr>
        <w:tab/>
      </w:r>
      <w:r>
        <w:rPr>
          <w:rFonts w:ascii="Arial" w:cs="Arial" w:eastAsia="Arial" w:hAnsi="Arial"/>
          <w:sz w:val="42"/>
          <w:szCs w:val="42"/>
          <w:b w:val="1"/>
          <w:bCs w:val="1"/>
          <w:color w:val="C8504F"/>
        </w:rPr>
        <w:t>$1M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480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1.2%</w:t>
      </w:r>
    </w:p>
    <w:p>
      <w:pPr>
        <w:sectPr>
          <w:pgSz w:w="11900" w:h="16838" w:orient="portrait"/>
          <w:cols w:equalWidth="0" w:num="1">
            <w:col w:w="9860"/>
          </w:cols>
          <w:pgMar w:left="1220" w:top="459" w:right="819" w:bottom="1440" w:gutter="0" w:footer="0" w:header="0"/>
          <w:type w:val="continuous"/>
        </w:sectPr>
      </w:pPr>
    </w:p>
    <w:bookmarkStart w:id="20" w:name="page21"/>
    <w:bookmarkEnd w:id="20"/>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11</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47"/>
          <w:szCs w:val="47"/>
          <w:color w:val="D47C18"/>
        </w:rPr>
        <w:t>Right Management Segment</w:t>
      </w:r>
    </w:p>
    <w:p>
      <w:pPr>
        <w:spacing w:after="0"/>
        <w:rPr>
          <w:sz w:val="20"/>
          <w:szCs w:val="20"/>
          <w:color w:val="auto"/>
        </w:rPr>
      </w:pPr>
      <w:r>
        <w:rPr>
          <w:rFonts w:ascii="Arial" w:cs="Arial" w:eastAsia="Arial" w:hAnsi="Arial"/>
          <w:sz w:val="32"/>
          <w:szCs w:val="32"/>
          <w:color w:val="D47C18"/>
        </w:rPr>
        <w:t>(2%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ind w:left="2240"/>
        <w:spacing w:after="0" w:line="222" w:lineRule="auto"/>
        <w:tabs>
          <w:tab w:leader="none" w:pos="3400" w:val="left"/>
        </w:tabs>
        <w:rPr>
          <w:sz w:val="20"/>
          <w:szCs w:val="20"/>
          <w:color w:val="auto"/>
        </w:rPr>
      </w:pPr>
      <w:r>
        <w:rPr>
          <w:rFonts w:ascii="Arial" w:cs="Arial" w:eastAsia="Arial" w:hAnsi="Arial"/>
          <w:sz w:val="75"/>
          <w:szCs w:val="75"/>
          <w:color w:val="auto"/>
          <w:vertAlign w:val="superscript"/>
        </w:rPr>
        <w:t>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$94M</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5% CC</w:t>
      </w:r>
    </w:p>
    <w:p>
      <w:pPr>
        <w:ind w:left="2120"/>
        <w:spacing w:after="0" w:line="182" w:lineRule="auto"/>
        <w:tabs>
          <w:tab w:leader="none" w:pos="3440" w:val="left"/>
        </w:tabs>
        <w:rPr>
          <w:sz w:val="20"/>
          <w:szCs w:val="20"/>
          <w:color w:val="auto"/>
        </w:rPr>
      </w:pPr>
      <w:r>
        <w:rPr>
          <w:rFonts w:ascii="Arial" w:cs="Arial" w:eastAsia="Arial" w:hAnsi="Arial"/>
          <w:sz w:val="66"/>
          <w:szCs w:val="66"/>
          <w:color w:val="auto"/>
          <w:vertAlign w:val="superscript"/>
        </w:rPr>
        <w:t>32%</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D47C18"/>
        </w:rPr>
        <w:t>$6M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29% CC</w:t>
      </w:r>
    </w:p>
    <w:p>
      <w:pPr>
        <w:spacing w:after="0" w:line="291" w:lineRule="exact"/>
        <w:rPr>
          <w:sz w:val="20"/>
          <w:szCs w:val="20"/>
          <w:color w:val="auto"/>
        </w:rPr>
      </w:pPr>
    </w:p>
    <w:p>
      <w:pPr>
        <w:ind w:left="1740"/>
        <w:spacing w:after="0"/>
        <w:tabs>
          <w:tab w:leader="none" w:pos="3420" w:val="left"/>
        </w:tabs>
        <w:rPr>
          <w:sz w:val="20"/>
          <w:szCs w:val="20"/>
          <w:color w:val="auto"/>
        </w:rPr>
      </w:pPr>
      <w:r>
        <w:rPr>
          <w:rFonts w:ascii="Arial" w:cs="Arial" w:eastAsia="Arial" w:hAnsi="Arial"/>
          <w:sz w:val="38"/>
          <w:szCs w:val="38"/>
          <w:color w:val="auto"/>
        </w:rPr>
        <w:t>160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6.5%</w:t>
      </w:r>
    </w:p>
    <w:p>
      <w:pPr>
        <w:sectPr>
          <w:pgSz w:w="11900" w:h="16838" w:orient="portrait"/>
          <w:cols w:equalWidth="0" w:num="1">
            <w:col w:w="9860"/>
          </w:cols>
          <w:pgMar w:left="1220" w:top="459" w:right="81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361"/>
        </w:trPr>
        <w:tc>
          <w:tcPr>
            <w:tcW w:w="676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47"/>
          <w:szCs w:val="47"/>
          <w:color w:val="5F81AA"/>
        </w:rPr>
        <w:t>Other Operations Segment</w:t>
      </w:r>
    </w:p>
    <w:p>
      <w:pPr>
        <w:spacing w:after="0"/>
        <w:rPr>
          <w:sz w:val="20"/>
          <w:szCs w:val="20"/>
          <w:color w:val="auto"/>
        </w:rPr>
      </w:pPr>
      <w:r>
        <w:rPr>
          <w:rFonts w:ascii="Arial" w:cs="Arial" w:eastAsia="Arial" w:hAnsi="Arial"/>
          <w:sz w:val="32"/>
          <w:szCs w:val="32"/>
          <w:color w:val="5F81AA"/>
        </w:rPr>
        <w:t>(12%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Q1 Financial Highlights</w:t>
      </w:r>
    </w:p>
    <w:p>
      <w:pPr>
        <w:ind w:left="214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11%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$603M</w:t>
      </w:r>
    </w:p>
    <w:p>
      <w:pPr>
        <w:ind w:left="1700"/>
        <w:spacing w:after="0"/>
        <w:rPr>
          <w:sz w:val="20"/>
          <w:szCs w:val="20"/>
          <w:color w:val="auto"/>
        </w:rPr>
      </w:pPr>
      <w:r>
        <w:rPr>
          <w:rFonts w:ascii="Arial" w:cs="Arial" w:eastAsia="Arial" w:hAnsi="Arial"/>
          <w:sz w:val="38"/>
          <w:szCs w:val="38"/>
          <w:color w:val="auto"/>
        </w:rPr>
        <w:t>11% CC</w:t>
      </w:r>
    </w:p>
    <w:p>
      <w:pPr>
        <w:ind w:left="21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28%</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$13M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28% CC</w:t>
      </w:r>
    </w:p>
    <w:p>
      <w:pPr>
        <w:spacing w:after="0" w:line="326"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110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2.1%</w:t>
      </w:r>
    </w:p>
    <w:p>
      <w:pPr>
        <w:sectPr>
          <w:pgSz w:w="11900" w:h="16838" w:orient="portrait"/>
          <w:cols w:equalWidth="0" w:num="1">
            <w:col w:w="9860"/>
          </w:cols>
          <w:pgMar w:left="1220" w:top="459" w:right="819" w:bottom="1440" w:gutter="0" w:footer="0" w:header="0"/>
        </w:sectPr>
      </w:pPr>
    </w:p>
    <w:bookmarkStart w:id="22" w:name="page23"/>
    <w:bookmarkEnd w:id="22"/>
    <w:tbl>
      <w:tblPr>
        <w:tblLayout w:type="fixed"/>
        <w:tblInd w:w="22" w:type="dxa"/>
        <w:tblCellMar>
          <w:top w:w="0" w:type="dxa"/>
          <w:left w:w="0" w:type="dxa"/>
          <w:bottom w:w="0" w:type="dxa"/>
          <w:right w:w="0" w:type="dxa"/>
        </w:tblCellMar>
      </w:tblPr>
      <w:tr>
        <w:trPr>
          <w:trHeight w:val="361"/>
        </w:trPr>
        <w:tc>
          <w:tcPr>
            <w:tcW w:w="676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
        <w:spacing w:after="0"/>
        <w:rPr>
          <w:sz w:val="20"/>
          <w:szCs w:val="20"/>
          <w:color w:val="auto"/>
        </w:rPr>
      </w:pPr>
      <w:r>
        <w:rPr>
          <w:rFonts w:ascii="Arial" w:cs="Arial" w:eastAsia="Arial" w:hAnsi="Arial"/>
          <w:sz w:val="47"/>
          <w:szCs w:val="47"/>
          <w:color w:val="6698C2"/>
        </w:rPr>
        <w:t>Other Operations – Q1 Revenue Growth YoY</w:t>
      </w:r>
    </w:p>
    <w:p>
      <w:pPr>
        <w:spacing w:after="0" w:line="29" w:lineRule="exact"/>
        <w:rPr>
          <w:sz w:val="20"/>
          <w:szCs w:val="20"/>
          <w:color w:val="auto"/>
        </w:rPr>
      </w:pPr>
    </w:p>
    <w:p>
      <w:pPr>
        <w:ind w:left="2" w:right="8320" w:hanging="2"/>
        <w:spacing w:after="0" w:line="291" w:lineRule="auto"/>
        <w:tabs>
          <w:tab w:leader="none" w:pos="27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94"/>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35%</w:t>
            </w:r>
          </w:p>
        </w:tc>
        <w:tc>
          <w:tcPr>
            <w:tcW w:w="1920" w:type="dxa"/>
            <w:vAlign w:val="bottom"/>
            <w:vMerge w:val="restart"/>
          </w:tcPr>
          <w:p>
            <w:pPr>
              <w:jc w:val="center"/>
              <w:ind w:left="631"/>
              <w:spacing w:after="0"/>
              <w:rPr>
                <w:sz w:val="20"/>
                <w:szCs w:val="20"/>
                <w:color w:val="auto"/>
              </w:rPr>
            </w:pPr>
            <w:r>
              <w:rPr>
                <w:rFonts w:ascii="Arial" w:cs="Arial" w:eastAsia="Arial" w:hAnsi="Arial"/>
                <w:sz w:val="26"/>
                <w:szCs w:val="26"/>
                <w:b w:val="1"/>
                <w:bCs w:val="1"/>
                <w:color w:val="auto"/>
              </w:rPr>
              <w:t>Japan</w:t>
            </w:r>
          </w:p>
        </w:tc>
        <w:tc>
          <w:tcPr>
            <w:tcW w:w="5920" w:type="dxa"/>
            <w:vAlign w:val="bottom"/>
          </w:tcPr>
          <w:p>
            <w:pPr>
              <w:jc w:val="right"/>
              <w:ind w:right="5322"/>
              <w:spacing w:after="0"/>
              <w:rPr>
                <w:sz w:val="20"/>
                <w:szCs w:val="20"/>
                <w:color w:val="auto"/>
              </w:rPr>
            </w:pPr>
            <w:r>
              <w:rPr>
                <w:rFonts w:ascii="Arial" w:cs="Arial" w:eastAsia="Arial" w:hAnsi="Arial"/>
                <w:sz w:val="24"/>
                <w:szCs w:val="24"/>
                <w:b w:val="1"/>
                <w:bCs w:val="1"/>
                <w:color w:val="FFFFFF"/>
              </w:rPr>
              <w:t>2%</w:t>
            </w: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920" w:type="dxa"/>
            <w:vAlign w:val="bottom"/>
            <w:vMerge w:val="restart"/>
          </w:tcPr>
          <w:p>
            <w:pPr>
              <w:jc w:val="right"/>
              <w:ind w:right="4882"/>
              <w:spacing w:after="0"/>
              <w:rPr>
                <w:sz w:val="20"/>
                <w:szCs w:val="20"/>
                <w:color w:val="auto"/>
              </w:rPr>
            </w:pPr>
            <w:r>
              <w:rPr>
                <w:rFonts w:ascii="Arial" w:cs="Arial" w:eastAsia="Arial" w:hAnsi="Arial"/>
                <w:sz w:val="24"/>
                <w:szCs w:val="24"/>
                <w:b w:val="1"/>
                <w:bCs w:val="1"/>
                <w:color w:val="FFFFFF"/>
              </w:rPr>
              <w:t>4%</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7"/>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16%</w:t>
            </w:r>
          </w:p>
        </w:tc>
        <w:tc>
          <w:tcPr>
            <w:tcW w:w="1920" w:type="dxa"/>
            <w:vAlign w:val="bottom"/>
            <w:vMerge w:val="restart"/>
          </w:tcPr>
          <w:p>
            <w:pPr>
              <w:ind w:left="260"/>
              <w:spacing w:after="0"/>
              <w:rPr>
                <w:sz w:val="20"/>
                <w:szCs w:val="20"/>
                <w:color w:val="auto"/>
              </w:rPr>
            </w:pPr>
            <w:r>
              <w:rPr>
                <w:rFonts w:ascii="Arial" w:cs="Arial" w:eastAsia="Arial" w:hAnsi="Arial"/>
                <w:sz w:val="26"/>
                <w:szCs w:val="26"/>
                <w:b w:val="1"/>
                <w:bCs w:val="1"/>
                <w:color w:val="auto"/>
              </w:rPr>
              <w:t>Australia/NZ</w:t>
            </w:r>
          </w:p>
        </w:tc>
        <w:tc>
          <w:tcPr>
            <w:tcW w:w="5920" w:type="dxa"/>
            <w:vAlign w:val="bottom"/>
          </w:tcPr>
          <w:p>
            <w:pPr>
              <w:jc w:val="right"/>
              <w:ind w:right="3502"/>
              <w:spacing w:after="0"/>
              <w:rPr>
                <w:sz w:val="20"/>
                <w:szCs w:val="20"/>
                <w:color w:val="auto"/>
              </w:rPr>
            </w:pPr>
            <w:r>
              <w:rPr>
                <w:rFonts w:ascii="Arial" w:cs="Arial" w:eastAsia="Arial" w:hAnsi="Arial"/>
                <w:sz w:val="24"/>
                <w:szCs w:val="24"/>
                <w:b w:val="1"/>
                <w:bCs w:val="1"/>
                <w:color w:val="FFFFFF"/>
              </w:rPr>
              <w:t>10%</w:t>
            </w: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920" w:type="dxa"/>
            <w:vAlign w:val="bottom"/>
            <w:vMerge w:val="restart"/>
          </w:tcPr>
          <w:p>
            <w:pPr>
              <w:jc w:val="right"/>
              <w:ind w:right="5102"/>
              <w:spacing w:after="0"/>
              <w:rPr>
                <w:sz w:val="20"/>
                <w:szCs w:val="20"/>
                <w:color w:val="auto"/>
              </w:rPr>
            </w:pPr>
            <w:r>
              <w:rPr>
                <w:rFonts w:ascii="Arial" w:cs="Arial" w:eastAsia="Arial" w:hAnsi="Arial"/>
                <w:sz w:val="24"/>
                <w:szCs w:val="24"/>
                <w:b w:val="1"/>
                <w:bCs w:val="1"/>
                <w:color w:val="FFFFFF"/>
              </w:rPr>
              <w:t>3%</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2"/>
        </w:trPr>
        <w:tc>
          <w:tcPr>
            <w:tcW w:w="84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20" w:type="dxa"/>
            <w:vAlign w:val="bottom"/>
            <w:vMerge w:val="restart"/>
          </w:tcPr>
          <w:p>
            <w:pPr>
              <w:jc w:val="center"/>
              <w:ind w:left="551"/>
              <w:spacing w:after="0"/>
              <w:rPr>
                <w:sz w:val="20"/>
                <w:szCs w:val="20"/>
                <w:color w:val="auto"/>
              </w:rPr>
            </w:pPr>
            <w:r>
              <w:rPr>
                <w:rFonts w:ascii="Arial" w:cs="Arial" w:eastAsia="Arial" w:hAnsi="Arial"/>
                <w:sz w:val="26"/>
                <w:szCs w:val="26"/>
                <w:b w:val="1"/>
                <w:bCs w:val="1"/>
                <w:color w:val="auto"/>
                <w:w w:val="99"/>
              </w:rPr>
              <w:t>Mexico</w:t>
            </w:r>
          </w:p>
        </w:tc>
        <w:tc>
          <w:tcPr>
            <w:tcW w:w="5920" w:type="dxa"/>
            <w:vAlign w:val="bottom"/>
          </w:tcPr>
          <w:p>
            <w:pPr>
              <w:jc w:val="right"/>
              <w:ind w:right="4882"/>
              <w:spacing w:after="0"/>
              <w:rPr>
                <w:sz w:val="20"/>
                <w:szCs w:val="20"/>
                <w:color w:val="auto"/>
              </w:rPr>
            </w:pPr>
            <w:r>
              <w:rPr>
                <w:rFonts w:ascii="Arial" w:cs="Arial" w:eastAsia="Arial" w:hAnsi="Arial"/>
                <w:sz w:val="24"/>
                <w:szCs w:val="24"/>
                <w:b w:val="1"/>
                <w:bCs w:val="1"/>
                <w:color w:val="FFFFFF"/>
              </w:rPr>
              <w:t>4%</w:t>
            </w: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5920" w:type="dxa"/>
            <w:vAlign w:val="bottom"/>
            <w:vMerge w:val="restart"/>
          </w:tcPr>
          <w:p>
            <w:pPr>
              <w:jc w:val="right"/>
              <w:ind w:right="4002"/>
              <w:spacing w:after="0"/>
              <w:rPr>
                <w:sz w:val="20"/>
                <w:szCs w:val="20"/>
                <w:color w:val="auto"/>
              </w:rPr>
            </w:pPr>
            <w:r>
              <w:rPr>
                <w:rFonts w:ascii="Arial" w:cs="Arial" w:eastAsia="Arial" w:hAnsi="Arial"/>
                <w:sz w:val="24"/>
                <w:szCs w:val="24"/>
                <w:b w:val="1"/>
                <w:bCs w:val="1"/>
                <w:color w:val="FFFFFF"/>
              </w:rPr>
              <w:t>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5"/>
        </w:trPr>
        <w:tc>
          <w:tcPr>
            <w:tcW w:w="84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34%</w:t>
            </w:r>
          </w:p>
        </w:tc>
        <w:tc>
          <w:tcPr>
            <w:tcW w:w="1920" w:type="dxa"/>
            <w:vAlign w:val="bottom"/>
            <w:vMerge w:val="restart"/>
          </w:tcPr>
          <w:p>
            <w:pPr>
              <w:jc w:val="center"/>
              <w:ind w:left="691"/>
              <w:spacing w:after="0"/>
              <w:rPr>
                <w:sz w:val="20"/>
                <w:szCs w:val="20"/>
                <w:color w:val="auto"/>
              </w:rPr>
            </w:pPr>
            <w:r>
              <w:rPr>
                <w:rFonts w:ascii="Arial" w:cs="Arial" w:eastAsia="Arial" w:hAnsi="Arial"/>
                <w:sz w:val="26"/>
                <w:szCs w:val="26"/>
                <w:b w:val="1"/>
                <w:bCs w:val="1"/>
                <w:color w:val="auto"/>
              </w:rPr>
              <w:t>Other</w:t>
            </w:r>
          </w:p>
        </w:tc>
        <w:tc>
          <w:tcPr>
            <w:tcW w:w="5920" w:type="dxa"/>
            <w:vAlign w:val="bottom"/>
          </w:tcPr>
          <w:p>
            <w:pPr>
              <w:jc w:val="right"/>
              <w:spacing w:after="0"/>
              <w:rPr>
                <w:sz w:val="20"/>
                <w:szCs w:val="20"/>
                <w:color w:val="auto"/>
              </w:rPr>
            </w:pPr>
            <w:r>
              <w:rPr>
                <w:rFonts w:ascii="Arial" w:cs="Arial" w:eastAsia="Arial" w:hAnsi="Arial"/>
                <w:sz w:val="24"/>
                <w:szCs w:val="24"/>
                <w:b w:val="1"/>
                <w:bCs w:val="1"/>
                <w:color w:val="FFFFFF"/>
              </w:rPr>
              <w:t>26%</w:t>
            </w: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5920" w:type="dxa"/>
            <w:vAlign w:val="bottom"/>
            <w:vMerge w:val="restart"/>
          </w:tcPr>
          <w:p>
            <w:pPr>
              <w:jc w:val="right"/>
              <w:ind w:right="322"/>
              <w:spacing w:after="0"/>
              <w:rPr>
                <w:sz w:val="20"/>
                <w:szCs w:val="20"/>
                <w:color w:val="auto"/>
              </w:rPr>
            </w:pPr>
            <w:r>
              <w:rPr>
                <w:rFonts w:ascii="Arial" w:cs="Arial" w:eastAsia="Arial" w:hAnsi="Arial"/>
                <w:sz w:val="24"/>
                <w:szCs w:val="24"/>
                <w:b w:val="1"/>
                <w:bCs w:val="1"/>
                <w:color w:val="FFFFFF"/>
              </w:rPr>
              <w:t>24%</w:t>
            </w:r>
          </w:p>
        </w:tc>
        <w:tc>
          <w:tcPr>
            <w:tcW w:w="0" w:type="dxa"/>
            <w:vAlign w:val="bottom"/>
          </w:tcPr>
          <w:p>
            <w:pPr>
              <w:spacing w:after="0"/>
              <w:rPr>
                <w:sz w:val="1"/>
                <w:szCs w:val="1"/>
                <w:color w:val="auto"/>
              </w:rPr>
            </w:pPr>
          </w:p>
        </w:tc>
      </w:tr>
      <w:tr>
        <w:trPr>
          <w:trHeight w:val="145"/>
        </w:trPr>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3302"/>
        <w:spacing w:after="0"/>
        <w:tabs>
          <w:tab w:leader="none" w:pos="5541"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82"/>
          </w:cols>
          <w:pgMar w:left="1198" w:top="459" w:right="819" w:bottom="1440" w:gutter="0" w:footer="0" w:header="0"/>
        </w:sectPr>
      </w:pPr>
    </w:p>
    <w:bookmarkStart w:id="23" w:name="page24"/>
    <w:bookmarkEnd w:id="23"/>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14</w:t>
      </w:r>
    </w:p>
    <w:p>
      <w:pPr>
        <w:sectPr>
          <w:pgSz w:w="11900" w:h="16838" w:orient="portrait"/>
          <w:cols w:equalWidth="0" w:num="1">
            <w:col w:w="9860"/>
          </w:cols>
          <w:pgMar w:left="122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80"/>
        <w:spacing w:after="0"/>
        <w:rPr>
          <w:sz w:val="20"/>
          <w:szCs w:val="20"/>
          <w:color w:val="auto"/>
        </w:rPr>
      </w:pPr>
      <w:r>
        <w:rPr>
          <w:rFonts w:ascii="Arial" w:cs="Arial" w:eastAsia="Arial" w:hAnsi="Arial"/>
          <w:sz w:val="85"/>
          <w:szCs w:val="85"/>
          <w:color w:val="7EA190"/>
        </w:rPr>
        <w:t>Financial Highlights</w:t>
      </w:r>
    </w:p>
    <w:p>
      <w:pPr>
        <w:sectPr>
          <w:pgSz w:w="11900" w:h="16838" w:orient="portrait"/>
          <w:cols w:equalWidth="0" w:num="1">
            <w:col w:w="9860"/>
          </w:cols>
          <w:pgMar w:left="1220" w:top="459" w:right="819" w:bottom="1440" w:gutter="0" w:footer="0" w:header="0"/>
          <w:type w:val="continuous"/>
        </w:sectPr>
      </w:pPr>
    </w:p>
    <w:bookmarkStart w:id="24" w:name="page25"/>
    <w:bookmarkEnd w:id="24"/>
    <w:tbl>
      <w:tblPr>
        <w:tblLayout w:type="fixed"/>
        <w:tblInd w:w="640" w:type="dxa"/>
        <w:tblCellMar>
          <w:top w:w="0" w:type="dxa"/>
          <w:left w:w="0" w:type="dxa"/>
          <w:bottom w:w="0" w:type="dxa"/>
          <w:right w:w="0" w:type="dxa"/>
        </w:tblCellMar>
      </w:tblPr>
      <w:tr>
        <w:trPr>
          <w:trHeight w:val="361"/>
        </w:trPr>
        <w:tc>
          <w:tcPr>
            <w:tcW w:w="676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47"/>
          <w:szCs w:val="47"/>
          <w:color w:val="C8504F"/>
        </w:rPr>
        <w:t>Balance Sheet Highlights</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1380" w:type="dxa"/>
            <w:vAlign w:val="bottom"/>
          </w:tcPr>
          <w:p>
            <w:pPr>
              <w:spacing w:after="0"/>
              <w:rPr>
                <w:sz w:val="20"/>
                <w:szCs w:val="20"/>
                <w:color w:val="auto"/>
              </w:rPr>
            </w:pPr>
            <w:r>
              <w:rPr>
                <w:rFonts w:ascii="Arial" w:cs="Arial" w:eastAsia="Arial" w:hAnsi="Arial"/>
                <w:sz w:val="22"/>
                <w:szCs w:val="22"/>
                <w:b w:val="1"/>
                <w:bCs w:val="1"/>
                <w:color w:val="auto"/>
              </w:rPr>
              <w:t>Total Debt</w:t>
            </w:r>
          </w:p>
        </w:tc>
        <w:tc>
          <w:tcPr>
            <w:tcW w:w="860" w:type="dxa"/>
            <w:vAlign w:val="bottom"/>
          </w:tcPr>
          <w:p>
            <w:pPr>
              <w:jc w:val="right"/>
              <w:spacing w:after="0"/>
              <w:rPr>
                <w:sz w:val="20"/>
                <w:szCs w:val="20"/>
                <w:color w:val="auto"/>
              </w:rPr>
            </w:pPr>
            <w:r>
              <w:rPr>
                <w:rFonts w:ascii="Arial" w:cs="Arial" w:eastAsia="Arial" w:hAnsi="Arial"/>
                <w:sz w:val="22"/>
                <w:szCs w:val="22"/>
                <w:color w:val="auto"/>
              </w:rPr>
              <w:t>1,000</w:t>
            </w:r>
          </w:p>
        </w:tc>
      </w:tr>
    </w:tbl>
    <w:p>
      <w:pPr>
        <w:spacing w:after="0" w:line="1" w:lineRule="exact"/>
        <w:rPr>
          <w:sz w:val="20"/>
          <w:szCs w:val="20"/>
          <w:color w:val="auto"/>
        </w:rPr>
      </w:pPr>
    </w:p>
    <w:p>
      <w:pPr>
        <w:sectPr>
          <w:pgSz w:w="11900" w:h="16838" w:orient="portrait"/>
          <w:cols w:equalWidth="0" w:num="1">
            <w:col w:w="10520"/>
          </w:cols>
          <w:pgMar w:left="580" w:top="459" w:right="799" w:bottom="1440" w:gutter="0" w:footer="0" w:header="0"/>
        </w:sectPr>
      </w:pPr>
    </w:p>
    <w:p>
      <w:pPr>
        <w:ind w:left="440"/>
        <w:spacing w:after="0"/>
        <w:rPr>
          <w:sz w:val="20"/>
          <w:szCs w:val="20"/>
          <w:color w:val="auto"/>
        </w:rPr>
      </w:pPr>
      <w:r>
        <w:rPr>
          <w:rFonts w:ascii="Arial" w:cs="Arial" w:eastAsia="Arial" w:hAnsi="Arial"/>
          <w:sz w:val="18"/>
          <w:szCs w:val="18"/>
          <w:color w:val="auto"/>
        </w:rPr>
        <w:t>($ in millions)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color w:val="auto"/>
        </w:rPr>
        <w:t>750</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500</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250</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b w:val="1"/>
          <w:bCs w:val="1"/>
          <w:color w:val="FFFFFF"/>
        </w:rPr>
        <w:t>842</w:t>
      </w:r>
      <w:r>
        <w:rPr>
          <w:sz w:val="20"/>
          <w:szCs w:val="20"/>
          <w:color w:val="auto"/>
        </w:rPr>
        <w:tab/>
      </w:r>
      <w:r>
        <w:rPr>
          <w:rFonts w:ascii="Arial" w:cs="Arial" w:eastAsia="Arial" w:hAnsi="Arial"/>
          <w:sz w:val="34"/>
          <w:szCs w:val="34"/>
          <w:b w:val="1"/>
          <w:bCs w:val="1"/>
          <w:color w:val="FFFFFF"/>
          <w:vertAlign w:val="superscript"/>
        </w:rPr>
        <w:t>902</w:t>
      </w:r>
    </w:p>
    <w:p>
      <w:pPr>
        <w:spacing w:after="0" w:line="200" w:lineRule="exact"/>
        <w:rPr>
          <w:sz w:val="20"/>
          <w:szCs w:val="20"/>
          <w:color w:val="auto"/>
        </w:rPr>
      </w:pPr>
    </w:p>
    <w:p>
      <w:pPr>
        <w:spacing w:after="0" w:line="211"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b w:val="1"/>
          <w:bCs w:val="1"/>
          <w:color w:val="FFFFFF"/>
        </w:rPr>
        <w:t>416</w:t>
      </w:r>
      <w:r>
        <w:rPr>
          <w:sz w:val="20"/>
          <w:szCs w:val="20"/>
          <w:color w:val="auto"/>
        </w:rPr>
        <w:tab/>
      </w:r>
      <w:r>
        <w:rPr>
          <w:rFonts w:ascii="Arial" w:cs="Arial" w:eastAsia="Arial" w:hAnsi="Arial"/>
          <w:sz w:val="34"/>
          <w:szCs w:val="34"/>
          <w:b w:val="1"/>
          <w:bCs w:val="1"/>
          <w:color w:val="FFFFFF"/>
          <w:vertAlign w:val="subscript"/>
        </w:rPr>
        <w:t>370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FFFFFF"/>
        </w:rPr>
        <w:t>735</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FFFFFF"/>
        </w:rPr>
        <w:t>280</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FFFFFF"/>
        </w:rPr>
        <w:t>823</w:t>
      </w:r>
      <w:r>
        <w:rPr>
          <w:sz w:val="20"/>
          <w:szCs w:val="20"/>
          <w:color w:val="auto"/>
        </w:rPr>
        <w:tab/>
      </w:r>
      <w:r>
        <w:rPr>
          <w:rFonts w:ascii="Arial" w:cs="Arial" w:eastAsia="Arial" w:hAnsi="Arial"/>
          <w:sz w:val="22"/>
          <w:szCs w:val="22"/>
          <w:b w:val="1"/>
          <w:bCs w:val="1"/>
          <w:color w:val="FFFFFF"/>
        </w:rPr>
        <w:t>837</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Total Debt</w:t>
      </w:r>
    </w:p>
    <w:p>
      <w:pPr>
        <w:spacing w:after="0" w:line="20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Net Debt</w:t>
      </w:r>
    </w:p>
    <w:p>
      <w:pPr>
        <w:spacing w:after="0" w:line="200" w:lineRule="exact"/>
        <w:rPr>
          <w:sz w:val="20"/>
          <w:szCs w:val="20"/>
          <w:color w:val="auto"/>
        </w:rPr>
      </w:pPr>
    </w:p>
    <w:p>
      <w:pPr>
        <w:spacing w:after="0" w:line="238"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FFFFFF"/>
        </w:rPr>
        <w:t>135</w:t>
      </w:r>
      <w:r>
        <w:rPr>
          <w:sz w:val="20"/>
          <w:szCs w:val="20"/>
          <w:color w:val="auto"/>
        </w:rPr>
        <w:tab/>
      </w:r>
      <w:r>
        <w:rPr>
          <w:rFonts w:ascii="Arial" w:cs="Arial" w:eastAsia="Arial" w:hAnsi="Arial"/>
          <w:sz w:val="22"/>
          <w:szCs w:val="22"/>
          <w:b w:val="1"/>
          <w:bCs w:val="1"/>
          <w:color w:val="FFFFFF"/>
        </w:rPr>
        <w:t>109</w:t>
      </w:r>
    </w:p>
    <w:p>
      <w:pPr>
        <w:spacing w:after="0" w:line="174" w:lineRule="exact"/>
        <w:rPr>
          <w:sz w:val="20"/>
          <w:szCs w:val="20"/>
          <w:color w:val="auto"/>
        </w:rPr>
      </w:pPr>
    </w:p>
    <w:p>
      <w:pPr>
        <w:sectPr>
          <w:pgSz w:w="11900" w:h="16838" w:orient="portrait"/>
          <w:cols w:equalWidth="0" w:num="5">
            <w:col w:w="1600" w:space="720"/>
            <w:col w:w="360" w:space="580"/>
            <w:col w:w="1720" w:space="720"/>
            <w:col w:w="520" w:space="720"/>
            <w:col w:w="3580"/>
          </w:cols>
          <w:pgMar w:left="580" w:top="459" w:right="799" w:bottom="1440" w:gutter="0" w:footer="0" w:header="0"/>
          <w:type w:val="continuous"/>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Debt to</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40%</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30%</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20%</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br w:type="column"/>
      </w:r>
    </w:p>
    <w:p>
      <w:pPr>
        <w:spacing w:after="0"/>
        <w:tabs>
          <w:tab w:leader="none" w:pos="1220" w:val="left"/>
          <w:tab w:leader="none" w:pos="2460" w:val="left"/>
        </w:tabs>
        <w:rPr>
          <w:sz w:val="20"/>
          <w:szCs w:val="20"/>
          <w:color w:val="auto"/>
        </w:rPr>
      </w:pPr>
      <w:r>
        <w:rPr>
          <w:rFonts w:ascii="Arial" w:cs="Arial" w:eastAsia="Arial" w:hAnsi="Arial"/>
          <w:sz w:val="22"/>
          <w:szCs w:val="22"/>
          <w:color w:val="auto"/>
        </w:rPr>
        <w:t>2003</w:t>
      </w:r>
      <w:r>
        <w:rPr>
          <w:sz w:val="20"/>
          <w:szCs w:val="20"/>
          <w:color w:val="auto"/>
        </w:rPr>
        <w:tab/>
      </w:r>
      <w:r>
        <w:rPr>
          <w:rFonts w:ascii="Arial" w:cs="Arial" w:eastAsia="Arial" w:hAnsi="Arial"/>
          <w:sz w:val="22"/>
          <w:szCs w:val="22"/>
          <w:color w:val="auto"/>
        </w:rPr>
        <w:t>2004</w:t>
      </w:r>
      <w:r>
        <w:rPr>
          <w:sz w:val="20"/>
          <w:szCs w:val="20"/>
          <w:color w:val="auto"/>
        </w:rPr>
        <w:tab/>
      </w:r>
      <w:r>
        <w:rPr>
          <w:rFonts w:ascii="Arial" w:cs="Arial" w:eastAsia="Arial" w:hAnsi="Arial"/>
          <w:sz w:val="22"/>
          <w:szCs w:val="22"/>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39%</w:t>
      </w:r>
    </w:p>
    <w:p>
      <w:pPr>
        <w:spacing w:after="0" w:line="43" w:lineRule="exact"/>
        <w:rPr>
          <w:sz w:val="20"/>
          <w:szCs w:val="20"/>
          <w:color w:val="auto"/>
        </w:rPr>
      </w:pPr>
    </w:p>
    <w:p>
      <w:pPr>
        <w:ind w:left="1320"/>
        <w:spacing w:after="0"/>
        <w:tabs>
          <w:tab w:leader="none" w:pos="2560" w:val="left"/>
        </w:tabs>
        <w:rPr>
          <w:sz w:val="20"/>
          <w:szCs w:val="20"/>
          <w:color w:val="auto"/>
        </w:rPr>
      </w:pPr>
      <w:r>
        <w:rPr>
          <w:rFonts w:ascii="Arial" w:cs="Arial" w:eastAsia="Arial" w:hAnsi="Arial"/>
          <w:sz w:val="18"/>
          <w:szCs w:val="18"/>
          <w:b w:val="1"/>
          <w:bCs w:val="1"/>
          <w:color w:val="FFFFFF"/>
        </w:rPr>
        <w:t>29%</w:t>
      </w:r>
      <w:r>
        <w:rPr>
          <w:sz w:val="20"/>
          <w:szCs w:val="20"/>
          <w:color w:val="auto"/>
        </w:rPr>
        <w:tab/>
      </w:r>
      <w:r>
        <w:rPr>
          <w:rFonts w:ascii="Arial" w:cs="Arial" w:eastAsia="Arial" w:hAnsi="Arial"/>
          <w:sz w:val="32"/>
          <w:szCs w:val="32"/>
          <w:b w:val="1"/>
          <w:bCs w:val="1"/>
          <w:color w:val="FFFFFF"/>
          <w:vertAlign w:val="subscript"/>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1260" w:val="left"/>
          <w:tab w:leader="none" w:pos="2500" w:val="left"/>
        </w:tabs>
        <w:rPr>
          <w:sz w:val="20"/>
          <w:szCs w:val="20"/>
          <w:color w:val="auto"/>
        </w:rPr>
      </w:pPr>
      <w:r>
        <w:rPr>
          <w:rFonts w:ascii="Arial" w:cs="Arial" w:eastAsia="Arial" w:hAnsi="Arial"/>
          <w:sz w:val="22"/>
          <w:szCs w:val="22"/>
          <w:color w:val="auto"/>
        </w:rPr>
        <w:t>2003</w:t>
      </w:r>
      <w:r>
        <w:rPr>
          <w:sz w:val="20"/>
          <w:szCs w:val="20"/>
          <w:color w:val="auto"/>
        </w:rPr>
        <w:tab/>
      </w:r>
      <w:r>
        <w:rPr>
          <w:rFonts w:ascii="Arial" w:cs="Arial" w:eastAsia="Arial" w:hAnsi="Arial"/>
          <w:sz w:val="22"/>
          <w:szCs w:val="22"/>
          <w:color w:val="auto"/>
        </w:rPr>
        <w:t>2004</w:t>
      </w:r>
      <w:r>
        <w:rPr>
          <w:sz w:val="20"/>
          <w:szCs w:val="20"/>
          <w:color w:val="auto"/>
        </w:rPr>
        <w:tab/>
      </w:r>
      <w:r>
        <w:rPr>
          <w:rFonts w:ascii="Arial" w:cs="Arial" w:eastAsia="Arial" w:hAnsi="Arial"/>
          <w:sz w:val="22"/>
          <w:szCs w:val="22"/>
          <w:color w:val="auto"/>
        </w:rPr>
        <w:t>2005</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Arial" w:cs="Arial" w:eastAsia="Arial" w:hAnsi="Arial"/>
          <w:sz w:val="22"/>
          <w:szCs w:val="22"/>
          <w:color w:val="auto"/>
        </w:rPr>
        <w:t>2006</w:t>
      </w:r>
      <w:r>
        <w:rPr>
          <w:sz w:val="20"/>
          <w:szCs w:val="20"/>
          <w:color w:val="auto"/>
        </w:rPr>
        <w:tab/>
      </w:r>
      <w:r>
        <w:rPr>
          <w:rFonts w:ascii="Arial" w:cs="Arial" w:eastAsia="Arial" w:hAnsi="Arial"/>
          <w:sz w:val="22"/>
          <w:szCs w:val="22"/>
          <w:color w:val="auto"/>
        </w:rPr>
        <w:t>Q1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FFFFFF"/>
        </w:rPr>
        <w:t>25%</w:t>
      </w:r>
      <w:r>
        <w:rPr>
          <w:sz w:val="20"/>
          <w:szCs w:val="20"/>
          <w:color w:val="auto"/>
        </w:rPr>
        <w:tab/>
      </w:r>
      <w:r>
        <w:rPr>
          <w:rFonts w:ascii="Arial" w:cs="Arial" w:eastAsia="Arial" w:hAnsi="Arial"/>
          <w:sz w:val="22"/>
          <w:szCs w:val="22"/>
          <w:b w:val="1"/>
          <w:bCs w:val="1"/>
          <w:color w:val="FFFFFF"/>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120" w:val="left"/>
        </w:tabs>
        <w:rPr>
          <w:sz w:val="20"/>
          <w:szCs w:val="20"/>
          <w:color w:val="auto"/>
        </w:rPr>
      </w:pPr>
      <w:r>
        <w:rPr>
          <w:rFonts w:ascii="Arial" w:cs="Arial" w:eastAsia="Arial" w:hAnsi="Arial"/>
          <w:sz w:val="22"/>
          <w:szCs w:val="22"/>
          <w:color w:val="auto"/>
        </w:rPr>
        <w:t>2006</w:t>
      </w:r>
      <w:r>
        <w:rPr>
          <w:sz w:val="20"/>
          <w:szCs w:val="20"/>
          <w:color w:val="auto"/>
        </w:rPr>
        <w:tab/>
      </w:r>
      <w:r>
        <w:rPr>
          <w:rFonts w:ascii="Arial" w:cs="Arial" w:eastAsia="Arial" w:hAnsi="Arial"/>
          <w:sz w:val="22"/>
          <w:szCs w:val="22"/>
          <w:color w:val="auto"/>
        </w:rPr>
        <w:t>Q1 2007</w:t>
      </w:r>
    </w:p>
    <w:p>
      <w:pPr>
        <w:sectPr>
          <w:pgSz w:w="11900" w:h="16838" w:orient="portrait"/>
          <w:cols w:equalWidth="0" w:num="4">
            <w:col w:w="2020" w:space="240"/>
            <w:col w:w="440" w:space="460"/>
            <w:col w:w="3020" w:space="680"/>
            <w:col w:w="3660"/>
          </w:cols>
          <w:pgMar w:left="580" w:top="459" w:right="799" w:bottom="1440" w:gutter="0" w:footer="0" w:header="0"/>
          <w:type w:val="continuous"/>
        </w:sectPr>
      </w:pPr>
    </w:p>
    <w:bookmarkStart w:id="25" w:name="page26"/>
    <w:bookmarkEnd w:id="25"/>
    <w:tbl>
      <w:tblPr>
        <w:tblLayout w:type="fixed"/>
        <w:tblInd w:w="60" w:type="dxa"/>
        <w:tblCellMar>
          <w:top w:w="0" w:type="dxa"/>
          <w:left w:w="0" w:type="dxa"/>
          <w:bottom w:w="0" w:type="dxa"/>
          <w:right w:w="0" w:type="dxa"/>
        </w:tblCellMar>
      </w:tblPr>
      <w:tr>
        <w:trPr>
          <w:trHeight w:val="361"/>
        </w:trPr>
        <w:tc>
          <w:tcPr>
            <w:tcW w:w="676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47"/>
          <w:szCs w:val="47"/>
          <w:color w:val="D47C18"/>
        </w:rPr>
        <w:t>Cash Flow Summary – First Quarter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620" w:type="dxa"/>
            <w:vAlign w:val="bottom"/>
          </w:tcPr>
          <w:p>
            <w:pPr>
              <w:ind w:left="20"/>
              <w:spacing w:after="0"/>
              <w:rPr>
                <w:sz w:val="20"/>
                <w:szCs w:val="20"/>
                <w:color w:val="auto"/>
              </w:rPr>
            </w:pPr>
            <w:r>
              <w:rPr>
                <w:rFonts w:ascii="Arial" w:cs="Arial" w:eastAsia="Arial" w:hAnsi="Arial"/>
                <w:sz w:val="28"/>
                <w:szCs w:val="28"/>
                <w:color w:val="D47C18"/>
              </w:rPr>
              <w:t>($ in millions)</w:t>
            </w:r>
          </w:p>
        </w:tc>
        <w:tc>
          <w:tcPr>
            <w:tcW w:w="1740" w:type="dxa"/>
            <w:vAlign w:val="bottom"/>
          </w:tcPr>
          <w:p>
            <w:pPr>
              <w:jc w:val="right"/>
              <w:ind w:right="431"/>
              <w:spacing w:after="0"/>
              <w:rPr>
                <w:sz w:val="20"/>
                <w:szCs w:val="20"/>
                <w:color w:val="auto"/>
              </w:rPr>
            </w:pPr>
            <w:r>
              <w:rPr>
                <w:rFonts w:ascii="Arial" w:cs="Arial" w:eastAsia="Arial" w:hAnsi="Arial"/>
                <w:sz w:val="32"/>
                <w:szCs w:val="32"/>
                <w:b w:val="1"/>
                <w:bCs w:val="1"/>
                <w:color w:val="D47C18"/>
              </w:rPr>
              <w:t>2007</w:t>
            </w:r>
          </w:p>
        </w:tc>
        <w:tc>
          <w:tcPr>
            <w:tcW w:w="1380" w:type="dxa"/>
            <w:vAlign w:val="bottom"/>
          </w:tcPr>
          <w:p>
            <w:pPr>
              <w:jc w:val="right"/>
              <w:spacing w:after="0"/>
              <w:rPr>
                <w:sz w:val="20"/>
                <w:szCs w:val="20"/>
                <w:color w:val="auto"/>
              </w:rPr>
            </w:pPr>
            <w:r>
              <w:rPr>
                <w:rFonts w:ascii="Arial" w:cs="Arial" w:eastAsia="Arial" w:hAnsi="Arial"/>
                <w:sz w:val="32"/>
                <w:szCs w:val="32"/>
                <w:b w:val="1"/>
                <w:bCs w:val="1"/>
                <w:color w:val="D47C18"/>
              </w:rPr>
              <w:t>2006</w:t>
            </w:r>
          </w:p>
        </w:tc>
      </w:tr>
      <w:tr>
        <w:trPr>
          <w:trHeight w:val="594"/>
        </w:trPr>
        <w:tc>
          <w:tcPr>
            <w:tcW w:w="5620" w:type="dxa"/>
            <w:vAlign w:val="bottom"/>
          </w:tcPr>
          <w:p>
            <w:pPr>
              <w:spacing w:after="0"/>
              <w:rPr>
                <w:sz w:val="20"/>
                <w:szCs w:val="20"/>
                <w:color w:val="auto"/>
              </w:rPr>
            </w:pPr>
            <w:r>
              <w:rPr>
                <w:rFonts w:ascii="Arial" w:cs="Arial" w:eastAsia="Arial" w:hAnsi="Arial"/>
                <w:sz w:val="32"/>
                <w:szCs w:val="32"/>
                <w:b w:val="1"/>
                <w:bCs w:val="1"/>
                <w:color w:val="auto"/>
              </w:rPr>
              <w:t>Cash from Operations</w:t>
            </w:r>
          </w:p>
        </w:tc>
        <w:tc>
          <w:tcPr>
            <w:tcW w:w="1740" w:type="dxa"/>
            <w:vAlign w:val="bottom"/>
          </w:tcPr>
          <w:p>
            <w:pPr>
              <w:jc w:val="right"/>
              <w:ind w:right="451"/>
              <w:spacing w:after="0"/>
              <w:rPr>
                <w:sz w:val="20"/>
                <w:szCs w:val="20"/>
                <w:color w:val="auto"/>
              </w:rPr>
            </w:pPr>
            <w:r>
              <w:rPr>
                <w:rFonts w:ascii="Arial" w:cs="Arial" w:eastAsia="Arial" w:hAnsi="Arial"/>
                <w:sz w:val="34"/>
                <w:szCs w:val="34"/>
                <w:b w:val="1"/>
                <w:bCs w:val="1"/>
                <w:color w:val="auto"/>
              </w:rPr>
              <w:t>103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74</w:t>
            </w:r>
          </w:p>
        </w:tc>
      </w:tr>
      <w:tr>
        <w:trPr>
          <w:trHeight w:val="453"/>
        </w:trPr>
        <w:tc>
          <w:tcPr>
            <w:tcW w:w="5620" w:type="dxa"/>
            <w:vAlign w:val="bottom"/>
          </w:tcPr>
          <w:p>
            <w:pPr>
              <w:ind w:left="20"/>
              <w:spacing w:after="0"/>
              <w:rPr>
                <w:sz w:val="20"/>
                <w:szCs w:val="20"/>
                <w:color w:val="auto"/>
              </w:rPr>
            </w:pPr>
            <w:r>
              <w:rPr>
                <w:rFonts w:ascii="Arial" w:cs="Arial" w:eastAsia="Arial" w:hAnsi="Arial"/>
                <w:sz w:val="32"/>
                <w:szCs w:val="32"/>
                <w:b w:val="1"/>
                <w:bCs w:val="1"/>
                <w:color w:val="auto"/>
              </w:rPr>
              <w:t>Capital Expenditures</w:t>
            </w:r>
          </w:p>
        </w:tc>
        <w:tc>
          <w:tcPr>
            <w:tcW w:w="1740" w:type="dxa"/>
            <w:vAlign w:val="bottom"/>
          </w:tcPr>
          <w:p>
            <w:pPr>
              <w:jc w:val="right"/>
              <w:ind w:right="391"/>
              <w:spacing w:after="0"/>
              <w:rPr>
                <w:sz w:val="20"/>
                <w:szCs w:val="20"/>
                <w:color w:val="auto"/>
              </w:rPr>
            </w:pPr>
            <w:r>
              <w:rPr>
                <w:rFonts w:ascii="Arial" w:cs="Arial" w:eastAsia="Arial" w:hAnsi="Arial"/>
                <w:sz w:val="34"/>
                <w:szCs w:val="34"/>
                <w:b w:val="1"/>
                <w:bCs w:val="1"/>
                <w:color w:val="auto"/>
              </w:rPr>
              <w:t>(17)</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(15)</w:t>
            </w:r>
          </w:p>
        </w:tc>
      </w:tr>
      <w:tr>
        <w:trPr>
          <w:trHeight w:val="453"/>
        </w:trPr>
        <w:tc>
          <w:tcPr>
            <w:tcW w:w="5620" w:type="dxa"/>
            <w:vAlign w:val="bottom"/>
          </w:tcPr>
          <w:p>
            <w:pPr>
              <w:ind w:left="440"/>
              <w:spacing w:after="0"/>
              <w:rPr>
                <w:sz w:val="20"/>
                <w:szCs w:val="20"/>
                <w:color w:val="auto"/>
              </w:rPr>
            </w:pPr>
            <w:r>
              <w:rPr>
                <w:rFonts w:ascii="Arial" w:cs="Arial" w:eastAsia="Arial" w:hAnsi="Arial"/>
                <w:sz w:val="32"/>
                <w:szCs w:val="32"/>
                <w:b w:val="1"/>
                <w:bCs w:val="1"/>
                <w:color w:val="auto"/>
              </w:rPr>
              <w:t>Free Cash Flow</w:t>
            </w:r>
          </w:p>
        </w:tc>
        <w:tc>
          <w:tcPr>
            <w:tcW w:w="1740" w:type="dxa"/>
            <w:vAlign w:val="bottom"/>
          </w:tcPr>
          <w:p>
            <w:pPr>
              <w:jc w:val="right"/>
              <w:ind w:right="471"/>
              <w:spacing w:after="0"/>
              <w:rPr>
                <w:sz w:val="20"/>
                <w:szCs w:val="20"/>
                <w:color w:val="auto"/>
              </w:rPr>
            </w:pPr>
            <w:r>
              <w:rPr>
                <w:rFonts w:ascii="Arial" w:cs="Arial" w:eastAsia="Arial" w:hAnsi="Arial"/>
                <w:sz w:val="34"/>
                <w:szCs w:val="34"/>
                <w:b w:val="1"/>
                <w:bCs w:val="1"/>
                <w:color w:val="auto"/>
              </w:rPr>
              <w:t>86</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59</w:t>
            </w:r>
          </w:p>
        </w:tc>
      </w:tr>
      <w:tr>
        <w:trPr>
          <w:trHeight w:val="553"/>
        </w:trPr>
        <w:tc>
          <w:tcPr>
            <w:tcW w:w="5620" w:type="dxa"/>
            <w:vAlign w:val="bottom"/>
          </w:tcPr>
          <w:p>
            <w:pPr>
              <w:ind w:left="20"/>
              <w:spacing w:after="0"/>
              <w:rPr>
                <w:sz w:val="20"/>
                <w:szCs w:val="20"/>
                <w:color w:val="auto"/>
              </w:rPr>
            </w:pPr>
            <w:r>
              <w:rPr>
                <w:rFonts w:ascii="Arial" w:cs="Arial" w:eastAsia="Arial" w:hAnsi="Arial"/>
                <w:sz w:val="32"/>
                <w:szCs w:val="32"/>
                <w:b w:val="1"/>
                <w:bCs w:val="1"/>
                <w:color w:val="auto"/>
              </w:rPr>
              <w:t>Share Repurchases *</w:t>
            </w:r>
          </w:p>
        </w:tc>
        <w:tc>
          <w:tcPr>
            <w:tcW w:w="1740" w:type="dxa"/>
            <w:vAlign w:val="bottom"/>
          </w:tcPr>
          <w:p>
            <w:pPr>
              <w:jc w:val="right"/>
              <w:ind w:right="371"/>
              <w:spacing w:after="0"/>
              <w:rPr>
                <w:sz w:val="20"/>
                <w:szCs w:val="20"/>
                <w:color w:val="auto"/>
              </w:rPr>
            </w:pPr>
            <w:r>
              <w:rPr>
                <w:rFonts w:ascii="Arial" w:cs="Arial" w:eastAsia="Arial" w:hAnsi="Arial"/>
                <w:sz w:val="34"/>
                <w:szCs w:val="34"/>
                <w:b w:val="1"/>
                <w:bCs w:val="1"/>
                <w:color w:val="auto"/>
              </w:rPr>
              <w:t>(73)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(33)</w:t>
            </w:r>
          </w:p>
        </w:tc>
      </w:tr>
      <w:tr>
        <w:trPr>
          <w:trHeight w:val="441"/>
        </w:trPr>
        <w:tc>
          <w:tcPr>
            <w:tcW w:w="5620" w:type="dxa"/>
            <w:vAlign w:val="bottom"/>
          </w:tcPr>
          <w:p>
            <w:pPr>
              <w:ind w:left="20"/>
              <w:spacing w:after="0"/>
              <w:rPr>
                <w:sz w:val="20"/>
                <w:szCs w:val="20"/>
                <w:color w:val="auto"/>
              </w:rPr>
            </w:pPr>
            <w:r>
              <w:rPr>
                <w:rFonts w:ascii="Arial" w:cs="Arial" w:eastAsia="Arial" w:hAnsi="Arial"/>
                <w:sz w:val="32"/>
                <w:szCs w:val="32"/>
                <w:b w:val="1"/>
                <w:bCs w:val="1"/>
                <w:color w:val="auto"/>
              </w:rPr>
              <w:t>Proceeds from Equity Plans</w:t>
            </w:r>
          </w:p>
        </w:tc>
        <w:tc>
          <w:tcPr>
            <w:tcW w:w="1740" w:type="dxa"/>
            <w:vAlign w:val="bottom"/>
          </w:tcPr>
          <w:p>
            <w:pPr>
              <w:jc w:val="right"/>
              <w:ind w:right="491"/>
              <w:spacing w:after="0"/>
              <w:rPr>
                <w:sz w:val="20"/>
                <w:szCs w:val="20"/>
                <w:color w:val="auto"/>
              </w:rPr>
            </w:pPr>
            <w:r>
              <w:rPr>
                <w:rFonts w:ascii="Arial" w:cs="Arial" w:eastAsia="Arial" w:hAnsi="Arial"/>
                <w:sz w:val="34"/>
                <w:szCs w:val="34"/>
                <w:b w:val="1"/>
                <w:bCs w:val="1"/>
                <w:color w:val="auto"/>
              </w:rPr>
              <w:t>20</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27</w:t>
            </w:r>
          </w:p>
        </w:tc>
      </w:tr>
      <w:tr>
        <w:trPr>
          <w:trHeight w:val="456"/>
        </w:trPr>
        <w:tc>
          <w:tcPr>
            <w:tcW w:w="5620" w:type="dxa"/>
            <w:vAlign w:val="bottom"/>
          </w:tcPr>
          <w:p>
            <w:pPr>
              <w:spacing w:after="0"/>
              <w:rPr>
                <w:sz w:val="20"/>
                <w:szCs w:val="20"/>
                <w:color w:val="auto"/>
              </w:rPr>
            </w:pPr>
            <w:r>
              <w:rPr>
                <w:rFonts w:ascii="Arial" w:cs="Arial" w:eastAsia="Arial" w:hAnsi="Arial"/>
                <w:sz w:val="32"/>
                <w:szCs w:val="32"/>
                <w:b w:val="1"/>
                <w:bCs w:val="1"/>
                <w:color w:val="auto"/>
              </w:rPr>
              <w:t>Change in Debt</w:t>
            </w:r>
          </w:p>
        </w:tc>
        <w:tc>
          <w:tcPr>
            <w:tcW w:w="1740" w:type="dxa"/>
            <w:vAlign w:val="bottom"/>
          </w:tcPr>
          <w:p>
            <w:pPr>
              <w:jc w:val="right"/>
              <w:ind w:right="491"/>
              <w:spacing w:after="0"/>
              <w:rPr>
                <w:sz w:val="20"/>
                <w:szCs w:val="20"/>
                <w:color w:val="auto"/>
              </w:rPr>
            </w:pPr>
            <w:r>
              <w:rPr>
                <w:rFonts w:ascii="Arial" w:cs="Arial" w:eastAsia="Arial" w:hAnsi="Arial"/>
                <w:sz w:val="34"/>
                <w:szCs w:val="34"/>
                <w:b w:val="1"/>
                <w:bCs w:val="1"/>
                <w:color w:val="auto"/>
              </w:rPr>
              <w:t>4</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3</w:t>
            </w:r>
          </w:p>
        </w:tc>
      </w:tr>
      <w:tr>
        <w:trPr>
          <w:trHeight w:val="508"/>
        </w:trPr>
        <w:tc>
          <w:tcPr>
            <w:tcW w:w="5620" w:type="dxa"/>
            <w:vAlign w:val="bottom"/>
          </w:tcPr>
          <w:p>
            <w:pPr>
              <w:spacing w:after="0"/>
              <w:rPr>
                <w:sz w:val="20"/>
                <w:szCs w:val="20"/>
                <w:color w:val="auto"/>
              </w:rPr>
            </w:pPr>
            <w:r>
              <w:rPr>
                <w:rFonts w:ascii="Arial" w:cs="Arial" w:eastAsia="Arial" w:hAnsi="Arial"/>
                <w:sz w:val="32"/>
                <w:szCs w:val="32"/>
                <w:b w:val="1"/>
                <w:bCs w:val="1"/>
                <w:color w:val="auto"/>
              </w:rPr>
              <w:t>Proceeds from Sale of Businesses</w:t>
            </w:r>
          </w:p>
        </w:tc>
        <w:tc>
          <w:tcPr>
            <w:tcW w:w="1740" w:type="dxa"/>
            <w:vAlign w:val="bottom"/>
          </w:tcPr>
          <w:p>
            <w:pPr>
              <w:jc w:val="right"/>
              <w:ind w:right="551"/>
              <w:spacing w:after="0"/>
              <w:rPr>
                <w:sz w:val="20"/>
                <w:szCs w:val="20"/>
                <w:color w:val="auto"/>
              </w:rPr>
            </w:pPr>
            <w:r>
              <w:rPr>
                <w:rFonts w:ascii="Arial" w:cs="Arial" w:eastAsia="Arial" w:hAnsi="Arial"/>
                <w:sz w:val="34"/>
                <w:szCs w:val="3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30</w:t>
            </w:r>
          </w:p>
        </w:tc>
      </w:tr>
      <w:tr>
        <w:trPr>
          <w:trHeight w:val="453"/>
        </w:trPr>
        <w:tc>
          <w:tcPr>
            <w:tcW w:w="5620" w:type="dxa"/>
            <w:vAlign w:val="bottom"/>
          </w:tcPr>
          <w:p>
            <w:pPr>
              <w:spacing w:after="0"/>
              <w:rPr>
                <w:sz w:val="20"/>
                <w:szCs w:val="20"/>
                <w:color w:val="auto"/>
              </w:rPr>
            </w:pPr>
            <w:r>
              <w:rPr>
                <w:rFonts w:ascii="Arial" w:cs="Arial" w:eastAsia="Arial" w:hAnsi="Arial"/>
                <w:sz w:val="32"/>
                <w:szCs w:val="32"/>
                <w:b w:val="1"/>
                <w:bCs w:val="1"/>
                <w:color w:val="auto"/>
              </w:rPr>
              <w:t>Other</w:t>
            </w:r>
          </w:p>
        </w:tc>
        <w:tc>
          <w:tcPr>
            <w:tcW w:w="1740" w:type="dxa"/>
            <w:vAlign w:val="bottom"/>
          </w:tcPr>
          <w:p>
            <w:pPr>
              <w:jc w:val="right"/>
              <w:ind w:right="471"/>
              <w:spacing w:after="0"/>
              <w:rPr>
                <w:sz w:val="20"/>
                <w:szCs w:val="20"/>
                <w:color w:val="auto"/>
              </w:rPr>
            </w:pPr>
            <w:r>
              <w:rPr>
                <w:rFonts w:ascii="Arial" w:cs="Arial" w:eastAsia="Arial" w:hAnsi="Arial"/>
                <w:sz w:val="34"/>
                <w:szCs w:val="34"/>
                <w:b w:val="1"/>
                <w:bCs w:val="1"/>
                <w:color w:val="auto"/>
              </w:rPr>
              <w:t>2</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14</w:t>
            </w:r>
          </w:p>
        </w:tc>
      </w:tr>
      <w:tr>
        <w:trPr>
          <w:trHeight w:val="533"/>
        </w:trPr>
        <w:tc>
          <w:tcPr>
            <w:tcW w:w="5620" w:type="dxa"/>
            <w:vAlign w:val="bottom"/>
          </w:tcPr>
          <w:p>
            <w:pPr>
              <w:ind w:left="500"/>
              <w:spacing w:after="0"/>
              <w:rPr>
                <w:sz w:val="20"/>
                <w:szCs w:val="20"/>
                <w:color w:val="auto"/>
              </w:rPr>
            </w:pPr>
            <w:r>
              <w:rPr>
                <w:rFonts w:ascii="Arial" w:cs="Arial" w:eastAsia="Arial" w:hAnsi="Arial"/>
                <w:sz w:val="32"/>
                <w:szCs w:val="32"/>
                <w:b w:val="1"/>
                <w:bCs w:val="1"/>
                <w:color w:val="auto"/>
              </w:rPr>
              <w:t>Change in Cash</w:t>
            </w:r>
          </w:p>
        </w:tc>
        <w:tc>
          <w:tcPr>
            <w:tcW w:w="1740" w:type="dxa"/>
            <w:vAlign w:val="bottom"/>
          </w:tcPr>
          <w:p>
            <w:pPr>
              <w:jc w:val="right"/>
              <w:ind w:right="451"/>
              <w:spacing w:after="0"/>
              <w:rPr>
                <w:sz w:val="20"/>
                <w:szCs w:val="20"/>
                <w:color w:val="auto"/>
              </w:rPr>
            </w:pPr>
            <w:r>
              <w:rPr>
                <w:rFonts w:ascii="Arial" w:cs="Arial" w:eastAsia="Arial" w:hAnsi="Arial"/>
                <w:sz w:val="34"/>
                <w:szCs w:val="34"/>
                <w:b w:val="1"/>
                <w:bCs w:val="1"/>
                <w:color w:val="auto"/>
              </w:rPr>
              <w:t>39</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8"/>
          <w:szCs w:val="28"/>
          <w:color w:val="auto"/>
        </w:rPr>
        <w:t>* 991,900 shares in 2007 and 612,600 shares in 2006.</w:t>
      </w:r>
    </w:p>
    <w:p>
      <w:pPr>
        <w:sectPr>
          <w:pgSz w:w="11900" w:h="16838" w:orient="portrait"/>
          <w:cols w:equalWidth="0" w:num="1">
            <w:col w:w="9920"/>
          </w:cols>
          <w:pgMar w:left="1160" w:top="459" w:right="819" w:bottom="1440" w:gutter="0" w:footer="0" w:header="0"/>
        </w:sectPr>
      </w:pPr>
    </w:p>
    <w:bookmarkStart w:id="26" w:name="page27"/>
    <w:bookmarkEnd w:id="26"/>
    <w:tbl>
      <w:tblPr>
        <w:tblLayout w:type="fixed"/>
        <w:tblInd w:w="240" w:type="dxa"/>
        <w:tblCellMar>
          <w:top w:w="0" w:type="dxa"/>
          <w:left w:w="0" w:type="dxa"/>
          <w:bottom w:w="0" w:type="dxa"/>
          <w:right w:w="0" w:type="dxa"/>
        </w:tblCellMar>
      </w:tblPr>
      <w:tr>
        <w:trPr>
          <w:trHeight w:val="361"/>
        </w:trPr>
        <w:tc>
          <w:tcPr>
            <w:tcW w:w="6760" w:type="dxa"/>
            <w:vAlign w:val="bottom"/>
          </w:tcPr>
          <w:p>
            <w:pPr>
              <w:spacing w:after="0"/>
              <w:rPr>
                <w:sz w:val="20"/>
                <w:szCs w:val="20"/>
                <w:color w:val="auto"/>
              </w:rPr>
            </w:pPr>
            <w:r>
              <w:rPr>
                <w:rFonts w:ascii="Arial" w:cs="Arial" w:eastAsia="Arial" w:hAnsi="Arial"/>
                <w:sz w:val="22"/>
                <w:szCs w:val="22"/>
                <w:color w:val="FFFFFF"/>
              </w:rPr>
              <w:t>Manpower Inc. 2007 1</w:t>
            </w:r>
            <w:r>
              <w:rPr>
                <w:rFonts w:ascii="Arial" w:cs="Arial" w:eastAsia="Arial" w:hAnsi="Arial"/>
                <w:sz w:val="28"/>
                <w:szCs w:val="28"/>
                <w:color w:val="FFFFFF"/>
                <w:vertAlign w:val="superscript"/>
              </w:rPr>
              <w:t>st</w:t>
            </w:r>
            <w:r>
              <w:rPr>
                <w:rFonts w:ascii="Arial" w:cs="Arial" w:eastAsia="Arial" w:hAnsi="Arial"/>
                <w:sz w:val="22"/>
                <w:szCs w:val="22"/>
                <w:color w:val="FFFFFF"/>
              </w:rPr>
              <w:t xml:space="preserve"> Quarter Results</w:t>
            </w:r>
          </w:p>
        </w:tc>
        <w:tc>
          <w:tcPr>
            <w:tcW w:w="3100" w:type="dxa"/>
            <w:vAlign w:val="bottom"/>
          </w:tcPr>
          <w:p>
            <w:pPr>
              <w:jc w:val="right"/>
              <w:spacing w:after="0"/>
              <w:rPr>
                <w:sz w:val="20"/>
                <w:szCs w:val="20"/>
                <w:color w:val="auto"/>
              </w:rPr>
            </w:pPr>
            <w:r>
              <w:rPr>
                <w:rFonts w:ascii="Arial" w:cs="Arial" w:eastAsia="Arial" w:hAnsi="Arial"/>
                <w:sz w:val="22"/>
                <w:szCs w:val="22"/>
                <w:color w:val="FFFFFF"/>
              </w:rPr>
              <w:t>17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7"/>
          <w:szCs w:val="47"/>
          <w:color w:val="5F81AA"/>
        </w:rPr>
        <w:t>Second Quarter Outlook</w:t>
      </w:r>
    </w:p>
    <w:p>
      <w:pPr>
        <w:sectPr>
          <w:pgSz w:w="11900" w:h="16838" w:orient="portrait"/>
          <w:cols w:equalWidth="0" w:num="1">
            <w:col w:w="10100"/>
          </w:cols>
          <w:pgMar w:left="980" w:top="459"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34"/>
          <w:szCs w:val="34"/>
          <w:b w:val="1"/>
          <w:bCs w:val="1"/>
          <w:color w:val="5F81AA"/>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France</w:t>
      </w:r>
    </w:p>
    <w:p>
      <w:pPr>
        <w:spacing w:after="0" w:line="79"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Other EMEA</w:t>
      </w:r>
    </w:p>
    <w:p>
      <w:pPr>
        <w:spacing w:after="0" w:line="79" w:lineRule="exact"/>
        <w:rPr>
          <w:sz w:val="20"/>
          <w:szCs w:val="20"/>
          <w:color w:val="auto"/>
        </w:rPr>
      </w:pPr>
    </w:p>
    <w:p>
      <w:pPr>
        <w:jc w:val="right"/>
        <w:ind w:right="80"/>
        <w:spacing w:after="0"/>
        <w:rPr>
          <w:sz w:val="20"/>
          <w:szCs w:val="20"/>
          <w:color w:val="auto"/>
        </w:rPr>
      </w:pPr>
      <w:r>
        <w:rPr>
          <w:rFonts w:ascii="Arial" w:cs="Arial" w:eastAsia="Arial" w:hAnsi="Arial"/>
          <w:sz w:val="32"/>
          <w:szCs w:val="32"/>
          <w:b w:val="1"/>
          <w:bCs w:val="1"/>
          <w:color w:val="auto"/>
        </w:rPr>
        <w:t>Italy</w:t>
      </w:r>
    </w:p>
    <w:p>
      <w:pPr>
        <w:spacing w:after="0" w:line="67"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32"/>
          <w:szCs w:val="32"/>
          <w:b w:val="1"/>
          <w:bCs w:val="1"/>
          <w:color w:val="auto"/>
        </w:rPr>
        <w:t>Right Management</w:t>
      </w:r>
    </w:p>
    <w:p>
      <w:pPr>
        <w:spacing w:after="0" w:line="79"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40" w:right="160" w:hanging="11"/>
        <w:spacing w:after="0" w:line="357" w:lineRule="auto"/>
        <w:rPr>
          <w:sz w:val="20"/>
          <w:szCs w:val="20"/>
          <w:color w:val="auto"/>
        </w:rPr>
      </w:pPr>
      <w:r>
        <w:rPr>
          <w:rFonts w:ascii="Arial" w:cs="Arial" w:eastAsia="Arial" w:hAnsi="Arial"/>
          <w:sz w:val="34"/>
          <w:szCs w:val="34"/>
          <w:b w:val="1"/>
          <w:bCs w:val="1"/>
          <w:color w:val="5F81AA"/>
        </w:rPr>
        <w:t>Gross Profit Margin Operating Profit Margin</w:t>
      </w:r>
    </w:p>
    <w:p>
      <w:pPr>
        <w:spacing w:after="0" w:line="1" w:lineRule="exact"/>
        <w:rPr>
          <w:sz w:val="20"/>
          <w:szCs w:val="20"/>
          <w:color w:val="auto"/>
        </w:rPr>
      </w:pPr>
    </w:p>
    <w:p>
      <w:pPr>
        <w:ind w:left="40" w:hanging="22"/>
        <w:spacing w:after="0" w:line="369" w:lineRule="auto"/>
        <w:rPr>
          <w:sz w:val="20"/>
          <w:szCs w:val="20"/>
          <w:color w:val="auto"/>
        </w:rPr>
      </w:pPr>
      <w:r>
        <w:rPr>
          <w:rFonts w:ascii="Arial" w:cs="Arial" w:eastAsia="Arial" w:hAnsi="Arial"/>
          <w:sz w:val="34"/>
          <w:szCs w:val="34"/>
          <w:b w:val="1"/>
          <w:bCs w:val="1"/>
          <w:color w:val="5F81AA"/>
        </w:rPr>
        <w:t xml:space="preserve">Tax Rate </w:t>
      </w:r>
      <w:r>
        <w:rPr>
          <w:rFonts w:ascii="Arial" w:cs="Arial" w:eastAsia="Arial" w:hAnsi="Arial"/>
          <w:sz w:val="18"/>
          <w:szCs w:val="18"/>
          <w:b w:val="1"/>
          <w:bCs w:val="1"/>
          <w:color w:val="5F81AA"/>
        </w:rPr>
        <w:t>from Continuing Operations</w:t>
      </w:r>
      <w:r>
        <w:rPr>
          <w:rFonts w:ascii="Arial" w:cs="Arial" w:eastAsia="Arial" w:hAnsi="Arial"/>
          <w:sz w:val="34"/>
          <w:szCs w:val="34"/>
          <w:b w:val="1"/>
          <w:bCs w:val="1"/>
          <w:color w:val="5F81AA"/>
        </w:rPr>
        <w:t xml:space="preserve"> EPS </w:t>
      </w:r>
      <w:r>
        <w:rPr>
          <w:rFonts w:ascii="Arial" w:cs="Arial" w:eastAsia="Arial" w:hAnsi="Arial"/>
          <w:sz w:val="18"/>
          <w:szCs w:val="18"/>
          <w:b w:val="1"/>
          <w:bCs w:val="1"/>
          <w:color w:val="5F81AA"/>
        </w:rPr>
        <w:t>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auto"/>
        </w:rPr>
        <w:t>Down 3-5%</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16-18%(Up 10-12% CC)</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22-24% (Up 15-17% CC)</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20-22% (Up 14-16% CC)</w:t>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color w:val="auto"/>
        </w:rPr>
        <w:t>Down 16-18%</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Up/Down 1%(Down 2-4% CC)</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11-13% (Up 11-13% CC)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14-16% (Up 9-11% CC)</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32"/>
          <w:szCs w:val="32"/>
          <w:color w:val="auto"/>
        </w:rPr>
        <w:t>17.6-17.8%</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32"/>
          <w:szCs w:val="32"/>
          <w:color w:val="auto"/>
        </w:rPr>
        <w:t>3.2 - 3.4%</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32"/>
          <w:szCs w:val="32"/>
          <w:color w:val="auto"/>
        </w:rPr>
        <w:t>36.5%</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0"/>
          <w:szCs w:val="30"/>
          <w:color w:val="auto"/>
        </w:rPr>
        <w:t>$1.12-$1.16 (Pos. $.06 Currency)</w:t>
      </w:r>
    </w:p>
    <w:p>
      <w:pPr>
        <w:sectPr>
          <w:pgSz w:w="11900" w:h="16838" w:orient="portrait"/>
          <w:cols w:equalWidth="0" w:num="2">
            <w:col w:w="4000" w:space="540"/>
            <w:col w:w="5560"/>
          </w:cols>
          <w:pgMar w:left="980" w:top="459" w:right="8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5"/>
          <w:szCs w:val="25"/>
          <w:b w:val="1"/>
          <w:bCs w:val="1"/>
          <w:color w:val="5F81AA"/>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rPr>
          <w:sz w:val="20"/>
          <w:szCs w:val="20"/>
          <w:color w:val="auto"/>
        </w:rPr>
      </w:pPr>
      <w:r>
        <w:rPr>
          <w:rFonts w:ascii="Arial" w:cs="Arial" w:eastAsia="Arial" w:hAnsi="Arial"/>
          <w:sz w:val="25"/>
          <w:szCs w:val="25"/>
          <w:b w:val="1"/>
          <w:bCs w:val="1"/>
          <w:color w:val="5F81AA"/>
        </w:rPr>
        <w:t>2007 1</w:t>
      </w:r>
      <w:r>
        <w:rPr>
          <w:rFonts w:ascii="Arial" w:cs="Arial" w:eastAsia="Arial" w:hAnsi="Arial"/>
          <w:sz w:val="35"/>
          <w:szCs w:val="35"/>
          <w:b w:val="1"/>
          <w:bCs w:val="1"/>
          <w:color w:val="5F81AA"/>
          <w:vertAlign w:val="superscript"/>
        </w:rPr>
        <w:t>st</w:t>
      </w:r>
      <w:r>
        <w:rPr>
          <w:rFonts w:ascii="Arial" w:cs="Arial" w:eastAsia="Arial" w:hAnsi="Arial"/>
          <w:sz w:val="25"/>
          <w:szCs w:val="25"/>
          <w:b w:val="1"/>
          <w:bCs w:val="1"/>
          <w:color w:val="5F81AA"/>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-45720</wp:posOffset>
            </wp:positionV>
            <wp:extent cx="4128770" cy="4315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April 20,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559"/>
        <w:spacing w:after="0"/>
        <w:rPr>
          <w:sz w:val="20"/>
          <w:szCs w:val="20"/>
          <w:color w:val="auto"/>
        </w:rPr>
      </w:pPr>
      <w:r>
        <w:rPr>
          <w:rFonts w:ascii="Arial" w:cs="Arial" w:eastAsia="Arial" w:hAnsi="Arial"/>
          <w:sz w:val="94"/>
          <w:szCs w:val="94"/>
          <w:color w:val="auto"/>
        </w:rPr>
        <w:t>Answers</w:t>
      </w:r>
    </w:p>
    <w:p>
      <w:pPr>
        <w:sectPr>
          <w:pgSz w:w="11900" w:h="16838" w:orient="portrait"/>
          <w:cols w:equalWidth="0" w:num="1">
            <w:col w:w="10099"/>
          </w:cols>
          <w:pgMar w:left="360" w:top="28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b w:val="1"/>
          <w:bCs w:val="1"/>
          <w:color w:val="auto"/>
        </w:rPr>
        <w:t>Exhibit 99.3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Restated Operating Unit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126"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color w:val="auto"/>
        </w:rPr>
        <w:t>The following identifies Italy and Other EMEA as separate reportable segments, which were previously combined and reported as the EMEA segment. Historical amounts have been restated to conform to the current year presentation.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2"/>
                <w:szCs w:val="12"/>
                <w:b w:val="1"/>
                <w:bCs w:val="1"/>
                <w:color w:val="auto"/>
                <w:w w:val="90"/>
              </w:rPr>
              <w:t>Three Months Ended March 31</w:t>
            </w:r>
          </w:p>
        </w:tc>
        <w:tc>
          <w:tcPr>
            <w:tcW w:w="5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89"/>
              </w:rPr>
              <w:t>Three Months Ended June 30</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Borders>
              <w:bottom w:val="single" w:sz="8" w:color="auto"/>
            </w:tcBorders>
            <w:gridSpan w:val="3"/>
          </w:tcPr>
          <w:p>
            <w:pPr>
              <w:ind w:left="460"/>
              <w:spacing w:after="0" w:line="121" w:lineRule="exact"/>
              <w:rPr>
                <w:sz w:val="20"/>
                <w:szCs w:val="20"/>
                <w:color w:val="auto"/>
              </w:rPr>
            </w:pPr>
            <w:r>
              <w:rPr>
                <w:rFonts w:ascii="Arial" w:cs="Arial" w:eastAsia="Arial" w:hAnsi="Arial"/>
                <w:sz w:val="12"/>
                <w:szCs w:val="12"/>
                <w:b w:val="1"/>
                <w:bCs w:val="1"/>
                <w:color w:val="auto"/>
              </w:rPr>
              <w:t>% Variance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bottom w:val="single" w:sz="8" w:color="auto"/>
            </w:tcBorders>
            <w:gridSpan w:val="3"/>
          </w:tcPr>
          <w:p>
            <w:pPr>
              <w:ind w:left="4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jc w:val="center"/>
              <w:ind w:right="440"/>
              <w:spacing w:after="0" w:line="110" w:lineRule="exact"/>
              <w:rPr>
                <w:sz w:val="20"/>
                <w:szCs w:val="20"/>
                <w:color w:val="auto"/>
              </w:rPr>
            </w:pPr>
            <w:r>
              <w:rPr>
                <w:rFonts w:ascii="Arial" w:cs="Arial" w:eastAsia="Arial" w:hAnsi="Arial"/>
                <w:sz w:val="12"/>
                <w:szCs w:val="12"/>
                <w:b w:val="1"/>
                <w:bCs w:val="1"/>
                <w:color w:val="auto"/>
                <w:w w:val="92"/>
              </w:rPr>
              <w:t>Amount</w:t>
            </w:r>
          </w:p>
        </w:tc>
        <w:tc>
          <w:tcPr>
            <w:tcW w:w="52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92"/>
              </w:rPr>
              <w:t>Constant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88"/>
              </w:rPr>
              <w:t>Amount</w:t>
            </w:r>
          </w:p>
        </w:tc>
        <w:tc>
          <w:tcPr>
            <w:tcW w:w="54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92"/>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97"/>
              </w:rPr>
              <w:t>2006</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89"/>
              </w:rPr>
              <w:t>2005</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Reported</w:t>
            </w:r>
          </w:p>
        </w:tc>
        <w:tc>
          <w:tcPr>
            <w:tcW w:w="460" w:type="dxa"/>
            <w:vAlign w:val="bottom"/>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1"/>
              </w:rPr>
              <w:t>Currency</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89"/>
              </w:rPr>
              <w:t>2006</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89"/>
              </w:rPr>
              <w:t>2005</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460" w:type="dxa"/>
            <w:vAlign w:val="bottom"/>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1"/>
              </w:rPr>
              <w:t>Currency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gridSpan w:val="2"/>
          </w:tcPr>
          <w:p>
            <w:pPr>
              <w:jc w:val="center"/>
              <w:ind w:right="181"/>
              <w:spacing w:after="0" w:line="121" w:lineRule="exact"/>
              <w:rPr>
                <w:sz w:val="20"/>
                <w:szCs w:val="20"/>
                <w:color w:val="auto"/>
              </w:rPr>
            </w:pPr>
            <w:r>
              <w:rPr>
                <w:rFonts w:ascii="Arial" w:cs="Arial" w:eastAsia="Arial" w:hAnsi="Arial"/>
                <w:sz w:val="12"/>
                <w:szCs w:val="12"/>
                <w:b w:val="1"/>
                <w:bCs w:val="1"/>
                <w:color w:val="auto"/>
                <w:w w:val="92"/>
              </w:rPr>
              <w:t>(Unaudited)</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3"/>
          </w:tcPr>
          <w:p>
            <w:pPr>
              <w:jc w:val="center"/>
              <w:ind w:right="700"/>
              <w:spacing w:after="0" w:line="121" w:lineRule="exact"/>
              <w:rPr>
                <w:sz w:val="20"/>
                <w:szCs w:val="20"/>
                <w:color w:val="auto"/>
              </w:rPr>
            </w:pPr>
            <w:r>
              <w:rPr>
                <w:rFonts w:ascii="Arial" w:cs="Arial" w:eastAsia="Arial" w:hAnsi="Arial"/>
                <w:sz w:val="12"/>
                <w:szCs w:val="12"/>
                <w:b w:val="1"/>
                <w:bCs w:val="1"/>
                <w:color w:val="auto"/>
                <w:w w:val="92"/>
              </w:rPr>
              <w:t>(Unaudited)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 from Services: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United States</w:t>
            </w:r>
          </w:p>
        </w:tc>
        <w:tc>
          <w:tcPr>
            <w:tcW w:w="1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510.3</w:t>
            </w:r>
          </w:p>
        </w:tc>
        <w:tc>
          <w:tcPr>
            <w:tcW w:w="42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475.9</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534.6</w:t>
            </w:r>
          </w:p>
        </w:tc>
        <w:tc>
          <w:tcPr>
            <w:tcW w:w="4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506.7</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5.5%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France</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1,240.5</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w w:val="84"/>
              </w:rPr>
              <w:t>1,238.0</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0.2%</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4"/>
              </w:rPr>
              <w:t>1,535.6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1,397.0</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Other EMEA</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w w:val="89"/>
              </w:rPr>
              <w:t>1,149.8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w w:val="84"/>
              </w:rPr>
              <w:t>1,074.2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16.1%</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w w:val="84"/>
              </w:rPr>
              <w:t>1,257.5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w w:val="89"/>
              </w:rPr>
              <w:t>1,148.0</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9.5%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Italy</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242.4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215.3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12.6%</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22.7%</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291.7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233.1</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25.1%</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Jefferson Wells</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95.5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92.7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3.0%</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98.8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93.5</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5.7%</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Right Management</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95.3</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103.3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107.1</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Other Operations</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543.4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496.7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9.4%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13.8%</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563.8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508.0</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11.0%</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8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3,877.2</w:t>
            </w:r>
          </w:p>
        </w:tc>
        <w:tc>
          <w:tcPr>
            <w:tcW w:w="4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w w:val="84"/>
              </w:rPr>
              <w:t>3,696.1</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4.9%</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4"/>
              </w:rPr>
              <w:t>4,384.6</w:t>
            </w:r>
          </w:p>
        </w:tc>
        <w:tc>
          <w:tcPr>
            <w:tcW w:w="4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3,993.4</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9.8%</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2"/>
                <w:szCs w:val="12"/>
                <w:b w:val="1"/>
                <w:bCs w:val="1"/>
                <w:color w:val="auto"/>
              </w:rPr>
              <w:t>Operating Unit Profit:</w:t>
            </w:r>
          </w:p>
        </w:tc>
        <w:tc>
          <w:tcPr>
            <w:tcW w:w="1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United States</w:t>
            </w:r>
          </w:p>
        </w:tc>
        <w:tc>
          <w:tcPr>
            <w:tcW w:w="18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9.5</w:t>
            </w:r>
          </w:p>
        </w:tc>
        <w:tc>
          <w:tcPr>
            <w:tcW w:w="4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4.9</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93.3%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93.3%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22.5</w:t>
            </w:r>
          </w:p>
        </w:tc>
        <w:tc>
          <w:tcPr>
            <w:tcW w:w="4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18.0</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25.2%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France</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30.4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28.4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7.1%</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16.7%</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49.7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42.0</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18.3%</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EMEA</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4.7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194.6%</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224.9%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29.5</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23.3</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26.2%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Italy</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9.4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7.4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26.0%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37.7%</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21.2</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12.6</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68.1%</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Jefferson Wells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8.1</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-29.4%</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-29.4%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9.3</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7.7%</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Right Management</w:t>
            </w:r>
          </w:p>
        </w:tc>
        <w:tc>
          <w:tcPr>
            <w:tcW w:w="182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4.6</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10.3</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-54.8%</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-55.5%</w:t>
            </w: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11.1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9.5</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15.8%</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Operations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12.1</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44.7%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53.8%</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14.8</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12.8</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16.5%</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20" w:type="dxa"/>
            <w:vAlign w:val="bottom"/>
          </w:tcPr>
          <w:p>
            <w:pPr>
              <w:spacing w:after="0"/>
              <w:rPr>
                <w:sz w:val="11"/>
                <w:szCs w:val="11"/>
                <w:color w:val="auto"/>
              </w:rPr>
            </w:pPr>
          </w:p>
        </w:tc>
        <w:tc>
          <w:tcPr>
            <w:tcW w:w="18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90.8</w:t>
            </w:r>
          </w:p>
        </w:tc>
        <w:tc>
          <w:tcPr>
            <w:tcW w:w="42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81"/>
              <w:spacing w:after="0" w:line="133" w:lineRule="exact"/>
              <w:rPr>
                <w:sz w:val="20"/>
                <w:szCs w:val="20"/>
                <w:color w:val="auto"/>
              </w:rPr>
            </w:pPr>
            <w:r>
              <w:rPr>
                <w:rFonts w:ascii="Arial" w:cs="Arial" w:eastAsia="Arial" w:hAnsi="Arial"/>
                <w:sz w:val="12"/>
                <w:szCs w:val="12"/>
                <w:color w:val="auto"/>
              </w:rPr>
              <w:t>75.9</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line="133" w:lineRule="exact"/>
              <w:rPr>
                <w:sz w:val="20"/>
                <w:szCs w:val="20"/>
                <w:color w:val="auto"/>
              </w:rPr>
            </w:pPr>
            <w:r>
              <w:rPr>
                <w:rFonts w:ascii="Arial" w:cs="Arial" w:eastAsia="Arial" w:hAnsi="Arial"/>
                <w:sz w:val="12"/>
                <w:szCs w:val="12"/>
                <w:color w:val="auto"/>
              </w:rPr>
              <w:t>158.8</w:t>
            </w:r>
          </w:p>
        </w:tc>
        <w:tc>
          <w:tcPr>
            <w:tcW w:w="4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127.5</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2"/>
                <w:szCs w:val="12"/>
                <w:b w:val="1"/>
                <w:bCs w:val="1"/>
                <w:color w:val="auto"/>
                <w:w w:val="88"/>
              </w:rPr>
              <w:t>Six Months Ended June 30</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bottom w:val="single" w:sz="8" w:color="auto"/>
            </w:tcBorders>
            <w:gridSpan w:val="3"/>
          </w:tcPr>
          <w:p>
            <w:pPr>
              <w:ind w:left="4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jc w:val="center"/>
              <w:ind w:right="460"/>
              <w:spacing w:after="0" w:line="110" w:lineRule="exact"/>
              <w:rPr>
                <w:sz w:val="20"/>
                <w:szCs w:val="20"/>
                <w:color w:val="auto"/>
              </w:rPr>
            </w:pPr>
            <w:r>
              <w:rPr>
                <w:rFonts w:ascii="Arial" w:cs="Arial" w:eastAsia="Arial" w:hAnsi="Arial"/>
                <w:sz w:val="12"/>
                <w:szCs w:val="12"/>
                <w:b w:val="1"/>
                <w:bCs w:val="1"/>
                <w:color w:val="auto"/>
                <w:w w:val="88"/>
              </w:rPr>
              <w:t>Amount</w:t>
            </w:r>
          </w:p>
        </w:tc>
        <w:tc>
          <w:tcPr>
            <w:tcW w:w="54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92"/>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w w:val="89"/>
              </w:rPr>
              <w:t>2006</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89"/>
              </w:rPr>
              <w:t>2005</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460" w:type="dxa"/>
            <w:vAlign w:val="bottom"/>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1"/>
              </w:rPr>
              <w:t>Currency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tcPr>
          <w:p>
            <w:pPr>
              <w:jc w:val="center"/>
              <w:ind w:right="181"/>
              <w:spacing w:after="0" w:line="121" w:lineRule="exact"/>
              <w:rPr>
                <w:sz w:val="20"/>
                <w:szCs w:val="20"/>
                <w:color w:val="auto"/>
              </w:rPr>
            </w:pPr>
            <w:r>
              <w:rPr>
                <w:rFonts w:ascii="Arial" w:cs="Arial" w:eastAsia="Arial" w:hAnsi="Arial"/>
                <w:sz w:val="12"/>
                <w:szCs w:val="12"/>
                <w:b w:val="1"/>
                <w:bCs w:val="1"/>
                <w:color w:val="auto"/>
                <w:w w:val="92"/>
              </w:rPr>
              <w:t>(Unaudited)</w:t>
            </w: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 from Services: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United States</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w w:val="84"/>
              </w:rPr>
              <w:t>1,044.9</w:t>
            </w:r>
          </w:p>
        </w:tc>
        <w:tc>
          <w:tcPr>
            <w:tcW w:w="4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982.6</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6.3%</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France</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4"/>
              </w:rPr>
              <w:t>2,776.1</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2,635.0</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5.4%</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Other EMEA</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w w:val="84"/>
              </w:rPr>
              <w:t>2,407.3</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w w:val="89"/>
              </w:rPr>
              <w:t>2,222.2</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8.3%</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Italy</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534.1</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448.4</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19.1%</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Jefferson Wells</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194.3</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186.2</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4.3%</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Right Management</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197.9</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210.4</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-6.0%</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3"/>
        </w:trPr>
        <w:tc>
          <w:tcPr>
            <w:tcW w:w="2920" w:type="dxa"/>
            <w:vAlign w:val="bottom"/>
          </w:tcPr>
          <w:p>
            <w:pPr>
              <w:spacing w:after="0" w:line="129" w:lineRule="exact"/>
              <w:rPr>
                <w:sz w:val="20"/>
                <w:szCs w:val="20"/>
                <w:color w:val="auto"/>
              </w:rPr>
            </w:pPr>
            <w:r>
              <w:rPr>
                <w:rFonts w:ascii="Arial" w:cs="Arial" w:eastAsia="Arial" w:hAnsi="Arial"/>
                <w:sz w:val="12"/>
                <w:szCs w:val="12"/>
                <w:color w:val="auto"/>
              </w:rPr>
              <w:t>Other Operations</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4"/>
              </w:rPr>
              <w:t>1,107.2</w:t>
            </w: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1,004.7</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10.2%</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4"/>
              </w:rPr>
              <w:t>8,261.8</w:t>
            </w:r>
          </w:p>
        </w:tc>
        <w:tc>
          <w:tcPr>
            <w:tcW w:w="4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7,689.5</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7.4%</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2"/>
                <w:szCs w:val="12"/>
                <w:b w:val="1"/>
                <w:bCs w:val="1"/>
                <w:color w:val="auto"/>
              </w:rPr>
              <w:t>Operating Unit Profit:</w:t>
            </w: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United States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32.0</w:t>
            </w:r>
          </w:p>
        </w:tc>
        <w:tc>
          <w:tcPr>
            <w:tcW w:w="4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22.9</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39.8%</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France</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80.1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70.4</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13.8%</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EMEA</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43.1</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28.0</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54.1%</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58.4%</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Italy</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30.6</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20.0</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52.5%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Jefferson Wells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17.4</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-9.6%</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Right Management</w:t>
            </w: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15.7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2"/>
                <w:szCs w:val="12"/>
                <w:color w:val="auto"/>
              </w:rPr>
              <w:t>19.8</w:t>
            </w:r>
          </w:p>
        </w:tc>
        <w:tc>
          <w:tcPr>
            <w:tcW w:w="1320" w:type="dxa"/>
            <w:vAlign w:val="bottom"/>
            <w:gridSpan w:val="3"/>
          </w:tcPr>
          <w:p>
            <w:pPr>
              <w:jc w:val="right"/>
              <w:ind w:right="360"/>
              <w:spacing w:after="0" w:line="129" w:lineRule="exact"/>
              <w:rPr>
                <w:sz w:val="20"/>
                <w:szCs w:val="20"/>
                <w:color w:val="auto"/>
              </w:rPr>
            </w:pPr>
            <w:r>
              <w:rPr>
                <w:rFonts w:ascii="Arial" w:cs="Arial" w:eastAsia="Arial" w:hAnsi="Arial"/>
                <w:sz w:val="12"/>
                <w:szCs w:val="12"/>
                <w:color w:val="auto"/>
              </w:rPr>
              <w:t>-20.9%</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Operations</w:t>
            </w:r>
          </w:p>
        </w:tc>
        <w:tc>
          <w:tcPr>
            <w:tcW w:w="18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32.4</w:t>
            </w:r>
          </w:p>
        </w:tc>
        <w:tc>
          <w:tcPr>
            <w:tcW w:w="3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24.9</w:t>
            </w:r>
          </w:p>
        </w:tc>
        <w:tc>
          <w:tcPr>
            <w:tcW w:w="13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30.3%</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line="133" w:lineRule="exact"/>
              <w:rPr>
                <w:sz w:val="20"/>
                <w:szCs w:val="20"/>
                <w:color w:val="auto"/>
              </w:rPr>
            </w:pPr>
            <w:r>
              <w:rPr>
                <w:rFonts w:ascii="Arial" w:cs="Arial" w:eastAsia="Arial" w:hAnsi="Arial"/>
                <w:sz w:val="12"/>
                <w:szCs w:val="12"/>
                <w:color w:val="auto"/>
              </w:rPr>
              <w:t>249.6</w:t>
            </w:r>
          </w:p>
        </w:tc>
        <w:tc>
          <w:tcPr>
            <w:tcW w:w="4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203.4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128"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Restated Operating Unit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w w:val="97"/>
              </w:rPr>
              <w:t>Three Months Ended September 30</w:t>
            </w:r>
          </w:p>
        </w:tc>
        <w:tc>
          <w:tcPr>
            <w:tcW w:w="5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2"/>
                <w:szCs w:val="12"/>
                <w:b w:val="1"/>
                <w:bCs w:val="1"/>
                <w:color w:val="auto"/>
                <w:w w:val="88"/>
              </w:rPr>
              <w:t>Three Months Ended December 31</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Borders>
              <w:bottom w:val="single" w:sz="8" w:color="auto"/>
            </w:tcBorders>
            <w:gridSpan w:val="3"/>
          </w:tcPr>
          <w:p>
            <w:pPr>
              <w:ind w:left="440"/>
              <w:spacing w:after="0" w:line="121" w:lineRule="exact"/>
              <w:rPr>
                <w:sz w:val="20"/>
                <w:szCs w:val="20"/>
                <w:color w:val="auto"/>
              </w:rPr>
            </w:pPr>
            <w:r>
              <w:rPr>
                <w:rFonts w:ascii="Arial" w:cs="Arial" w:eastAsia="Arial" w:hAnsi="Arial"/>
                <w:sz w:val="12"/>
                <w:szCs w:val="12"/>
                <w:b w:val="1"/>
                <w:bCs w:val="1"/>
                <w:color w:val="auto"/>
              </w:rPr>
              <w:t>% Variance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bottom w:val="single" w:sz="8" w:color="auto"/>
            </w:tcBorders>
            <w:gridSpan w:val="3"/>
          </w:tcPr>
          <w:p>
            <w:pPr>
              <w:ind w:left="4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gridSpan w:val="2"/>
          </w:tcPr>
          <w:p>
            <w:pPr>
              <w:jc w:val="center"/>
              <w:ind w:right="440"/>
              <w:spacing w:after="0" w:line="110" w:lineRule="exact"/>
              <w:rPr>
                <w:sz w:val="20"/>
                <w:szCs w:val="20"/>
                <w:color w:val="auto"/>
              </w:rPr>
            </w:pPr>
            <w:r>
              <w:rPr>
                <w:rFonts w:ascii="Arial" w:cs="Arial" w:eastAsia="Arial" w:hAnsi="Arial"/>
                <w:sz w:val="12"/>
                <w:szCs w:val="12"/>
                <w:b w:val="1"/>
                <w:bCs w:val="1"/>
                <w:color w:val="auto"/>
                <w:w w:val="88"/>
              </w:rPr>
              <w:t>Amount</w:t>
            </w:r>
          </w:p>
        </w:tc>
        <w:tc>
          <w:tcPr>
            <w:tcW w:w="52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88"/>
              </w:rPr>
              <w:t>Constant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jc w:val="center"/>
              <w:ind w:right="440"/>
              <w:spacing w:after="0" w:line="110" w:lineRule="exact"/>
              <w:rPr>
                <w:sz w:val="20"/>
                <w:szCs w:val="20"/>
                <w:color w:val="auto"/>
              </w:rPr>
            </w:pPr>
            <w:r>
              <w:rPr>
                <w:rFonts w:ascii="Arial" w:cs="Arial" w:eastAsia="Arial" w:hAnsi="Arial"/>
                <w:sz w:val="12"/>
                <w:szCs w:val="12"/>
                <w:b w:val="1"/>
                <w:bCs w:val="1"/>
                <w:color w:val="auto"/>
                <w:w w:val="92"/>
              </w:rPr>
              <w:t>Amount</w:t>
            </w:r>
          </w:p>
        </w:tc>
        <w:tc>
          <w:tcPr>
            <w:tcW w:w="54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92"/>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2005</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460" w:type="dxa"/>
            <w:vAlign w:val="bottom"/>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1"/>
              </w:rPr>
              <w:t>Currency</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7"/>
              </w:rPr>
              <w:t>2006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7"/>
              </w:rPr>
              <w:t>2005</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Reported</w:t>
            </w:r>
          </w:p>
        </w:tc>
        <w:tc>
          <w:tcPr>
            <w:tcW w:w="460" w:type="dxa"/>
            <w:vAlign w:val="bottom"/>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1"/>
              </w:rPr>
              <w:t>Currency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(Unaudited)</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4"/>
          </w:tcPr>
          <w:p>
            <w:pPr>
              <w:jc w:val="center"/>
              <w:ind w:right="400"/>
              <w:spacing w:after="0" w:line="121" w:lineRule="exact"/>
              <w:rPr>
                <w:sz w:val="20"/>
                <w:szCs w:val="20"/>
                <w:color w:val="auto"/>
              </w:rPr>
            </w:pPr>
            <w:r>
              <w:rPr>
                <w:rFonts w:ascii="Arial" w:cs="Arial" w:eastAsia="Arial" w:hAnsi="Arial"/>
                <w:sz w:val="12"/>
                <w:szCs w:val="12"/>
                <w:b w:val="1"/>
                <w:bCs w:val="1"/>
                <w:color w:val="auto"/>
                <w:w w:val="92"/>
              </w:rPr>
              <w:t>(Unaudited)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 from Services: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United States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542.1</w:t>
            </w:r>
          </w:p>
        </w:tc>
        <w:tc>
          <w:tcPr>
            <w:tcW w:w="44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531.5</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527.9</w:t>
            </w:r>
          </w:p>
        </w:tc>
        <w:tc>
          <w:tcPr>
            <w:tcW w:w="120" w:type="dxa"/>
            <w:vAlign w:val="bottom"/>
          </w:tcPr>
          <w:p>
            <w:pPr>
              <w:spacing w:after="0"/>
              <w:rPr>
                <w:sz w:val="11"/>
                <w:szCs w:val="11"/>
                <w:color w:val="auto"/>
              </w:rPr>
            </w:pPr>
          </w:p>
        </w:tc>
        <w:tc>
          <w:tcPr>
            <w:tcW w:w="3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534.2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-1.2%</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France</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1,654.0</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w w:val="94"/>
              </w:rPr>
              <w:t>1,479.3</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11.8%</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1,589.0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w w:val="99"/>
              </w:rPr>
              <w:t>1,361.5</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16.7%</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Other EMEA</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1,353.4</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w w:val="94"/>
              </w:rPr>
              <w:t>1,145.2</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18.2%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13.2%</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w w:val="99"/>
              </w:rPr>
              <w:t>1,470.0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w w:val="99"/>
              </w:rPr>
              <w:t>1,204.0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22.1%</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Italy</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276.3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210.7</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31.1%</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25.5%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322.2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240.7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33.9%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Jefferson Wells</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93.9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103.9</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-9.6%</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-9.6%</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84.8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96.1</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-11.9%</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Right Management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90.5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94.8</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-4.6%</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-6.7%</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98.9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96.6</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2.4%</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Other Operations</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579.8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522.2</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11.0%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12.8%</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617.9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535.2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15.5%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4,590.0</w:t>
            </w:r>
          </w:p>
        </w:tc>
        <w:tc>
          <w:tcPr>
            <w:tcW w:w="4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w w:val="94"/>
              </w:rPr>
              <w:t>4,087.6</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12.3%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4,710.7</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w w:val="99"/>
              </w:rPr>
              <w:t>4,068.3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15.8%</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Operating Unit Profit: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United States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28.6</w:t>
            </w:r>
          </w:p>
        </w:tc>
        <w:tc>
          <w:tcPr>
            <w:tcW w:w="4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22.6</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26.7%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26.7%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26.8</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23.2</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15.2%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France</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62.0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50.6</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22.4%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17.1%</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61.2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47.7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28.3%</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EMEA</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49.2</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34.8</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41.2%</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35.5%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37.7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70.8%</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57.9%</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Italy</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16.7</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9.4</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79.0%</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70.9%</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16.2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14.2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14.4%</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Jefferson Wells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11.5</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-13.7%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4.4</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41.4%</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Right Management</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2.2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2.3</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-5.2%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-10.3%</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0.4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3.6</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-87.5%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Operations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16.4</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16.3</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19.2</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185.1</w:t>
            </w:r>
          </w:p>
        </w:tc>
        <w:tc>
          <w:tcPr>
            <w:tcW w:w="44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1"/>
              <w:spacing w:after="0" w:line="133" w:lineRule="exact"/>
              <w:rPr>
                <w:sz w:val="20"/>
                <w:szCs w:val="20"/>
                <w:color w:val="auto"/>
              </w:rPr>
            </w:pPr>
            <w:r>
              <w:rPr>
                <w:rFonts w:ascii="Arial" w:cs="Arial" w:eastAsia="Arial" w:hAnsi="Arial"/>
                <w:sz w:val="12"/>
                <w:szCs w:val="12"/>
                <w:color w:val="auto"/>
              </w:rPr>
              <w:t>147.5</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196.3</w:t>
            </w:r>
          </w:p>
        </w:tc>
        <w:tc>
          <w:tcPr>
            <w:tcW w:w="120" w:type="dxa"/>
            <w:vAlign w:val="bottom"/>
          </w:tcPr>
          <w:p>
            <w:pPr>
              <w:spacing w:after="0"/>
              <w:rPr>
                <w:sz w:val="11"/>
                <w:szCs w:val="11"/>
                <w:color w:val="auto"/>
              </w:rPr>
            </w:pPr>
          </w:p>
        </w:tc>
        <w:tc>
          <w:tcPr>
            <w:tcW w:w="32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line="133" w:lineRule="exact"/>
              <w:rPr>
                <w:sz w:val="20"/>
                <w:szCs w:val="20"/>
                <w:color w:val="auto"/>
              </w:rPr>
            </w:pPr>
            <w:r>
              <w:rPr>
                <w:rFonts w:ascii="Arial" w:cs="Arial" w:eastAsia="Arial" w:hAnsi="Arial"/>
                <w:sz w:val="12"/>
                <w:szCs w:val="12"/>
                <w:color w:val="auto"/>
              </w:rPr>
              <w:t>150.0</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w w:val="98"/>
              </w:rPr>
              <w:t>Nine Months Ended September 30</w:t>
            </w:r>
          </w:p>
        </w:tc>
        <w:tc>
          <w:tcPr>
            <w:tcW w:w="5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2"/>
                <w:szCs w:val="12"/>
                <w:b w:val="1"/>
                <w:bCs w:val="1"/>
                <w:color w:val="auto"/>
                <w:w w:val="88"/>
              </w:rPr>
              <w:t>Year Ended December 31</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Borders>
              <w:bottom w:val="single" w:sz="8" w:color="auto"/>
            </w:tcBorders>
            <w:gridSpan w:val="3"/>
          </w:tcPr>
          <w:p>
            <w:pPr>
              <w:ind w:left="440"/>
              <w:spacing w:after="0" w:line="121" w:lineRule="exact"/>
              <w:rPr>
                <w:sz w:val="20"/>
                <w:szCs w:val="20"/>
                <w:color w:val="auto"/>
              </w:rPr>
            </w:pPr>
            <w:r>
              <w:rPr>
                <w:rFonts w:ascii="Arial" w:cs="Arial" w:eastAsia="Arial" w:hAnsi="Arial"/>
                <w:sz w:val="12"/>
                <w:szCs w:val="12"/>
                <w:b w:val="1"/>
                <w:bCs w:val="1"/>
                <w:color w:val="auto"/>
              </w:rPr>
              <w:t>% Variance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bottom w:val="single" w:sz="8" w:color="auto"/>
            </w:tcBorders>
            <w:gridSpan w:val="3"/>
          </w:tcPr>
          <w:p>
            <w:pPr>
              <w:ind w:left="46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gridSpan w:val="2"/>
          </w:tcPr>
          <w:p>
            <w:pPr>
              <w:jc w:val="center"/>
              <w:ind w:right="440"/>
              <w:spacing w:after="0" w:line="110" w:lineRule="exact"/>
              <w:rPr>
                <w:sz w:val="20"/>
                <w:szCs w:val="20"/>
                <w:color w:val="auto"/>
              </w:rPr>
            </w:pPr>
            <w:r>
              <w:rPr>
                <w:rFonts w:ascii="Arial" w:cs="Arial" w:eastAsia="Arial" w:hAnsi="Arial"/>
                <w:sz w:val="12"/>
                <w:szCs w:val="12"/>
                <w:b w:val="1"/>
                <w:bCs w:val="1"/>
                <w:color w:val="auto"/>
                <w:w w:val="88"/>
              </w:rPr>
              <w:t>Amount</w:t>
            </w:r>
          </w:p>
        </w:tc>
        <w:tc>
          <w:tcPr>
            <w:tcW w:w="52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88"/>
              </w:rPr>
              <w:t>Constant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jc w:val="center"/>
              <w:ind w:right="440"/>
              <w:spacing w:after="0" w:line="110" w:lineRule="exact"/>
              <w:rPr>
                <w:sz w:val="20"/>
                <w:szCs w:val="20"/>
                <w:color w:val="auto"/>
              </w:rPr>
            </w:pPr>
            <w:r>
              <w:rPr>
                <w:rFonts w:ascii="Arial" w:cs="Arial" w:eastAsia="Arial" w:hAnsi="Arial"/>
                <w:sz w:val="12"/>
                <w:szCs w:val="12"/>
                <w:b w:val="1"/>
                <w:bCs w:val="1"/>
                <w:color w:val="auto"/>
                <w:w w:val="92"/>
              </w:rPr>
              <w:t>Amount</w:t>
            </w:r>
          </w:p>
        </w:tc>
        <w:tc>
          <w:tcPr>
            <w:tcW w:w="540" w:type="dxa"/>
            <w:vAlign w:val="bottom"/>
          </w:tcPr>
          <w:p>
            <w:pPr>
              <w:ind w:left="40"/>
              <w:spacing w:after="0" w:line="110" w:lineRule="exact"/>
              <w:rPr>
                <w:sz w:val="20"/>
                <w:szCs w:val="20"/>
                <w:color w:val="auto"/>
              </w:rPr>
            </w:pPr>
            <w:r>
              <w:rPr>
                <w:rFonts w:ascii="Arial" w:cs="Arial" w:eastAsia="Arial" w:hAnsi="Arial"/>
                <w:sz w:val="12"/>
                <w:szCs w:val="12"/>
                <w:b w:val="1"/>
                <w:bCs w:val="1"/>
                <w:color w:val="auto"/>
                <w:w w:val="92"/>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89"/>
              </w:rPr>
              <w:t>2005</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460" w:type="dxa"/>
            <w:vAlign w:val="bottom"/>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1"/>
              </w:rPr>
              <w:t>Currency</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7"/>
              </w:rPr>
              <w:t>2006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7"/>
              </w:rPr>
              <w:t>2005</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Reported</w:t>
            </w:r>
          </w:p>
        </w:tc>
        <w:tc>
          <w:tcPr>
            <w:tcW w:w="460" w:type="dxa"/>
            <w:vAlign w:val="bottom"/>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1"/>
              </w:rPr>
              <w:t>Currency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gridSpan w:val="2"/>
          </w:tcPr>
          <w:p>
            <w:pPr>
              <w:spacing w:after="0" w:line="121" w:lineRule="exact"/>
              <w:rPr>
                <w:sz w:val="20"/>
                <w:szCs w:val="20"/>
                <w:color w:val="auto"/>
              </w:rPr>
            </w:pPr>
            <w:r>
              <w:rPr>
                <w:rFonts w:ascii="Arial" w:cs="Arial" w:eastAsia="Arial" w:hAnsi="Arial"/>
                <w:sz w:val="12"/>
                <w:szCs w:val="12"/>
                <w:b w:val="1"/>
                <w:bCs w:val="1"/>
                <w:color w:val="auto"/>
              </w:rPr>
              <w:t>(Unaudited)</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4"/>
          </w:tcPr>
          <w:p>
            <w:pPr>
              <w:jc w:val="center"/>
              <w:ind w:right="400"/>
              <w:spacing w:after="0" w:line="121" w:lineRule="exact"/>
              <w:rPr>
                <w:sz w:val="20"/>
                <w:szCs w:val="20"/>
                <w:color w:val="auto"/>
              </w:rPr>
            </w:pPr>
            <w:r>
              <w:rPr>
                <w:rFonts w:ascii="Arial" w:cs="Arial" w:eastAsia="Arial" w:hAnsi="Arial"/>
                <w:sz w:val="12"/>
                <w:szCs w:val="12"/>
                <w:b w:val="1"/>
                <w:bCs w:val="1"/>
                <w:color w:val="auto"/>
                <w:w w:val="92"/>
              </w:rPr>
              <w:t>(Unaudited)</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Revenue from Services: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United States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1,587.0</w:t>
            </w:r>
          </w:p>
        </w:tc>
        <w:tc>
          <w:tcPr>
            <w:tcW w:w="44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w w:val="94"/>
              </w:rPr>
              <w:t>1,514.1</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4.8%</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4.8%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w w:val="99"/>
              </w:rPr>
              <w:t>2,114.9</w:t>
            </w:r>
          </w:p>
        </w:tc>
        <w:tc>
          <w:tcPr>
            <w:tcW w:w="3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w w:val="99"/>
              </w:rPr>
              <w:t>2,048.3</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3.2%</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France</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4,430.1</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w w:val="94"/>
              </w:rPr>
              <w:t>4,114.3</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7.7%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8.6%</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6,019.1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w w:val="99"/>
              </w:rPr>
              <w:t>5,475.8</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Other EMEA</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3,760.7</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w w:val="94"/>
              </w:rPr>
              <w:t>3,367.4</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11.7%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13.0%</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w w:val="99"/>
              </w:rPr>
              <w:t>5,230.7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w w:val="99"/>
              </w:rPr>
              <w:t>4,571.4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14.4%</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Italy</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810.4</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659.1</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23.0%</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1,132.6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899.8</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25.9%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Jefferson Wells</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288.2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290.1</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-0.6%</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-0.6%</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373.0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386.2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-3.4%</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Right Management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288.4</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305.2</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-5.5%</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387.3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401.8</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-3.6%</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Other Operations</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1,687.0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w w:val="94"/>
              </w:rPr>
              <w:t>1,526.9</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10.5%</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13.4%</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w w:val="99"/>
              </w:rPr>
              <w:t>2,304.9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w w:val="99"/>
              </w:rPr>
              <w:t>2,062.1</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11.8%</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12,851.8</w:t>
            </w:r>
          </w:p>
        </w:tc>
        <w:tc>
          <w:tcPr>
            <w:tcW w:w="1180" w:type="dxa"/>
            <w:vAlign w:val="bottom"/>
            <w:gridSpan w:val="4"/>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$ 11,777.1</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9.1%</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5"/>
              </w:rPr>
              <w:t>17,562.5</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w w:val="85"/>
              </w:rPr>
              <w:t>15,845.4</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10.8%</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2"/>
                <w:szCs w:val="12"/>
                <w:b w:val="1"/>
                <w:bCs w:val="1"/>
                <w:color w:val="auto"/>
              </w:rPr>
              <w:t>Operating Unit Profit: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4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United States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60.6</w:t>
            </w:r>
          </w:p>
        </w:tc>
        <w:tc>
          <w:tcPr>
            <w:tcW w:w="4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45.5</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33.3%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33.3%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87.4</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68.7</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27.2%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France</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142.1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121.0</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17.4%</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17.2%</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203.3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168.7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20.5%</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EMEA</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92.3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62.8</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47.0%</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45.7%</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156.7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100.5</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55.9%</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Italy</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47.3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29.4</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60.9%</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60.8%</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63.5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43.6</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45.8%</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Jefferson Wells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25.7</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28.9</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-11.2%</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-11.2%</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33.3</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-4.2%</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29"/>
        </w:trPr>
        <w:tc>
          <w:tcPr>
            <w:tcW w:w="4460" w:type="dxa"/>
            <w:vAlign w:val="bottom"/>
          </w:tcPr>
          <w:p>
            <w:pPr>
              <w:spacing w:after="0" w:line="129" w:lineRule="exact"/>
              <w:rPr>
                <w:sz w:val="20"/>
                <w:szCs w:val="20"/>
                <w:color w:val="auto"/>
              </w:rPr>
            </w:pPr>
            <w:r>
              <w:rPr>
                <w:rFonts w:ascii="Arial" w:cs="Arial" w:eastAsia="Arial" w:hAnsi="Arial"/>
                <w:sz w:val="12"/>
                <w:szCs w:val="12"/>
                <w:color w:val="auto"/>
              </w:rPr>
              <w:t>Right Management</w:t>
            </w:r>
          </w:p>
        </w:tc>
        <w:tc>
          <w:tcPr>
            <w:tcW w:w="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17.9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81"/>
              <w:spacing w:after="0" w:line="129" w:lineRule="exact"/>
              <w:rPr>
                <w:sz w:val="20"/>
                <w:szCs w:val="20"/>
                <w:color w:val="auto"/>
              </w:rPr>
            </w:pPr>
            <w:r>
              <w:rPr>
                <w:rFonts w:ascii="Arial" w:cs="Arial" w:eastAsia="Arial" w:hAnsi="Arial"/>
                <w:sz w:val="12"/>
                <w:szCs w:val="12"/>
                <w:color w:val="auto"/>
              </w:rPr>
              <w:t>22.1</w:t>
            </w:r>
          </w:p>
        </w:tc>
        <w:tc>
          <w:tcPr>
            <w:tcW w:w="96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-19.2%</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-20.7%</w:t>
            </w:r>
          </w:p>
        </w:tc>
        <w:tc>
          <w:tcPr>
            <w:tcW w:w="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18.3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2"/>
                <w:szCs w:val="12"/>
                <w:color w:val="auto"/>
              </w:rPr>
              <w:t>25.7</w:t>
            </w:r>
          </w:p>
        </w:tc>
        <w:tc>
          <w:tcPr>
            <w:tcW w:w="980" w:type="dxa"/>
            <w:vAlign w:val="bottom"/>
            <w:gridSpan w:val="2"/>
          </w:tcPr>
          <w:p>
            <w:pPr>
              <w:jc w:val="right"/>
              <w:ind w:right="360"/>
              <w:spacing w:after="0" w:line="129" w:lineRule="exact"/>
              <w:rPr>
                <w:sz w:val="20"/>
                <w:szCs w:val="20"/>
                <w:color w:val="auto"/>
              </w:rPr>
            </w:pPr>
            <w:r>
              <w:rPr>
                <w:rFonts w:ascii="Arial" w:cs="Arial" w:eastAsia="Arial" w:hAnsi="Arial"/>
                <w:sz w:val="12"/>
                <w:szCs w:val="12"/>
                <w:color w:val="auto"/>
              </w:rPr>
              <w:t>-28.8%</w:t>
            </w: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-28.2%</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Operations</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48.8</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81"/>
              <w:spacing w:after="0" w:line="129" w:lineRule="exact"/>
              <w:rPr>
                <w:sz w:val="20"/>
                <w:szCs w:val="20"/>
                <w:color w:val="auto"/>
              </w:rPr>
            </w:pPr>
            <w:r>
              <w:rPr>
                <w:rFonts w:ascii="Arial" w:cs="Arial" w:eastAsia="Arial" w:hAnsi="Arial"/>
                <w:sz w:val="12"/>
                <w:szCs w:val="12"/>
                <w:color w:val="auto"/>
              </w:rPr>
              <w:t>41.2</w:t>
            </w:r>
          </w:p>
        </w:tc>
        <w:tc>
          <w:tcPr>
            <w:tcW w:w="96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18.8%</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69.9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40"/>
              <w:spacing w:after="0" w:line="129" w:lineRule="exact"/>
              <w:rPr>
                <w:sz w:val="20"/>
                <w:szCs w:val="20"/>
                <w:color w:val="auto"/>
              </w:rPr>
            </w:pPr>
            <w:r>
              <w:rPr>
                <w:rFonts w:ascii="Arial" w:cs="Arial" w:eastAsia="Arial" w:hAnsi="Arial"/>
                <w:sz w:val="12"/>
                <w:szCs w:val="12"/>
                <w:color w:val="auto"/>
              </w:rPr>
              <w:t>60.4</w:t>
            </w:r>
          </w:p>
        </w:tc>
        <w:tc>
          <w:tcPr>
            <w:tcW w:w="980" w:type="dxa"/>
            <w:vAlign w:val="bottom"/>
            <w:gridSpan w:val="2"/>
            <w:shd w:val="clear" w:color="auto" w:fill="CCEEFF"/>
          </w:tcPr>
          <w:p>
            <w:pPr>
              <w:jc w:val="right"/>
              <w:ind w:right="360"/>
              <w:spacing w:after="0" w:line="129" w:lineRule="exact"/>
              <w:rPr>
                <w:sz w:val="20"/>
                <w:szCs w:val="20"/>
                <w:color w:val="auto"/>
              </w:rPr>
            </w:pPr>
            <w:r>
              <w:rPr>
                <w:rFonts w:ascii="Arial" w:cs="Arial" w:eastAsia="Arial" w:hAnsi="Arial"/>
                <w:sz w:val="12"/>
                <w:szCs w:val="12"/>
                <w:color w:val="auto"/>
              </w:rPr>
              <w:t>16.0%</w:t>
            </w:r>
          </w:p>
        </w:tc>
        <w:tc>
          <w:tcPr>
            <w:tcW w:w="6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434.7</w:t>
            </w:r>
          </w:p>
        </w:tc>
        <w:tc>
          <w:tcPr>
            <w:tcW w:w="44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1"/>
              <w:spacing w:after="0" w:line="133" w:lineRule="exact"/>
              <w:rPr>
                <w:sz w:val="20"/>
                <w:szCs w:val="20"/>
                <w:color w:val="auto"/>
              </w:rPr>
            </w:pPr>
            <w:r>
              <w:rPr>
                <w:rFonts w:ascii="Arial" w:cs="Arial" w:eastAsia="Arial" w:hAnsi="Arial"/>
                <w:sz w:val="12"/>
                <w:szCs w:val="12"/>
                <w:color w:val="auto"/>
              </w:rPr>
              <w:t>350.</w:t>
            </w:r>
            <w:r>
              <w:rPr>
                <w:rFonts w:ascii="Arial" w:cs="Arial" w:eastAsia="Arial" w:hAnsi="Arial"/>
                <w:sz w:val="12"/>
                <w:szCs w:val="12"/>
                <w:u w:val="single" w:color="auto"/>
                <w:color w:val="auto"/>
              </w:rPr>
              <w:t>9</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631.0</w:t>
            </w:r>
          </w:p>
        </w:tc>
        <w:tc>
          <w:tcPr>
            <w:tcW w:w="120" w:type="dxa"/>
            <w:vAlign w:val="bottom"/>
          </w:tcPr>
          <w:p>
            <w:pPr>
              <w:spacing w:after="0"/>
              <w:rPr>
                <w:sz w:val="11"/>
                <w:szCs w:val="11"/>
                <w:color w:val="auto"/>
              </w:rPr>
            </w:pPr>
          </w:p>
        </w:tc>
        <w:tc>
          <w:tcPr>
            <w:tcW w:w="32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40"/>
              <w:spacing w:after="0" w:line="133" w:lineRule="exact"/>
              <w:rPr>
                <w:sz w:val="20"/>
                <w:szCs w:val="20"/>
                <w:color w:val="auto"/>
              </w:rPr>
            </w:pPr>
            <w:r>
              <w:rPr>
                <w:rFonts w:ascii="Arial" w:cs="Arial" w:eastAsia="Arial" w:hAnsi="Arial"/>
                <w:sz w:val="12"/>
                <w:szCs w:val="12"/>
                <w:color w:val="auto"/>
              </w:rPr>
              <w:t>500.9</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sectPr>
      <w:pgSz w:w="11900" w:h="16838" w:orient="portrait"/>
      <w:cols w:equalWidth="0" w:num="1">
        <w:col w:w="11440"/>
      </w:cols>
      <w:pgMar w:left="240" w:top="2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emdash "/>
      <w:numFmt w:val="bullet"/>
      <w:start w:val="1"/>
    </w:lvl>
  </w:abstractNum>
  <w:abstractNum w:abstractNumId="4">
    <w:nsid w:val="2EB141F2"/>
    <w:multiLevelType w:val="hybridMultilevel"/>
    <w:lvl w:ilvl="0">
      <w:lvlJc w:val="left"/>
      <w:lvlText w:val="\emdash "/>
      <w:numFmt w:val="bullet"/>
      <w:start w:val="1"/>
    </w:lvl>
  </w:abstractNum>
  <w:abstractNum w:abstractNumId="5">
    <w:nsid w:val="41B71EFB"/>
    <w:multiLevelType w:val="hybridMultilevel"/>
    <w:lvl w:ilvl="0">
      <w:lvlJc w:val="left"/>
      <w:lvlText w:val="(%1)"/>
      <w:numFmt w:val="upperLetter"/>
      <w:start w:val="29"/>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2019-12-20T18:09:34Z</dcterms:created>
  <dcterms:modified xsi:type="dcterms:W3CDTF">2019-12-20T18:09:34Z</dcterms:modified>
</cp:coreProperties>
</file>