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5, 2011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(d/b/a ManpowerGroup)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4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Wisconsin</w:t>
            </w:r>
          </w:p>
        </w:tc>
        <w:tc>
          <w:tcPr>
            <w:tcW w:w="29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1-10686</w:t>
            </w:r>
          </w:p>
        </w:tc>
        <w:tc>
          <w:tcPr>
            <w:tcW w:w="36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2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(Commission File Number)</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662"/>
        </w:trPr>
        <w:tc>
          <w:tcPr>
            <w:tcW w:w="484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100 Manpower Place</w:t>
            </w:r>
          </w:p>
        </w:tc>
        <w:tc>
          <w:tcPr>
            <w:tcW w:w="29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40"/>
        </w:trPr>
        <w:tc>
          <w:tcPr>
            <w:tcW w:w="484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34"/>
        </w:trPr>
        <w:tc>
          <w:tcPr>
            <w:tcW w:w="484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0"/>
                <w:szCs w:val="20"/>
                <w:color w:val="auto"/>
              </w:rPr>
            </w:pPr>
          </w:p>
        </w:tc>
        <w:tc>
          <w:tcPr>
            <w:tcW w:w="3680" w:type="dxa"/>
            <w:vAlign w:val="bottom"/>
          </w:tcPr>
          <w:p>
            <w:pPr>
              <w:jc w:val="center"/>
              <w:ind w:right="1530"/>
              <w:spacing w:after="0"/>
              <w:rPr>
                <w:sz w:val="20"/>
                <w:szCs w:val="20"/>
                <w:color w:val="auto"/>
              </w:rPr>
            </w:pPr>
            <w:r>
              <w:rPr>
                <w:rFonts w:ascii="Arial" w:cs="Arial" w:eastAsia="Arial" w:hAnsi="Arial"/>
                <w:sz w:val="18"/>
                <w:szCs w:val="18"/>
                <w:b w:val="1"/>
                <w:bCs w:val="1"/>
                <w:color w:val="auto"/>
                <w:w w:val="92"/>
              </w:rPr>
              <w:t>(Zip Code)</w:t>
            </w:r>
          </w:p>
        </w:tc>
      </w:tr>
    </w:tbl>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0" w:lineRule="exact"/>
        <w:rPr>
          <w:sz w:val="24"/>
          <w:szCs w:val="24"/>
          <w:color w:val="auto"/>
        </w:rPr>
      </w:pPr>
    </w:p>
    <w:p>
      <w:pPr>
        <w:ind w:right="180"/>
        <w:spacing w:after="0" w:line="27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575310</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4" w:lineRule="exact"/>
        <w:rPr>
          <w:sz w:val="20"/>
          <w:szCs w:val="20"/>
          <w:color w:val="auto"/>
        </w:rPr>
      </w:pPr>
    </w:p>
    <w:p>
      <w:pPr>
        <w:ind w:right="120" w:firstLine="645"/>
        <w:spacing w:after="0" w:line="258" w:lineRule="auto"/>
        <w:rPr>
          <w:sz w:val="20"/>
          <w:szCs w:val="20"/>
          <w:color w:val="auto"/>
        </w:rPr>
      </w:pPr>
      <w:r>
        <w:rPr>
          <w:rFonts w:ascii="Arial" w:cs="Arial" w:eastAsia="Arial" w:hAnsi="Arial"/>
          <w:sz w:val="18"/>
          <w:szCs w:val="18"/>
          <w:color w:val="auto"/>
        </w:rPr>
        <w:t>On October 5, 2011 Manpower Inc. (d/b/a ManpowerGroup) (the “Company”) entered into a new $800.0 million Five-Year Credit Agreement (the “New Agreement”) with a syndicate of commercial banks, including Citibank, N.A., as Administrative Agent for the lenders, BNP Paribas, as Syndication Agent, and JP Morgan Chase, US Bank and RBS Citizens as Documentation Agents. This New Agreement replaces the Company’s previous $400.0 million revolving credit facility.</w:t>
      </w:r>
    </w:p>
    <w:p>
      <w:pPr>
        <w:spacing w:after="0" w:line="2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New Agreement allows for borrowing in various currencies and up to $150.0 million may be used for the issuance of stand-by letters of credit. The New Agreement terminates in October 2016.</w:t>
      </w:r>
    </w:p>
    <w:p>
      <w:pPr>
        <w:spacing w:after="0" w:line="19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Under the New Agreement, a debt ratings-based pricing grid determines the interest rate and facility fee, as well as the issuance fee paid for the issuance of letters of credit on the facility. The current interest rate is LIBOR plus 1.275 % (for U.S. Dollar borrowings, or alternative base rate for foreign currency borrowings). The facility and issuance fees are .225% and 1.275%, respectively.</w:t>
      </w:r>
    </w:p>
    <w:p>
      <w:pPr>
        <w:spacing w:after="0" w:line="20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New Agreement contains customary restrictive covenants pertaining to the Company’s and the Company’s subsidiaries’ management and operations, including limitations on the amount of subsidiary debt that the Company may incur and limitations on the Company’s ability to pledge assets, as well as financial covenants, including covenants requiring, among other things, that the Company comply with a Leverage Ratio (Debt-to-EBITDA) of not greater than 3.5 to 1 and a Fixed Charge Coverage Ratio of not less than 1.5 to 1. The New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00" w:lineRule="exact"/>
        <w:rPr>
          <w:sz w:val="20"/>
          <w:szCs w:val="20"/>
          <w:color w:val="auto"/>
        </w:rPr>
      </w:pPr>
    </w:p>
    <w:p>
      <w:pPr>
        <w:spacing w:after="0" w:line="269" w:lineRule="exact"/>
        <w:rPr>
          <w:sz w:val="20"/>
          <w:szCs w:val="20"/>
          <w:color w:val="auto"/>
        </w:rPr>
      </w:pPr>
    </w:p>
    <w:p>
      <w:pPr>
        <w:ind w:right="120" w:firstLine="645"/>
        <w:spacing w:after="0" w:line="258" w:lineRule="auto"/>
        <w:rPr>
          <w:sz w:val="20"/>
          <w:szCs w:val="20"/>
          <w:color w:val="auto"/>
        </w:rPr>
      </w:pPr>
      <w:r>
        <w:rPr>
          <w:rFonts w:ascii="Arial" w:cs="Arial" w:eastAsia="Arial" w:hAnsi="Arial"/>
          <w:sz w:val="18"/>
          <w:szCs w:val="18"/>
          <w:color w:val="auto"/>
        </w:rPr>
        <w:t>As of October 5, 2011, in connection with the its entry into the New Agreement described in Item 1.01 hereof, the Company terminated its previous $400.0 million revolving credit facility with the banks, financial institutions and other lenders signatory thereto and Citibank, N.A. The prior credit facility would have expired on November 16, 2012. The material terms and conditions of the prior credit facility were substantially similar to the material terms and conditions of the New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tcPr>
          <w:p>
            <w:pPr>
              <w:ind w:left="440"/>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r>
      <w:tr>
        <w:trPr>
          <w:trHeight w:val="464"/>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4.1</w:t>
            </w:r>
          </w:p>
        </w:tc>
        <w:tc>
          <w:tcPr>
            <w:tcW w:w="10100" w:type="dxa"/>
            <w:vAlign w:val="bottom"/>
          </w:tcPr>
          <w:p>
            <w:pPr>
              <w:ind w:left="880"/>
              <w:spacing w:after="0"/>
              <w:rPr>
                <w:sz w:val="20"/>
                <w:szCs w:val="20"/>
                <w:color w:val="auto"/>
              </w:rPr>
            </w:pPr>
            <w:r>
              <w:rPr>
                <w:rFonts w:ascii="Arial" w:cs="Arial" w:eastAsia="Arial" w:hAnsi="Arial"/>
                <w:sz w:val="18"/>
                <w:szCs w:val="18"/>
                <w:color w:val="auto"/>
              </w:rPr>
              <w:t>Five-Year Credit Agreement Dated as of October 5, 2011</w:t>
            </w:r>
          </w:p>
        </w:tc>
      </w:tr>
      <w:tr>
        <w:trPr>
          <w:trHeight w:val="883"/>
        </w:trPr>
        <w:tc>
          <w:tcPr>
            <w:tcW w:w="132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(d/b/a ManpowerGroup)</w:t>
      </w:r>
    </w:p>
    <w:p>
      <w:pPr>
        <w:spacing w:after="0" w:line="209" w:lineRule="exact"/>
        <w:rPr>
          <w:sz w:val="20"/>
          <w:szCs w:val="20"/>
          <w:color w:val="auto"/>
        </w:rPr>
      </w:pPr>
    </w:p>
    <w:p>
      <w:pPr>
        <w:spacing w:after="0"/>
        <w:tabs>
          <w:tab w:leader="none" w:pos="3420" w:val="left"/>
          <w:tab w:leader="none" w:pos="3840" w:val="left"/>
        </w:tabs>
        <w:rPr>
          <w:sz w:val="20"/>
          <w:szCs w:val="20"/>
          <w:color w:val="auto"/>
        </w:rPr>
      </w:pPr>
      <w:r>
        <w:rPr>
          <w:rFonts w:ascii="Arial" w:cs="Arial" w:eastAsia="Arial" w:hAnsi="Arial"/>
          <w:sz w:val="18"/>
          <w:szCs w:val="18"/>
          <w:color w:val="auto"/>
        </w:rPr>
        <w:t>Dated: October 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4900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90085" cy="17145"/>
                    </a:xfrm>
                    <a:prstGeom prst="rect">
                      <a:avLst/>
                    </a:prstGeom>
                    <a:noFill/>
                  </pic:spPr>
                </pic:pic>
              </a:graphicData>
            </a:graphic>
          </wp:anchor>
        </w:drawing>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Kenneth C. Hunt</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Senior Vice President, General Counsel and</w:t>
      </w:r>
    </w:p>
    <w:p>
      <w:pPr>
        <w:spacing w:after="0" w:line="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1027430</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00"/>
          </w:cols>
          <w:pgMar w:left="240" w:top="511"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9820" w:type="dxa"/>
            <w:vAlign w:val="bottom"/>
          </w:tcPr>
          <w:p>
            <w:pPr>
              <w:jc w:val="right"/>
              <w:ind w:right="4930"/>
              <w:spacing w:after="0"/>
              <w:rPr>
                <w:sz w:val="20"/>
                <w:szCs w:val="20"/>
                <w:color w:val="auto"/>
              </w:rPr>
            </w:pPr>
            <w:r>
              <w:rPr>
                <w:rFonts w:ascii="Arial" w:cs="Arial" w:eastAsia="Arial" w:hAnsi="Arial"/>
                <w:sz w:val="18"/>
                <w:szCs w:val="18"/>
                <w:b w:val="1"/>
                <w:bCs w:val="1"/>
                <w:color w:val="auto"/>
              </w:rPr>
              <w:t>EXHIBIT INDEX</w:t>
            </w:r>
          </w:p>
        </w:tc>
      </w:tr>
      <w:tr>
        <w:trPr>
          <w:trHeight w:val="464"/>
        </w:trPr>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820" w:type="dxa"/>
            <w:vAlign w:val="bottom"/>
            <w:tcBorders>
              <w:bottom w:val="single" w:sz="8" w:color="auto"/>
            </w:tcBorders>
          </w:tcPr>
          <w:p>
            <w:pPr>
              <w:jc w:val="right"/>
              <w:ind w:right="813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4.1</w:t>
            </w:r>
          </w:p>
        </w:tc>
        <w:tc>
          <w:tcPr>
            <w:tcW w:w="9820" w:type="dxa"/>
            <w:vAlign w:val="bottom"/>
          </w:tcPr>
          <w:p>
            <w:pPr>
              <w:jc w:val="right"/>
              <w:ind w:right="4930"/>
              <w:spacing w:after="0"/>
              <w:rPr>
                <w:sz w:val="20"/>
                <w:szCs w:val="20"/>
                <w:color w:val="auto"/>
              </w:rPr>
            </w:pPr>
            <w:r>
              <w:rPr>
                <w:rFonts w:ascii="Arial" w:cs="Arial" w:eastAsia="Arial" w:hAnsi="Arial"/>
                <w:sz w:val="18"/>
                <w:szCs w:val="18"/>
                <w:color w:val="auto"/>
              </w:rPr>
              <w:t>Five-Year Credit Agreement Dated as of October 5, 2011</w:t>
            </w:r>
          </w:p>
        </w:tc>
      </w:tr>
    </w:tbl>
    <w:p>
      <w:pPr>
        <w:sectPr>
          <w:pgSz w:w="11900" w:h="16838" w:orient="portrait"/>
          <w:cols w:equalWidth="0" w:num="1">
            <w:col w:w="11420"/>
          </w:cols>
          <w:pgMar w:left="240" w:top="75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9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$800,000,000</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FIVE YEAR CREDIT AGREEMENT</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5, 2011</w:t>
      </w: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MANPOWER INC.</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Borrower</w:t>
      </w: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INITIAL LENDERS NAMED HEREIN</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Initial Lenders</w:t>
      </w: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Administrative Agent</w:t>
      </w: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BNP PARIBAS</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Syndication Agent</w:t>
      </w: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RBS CITIZENS, N.A.</w:t>
      </w:r>
    </w:p>
    <w:p>
      <w:pPr>
        <w:spacing w:after="0" w:line="235"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CITIGROUP GLOBAL MARKETS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BNP PARIBAS SECURITIES CORP.</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 MORGAN SECURITIES LLC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as Joint Lead Arrangers and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727075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0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58"/>
        </w:trPr>
        <w:tc>
          <w:tcPr>
            <w:tcW w:w="100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651"/>
        </w:trPr>
        <w:tc>
          <w:tcPr>
            <w:tcW w:w="10060" w:type="dxa"/>
            <w:vAlign w:val="bottom"/>
          </w:tcPr>
          <w:p>
            <w:pPr>
              <w:jc w:val="center"/>
              <w:spacing w:after="0"/>
              <w:rPr>
                <w:sz w:val="20"/>
                <w:szCs w:val="20"/>
                <w:color w:val="auto"/>
              </w:rPr>
            </w:pPr>
            <w:r>
              <w:rPr>
                <w:rFonts w:ascii="Arial" w:cs="Arial" w:eastAsia="Arial" w:hAnsi="Arial"/>
                <w:sz w:val="18"/>
                <w:szCs w:val="18"/>
                <w:color w:val="auto"/>
                <w:w w:val="97"/>
              </w:rPr>
              <w:t>ARTICLE I</w:t>
            </w:r>
          </w:p>
        </w:tc>
        <w:tc>
          <w:tcPr>
            <w:tcW w:w="10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6"/>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1.01. Certain Defined Terms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1.02. Computation of Time Periods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1.03. Accounting Terms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01"/>
        </w:trPr>
        <w:tc>
          <w:tcPr>
            <w:tcW w:w="10060" w:type="dxa"/>
            <w:vAlign w:val="bottom"/>
          </w:tcPr>
          <w:p>
            <w:pPr>
              <w:jc w:val="center"/>
              <w:spacing w:after="0" w:line="201" w:lineRule="exact"/>
              <w:rPr>
                <w:sz w:val="20"/>
                <w:szCs w:val="20"/>
                <w:color w:val="auto"/>
              </w:rPr>
            </w:pPr>
            <w:r>
              <w:rPr>
                <w:rFonts w:ascii="Arial" w:cs="Arial" w:eastAsia="Arial" w:hAnsi="Arial"/>
                <w:sz w:val="18"/>
                <w:szCs w:val="18"/>
                <w:color w:val="auto"/>
              </w:rPr>
              <w:t>ARTICLE II</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6"/>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2.01. The Revolving Credit Advances and the Letters of Credit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2.02. Making the Revolving Credit Advances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2.03. [Reserved]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2.04. Issuance of and Drawings and Reimbursement Under Letters of Credit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2.05. Fees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2.06. Optional Termination or Reduction of the Commitments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2.07. Repayment of Revolving Credit Advances and Letters of Credit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2.08. Interest on Revolving Credit Advances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2.09. Interest Rate Determination</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2.10. Optional Conversion of Revolving Credit Advances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2.11. Prepayments of Revolving Credit Advances and Letter of Credit Advances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2.12. Increased Costs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2.13. Illegality</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2.14. Payments and Computations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2.15. Taxes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2.16. Sharing of Payments, Etc.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2.17. Evidence of Debt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2.18. Use of Proceeds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2.19. Increase in the Aggregate Commitments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2.20. Defaulting Lenders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2.21. Replacement of Lenders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01"/>
        </w:trPr>
        <w:tc>
          <w:tcPr>
            <w:tcW w:w="10060" w:type="dxa"/>
            <w:vAlign w:val="bottom"/>
          </w:tcPr>
          <w:p>
            <w:pPr>
              <w:jc w:val="center"/>
              <w:spacing w:after="0" w:line="201" w:lineRule="exact"/>
              <w:rPr>
                <w:sz w:val="20"/>
                <w:szCs w:val="20"/>
                <w:color w:val="auto"/>
              </w:rPr>
            </w:pPr>
            <w:r>
              <w:rPr>
                <w:rFonts w:ascii="Arial" w:cs="Arial" w:eastAsia="Arial" w:hAnsi="Arial"/>
                <w:sz w:val="18"/>
                <w:szCs w:val="18"/>
                <w:color w:val="auto"/>
                <w:w w:val="99"/>
              </w:rPr>
              <w:t>ARTICLE III</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5"/>
        </w:trPr>
        <w:tc>
          <w:tcPr>
            <w:tcW w:w="10060" w:type="dxa"/>
            <w:vAlign w:val="bottom"/>
          </w:tcPr>
          <w:p>
            <w:pPr>
              <w:spacing w:after="0"/>
              <w:rPr>
                <w:sz w:val="20"/>
                <w:szCs w:val="20"/>
                <w:color w:val="auto"/>
              </w:rPr>
            </w:pPr>
            <w:r>
              <w:rPr>
                <w:rFonts w:ascii="Arial" w:cs="Arial" w:eastAsia="Arial" w:hAnsi="Arial"/>
                <w:sz w:val="18"/>
                <w:szCs w:val="18"/>
                <w:color w:val="auto"/>
              </w:rPr>
              <w:t>SECTION 3.01. Conditions Precedent to Effectiveness of Section 2.01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36"/>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3.02. Conditions Precedent to Each Borrowing, Each Issuance of Letters of Credit and Commitment Increase.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3.03. Determinations Under Section 3.01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01"/>
        </w:trPr>
        <w:tc>
          <w:tcPr>
            <w:tcW w:w="10060" w:type="dxa"/>
            <w:vAlign w:val="bottom"/>
          </w:tcPr>
          <w:p>
            <w:pPr>
              <w:jc w:val="center"/>
              <w:spacing w:after="0" w:line="201" w:lineRule="exact"/>
              <w:rPr>
                <w:sz w:val="20"/>
                <w:szCs w:val="20"/>
                <w:color w:val="auto"/>
              </w:rPr>
            </w:pPr>
            <w:r>
              <w:rPr>
                <w:rFonts w:ascii="Arial" w:cs="Arial" w:eastAsia="Arial" w:hAnsi="Arial"/>
                <w:sz w:val="18"/>
                <w:szCs w:val="18"/>
                <w:color w:val="auto"/>
                <w:w w:val="99"/>
              </w:rPr>
              <w:t>ARTICLE IV</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5"/>
        </w:trPr>
        <w:tc>
          <w:tcPr>
            <w:tcW w:w="10060" w:type="dxa"/>
            <w:vAlign w:val="bottom"/>
          </w:tcPr>
          <w:p>
            <w:pPr>
              <w:spacing w:after="0"/>
              <w:rPr>
                <w:sz w:val="20"/>
                <w:szCs w:val="20"/>
                <w:color w:val="auto"/>
              </w:rPr>
            </w:pPr>
            <w:r>
              <w:rPr>
                <w:rFonts w:ascii="Arial" w:cs="Arial" w:eastAsia="Arial" w:hAnsi="Arial"/>
                <w:sz w:val="18"/>
                <w:szCs w:val="18"/>
                <w:color w:val="auto"/>
              </w:rPr>
              <w:t>SECTION 4.01. Representations and Warranties of the Borrower</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5"/>
        </w:trPr>
        <w:tc>
          <w:tcPr>
            <w:tcW w:w="10060" w:type="dxa"/>
            <w:vAlign w:val="bottom"/>
          </w:tcPr>
          <w:p>
            <w:pPr>
              <w:jc w:val="center"/>
              <w:spacing w:after="0"/>
              <w:rPr>
                <w:sz w:val="20"/>
                <w:szCs w:val="20"/>
                <w:color w:val="auto"/>
              </w:rPr>
            </w:pPr>
            <w:r>
              <w:rPr>
                <w:rFonts w:ascii="Arial" w:cs="Arial" w:eastAsia="Arial" w:hAnsi="Arial"/>
                <w:sz w:val="18"/>
                <w:szCs w:val="18"/>
                <w:color w:val="auto"/>
                <w:w w:val="98"/>
              </w:rPr>
              <w:t>ARTICLE V</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6"/>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5.01. Affirmative Covenants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5.02. Negative Covenants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5.03. Financial Covenants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01"/>
        </w:trPr>
        <w:tc>
          <w:tcPr>
            <w:tcW w:w="10060" w:type="dxa"/>
            <w:vAlign w:val="bottom"/>
          </w:tcPr>
          <w:p>
            <w:pPr>
              <w:jc w:val="center"/>
              <w:spacing w:after="0" w:line="201" w:lineRule="exact"/>
              <w:rPr>
                <w:sz w:val="20"/>
                <w:szCs w:val="20"/>
                <w:color w:val="auto"/>
              </w:rPr>
            </w:pPr>
            <w:r>
              <w:rPr>
                <w:rFonts w:ascii="Arial" w:cs="Arial" w:eastAsia="Arial" w:hAnsi="Arial"/>
                <w:sz w:val="18"/>
                <w:szCs w:val="18"/>
                <w:color w:val="auto"/>
                <w:w w:val="99"/>
              </w:rPr>
              <w:t>ARTICLE VI</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6"/>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6.01. Events of Default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6.02. Actions in Respect of the Letters of Credit upon Default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01"/>
        </w:trPr>
        <w:tc>
          <w:tcPr>
            <w:tcW w:w="10060" w:type="dxa"/>
            <w:vAlign w:val="bottom"/>
          </w:tcPr>
          <w:p>
            <w:pPr>
              <w:jc w:val="center"/>
              <w:spacing w:after="0" w:line="201" w:lineRule="exact"/>
              <w:rPr>
                <w:sz w:val="20"/>
                <w:szCs w:val="20"/>
                <w:color w:val="auto"/>
              </w:rPr>
            </w:pPr>
            <w:r>
              <w:rPr>
                <w:rFonts w:ascii="Arial" w:cs="Arial" w:eastAsia="Arial" w:hAnsi="Arial"/>
                <w:sz w:val="18"/>
                <w:szCs w:val="18"/>
                <w:color w:val="auto"/>
              </w:rPr>
              <w:t>ARTICLE VII</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6"/>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7.01. Appointment and Authority</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7.02. Rights as a Lender</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7.03. Exculpatory Provisions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7.04. Reliance by Agent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7.05. Indemnification</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7.06. Delegation of Duties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7.07. Resignation of Agent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7.08. Non-Reliance on Agent and Other Lenders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7.09. No Other Duties, etc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01"/>
        </w:trPr>
        <w:tc>
          <w:tcPr>
            <w:tcW w:w="10060" w:type="dxa"/>
            <w:vAlign w:val="bottom"/>
          </w:tcPr>
          <w:p>
            <w:pPr>
              <w:jc w:val="center"/>
              <w:spacing w:after="0" w:line="201" w:lineRule="exact"/>
              <w:rPr>
                <w:sz w:val="20"/>
                <w:szCs w:val="20"/>
                <w:color w:val="auto"/>
              </w:rPr>
            </w:pPr>
            <w:r>
              <w:rPr>
                <w:rFonts w:ascii="Arial" w:cs="Arial" w:eastAsia="Arial" w:hAnsi="Arial"/>
                <w:sz w:val="18"/>
                <w:szCs w:val="18"/>
                <w:color w:val="auto"/>
              </w:rPr>
              <w:t>ARTICLE VIII</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6"/>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8.01. Amendments, Etc.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8.02. Notices; Effectiveness; Electronic Communication.</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8.03. No Waiver; Remedies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8.04. Costs and Expenses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22"/>
        </w:trPr>
        <w:tc>
          <w:tcPr>
            <w:tcW w:w="1006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SECTION 8.05. Right of Set</w:t>
            </w:r>
            <w:r>
              <w:rPr>
                <w:rFonts w:ascii="MS PGothic" w:cs="MS PGothic" w:eastAsia="MS PGothic" w:hAnsi="MS PGothic"/>
                <w:sz w:val="18"/>
                <w:szCs w:val="18"/>
                <w:color w:val="auto"/>
              </w:rPr>
              <w:t>‑</w:t>
            </w:r>
            <w:r>
              <w:rPr>
                <w:rFonts w:ascii="Arial" w:cs="Arial" w:eastAsia="Arial" w:hAnsi="Arial"/>
                <w:sz w:val="18"/>
                <w:szCs w:val="18"/>
                <w:color w:val="auto"/>
              </w:rPr>
              <w:t>off</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8.06. Binding Effect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8.07. Assignments and Participations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8.08. Confidentiality</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8.09. Governing Law</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8.10. Execution in Counterparts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8.11. Judgment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2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SECTION 8.12. Jurisdiction, Etc.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-9380855</wp:posOffset>
            </wp:positionV>
            <wp:extent cx="28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420"/>
          </w:cols>
          <w:pgMar w:left="240" w:top="51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6"/>
        </w:trPr>
        <w:tc>
          <w:tcPr>
            <w:tcW w:w="3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SECTION 8.13. Substitution of Currency</w:t>
            </w:r>
          </w:p>
        </w:tc>
        <w:tc>
          <w:tcPr>
            <w:tcW w:w="6960" w:type="dxa"/>
            <w:vAlign w:val="bottom"/>
            <w:tcBorders>
              <w:bottom w:val="single" w:sz="8" w:color="auto"/>
            </w:tcBorders>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22"/>
        </w:trPr>
        <w:tc>
          <w:tcPr>
            <w:tcW w:w="100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SECTION 8.14. No Liability of the Lenders as Letter of Credit Issuers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22"/>
        </w:trPr>
        <w:tc>
          <w:tcPr>
            <w:tcW w:w="3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SECTION 8.15. Patriot Act</w:t>
            </w:r>
          </w:p>
        </w:tc>
        <w:tc>
          <w:tcPr>
            <w:tcW w:w="6960" w:type="dxa"/>
            <w:vAlign w:val="bottom"/>
            <w:tcBorders>
              <w:bottom w:val="single" w:sz="8" w:color="auto"/>
            </w:tcBorders>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22"/>
        </w:trPr>
        <w:tc>
          <w:tcPr>
            <w:tcW w:w="3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SECTION 8.13. No Fiduciary Duty</w:t>
            </w:r>
          </w:p>
        </w:tc>
        <w:tc>
          <w:tcPr>
            <w:tcW w:w="6960" w:type="dxa"/>
            <w:vAlign w:val="bottom"/>
            <w:tcBorders>
              <w:bottom w:val="single" w:sz="8" w:color="auto"/>
            </w:tcBorders>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22"/>
        </w:trPr>
        <w:tc>
          <w:tcPr>
            <w:tcW w:w="3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SECTION 8.16. Waiver of Jury Trial</w:t>
            </w:r>
          </w:p>
        </w:tc>
        <w:tc>
          <w:tcPr>
            <w:tcW w:w="6960" w:type="dxa"/>
            <w:vAlign w:val="bottom"/>
            <w:tcBorders>
              <w:bottom w:val="single" w:sz="8" w:color="auto"/>
            </w:tcBorders>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605"/>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Schedules</w:t>
            </w: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78"/>
        </w:trPr>
        <w:tc>
          <w:tcPr>
            <w:tcW w:w="1400" w:type="dxa"/>
            <w:vAlign w:val="bottom"/>
            <w:gridSpan w:val="3"/>
          </w:tcPr>
          <w:p>
            <w:pPr>
              <w:spacing w:after="0"/>
              <w:rPr>
                <w:sz w:val="20"/>
                <w:szCs w:val="20"/>
                <w:color w:val="auto"/>
              </w:rPr>
            </w:pPr>
            <w:r>
              <w:rPr>
                <w:rFonts w:ascii="Arial" w:cs="Arial" w:eastAsia="Arial" w:hAnsi="Arial"/>
                <w:sz w:val="18"/>
                <w:szCs w:val="18"/>
                <w:color w:val="auto"/>
              </w:rPr>
              <w:t>Schedule I</w:t>
            </w:r>
          </w:p>
        </w:tc>
        <w:tc>
          <w:tcPr>
            <w:tcW w:w="8660" w:type="dxa"/>
            <w:vAlign w:val="bottom"/>
            <w:gridSpan w:val="2"/>
          </w:tcPr>
          <w:p>
            <w:pPr>
              <w:ind w:left="360"/>
              <w:spacing w:after="0"/>
              <w:rPr>
                <w:sz w:val="20"/>
                <w:szCs w:val="20"/>
                <w:color w:val="auto"/>
              </w:rPr>
            </w:pPr>
            <w:r>
              <w:rPr>
                <w:rFonts w:ascii="Arial" w:cs="Arial" w:eastAsia="Arial" w:hAnsi="Arial"/>
                <w:sz w:val="18"/>
                <w:szCs w:val="18"/>
                <w:color w:val="auto"/>
              </w:rPr>
              <w:t>-   List of Applicable Lending Offices</w:t>
            </w:r>
          </w:p>
        </w:tc>
        <w:tc>
          <w:tcPr>
            <w:tcW w:w="1360" w:type="dxa"/>
            <w:vAlign w:val="bottom"/>
          </w:tcPr>
          <w:p>
            <w:pPr>
              <w:spacing w:after="0"/>
              <w:rPr>
                <w:sz w:val="24"/>
                <w:szCs w:val="24"/>
                <w:color w:val="auto"/>
              </w:rPr>
            </w:pPr>
          </w:p>
        </w:tc>
      </w:tr>
      <w:tr>
        <w:trPr>
          <w:trHeight w:val="457"/>
        </w:trPr>
        <w:tc>
          <w:tcPr>
            <w:tcW w:w="1400" w:type="dxa"/>
            <w:vAlign w:val="bottom"/>
            <w:gridSpan w:val="3"/>
          </w:tcPr>
          <w:p>
            <w:pPr>
              <w:spacing w:after="0"/>
              <w:rPr>
                <w:sz w:val="20"/>
                <w:szCs w:val="20"/>
                <w:color w:val="auto"/>
              </w:rPr>
            </w:pPr>
            <w:r>
              <w:rPr>
                <w:rFonts w:ascii="Arial" w:cs="Arial" w:eastAsia="Arial" w:hAnsi="Arial"/>
                <w:sz w:val="18"/>
                <w:szCs w:val="18"/>
                <w:color w:val="auto"/>
              </w:rPr>
              <w:t>Schedule 2.04(f)</w:t>
            </w:r>
          </w:p>
        </w:tc>
        <w:tc>
          <w:tcPr>
            <w:tcW w:w="1700" w:type="dxa"/>
            <w:vAlign w:val="bottom"/>
          </w:tcPr>
          <w:p>
            <w:pPr>
              <w:ind w:left="1240"/>
              <w:spacing w:after="0"/>
              <w:rPr>
                <w:sz w:val="20"/>
                <w:szCs w:val="20"/>
                <w:color w:val="auto"/>
              </w:rPr>
            </w:pPr>
            <w:r>
              <w:rPr>
                <w:rFonts w:ascii="Arial" w:cs="Arial" w:eastAsia="Arial" w:hAnsi="Arial"/>
                <w:sz w:val="18"/>
                <w:szCs w:val="18"/>
                <w:color w:val="auto"/>
              </w:rPr>
              <w:t>-</w:t>
            </w:r>
          </w:p>
        </w:tc>
        <w:tc>
          <w:tcPr>
            <w:tcW w:w="6960" w:type="dxa"/>
            <w:vAlign w:val="bottom"/>
          </w:tcPr>
          <w:p>
            <w:pPr>
              <w:ind w:left="80"/>
              <w:spacing w:after="0"/>
              <w:rPr>
                <w:sz w:val="20"/>
                <w:szCs w:val="20"/>
                <w:color w:val="auto"/>
              </w:rPr>
            </w:pPr>
            <w:r>
              <w:rPr>
                <w:rFonts w:ascii="Arial" w:cs="Arial" w:eastAsia="Arial" w:hAnsi="Arial"/>
                <w:sz w:val="18"/>
                <w:szCs w:val="18"/>
                <w:color w:val="auto"/>
              </w:rPr>
              <w:t>Letters of Credit</w:t>
            </w:r>
          </w:p>
        </w:tc>
        <w:tc>
          <w:tcPr>
            <w:tcW w:w="1360" w:type="dxa"/>
            <w:vAlign w:val="bottom"/>
          </w:tcPr>
          <w:p>
            <w:pPr>
              <w:spacing w:after="0"/>
              <w:rPr>
                <w:sz w:val="24"/>
                <w:szCs w:val="24"/>
                <w:color w:val="auto"/>
              </w:rPr>
            </w:pPr>
          </w:p>
        </w:tc>
      </w:tr>
      <w:tr>
        <w:trPr>
          <w:trHeight w:val="457"/>
        </w:trPr>
        <w:tc>
          <w:tcPr>
            <w:tcW w:w="1400" w:type="dxa"/>
            <w:vAlign w:val="bottom"/>
            <w:gridSpan w:val="3"/>
          </w:tcPr>
          <w:p>
            <w:pPr>
              <w:spacing w:after="0"/>
              <w:rPr>
                <w:sz w:val="20"/>
                <w:szCs w:val="20"/>
                <w:color w:val="auto"/>
              </w:rPr>
            </w:pPr>
            <w:r>
              <w:rPr>
                <w:rFonts w:ascii="Arial" w:cs="Arial" w:eastAsia="Arial" w:hAnsi="Arial"/>
                <w:sz w:val="18"/>
                <w:szCs w:val="18"/>
                <w:color w:val="auto"/>
              </w:rPr>
              <w:t>Schedule 5.02(a)</w:t>
            </w:r>
          </w:p>
        </w:tc>
        <w:tc>
          <w:tcPr>
            <w:tcW w:w="1700" w:type="dxa"/>
            <w:vAlign w:val="bottom"/>
          </w:tcPr>
          <w:p>
            <w:pPr>
              <w:ind w:left="1260"/>
              <w:spacing w:after="0"/>
              <w:rPr>
                <w:sz w:val="20"/>
                <w:szCs w:val="20"/>
                <w:color w:val="auto"/>
              </w:rPr>
            </w:pPr>
            <w:r>
              <w:rPr>
                <w:rFonts w:ascii="Arial" w:cs="Arial" w:eastAsia="Arial" w:hAnsi="Arial"/>
                <w:sz w:val="18"/>
                <w:szCs w:val="18"/>
                <w:color w:val="auto"/>
              </w:rPr>
              <w:t>-</w:t>
            </w:r>
          </w:p>
        </w:tc>
        <w:tc>
          <w:tcPr>
            <w:tcW w:w="6960" w:type="dxa"/>
            <w:vAlign w:val="bottom"/>
          </w:tcPr>
          <w:p>
            <w:pPr>
              <w:ind w:left="100"/>
              <w:spacing w:after="0"/>
              <w:rPr>
                <w:sz w:val="20"/>
                <w:szCs w:val="20"/>
                <w:color w:val="auto"/>
              </w:rPr>
            </w:pPr>
            <w:r>
              <w:rPr>
                <w:rFonts w:ascii="Arial" w:cs="Arial" w:eastAsia="Arial" w:hAnsi="Arial"/>
                <w:sz w:val="18"/>
                <w:szCs w:val="18"/>
                <w:color w:val="auto"/>
              </w:rPr>
              <w:t>Existing Liens</w:t>
            </w:r>
          </w:p>
        </w:tc>
        <w:tc>
          <w:tcPr>
            <w:tcW w:w="1360" w:type="dxa"/>
            <w:vAlign w:val="bottom"/>
          </w:tcPr>
          <w:p>
            <w:pPr>
              <w:spacing w:after="0"/>
              <w:rPr>
                <w:sz w:val="24"/>
                <w:szCs w:val="24"/>
                <w:color w:val="auto"/>
              </w:rPr>
            </w:pPr>
          </w:p>
        </w:tc>
      </w:tr>
      <w:tr>
        <w:trPr>
          <w:trHeight w:val="416"/>
        </w:trPr>
        <w:tc>
          <w:tcPr>
            <w:tcW w:w="140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17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78"/>
        </w:trPr>
        <w:tc>
          <w:tcPr>
            <w:tcW w:w="140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1700" w:type="dxa"/>
            <w:vAlign w:val="bottom"/>
          </w:tcPr>
          <w:p>
            <w:pPr>
              <w:ind w:left="200"/>
              <w:spacing w:after="0"/>
              <w:rPr>
                <w:sz w:val="20"/>
                <w:szCs w:val="20"/>
                <w:color w:val="auto"/>
              </w:rPr>
            </w:pPr>
            <w:r>
              <w:rPr>
                <w:rFonts w:ascii="Arial" w:cs="Arial" w:eastAsia="Arial" w:hAnsi="Arial"/>
                <w:sz w:val="18"/>
                <w:szCs w:val="18"/>
                <w:color w:val="auto"/>
                <w:w w:val="93"/>
              </w:rPr>
              <w:t>-Form of Note</w:t>
            </w:r>
          </w:p>
        </w:tc>
        <w:tc>
          <w:tcPr>
            <w:tcW w:w="69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7"/>
        </w:trPr>
        <w:tc>
          <w:tcPr>
            <w:tcW w:w="14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8660" w:type="dxa"/>
            <w:vAlign w:val="bottom"/>
            <w:gridSpan w:val="2"/>
          </w:tcPr>
          <w:p>
            <w:pPr>
              <w:ind w:left="200"/>
              <w:spacing w:after="0"/>
              <w:rPr>
                <w:sz w:val="20"/>
                <w:szCs w:val="20"/>
                <w:color w:val="auto"/>
              </w:rPr>
            </w:pPr>
            <w:r>
              <w:rPr>
                <w:rFonts w:ascii="Arial" w:cs="Arial" w:eastAsia="Arial" w:hAnsi="Arial"/>
                <w:sz w:val="18"/>
                <w:szCs w:val="18"/>
                <w:color w:val="auto"/>
                <w:w w:val="94"/>
              </w:rPr>
              <w:t>-Form of Notice of Borrowing</w:t>
            </w:r>
          </w:p>
        </w:tc>
        <w:tc>
          <w:tcPr>
            <w:tcW w:w="1360" w:type="dxa"/>
            <w:vAlign w:val="bottom"/>
          </w:tcPr>
          <w:p>
            <w:pPr>
              <w:spacing w:after="0"/>
              <w:rPr>
                <w:sz w:val="24"/>
                <w:szCs w:val="24"/>
                <w:color w:val="auto"/>
              </w:rPr>
            </w:pPr>
          </w:p>
        </w:tc>
      </w:tr>
      <w:tr>
        <w:trPr>
          <w:trHeight w:val="457"/>
        </w:trPr>
        <w:tc>
          <w:tcPr>
            <w:tcW w:w="14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8660" w:type="dxa"/>
            <w:vAlign w:val="bottom"/>
            <w:gridSpan w:val="2"/>
          </w:tcPr>
          <w:p>
            <w:pPr>
              <w:ind w:left="200"/>
              <w:spacing w:after="0"/>
              <w:rPr>
                <w:sz w:val="20"/>
                <w:szCs w:val="20"/>
                <w:color w:val="auto"/>
              </w:rPr>
            </w:pPr>
            <w:r>
              <w:rPr>
                <w:rFonts w:ascii="Arial" w:cs="Arial" w:eastAsia="Arial" w:hAnsi="Arial"/>
                <w:sz w:val="18"/>
                <w:szCs w:val="18"/>
                <w:color w:val="auto"/>
                <w:w w:val="91"/>
              </w:rPr>
              <w:t>-Form of Assignment and Assumption</w:t>
            </w:r>
          </w:p>
        </w:tc>
        <w:tc>
          <w:tcPr>
            <w:tcW w:w="1360" w:type="dxa"/>
            <w:vAlign w:val="bottom"/>
          </w:tcPr>
          <w:p>
            <w:pPr>
              <w:spacing w:after="0"/>
              <w:rPr>
                <w:sz w:val="24"/>
                <w:szCs w:val="24"/>
                <w:color w:val="auto"/>
              </w:rPr>
            </w:pPr>
          </w:p>
        </w:tc>
      </w:tr>
      <w:tr>
        <w:trPr>
          <w:trHeight w:val="457"/>
        </w:trPr>
        <w:tc>
          <w:tcPr>
            <w:tcW w:w="14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8660" w:type="dxa"/>
            <w:vAlign w:val="bottom"/>
            <w:gridSpan w:val="2"/>
          </w:tcPr>
          <w:p>
            <w:pPr>
              <w:ind w:left="200"/>
              <w:spacing w:after="0"/>
              <w:rPr>
                <w:sz w:val="20"/>
                <w:szCs w:val="20"/>
                <w:color w:val="auto"/>
              </w:rPr>
            </w:pPr>
            <w:r>
              <w:rPr>
                <w:rFonts w:ascii="Arial" w:cs="Arial" w:eastAsia="Arial" w:hAnsi="Arial"/>
                <w:sz w:val="18"/>
                <w:szCs w:val="18"/>
                <w:color w:val="auto"/>
                <w:w w:val="92"/>
              </w:rPr>
              <w:t>-Form of Opinion of Counsel for the Borrower</w:t>
            </w:r>
          </w:p>
        </w:tc>
        <w:tc>
          <w:tcPr>
            <w:tcW w:w="1360" w:type="dxa"/>
            <w:vAlign w:val="bottom"/>
          </w:tcPr>
          <w:p>
            <w:pPr>
              <w:spacing w:after="0"/>
              <w:rPr>
                <w:sz w:val="24"/>
                <w:szCs w:val="24"/>
                <w:color w:val="auto"/>
              </w:rPr>
            </w:pPr>
          </w:p>
        </w:tc>
      </w:tr>
      <w:tr>
        <w:trPr>
          <w:trHeight w:val="1139"/>
        </w:trPr>
        <w:tc>
          <w:tcPr>
            <w:tcW w:w="6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69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FIVE YEAR CREDIT AGREEMENT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5, 2011</w:t>
      </w:r>
    </w:p>
    <w:p>
      <w:pPr>
        <w:spacing w:after="0" w:line="250"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MANPOWER INC., a Wisconsin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banks, financial institutions and other institutional lenders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listed on the signature pages hereof as lenders, the banks listed on the signature pages hereof as issuing banks (the “</w:t>
      </w:r>
      <w:r>
        <w:rPr>
          <w:rFonts w:ascii="Arial" w:cs="Arial" w:eastAsia="Arial" w:hAnsi="Arial"/>
          <w:sz w:val="18"/>
          <w:szCs w:val="18"/>
          <w:u w:val="single" w:color="auto"/>
          <w:color w:val="auto"/>
        </w:rPr>
        <w:t>Initial Issuing Banks</w:t>
      </w:r>
      <w:r>
        <w:rPr>
          <w:rFonts w:ascii="Arial" w:cs="Arial" w:eastAsia="Arial" w:hAnsi="Arial"/>
          <w:sz w:val="18"/>
          <w:szCs w:val="18"/>
          <w:color w:val="auto"/>
        </w:rPr>
        <w:t>”, and together with the Initial Lenders, the “</w:t>
      </w:r>
      <w:r>
        <w:rPr>
          <w:rFonts w:ascii="Arial" w:cs="Arial" w:eastAsia="Arial" w:hAnsi="Arial"/>
          <w:sz w:val="18"/>
          <w:szCs w:val="18"/>
          <w:u w:val="single" w:color="auto"/>
          <w:color w:val="auto"/>
        </w:rPr>
        <w:t>Initial Lender Parties</w:t>
      </w:r>
      <w:r>
        <w:rPr>
          <w:rFonts w:ascii="Arial" w:cs="Arial" w:eastAsia="Arial" w:hAnsi="Arial"/>
          <w:sz w:val="18"/>
          <w:szCs w:val="18"/>
          <w:color w:val="auto"/>
        </w:rPr>
        <w:t>”) and CITIBANK, N.A. (“</w:t>
      </w:r>
      <w:r>
        <w:rPr>
          <w:rFonts w:ascii="Arial" w:cs="Arial" w:eastAsia="Arial" w:hAnsi="Arial"/>
          <w:sz w:val="18"/>
          <w:szCs w:val="18"/>
          <w:u w:val="single" w:color="auto"/>
          <w:color w:val="auto"/>
        </w:rPr>
        <w:t>Citibank</w:t>
      </w:r>
      <w:r>
        <w:rPr>
          <w:rFonts w:ascii="Arial" w:cs="Arial" w:eastAsia="Arial" w:hAnsi="Arial"/>
          <w:sz w:val="18"/>
          <w:szCs w:val="18"/>
          <w:color w:val="auto"/>
        </w:rPr>
        <w:t>”), as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 Parties (as hereinafter defined), agree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50"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Agent.</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Revolving Credit Advance or a Letter of Credit Advance.</w:t>
      </w:r>
    </w:p>
    <w:p>
      <w:pPr>
        <w:spacing w:after="0" w:line="250" w:lineRule="exact"/>
        <w:rPr>
          <w:sz w:val="20"/>
          <w:szCs w:val="20"/>
          <w:color w:val="auto"/>
        </w:rPr>
      </w:pPr>
    </w:p>
    <w:p>
      <w:pPr>
        <w:jc w:val="both"/>
        <w:ind w:left="660"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5% or more of the Voting Stock of such Person or to direct or cause the direction of the management and policies of such Person, whether through the ownership of Voting Stock, by contract or otherwise.</w:t>
      </w:r>
    </w:p>
    <w:p>
      <w:pPr>
        <w:spacing w:after="0" w:line="218" w:lineRule="exact"/>
        <w:rPr>
          <w:sz w:val="20"/>
          <w:szCs w:val="20"/>
          <w:color w:val="auto"/>
        </w:rPr>
      </w:pPr>
    </w:p>
    <w:p>
      <w:pPr>
        <w:jc w:val="both"/>
        <w:ind w:left="660" w:firstLine="64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Agent’s Account</w:t>
      </w:r>
      <w:r>
        <w:rPr>
          <w:rFonts w:ascii="Arial" w:cs="Arial" w:eastAsia="Arial" w:hAnsi="Arial"/>
          <w:sz w:val="16"/>
          <w:szCs w:val="16"/>
          <w:color w:val="auto"/>
        </w:rPr>
        <w:t>” means (a) in the case of Advances denominated in Dollars, the account of the Agent maintained by the Agent at Citibank at its office at 388 Greenwich Street, New York, New York 10013, Account No. 36852248, Attention: Bank Loan Syndications, or (b) any such other account of the Agent as is designated in writing from time to time by the Agent to the Borrower and the Lenders for such purpose.</w:t>
      </w:r>
    </w:p>
    <w:p>
      <w:pPr>
        <w:spacing w:after="0" w:line="174" w:lineRule="exact"/>
        <w:rPr>
          <w:sz w:val="20"/>
          <w:szCs w:val="20"/>
          <w:color w:val="auto"/>
        </w:rPr>
      </w:pPr>
    </w:p>
    <w:p>
      <w:pPr>
        <w:jc w:val="both"/>
        <w:ind w:left="660"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with respect to each Lender, such Lender’s Domestic Lending Office in the case of a Base Rate Advance and such Lender’s Eurocurrency Lending Office in the case of a Eurocurrency Rate Advance.</w:t>
      </w:r>
    </w:p>
    <w:p>
      <w:pPr>
        <w:spacing w:after="0" w:line="198"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of any date, a percentage per annum determined by reference to the Public Debt Rating in effect on such date as set forth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Public Debt Rating</w:t>
            </w:r>
          </w:p>
        </w:tc>
        <w:tc>
          <w:tcPr>
            <w:tcW w:w="41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Applicable Margin for</w:t>
            </w:r>
          </w:p>
        </w:tc>
        <w:tc>
          <w:tcPr>
            <w:tcW w:w="3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Applicable Margin for Base Rate Advances</w:t>
            </w: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S&amp;P/Moody’s</w:t>
            </w:r>
          </w:p>
        </w:tc>
        <w:tc>
          <w:tcPr>
            <w:tcW w:w="4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Eurocurrency Rate Advances</w:t>
            </w:r>
          </w:p>
        </w:tc>
        <w:tc>
          <w:tcPr>
            <w:tcW w:w="3920" w:type="dxa"/>
            <w:vAlign w:val="bottom"/>
            <w:tcBorders>
              <w:bottom w:val="single" w:sz="8" w:color="auto"/>
            </w:tcBorders>
          </w:tcPr>
          <w:p>
            <w:pPr>
              <w:spacing w:after="0"/>
              <w:rPr>
                <w:sz w:val="20"/>
                <w:szCs w:val="20"/>
                <w:color w:val="auto"/>
              </w:rPr>
            </w:pP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1</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Baa1 or above</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1.075%</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0.075%</w:t>
            </w: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2</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Baa2</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1.175%</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0.175%</w:t>
            </w: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3</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Baa3</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1.275%</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0.275%</w:t>
            </w: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4</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 or Ba1</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1.500%</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0.500%</w:t>
            </w:r>
          </w:p>
        </w:tc>
      </w:tr>
      <w:tr>
        <w:trPr>
          <w:trHeight w:val="201"/>
        </w:trPr>
        <w:tc>
          <w:tcPr>
            <w:tcW w:w="3400" w:type="dxa"/>
            <w:vAlign w:val="bottom"/>
          </w:tcPr>
          <w:p>
            <w:pPr>
              <w:ind w:left="340"/>
              <w:spacing w:after="0" w:line="201" w:lineRule="exact"/>
              <w:rPr>
                <w:sz w:val="20"/>
                <w:szCs w:val="20"/>
                <w:color w:val="auto"/>
              </w:rPr>
            </w:pPr>
            <w:r>
              <w:rPr>
                <w:rFonts w:ascii="Arial" w:cs="Arial" w:eastAsia="Arial" w:hAnsi="Arial"/>
                <w:sz w:val="18"/>
                <w:szCs w:val="18"/>
                <w:color w:val="auto"/>
              </w:rPr>
              <w:t>Level 5</w:t>
            </w:r>
          </w:p>
        </w:tc>
        <w:tc>
          <w:tcPr>
            <w:tcW w:w="4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6"/>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Lower than Level 4</w:t>
            </w:r>
          </w:p>
        </w:tc>
        <w:tc>
          <w:tcPr>
            <w:tcW w:w="410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1.725%</w:t>
            </w:r>
          </w:p>
        </w:tc>
        <w:tc>
          <w:tcPr>
            <w:tcW w:w="39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0.725%</w:t>
            </w:r>
          </w:p>
        </w:tc>
      </w:tr>
    </w:tbl>
    <w:p>
      <w:pPr>
        <w:spacing w:after="0" w:line="228" w:lineRule="exact"/>
        <w:rPr>
          <w:sz w:val="20"/>
          <w:szCs w:val="20"/>
          <w:color w:val="auto"/>
        </w:rPr>
      </w:pPr>
    </w:p>
    <w:p>
      <w:pPr>
        <w:jc w:val="both"/>
        <w:ind w:left="660"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Public Debt Rating in effect on such date as set forth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Public Debt Rating</w:t>
            </w:r>
          </w:p>
        </w:tc>
        <w:tc>
          <w:tcPr>
            <w:tcW w:w="64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6"/>
              </w:rPr>
              <w:t>Applicable</w:t>
            </w: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S&amp;P/Moody’s</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Percentage</w:t>
            </w:r>
          </w:p>
        </w:tc>
      </w:tr>
      <w:tr>
        <w:trPr>
          <w:trHeight w:val="201"/>
        </w:trPr>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Level 1</w:t>
            </w:r>
          </w:p>
        </w:tc>
        <w:tc>
          <w:tcPr>
            <w:tcW w:w="6460" w:type="dxa"/>
            <w:vAlign w:val="bottom"/>
          </w:tcPr>
          <w:p>
            <w:pPr>
              <w:spacing w:after="0"/>
              <w:rPr>
                <w:sz w:val="17"/>
                <w:szCs w:val="17"/>
                <w:color w:val="auto"/>
              </w:rPr>
            </w:pP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Baa1 or above</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0.175%</w:t>
            </w:r>
          </w:p>
        </w:tc>
      </w:tr>
      <w:tr>
        <w:trPr>
          <w:trHeight w:val="201"/>
        </w:trPr>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Level 2</w:t>
            </w:r>
          </w:p>
        </w:tc>
        <w:tc>
          <w:tcPr>
            <w:tcW w:w="6460" w:type="dxa"/>
            <w:vAlign w:val="bottom"/>
          </w:tcPr>
          <w:p>
            <w:pPr>
              <w:spacing w:after="0"/>
              <w:rPr>
                <w:sz w:val="17"/>
                <w:szCs w:val="17"/>
                <w:color w:val="auto"/>
              </w:rPr>
            </w:pP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Baa2</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0.200%</w:t>
            </w:r>
          </w:p>
        </w:tc>
      </w:tr>
      <w:tr>
        <w:trPr>
          <w:trHeight w:val="201"/>
        </w:trPr>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Level 3</w:t>
            </w:r>
          </w:p>
        </w:tc>
        <w:tc>
          <w:tcPr>
            <w:tcW w:w="6460" w:type="dxa"/>
            <w:vAlign w:val="bottom"/>
          </w:tcPr>
          <w:p>
            <w:pPr>
              <w:spacing w:after="0"/>
              <w:rPr>
                <w:sz w:val="17"/>
                <w:szCs w:val="17"/>
                <w:color w:val="auto"/>
              </w:rPr>
            </w:pP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BBB- or Baa3</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0.225%</w:t>
            </w:r>
          </w:p>
        </w:tc>
      </w:tr>
      <w:tr>
        <w:trPr>
          <w:trHeight w:val="201"/>
        </w:trPr>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Level 4</w:t>
            </w:r>
          </w:p>
        </w:tc>
        <w:tc>
          <w:tcPr>
            <w:tcW w:w="6460" w:type="dxa"/>
            <w:vAlign w:val="bottom"/>
          </w:tcPr>
          <w:p>
            <w:pPr>
              <w:spacing w:after="0"/>
              <w:rPr>
                <w:sz w:val="17"/>
                <w:szCs w:val="17"/>
                <w:color w:val="auto"/>
              </w:rPr>
            </w:pP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BB+ or Ba1</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0.250%</w:t>
            </w:r>
          </w:p>
        </w:tc>
      </w:tr>
      <w:tr>
        <w:trPr>
          <w:trHeight w:val="201"/>
        </w:trPr>
        <w:tc>
          <w:tcPr>
            <w:tcW w:w="4960" w:type="dxa"/>
            <w:vAlign w:val="bottom"/>
          </w:tcPr>
          <w:p>
            <w:pPr>
              <w:ind w:left="340"/>
              <w:spacing w:after="0" w:line="201" w:lineRule="exact"/>
              <w:rPr>
                <w:sz w:val="20"/>
                <w:szCs w:val="20"/>
                <w:color w:val="auto"/>
              </w:rPr>
            </w:pPr>
            <w:r>
              <w:rPr>
                <w:rFonts w:ascii="Arial" w:cs="Arial" w:eastAsia="Arial" w:hAnsi="Arial"/>
                <w:sz w:val="18"/>
                <w:szCs w:val="18"/>
                <w:color w:val="auto"/>
              </w:rPr>
              <w:t>Level 5</w:t>
            </w:r>
          </w:p>
        </w:tc>
        <w:tc>
          <w:tcPr>
            <w:tcW w:w="6460" w:type="dxa"/>
            <w:vAlign w:val="bottom"/>
          </w:tcPr>
          <w:p>
            <w:pPr>
              <w:spacing w:after="0"/>
              <w:rPr>
                <w:sz w:val="17"/>
                <w:szCs w:val="17"/>
                <w:color w:val="auto"/>
              </w:rPr>
            </w:pPr>
          </w:p>
        </w:tc>
      </w:tr>
      <w:tr>
        <w:trPr>
          <w:trHeight w:val="236"/>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Lower than Level 4</w:t>
            </w:r>
          </w:p>
        </w:tc>
        <w:tc>
          <w:tcPr>
            <w:tcW w:w="6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0.275%</w:t>
            </w:r>
          </w:p>
        </w:tc>
      </w:tr>
    </w:tbl>
    <w:p>
      <w:pPr>
        <w:spacing w:after="0" w:line="228"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98" w:lineRule="exact"/>
        <w:rPr>
          <w:sz w:val="20"/>
          <w:szCs w:val="20"/>
          <w:color w:val="auto"/>
        </w:rPr>
      </w:pPr>
    </w:p>
    <w:p>
      <w:pPr>
        <w:jc w:val="both"/>
        <w:ind w:left="660"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(with the consent of any party whose consent is required by Section 8.07), and accepted by the Agent, in substantially the form of Exhibit C or any other form approved by the Agent.</w:t>
      </w:r>
    </w:p>
    <w:p>
      <w:pPr>
        <w:sectPr>
          <w:pgSz w:w="11900" w:h="16838" w:orient="portrait"/>
          <w:cols w:equalWidth="0" w:num="1">
            <w:col w:w="11420"/>
          </w:cols>
          <w:pgMar w:left="240" w:top="515" w:right="239" w:bottom="0" w:gutter="0" w:footer="0" w:header="0"/>
        </w:sectPr>
      </w:pPr>
    </w:p>
    <w:bookmarkStart w:id="8" w:name="page9"/>
    <w:bookmarkEnd w:id="8"/>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has the meaning specified in Section 2.19(d).</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has the meaning specified in Section 2.19(d)(ii).</w:t>
      </w:r>
    </w:p>
    <w:p>
      <w:pPr>
        <w:spacing w:after="0" w:line="250"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of any Letter of Credit means, at any time, the maximum amount available to be drawn under such Letter of Credit at such time as set forth in Section 2.01(b) (assuming compliance at such time with all conditions to drawing).</w:t>
      </w:r>
    </w:p>
    <w:p>
      <w:pPr>
        <w:spacing w:after="0" w:line="198"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a fluctuating interest rate per annum in effect from time to time, which rate per annum shall at all times be equal to the highest of:</w:t>
      </w:r>
    </w:p>
    <w:p>
      <w:pPr>
        <w:spacing w:after="0" w:line="198" w:lineRule="exact"/>
        <w:rPr>
          <w:sz w:val="20"/>
          <w:szCs w:val="20"/>
          <w:color w:val="auto"/>
        </w:rPr>
      </w:pPr>
    </w:p>
    <w:p>
      <w:pPr>
        <w:ind w:left="1980" w:hanging="697"/>
        <w:spacing w:after="0"/>
        <w:tabs>
          <w:tab w:leader="none" w:pos="1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rate of interest announced publicly by Citibank in New York, New York, from time to time, as Citibank’s base rate;</w:t>
      </w:r>
    </w:p>
    <w:p>
      <w:pPr>
        <w:spacing w:after="0" w:line="261" w:lineRule="exact"/>
        <w:rPr>
          <w:rFonts w:ascii="Arial" w:cs="Arial" w:eastAsia="Arial" w:hAnsi="Arial"/>
          <w:sz w:val="17"/>
          <w:szCs w:val="17"/>
          <w:color w:val="auto"/>
        </w:rPr>
      </w:pPr>
    </w:p>
    <w:p>
      <w:pPr>
        <w:ind w:left="1980" w:hanging="697"/>
        <w:spacing w:after="0"/>
        <w:tabs>
          <w:tab w:leader="none" w:pos="1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Rate; and</w:t>
      </w:r>
    </w:p>
    <w:p>
      <w:pPr>
        <w:spacing w:after="0" w:line="250" w:lineRule="exact"/>
        <w:rPr>
          <w:rFonts w:ascii="Arial" w:cs="Arial" w:eastAsia="Arial" w:hAnsi="Arial"/>
          <w:sz w:val="18"/>
          <w:szCs w:val="18"/>
          <w:color w:val="auto"/>
        </w:rPr>
      </w:pPr>
    </w:p>
    <w:p>
      <w:pPr>
        <w:jc w:val="both"/>
        <w:ind w:left="640" w:firstLine="643"/>
        <w:spacing w:after="0" w:line="258" w:lineRule="auto"/>
        <w:tabs>
          <w:tab w:leader="none" w:pos="209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British Bankers Association Interest Settlement Rate applicable to Dollars for a period of one month (“One Month LIBOR”) plus 1.00% (for the avoidance of doubt, the One Month LIBOR for any day shall be based on the rate appearing on Reuters Screen LIBOR01 Page (or other commercially available source providing such quotations as designated by the Agent from time to time) at approximately 11:00 a.m. London time on such day).</w:t>
      </w:r>
    </w:p>
    <w:p>
      <w:pPr>
        <w:spacing w:after="0" w:line="212"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Revolving Credit Advance or a Letter of Credit Advance denominated in Dollars that bears interest as provided in Section 2.08(a)(i).</w:t>
      </w:r>
    </w:p>
    <w:p>
      <w:pPr>
        <w:spacing w:after="0" w:line="198"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simultaneous Revolving Credit Advances of the same Type made by each of the Lenders pursuant to Section 2.01.</w:t>
      </w:r>
    </w:p>
    <w:p>
      <w:pPr>
        <w:spacing w:after="0" w:line="198" w:lineRule="exact"/>
        <w:rPr>
          <w:sz w:val="20"/>
          <w:szCs w:val="20"/>
          <w:color w:val="auto"/>
        </w:rPr>
      </w:pPr>
    </w:p>
    <w:p>
      <w:pPr>
        <w:jc w:val="both"/>
        <w:ind w:right="40" w:firstLine="64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Minimum</w:t>
      </w:r>
      <w:r>
        <w:rPr>
          <w:rFonts w:ascii="Arial" w:cs="Arial" w:eastAsia="Arial" w:hAnsi="Arial"/>
          <w:sz w:val="16"/>
          <w:szCs w:val="16"/>
          <w:color w:val="auto"/>
        </w:rPr>
        <w:t>” means, in respect of Revolving Credit Advances denominated in Dollars, $5,000,000, in respect of Revolving Credit Advances denominated in Sterling, £5,000,000, in respect of Revolving Credit Advances denominated in Yen, ¥100,000,000, in respect of Revolving Credit Advances denominated in Canadian dollars, CN$5,000,000 and, in respect of Revolving Credit Advances denominated in Euros, €10,000,000.</w:t>
      </w:r>
    </w:p>
    <w:p>
      <w:pPr>
        <w:spacing w:after="0" w:line="174" w:lineRule="exact"/>
        <w:rPr>
          <w:sz w:val="20"/>
          <w:szCs w:val="20"/>
          <w:color w:val="auto"/>
        </w:rPr>
      </w:pPr>
    </w:p>
    <w:p>
      <w:pPr>
        <w:jc w:val="both"/>
        <w:ind w:right="140" w:firstLine="64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Multiple</w:t>
      </w:r>
      <w:r>
        <w:rPr>
          <w:rFonts w:ascii="Arial" w:cs="Arial" w:eastAsia="Arial" w:hAnsi="Arial"/>
          <w:sz w:val="16"/>
          <w:szCs w:val="16"/>
          <w:color w:val="auto"/>
        </w:rPr>
        <w:t>” means, in respect of Revolving Credit Advances denominated in Dollars, $1,000,000, in respect of Revolving Credit Advances denominated in Sterling, £1,000,000, in respect of Revolving Credit Advances denominated in Yen, ¥10,000,000, in respect of Revolving Credit Advances denominated in Canadian dollars, CN$1,000,000 and, in respect of Revolving Credit Advances denominated in Euros, €1,000,000.</w:t>
      </w:r>
    </w:p>
    <w:p>
      <w:pPr>
        <w:spacing w:after="0" w:line="174"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New York City and, if the applicable Business Day relates to any Eurocurrency Rate Advances, on which dealings are carried on in the London interbank market and banks are open for business in London and in the country of issue of the currency of such Eurocurrency Rate Advance (or, in the case of an Advance denominated in Euro, on which the Trans-European Automated Real-Time Gross Settlement Express Transfer (TARGET) System is open).</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w:t>
      </w:r>
      <w:r>
        <w:rPr>
          <w:rFonts w:ascii="Arial" w:cs="Arial" w:eastAsia="Arial" w:hAnsi="Arial"/>
          <w:sz w:val="17"/>
          <w:szCs w:val="17"/>
          <w:color w:val="auto"/>
        </w:rPr>
        <w:t>” means any lease that is or should be capitalized on the balance sheet of the lessee in accordance with GAAP.</w:t>
      </w:r>
    </w:p>
    <w:p>
      <w:pPr>
        <w:spacing w:after="0" w:line="26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in respect of an obligation, provide and pledge (as a first priority perfected security interest) cash collateral in Dollars, at a location and pursuant to documentation in form and substance reasonably satisfactory to the Agent and each Issuing Bank (and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Collateralization</w:t>
      </w:r>
      <w:r>
        <w:rPr>
          <w:rFonts w:ascii="Arial" w:cs="Arial" w:eastAsia="Arial" w:hAnsi="Arial"/>
          <w:sz w:val="18"/>
          <w:szCs w:val="18"/>
          <w:color w:val="auto"/>
        </w:rPr>
        <w:t>” has a corresponding meaning).</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Revolving Commitment or a Letter of Credit Commitment.</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2.19(b)(iii).</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2.19(a).</w:t>
      </w:r>
    </w:p>
    <w:p>
      <w:pPr>
        <w:spacing w:after="0" w:line="25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Currencies</w:t>
      </w:r>
      <w:r>
        <w:rPr>
          <w:rFonts w:ascii="Arial" w:cs="Arial" w:eastAsia="Arial" w:hAnsi="Arial"/>
          <w:sz w:val="18"/>
          <w:szCs w:val="18"/>
          <w:color w:val="auto"/>
        </w:rPr>
        <w:t>” means lawful currency of the United Kingdom of Great Britain and Northern Ireland, lawful currency of Canada, lawful currency of Japan and Euros.</w:t>
      </w:r>
    </w:p>
    <w:p>
      <w:pPr>
        <w:spacing w:after="0" w:line="198"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25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Debt</w:t>
      </w:r>
      <w:r>
        <w:rPr>
          <w:rFonts w:ascii="Arial" w:cs="Arial" w:eastAsia="Arial" w:hAnsi="Arial"/>
          <w:sz w:val="18"/>
          <w:szCs w:val="18"/>
          <w:color w:val="auto"/>
        </w:rPr>
        <w:t xml:space="preserve">” means the computation of (a) all Debt of the Borrower and its Consolidated Subsidiaries that, in accordance with GAAP, would be classified as indebtedness on a Consolidated balance sheet of the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without duplication, the aggregate outstanding investment or claims held at any time by purchasers, assignees or other transferees of (or of interests in) Receivables under Receivables Purchase Agreements,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cash and cash equivalents (as presented on the face of the Borrower’s quarterly and audited fiscal year balance sheets) in excess of $400,000,000.</w:t>
      </w:r>
    </w:p>
    <w:p>
      <w:pPr>
        <w:spacing w:after="0" w:line="218"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the sum of the amounts for such period of (i) Consolidated Operating Profit of the Borrower and its Consolidated Subsidiaries for such period, determined in accordance with GAAP, plus (ii) the sum of the following amounts for such period, in each case to the extent the same shall have been deducted in the calculation of such Consolidated Operating Profit for such period: (A) amortization, (B) depreciation, (C) non-cash restructuring or impairment charges reported by the Borrower in respect of, or otherwise allocated to, such period, and (D) cash restructuring charges in an amount not to exceed $25,000,000 in any calendar year, minus (iii) to the extent the same shall have been included in the calculation of Consolidated Operating Profit for such period, any extraordinary, or unusual and non-recurring gains (or plus any extraordinary, or unusual and non-recurring, losses) calculated pursuant to GAAP for such period.</w:t>
      </w:r>
    </w:p>
    <w:p>
      <w:pPr>
        <w:sectPr>
          <w:pgSz w:w="11900" w:h="16838" w:orient="portrait"/>
          <w:cols w:equalWidth="0" w:num="1">
            <w:col w:w="10760"/>
          </w:cols>
          <w:pgMar w:left="900" w:top="367" w:right="239" w:bottom="0" w:gutter="0" w:footer="0" w:header="0"/>
        </w:sectPr>
      </w:pPr>
    </w:p>
    <w:bookmarkStart w:id="9" w:name="page10"/>
    <w:bookmarkEnd w:id="9"/>
    <w:p>
      <w:pPr>
        <w:jc w:val="both"/>
        <w:ind w:left="7"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for any period, the excess of (a) total interest expense, whether paid or accrued (including the interest component of Capitalized Leases), of the Borrower and its Consolidated Subsidiaries on a Consolidated basis, including, without limitation, all commissions, discounts and other fees and charges owed with respect to letters of credit and net costs under any agreements providing interest rate protection, but excluding however, amortization of discount, interest paid in property other than cash or any other interest expense not payable in cash over (b) total interest income, in each case as determined in conformity with GAAP.</w:t>
      </w:r>
    </w:p>
    <w:p>
      <w:pPr>
        <w:spacing w:after="0" w:line="202" w:lineRule="exact"/>
        <w:rPr>
          <w:sz w:val="20"/>
          <w:szCs w:val="20"/>
          <w:color w:val="auto"/>
        </w:rPr>
      </w:pPr>
    </w:p>
    <w:p>
      <w:pPr>
        <w:jc w:val="both"/>
        <w:ind w:left="7"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Operating Profit</w:t>
      </w:r>
      <w:r>
        <w:rPr>
          <w:rFonts w:ascii="Arial" w:cs="Arial" w:eastAsia="Arial" w:hAnsi="Arial"/>
          <w:sz w:val="16"/>
          <w:szCs w:val="16"/>
          <w:color w:val="auto"/>
        </w:rPr>
        <w:t>” means, for any period, revenue less the sum of (A) direct costs, and (b) selling and administrative expenses on a consolidated income statement of the Borrower and its Consolidated Subsidiaries for such period, all as determined in accordance with GAAP.</w:t>
      </w:r>
    </w:p>
    <w:p>
      <w:pPr>
        <w:spacing w:after="0" w:line="151"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Rental Expense</w:t>
      </w:r>
      <w:r>
        <w:rPr>
          <w:rFonts w:ascii="Arial" w:cs="Arial" w:eastAsia="Arial" w:hAnsi="Arial"/>
          <w:sz w:val="18"/>
          <w:szCs w:val="18"/>
          <w:color w:val="auto"/>
        </w:rPr>
        <w:t>” means, for any period, total rental expense, whether paid or accrued (excluding rental expense accrued in connection with restructuring charges (other than that portion actually paid during such period)), of the Borrower and its Consolidated Subsidiaries on a Consolidated basis, all as determined in conformity with GAAP.</w:t>
      </w:r>
    </w:p>
    <w:p>
      <w:pPr>
        <w:spacing w:after="0" w:line="209" w:lineRule="exact"/>
        <w:rPr>
          <w:sz w:val="20"/>
          <w:szCs w:val="20"/>
          <w:color w:val="auto"/>
        </w:rPr>
      </w:pPr>
    </w:p>
    <w:p>
      <w:pPr>
        <w:jc w:val="both"/>
        <w:ind w:left="7"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Subsidiary</w:t>
      </w:r>
      <w:r>
        <w:rPr>
          <w:rFonts w:ascii="Arial" w:cs="Arial" w:eastAsia="Arial" w:hAnsi="Arial"/>
          <w:sz w:val="18"/>
          <w:szCs w:val="18"/>
          <w:color w:val="auto"/>
        </w:rPr>
        <w:t>” means, at any date with respect to any Person, any Subsidiary thereof the accounts of which would be consolidated with those of such Person in its consolidated financial statements at such date in accordance with GAAP.</w:t>
      </w:r>
    </w:p>
    <w:p>
      <w:pPr>
        <w:spacing w:after="0" w:line="198" w:lineRule="exact"/>
        <w:rPr>
          <w:sz w:val="20"/>
          <w:szCs w:val="20"/>
          <w:color w:val="auto"/>
        </w:rPr>
      </w:pPr>
    </w:p>
    <w:p>
      <w:pPr>
        <w:jc w:val="both"/>
        <w:ind w:left="7" w:right="20"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means, with respect to any Person at any time of determination, total assets of such Person and its Consolidated Subsidiaries as set forth on the balance sheets most recently delivered to the Lenders pursuant to Section 5.01(h), excluding all Intangible Assets of such Person and its Consolidated Subsidiaries.</w:t>
      </w:r>
    </w:p>
    <w:p>
      <w:pPr>
        <w:jc w:val="both"/>
        <w:ind w:left="7"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Credit Advances of one Type into Revolving Credit Advances of the other Type pursuant to Section 2.09 or 2.10.</w:t>
      </w:r>
    </w:p>
    <w:p>
      <w:pPr>
        <w:spacing w:after="0" w:line="213" w:lineRule="exact"/>
        <w:rPr>
          <w:sz w:val="20"/>
          <w:szCs w:val="20"/>
          <w:color w:val="auto"/>
        </w:rPr>
      </w:pPr>
    </w:p>
    <w:p>
      <w:pPr>
        <w:jc w:val="both"/>
        <w:ind w:left="7"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(except for the purposes of Section 6.01 (d), other than trade letters of credit, performance bonds (including, without limitation, bonds posted pursuant to governmental rules and regulations) or similar obligations of such parties) or similar extensions of credit, (g) all obligations of such Person in respect of Hedge Agreements, (h) all Debt of others referred to in clauses (a) through (g) above or clause (i) below and other payment obligations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97"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198" w:lineRule="exact"/>
        <w:rPr>
          <w:sz w:val="20"/>
          <w:szCs w:val="20"/>
          <w:color w:val="auto"/>
        </w:rPr>
      </w:pPr>
    </w:p>
    <w:p>
      <w:pPr>
        <w:jc w:val="both"/>
        <w:ind w:left="7" w:firstLine="64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at any time, subject to Section 2.20(c), (i) any Lender that has failed for three or more Business Days to comply with its obligations under this Agreement to make an Advance, make a payment to an Issuing Bank in respect of drawing under a Letter of Credit or make any other payment due hereunder (each, a “</w:t>
      </w:r>
      <w:r>
        <w:rPr>
          <w:rFonts w:ascii="Arial" w:cs="Arial" w:eastAsia="Arial" w:hAnsi="Arial"/>
          <w:sz w:val="16"/>
          <w:szCs w:val="16"/>
          <w:u w:val="single" w:color="auto"/>
          <w:color w:val="auto"/>
        </w:rPr>
        <w:t>funding obligation</w:t>
      </w:r>
      <w:r>
        <w:rPr>
          <w:rFonts w:ascii="Arial" w:cs="Arial" w:eastAsia="Arial" w:hAnsi="Arial"/>
          <w:sz w:val="16"/>
          <w:szCs w:val="16"/>
          <w:color w:val="auto"/>
        </w:rPr>
        <w:t>”), unless such Lender has notified the Agent and the Borrower in writing that such failure is the result of such Lender’s determination that one or more conditions precedent to funding has not been satisfied (which conditions precedent, together with the applicable default, if any, will be specifically identified in such writing), (ii) any Lender that has notified the Agent, the Borrower or an Issuing Bank in writing, or has stated publicly, that it does not intend to comply with its funding obligations hereunder, unless such writing or statement states that such position is based on such Lender’s determination that one or more conditions precedent to funding cannot be satisfied (which conditions precedent, together with the applicable default, if any, will be specifically identified in such writing or public statement),</w:t>
      </w:r>
    </w:p>
    <w:p>
      <w:pPr>
        <w:spacing w:after="0" w:line="6" w:lineRule="exact"/>
        <w:rPr>
          <w:sz w:val="20"/>
          <w:szCs w:val="20"/>
          <w:color w:val="auto"/>
        </w:rPr>
      </w:pPr>
    </w:p>
    <w:p>
      <w:pPr>
        <w:jc w:val="both"/>
        <w:ind w:left="7" w:hanging="7"/>
        <w:spacing w:after="0" w:line="265" w:lineRule="auto"/>
        <w:tabs>
          <w:tab w:leader="none" w:pos="358"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any Lender that has defaulted on its funding obligations under other loan agreements or credit agreements generally under which it has commitments to extend credit or that has notified, or whose Parent Company has notified, the Agent or the Borrower in writing, or has stated publicly, that it does not intend to comply with its funding obligations under loan agreements or credit agreements generally, (iv) any Lender that has, for three or more Business Days after written request of the Agent or the Borrower, failed to confirm in writing to the Agent and the Borrower that it will comply with its prospective funding obligations hereunder (provided that such Lender will cease to be a Defaulting Lender pursuant to this clause (iv) upon the Agent’s and the Borrower’s receipt of such written confirmation), or (v) any Lender with respect to which a Lender Insolvency Event has occurred and is continuing with respect to such Lender or its Parent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Insolvency Event shall not be deemed to occur with respect to a Lender or its Parent Company solely as a result of the acquisition or maintenance of an ownership interest in such Lender or Parent Company by a governmental authority or instrumentality thereof where such action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Agent that a Lender is a Defaulting Lender under any of clauses (i) through (v) above will be conclusive and binding absent manifest error, and such Lender will be deemed to be a Defaulting Lender (subject to Section 2.20(c)) upon notification of such determination by the Agent to the Borrower, the Issuing Banks and the Lenders.</w:t>
      </w:r>
    </w:p>
    <w:p>
      <w:pPr>
        <w:spacing w:after="0" w:line="217"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w:t>
      </w:r>
      <w:r>
        <w:rPr>
          <w:rFonts w:ascii="Arial" w:cs="Arial" w:eastAsia="Arial" w:hAnsi="Arial"/>
          <w:sz w:val="18"/>
          <w:szCs w:val="18"/>
          <w:u w:val="single" w:color="auto"/>
          <w:color w:val="auto"/>
        </w:rPr>
        <w:t>$</w:t>
      </w:r>
      <w:r>
        <w:rPr>
          <w:rFonts w:ascii="Arial" w:cs="Arial" w:eastAsia="Arial" w:hAnsi="Arial"/>
          <w:sz w:val="18"/>
          <w:szCs w:val="18"/>
          <w:color w:val="auto"/>
        </w:rPr>
        <w:t>” sign each means lawful currency of the United States of America.</w:t>
      </w:r>
    </w:p>
    <w:p>
      <w:pPr>
        <w:spacing w:after="0" w:line="250"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Lender, the office of such Lender specified as its “Domestic Lending Office” in its Administrative Questionnaire delivered to the Agent, or such other office of such Lender as such Lender may from time to time specify to the Borrower and the Agent.</w:t>
      </w:r>
    </w:p>
    <w:p>
      <w:pPr>
        <w:spacing w:after="0" w:line="209"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ectPr>
          <w:pgSz w:w="11900" w:h="16838" w:orient="portrait"/>
          <w:cols w:equalWidth="0" w:num="1">
            <w:col w:w="10767"/>
          </w:cols>
          <w:pgMar w:left="893" w:top="125" w:right="239" w:bottom="186" w:gutter="0" w:footer="0" w:header="0"/>
        </w:sectPr>
      </w:pPr>
    </w:p>
    <w:bookmarkStart w:id="10" w:name="page11"/>
    <w:bookmarkEnd w:id="10"/>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8.07(b)(iii), (v) and (vi) (subject to such consents, if any, as may be required under Section 8.07(b)(iii)).</w:t>
      </w:r>
    </w:p>
    <w:p>
      <w:pPr>
        <w:spacing w:after="0" w:line="198" w:lineRule="exact"/>
        <w:rPr>
          <w:sz w:val="20"/>
          <w:szCs w:val="20"/>
          <w:color w:val="auto"/>
        </w:rPr>
      </w:pPr>
    </w:p>
    <w:p>
      <w:pPr>
        <w:jc w:val="both"/>
        <w:ind w:left="7"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Action</w:t>
      </w:r>
      <w:r>
        <w:rPr>
          <w:rFonts w:ascii="Arial" w:cs="Arial" w:eastAsia="Arial" w:hAnsi="Arial"/>
          <w:sz w:val="16"/>
          <w:szCs w:val="16"/>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w:t>
      </w:r>
    </w:p>
    <w:p>
      <w:pPr>
        <w:spacing w:after="0" w:line="2" w:lineRule="exact"/>
        <w:rPr>
          <w:sz w:val="20"/>
          <w:szCs w:val="20"/>
          <w:color w:val="auto"/>
        </w:rPr>
      </w:pPr>
    </w:p>
    <w:p>
      <w:pPr>
        <w:ind w:left="7" w:hanging="7"/>
        <w:spacing w:after="0" w:line="321" w:lineRule="auto"/>
        <w:tabs>
          <w:tab w:leader="none" w:pos="264" w:val="left"/>
        </w:tabs>
        <w:numPr>
          <w:ilvl w:val="0"/>
          <w:numId w:val="3"/>
        </w:numPr>
        <w:rPr>
          <w:rFonts w:ascii="Arial" w:cs="Arial" w:eastAsia="Arial" w:hAnsi="Arial"/>
          <w:sz w:val="16"/>
          <w:szCs w:val="16"/>
          <w:color w:val="auto"/>
        </w:rPr>
      </w:pPr>
      <w:r>
        <w:rPr>
          <w:rFonts w:ascii="Arial" w:cs="Arial" w:eastAsia="Arial" w:hAnsi="Arial"/>
          <w:sz w:val="16"/>
          <w:szCs w:val="16"/>
          <w:color w:val="auto"/>
        </w:rPr>
        <w:t>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65" w:lineRule="exact"/>
        <w:rPr>
          <w:sz w:val="20"/>
          <w:szCs w:val="20"/>
          <w:color w:val="auto"/>
        </w:rPr>
      </w:pPr>
    </w:p>
    <w:p>
      <w:pPr>
        <w:jc w:val="both"/>
        <w:ind w:left="7"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212" w:lineRule="exact"/>
        <w:rPr>
          <w:sz w:val="20"/>
          <w:szCs w:val="20"/>
          <w:color w:val="auto"/>
        </w:rPr>
      </w:pPr>
    </w:p>
    <w:p>
      <w:pPr>
        <w:ind w:left="64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Law.</w:t>
      </w:r>
    </w:p>
    <w:p>
      <w:pPr>
        <w:spacing w:after="0" w:line="235" w:lineRule="exact"/>
        <w:rPr>
          <w:sz w:val="20"/>
          <w:szCs w:val="20"/>
          <w:color w:val="auto"/>
        </w:rPr>
      </w:pPr>
    </w:p>
    <w:p>
      <w:pPr>
        <w:jc w:val="both"/>
        <w:ind w:left="7"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w:t>
      </w:r>
      <w:r>
        <w:rPr>
          <w:rFonts w:ascii="Arial" w:cs="Arial" w:eastAsia="Arial" w:hAnsi="Arial"/>
          <w:sz w:val="18"/>
          <w:szCs w:val="18"/>
          <w:color w:val="auto"/>
        </w:rPr>
        <w:t>” in Dollars of any Committed Currency on any date means the equivalent in Dollars of such Committed Currency determined by using the quoted spot rate at which the Agent’s principal office in London offers to exchange Dollars for such Committed Currency in London prior to 4:00 P.M. (London time) (unless otherwise indicated by the terms of this Agreement) on such date as is required pursuant to the terms of this Agreement, and the “Equivalent” in any Committed Currency of Dollars means the equivalent in such Committed Currency of Dollars determined by using the quoted spot rate at which the Agent’s principal office in London offers to exchange such Committed Currency for Dollars in London prior to 4:00 P.M. (London time) (unless otherwise indicated by the terms of this Agreement) on such date as is required pursuant to the terms of this Agreement.</w:t>
      </w:r>
    </w:p>
    <w:p>
      <w:pPr>
        <w:spacing w:after="0" w:line="220"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98"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IV of ERISA is a member of the Borrower’s controlled group, or under common control with the Borrower, within the meaning of Section 414 of the Internal Revenue Code.</w:t>
      </w:r>
    </w:p>
    <w:p>
      <w:pPr>
        <w:spacing w:after="0" w:line="198" w:lineRule="exact"/>
        <w:rPr>
          <w:sz w:val="20"/>
          <w:szCs w:val="20"/>
          <w:color w:val="auto"/>
        </w:rPr>
      </w:pPr>
    </w:p>
    <w:p>
      <w:pPr>
        <w:jc w:val="both"/>
        <w:ind w:left="7" w:firstLine="645"/>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211" w:lineRule="exact"/>
        <w:rPr>
          <w:sz w:val="20"/>
          <w:szCs w:val="20"/>
          <w:color w:val="auto"/>
        </w:rPr>
      </w:pPr>
    </w:p>
    <w:p>
      <w:pPr>
        <w:jc w:val="both"/>
        <w:ind w:left="7" w:firstLine="64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EURIBO Rate</w:t>
      </w:r>
      <w:r>
        <w:rPr>
          <w:rFonts w:ascii="Arial" w:cs="Arial" w:eastAsia="Arial" w:hAnsi="Arial"/>
          <w:sz w:val="16"/>
          <w:szCs w:val="16"/>
          <w:color w:val="auto"/>
        </w:rPr>
        <w:t>” means the rate appearing on Page 248 of the Reuters Screen (or on any successor or substitute page of such Service, or any successor to or substitute for such Service, providing rate quotations comparable to those currently provided on such page of such Service, as determined by the Agent from time to time for purposes of providing quotations of interest rates applicable to deposits in Euro by reference to the Banking Federation of the European Union Settlement Rates for deposits in Euro) at approximately 10:00 a.m., London time, two Business Days prior to the commencement of such Interest Period, as the rate for deposits in Euro with a maturity comparable to such Interest Period or, if for any reason such rate is not available, the average (rounded upward to the nearest whole multiple of 1/100 of 1% per annum, if such average is not such a multiple) of the respective rates per annum at which deposits in Euros are offered by the principal office of each of the Reference Banks in London, England to prime banks in the London interbank market at 11:00 A.M. (London time) two Business Days before the first day of such Interest Period in an amount substantially equal to such Reference Bank’s Eurocurrency Rate Advance comprising part of such Borrowing to be outstanding during such Interest Period and for a period equal to such Interest Period (subject, however, to the provisions of Section 2.09).</w:t>
      </w:r>
    </w:p>
    <w:p>
      <w:pPr>
        <w:spacing w:after="0" w:line="193"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currency of the European Union as constituted by the Treaty of Rome which established the European Community, as such treaty may be amended from time to time and as referred to in the EMU legislation.</w:t>
      </w:r>
    </w:p>
    <w:p>
      <w:pPr>
        <w:spacing w:after="0" w:line="198"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Lending Office</w:t>
      </w:r>
      <w:r>
        <w:rPr>
          <w:rFonts w:ascii="Arial" w:cs="Arial" w:eastAsia="Arial" w:hAnsi="Arial"/>
          <w:sz w:val="18"/>
          <w:szCs w:val="18"/>
          <w:color w:val="auto"/>
        </w:rPr>
        <w:t>” means, with respect to any Lender, the office of such Lender specified as its “Eurocurrency Lending Office” in its Administrative Questionnaire delivered to the Agent, or such other office of such Lender as such Lender may from time to time specify to the Borrower and the Agent.</w:t>
      </w:r>
    </w:p>
    <w:p>
      <w:pPr>
        <w:spacing w:after="0" w:line="209"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198" w:lineRule="exact"/>
        <w:rPr>
          <w:sz w:val="20"/>
          <w:szCs w:val="20"/>
          <w:color w:val="auto"/>
        </w:rPr>
      </w:pPr>
    </w:p>
    <w:p>
      <w:pPr>
        <w:jc w:val="both"/>
        <w:ind w:left="7" w:firstLine="64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Rate</w:t>
      </w:r>
      <w:r>
        <w:rPr>
          <w:rFonts w:ascii="Arial" w:cs="Arial" w:eastAsia="Arial" w:hAnsi="Arial"/>
          <w:sz w:val="16"/>
          <w:szCs w:val="16"/>
          <w:color w:val="auto"/>
        </w:rPr>
        <w:t>” means, for any Interest Period for each Eurocurrency Rate Advance comprising part of the same Borrowing, an interest rate per annum equal to the rate per annum obtained by dividing (a)(i) in the case of any Revolving Credit Advance denominated in Dollars or any Committed Currency other than Euro, the rate per annum (rounded upward to the nearest whole multiple of 1/100 of 1% per annum) appearing on Reuters Screen LIBOR01 Page (or any successor page) as the London interbank offered rate for deposits in Dollars or the applicable Committed Currency at approximately 11:00 A.M. (London time) two Business Days prior to the first day of such Interest Period for a term comparable to such Interest Period or, if for any reason such rate is not available, the average (rounded upward to the nearest whole multiple of 1/100 of 1% per annum, if such average is not such a multiple) of the rate per annum at which deposits in Dollars or the applicable Committed Currency is offered by the principal office of each of the Reference Banks in London, England to prime banks in the London interbank market at 11:00 A.M. (London time) two Business Days before the first day of such Interest Period in an amount substantially equal to such Reference Bank’s Eurocurrency Rate Advance</w:t>
      </w:r>
    </w:p>
    <w:p>
      <w:pPr>
        <w:sectPr>
          <w:pgSz w:w="11900" w:h="16838" w:orient="portrait"/>
          <w:cols w:equalWidth="0" w:num="1">
            <w:col w:w="10767"/>
          </w:cols>
          <w:pgMar w:left="893" w:top="125" w:right="239" w:bottom="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 xml:space="preserve">comprising part of such Borrowing to be outstanding during such Interest Period and for a period equal to such Interest Period or, (ii) in the case of any Revolving Credit Advance denominated in Euros, the EURIBO Rate by (b) a percentage equal to 100% minus the Eurocurrency Rate Reserve Percentage for such Interest Period. If the Reuters Screen LIBOR01 Page (or any successor page) is unavailable, the Eurocurrency Rate for any Interest Period for each Eurocurrency Rate Advance comprising part of the same Borrowing shall be determined by the Agent on the basis of applicable rates furnished to and received by the Agent from the Reference Banks two Business Days before the first day of such Interest Period,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provisions of Section 2.09.</w:t>
      </w:r>
    </w:p>
    <w:p>
      <w:pPr>
        <w:spacing w:after="0" w:line="21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Advance</w:t>
      </w:r>
      <w:r>
        <w:rPr>
          <w:rFonts w:ascii="Arial" w:cs="Arial" w:eastAsia="Arial" w:hAnsi="Arial"/>
          <w:sz w:val="18"/>
          <w:szCs w:val="18"/>
          <w:color w:val="auto"/>
        </w:rPr>
        <w:t>” means a Revolving Credit Advance denominated in Dollars or a Committed Currency that bears interest as provided in Section 2.08(a)(ii).</w:t>
      </w:r>
    </w:p>
    <w:p>
      <w:pPr>
        <w:spacing w:after="0" w:line="198"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Rate Reserve Percentage</w:t>
      </w:r>
      <w:r>
        <w:rPr>
          <w:rFonts w:ascii="Arial" w:cs="Arial" w:eastAsia="Arial" w:hAnsi="Arial"/>
          <w:sz w:val="16"/>
          <w:szCs w:val="16"/>
          <w:color w:val="auto"/>
        </w:rPr>
        <w:t>” for any Interest Period for all Eurocurrency Rate Advances comprising part of the same Borrowing means the reserve percentage applicable two Business Days before the first day of such Interest Period under regulations issued from time to time by the Board of Governors of the Federal Reserve System (or any successor)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Eurocurrency Rate Advances is determined) having a term equal to such Interest Period.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has the meaning specified in Section 2.04(f).</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in effect on the date hereof.</w:t>
      </w:r>
    </w:p>
    <w:p>
      <w:pPr>
        <w:spacing w:after="0" w:line="250"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w:t>
      </w:r>
    </w:p>
    <w:p>
      <w:pPr>
        <w:spacing w:after="0" w:line="202"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with respect to any Issuing Bank, such Defaulting Lender’s Pro Rata Share of the L/C Obligations with respect to Letters of Credit issued by such Issuing Bank, other than L/C Obligations as to which such Defaulting Lender’s participation obligation has been reallocated to other Lenders or Cash Collateralized in accordance with the terms hereof.</w:t>
      </w:r>
    </w:p>
    <w:p>
      <w:pPr>
        <w:spacing w:after="0" w:line="19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250"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20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means interest rate swap, cap or collar agreements, interest rate future or option contracts, currency swap agreements, currency future or option contracts and other similar agreements.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2.19(a).</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2.19(b).</w:t>
      </w:r>
    </w:p>
    <w:p>
      <w:pPr>
        <w:spacing w:after="0" w:line="25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Memorandum</w:t>
      </w:r>
      <w:r>
        <w:rPr>
          <w:rFonts w:ascii="Arial" w:cs="Arial" w:eastAsia="Arial" w:hAnsi="Arial"/>
          <w:sz w:val="18"/>
          <w:szCs w:val="18"/>
          <w:color w:val="auto"/>
        </w:rPr>
        <w:t>” means the information memorandum dated September 8, 2011 used by the Agent in connection with the syndication of the Commitments.</w:t>
      </w:r>
    </w:p>
    <w:p>
      <w:pPr>
        <w:spacing w:after="0" w:line="19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Issuing Bank</w:t>
      </w:r>
      <w:r>
        <w:rPr>
          <w:rFonts w:ascii="Arial" w:cs="Arial" w:eastAsia="Arial" w:hAnsi="Arial"/>
          <w:sz w:val="18"/>
          <w:szCs w:val="18"/>
          <w:color w:val="auto"/>
        </w:rPr>
        <w:t>”, “</w:t>
      </w:r>
      <w:r>
        <w:rPr>
          <w:rFonts w:ascii="Arial" w:cs="Arial" w:eastAsia="Arial" w:hAnsi="Arial"/>
          <w:sz w:val="18"/>
          <w:szCs w:val="18"/>
          <w:u w:val="single" w:color="auto"/>
          <w:color w:val="auto"/>
        </w:rPr>
        <w:t>Initial Lender Parties</w:t>
      </w:r>
      <w:r>
        <w:rPr>
          <w:rFonts w:ascii="Arial" w:cs="Arial" w:eastAsia="Arial" w:hAnsi="Arial"/>
          <w:sz w:val="18"/>
          <w:szCs w:val="18"/>
          <w:color w:val="auto"/>
        </w:rPr>
        <w:t>” and “</w:t>
      </w:r>
      <w:r>
        <w:rPr>
          <w:rFonts w:ascii="Arial" w:cs="Arial" w:eastAsia="Arial" w:hAnsi="Arial"/>
          <w:sz w:val="18"/>
          <w:szCs w:val="18"/>
          <w:u w:val="single" w:color="auto"/>
          <w:color w:val="auto"/>
        </w:rPr>
        <w:t>Initial Lenders</w:t>
      </w:r>
      <w:r>
        <w:rPr>
          <w:rFonts w:ascii="Arial" w:cs="Arial" w:eastAsia="Arial" w:hAnsi="Arial"/>
          <w:sz w:val="18"/>
          <w:szCs w:val="18"/>
          <w:color w:val="auto"/>
        </w:rPr>
        <w:t>” each has the meaning specified in the recital of parties to this Agreement.</w:t>
      </w:r>
    </w:p>
    <w:p>
      <w:pPr>
        <w:spacing w:after="0" w:line="198"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means, with respect to any Person at any time of determination, (i) goodwill, organizational expenses, research and development expenses, trademarks, tradenames, copyrights, patents, patent applications, licenses and rights in any thereof, (ii) all reserves carried and not deducted from assets, (iii) treasury stock, (iv) securities which are not readily marketable, (v) cash held in a sinking or other analogous fund for the purpose of redemption, retirement or prepayment of capital stock or indebtedness, (vi) any write-up in the book value of any asset resulting from a reevaluation thereof subsequent to December 31, 2010, and (vii) any items not included in items (i)-(vi) above which are treated as intangibles in accordance with GAAP.</w:t>
      </w:r>
    </w:p>
    <w:p>
      <w:pPr>
        <w:spacing w:after="0" w:line="218"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each Eurocurrency Rate Advance comprising part of the same Borrowing, the period commencing on the date of such Eurocurrency Rate Advance or the date of the Conversion of any Base Rate Advance into such Eurocurrency Rate Advance and ending on the last day of the period selected by the Borrower pursuant to the provisions below and, thereafter each subsequent period commencing on the last day of the immediately preceding Interest Period and ending on the last day of the period selected by the Borrower pursuant to the provisions below. The duration of each such Interest Period shall be one, two, three or six months, as the Borrower may, upon notice received by the Agent not later than 11:00 A.M. (New York City time) on the third Business Day prior to the first day of such Interest Period, select;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89" w:lineRule="exact"/>
        <w:rPr>
          <w:sz w:val="20"/>
          <w:szCs w:val="20"/>
          <w:color w:val="auto"/>
        </w:rPr>
      </w:pPr>
    </w:p>
    <w:p>
      <w:pPr>
        <w:ind w:left="1980" w:hanging="697"/>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Borrower may not select any Interest Period that ends after the Termination Date;</w:t>
      </w:r>
    </w:p>
    <w:p>
      <w:pPr>
        <w:spacing w:after="0" w:line="250" w:lineRule="exact"/>
        <w:rPr>
          <w:rFonts w:ascii="Arial" w:cs="Arial" w:eastAsia="Arial" w:hAnsi="Arial"/>
          <w:sz w:val="18"/>
          <w:szCs w:val="18"/>
          <w:color w:val="auto"/>
        </w:rPr>
      </w:pPr>
    </w:p>
    <w:p>
      <w:pPr>
        <w:ind w:left="640" w:firstLine="643"/>
        <w:spacing w:after="0" w:line="275" w:lineRule="auto"/>
        <w:tabs>
          <w:tab w:leader="none" w:pos="205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Periods commencing on the same date for Eurocurrency Rate Advances comprising part of the same Borrowing shall be of the same duration;</w:t>
      </w:r>
    </w:p>
    <w:p>
      <w:pPr>
        <w:sectPr>
          <w:pgSz w:w="11900" w:h="16838" w:orient="portrait"/>
          <w:cols w:equalWidth="0" w:num="1">
            <w:col w:w="10760"/>
          </w:cols>
          <w:pgMar w:left="900" w:top="125" w:right="239" w:bottom="0" w:gutter="0" w:footer="0" w:header="0"/>
        </w:sectPr>
      </w:pPr>
    </w:p>
    <w:bookmarkStart w:id="12" w:name="page13"/>
    <w:bookmarkEnd w:id="12"/>
    <w:p>
      <w:pPr>
        <w:jc w:val="both"/>
        <w:ind w:left="640" w:firstLine="643"/>
        <w:spacing w:after="0" w:line="258" w:lineRule="auto"/>
        <w:tabs>
          <w:tab w:leader="none" w:pos="20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extension would cause the last day of such Interest Period to occur in the next following calendar month, the last day of such Interest Period shall occur on the next preceding Business Day; and</w:t>
      </w:r>
    </w:p>
    <w:p>
      <w:pPr>
        <w:spacing w:after="0" w:line="212" w:lineRule="exact"/>
        <w:rPr>
          <w:rFonts w:ascii="Arial" w:cs="Arial" w:eastAsia="Arial" w:hAnsi="Arial"/>
          <w:sz w:val="18"/>
          <w:szCs w:val="18"/>
          <w:color w:val="auto"/>
        </w:rPr>
      </w:pPr>
    </w:p>
    <w:p>
      <w:pPr>
        <w:jc w:val="both"/>
        <w:ind w:left="640" w:firstLine="643"/>
        <w:spacing w:after="0" w:line="310" w:lineRule="auto"/>
        <w:tabs>
          <w:tab w:leader="none" w:pos="2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198"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the Initial Issuing Bank or any Eligible Assignee to which a portion of the Letter of Credit Commitment hereunder have been assigned pursuant to Section 8.07 so long as such Eligible Assignee expressly agrees to perform in accordance with their terms all of the obligations that by the terms of this Agreement are required to be performed by it as an Issuing Bank and notifies the Agent of its Applicable Lending Office (which information shall be recorded by the Agent in the Register), for so long as the Initial Issuing Bank or Eligible Assignee, as the case may be, shall have a Letter of Credit Commitment.</w:t>
      </w:r>
    </w:p>
    <w:p>
      <w:pPr>
        <w:spacing w:after="0" w:line="21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Cash Collateral Account</w:t>
      </w:r>
      <w:r>
        <w:rPr>
          <w:rFonts w:ascii="Arial" w:cs="Arial" w:eastAsia="Arial" w:hAnsi="Arial"/>
          <w:sz w:val="18"/>
          <w:szCs w:val="18"/>
          <w:color w:val="auto"/>
        </w:rPr>
        <w:t>” means an interest bearing cash collateral account to be established and maintained by the Agent, over which the Agent shall have sole dominion and control, upon terms as may be satisfactory to the Agent.</w:t>
      </w:r>
    </w:p>
    <w:p>
      <w:pPr>
        <w:spacing w:after="0" w:line="198"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means, as of any date, the aggregate Available Amount of outstanding Letters of Credit and Advances made by an Issuing Bank in accordance with Section 2.04 that have not been funded by the Lenders and, in the case of any Letters of Credit denominated in any Committed Currency, shall be the Equivalent in Dollars of such amount, determined as of the third Business Day prior to such date.</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Related Documents</w:t>
      </w:r>
      <w:r>
        <w:rPr>
          <w:rFonts w:ascii="Arial" w:cs="Arial" w:eastAsia="Arial" w:hAnsi="Arial"/>
          <w:sz w:val="18"/>
          <w:szCs w:val="18"/>
          <w:color w:val="auto"/>
        </w:rPr>
        <w:t>” has the meaning specified in Section 2.07(b)(ii)(A).</w:t>
      </w:r>
    </w:p>
    <w:p>
      <w:pPr>
        <w:spacing w:after="0" w:line="250"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Insolvency Event</w:t>
      </w:r>
      <w:r>
        <w:rPr>
          <w:rFonts w:ascii="Arial" w:cs="Arial" w:eastAsia="Arial" w:hAnsi="Arial"/>
          <w:sz w:val="17"/>
          <w:szCs w:val="17"/>
          <w:color w:val="auto"/>
        </w:rPr>
        <w:t>” means that (a) a Lender or its Parent Company is generally unable to pay its debts as they become due, or admits in writing its inability to pay its debts as they become due, or makes a general assignment for the benefit of its creditors, or (b) such Lender or its Parent Company has become the subject of a proceeding under any debtor relief law,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Party</w:t>
      </w:r>
      <w:r>
        <w:rPr>
          <w:rFonts w:ascii="Arial" w:cs="Arial" w:eastAsia="Arial" w:hAnsi="Arial"/>
          <w:sz w:val="18"/>
          <w:szCs w:val="18"/>
          <w:color w:val="auto"/>
        </w:rPr>
        <w:t>” means any Lender or Issuing Bank.</w:t>
      </w:r>
    </w:p>
    <w:p>
      <w:pPr>
        <w:spacing w:after="0" w:line="250"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each Assuming Lender that shall become a party hereto pursuant to Section 2.19 and each Person that shall become a party hereto pursuant to Section 8.07.</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Advance</w:t>
      </w:r>
      <w:r>
        <w:rPr>
          <w:rFonts w:ascii="Arial" w:cs="Arial" w:eastAsia="Arial" w:hAnsi="Arial"/>
          <w:sz w:val="18"/>
          <w:szCs w:val="18"/>
          <w:color w:val="auto"/>
        </w:rPr>
        <w:t>” means an advance made by an Issuing Bank pursuant to Section 2.04(c).</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specified in Section 2.04(a).</w:t>
      </w:r>
    </w:p>
    <w:p>
      <w:pPr>
        <w:spacing w:after="0" w:line="250"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Commitment</w:t>
      </w:r>
      <w:r>
        <w:rPr>
          <w:rFonts w:ascii="Arial" w:cs="Arial" w:eastAsia="Arial" w:hAnsi="Arial"/>
          <w:sz w:val="17"/>
          <w:szCs w:val="17"/>
          <w:color w:val="auto"/>
        </w:rPr>
        <w:t>” means, with respect to the Initial Issuing Bank, the amount set forth opposite the Initial Issuing Bank’s name on Schedule I hereto under the caption “Letter of Credit Commitment” or, if the Initial Issuing Bank has entered into one or more Assignment and Assumptions, the amount set forth for such Issuing Bank in the Register maintained by the Agent pursuant to Section 8.07(c) as such Issuing Bank’s “Letter of Credit Commitment”, as such amount may be reduced at or prior to such time pursuant to Section 2.06.</w:t>
      </w:r>
    </w:p>
    <w:p>
      <w:pPr>
        <w:spacing w:after="0" w:line="197"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Facility</w:t>
      </w:r>
      <w:r>
        <w:rPr>
          <w:rFonts w:ascii="Arial" w:cs="Arial" w:eastAsia="Arial" w:hAnsi="Arial"/>
          <w:sz w:val="17"/>
          <w:szCs w:val="17"/>
          <w:color w:val="auto"/>
        </w:rPr>
        <w:t>” means, at any time, an amount equal to the lesser of (a) the amount of the Issuing Banks Letter of Credit Commitments at such time and (b) $150,000,000, as such amount may be reduced at or prior to such time pursuant to Section 2.06.</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has the meaning specified in Section 2.01(b).</w:t>
      </w:r>
    </w:p>
    <w:p>
      <w:pPr>
        <w:spacing w:after="0" w:line="25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lien, security interest or other similar charge or encumbrance, including, without limitation, the lien or retained security title of a conditional vendor.</w:t>
      </w:r>
    </w:p>
    <w:p>
      <w:pPr>
        <w:spacing w:after="0" w:line="19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business, condition (financial or otherwise), operations, performance, properties or prospects of the Borrower and its Subsidiaries taken as a whole.</w:t>
      </w:r>
    </w:p>
    <w:p>
      <w:pPr>
        <w:spacing w:after="0" w:line="198"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condition (financial or otherwise), operations, performance, properties or prospects of the Borrower and its Subsidiaries taken as a whole, (b) the rights and remedies of the Agent or any Lender under this Agreement or any Note or (c) the ability of the Borrower to perform its obligations under this Agreement or any Note.</w:t>
      </w:r>
    </w:p>
    <w:p>
      <w:pPr>
        <w:spacing w:after="0" w:line="19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at any time, (i) any Subsidiary of the Borrower which shall have contributed in excess of 5% of the Consolidated Net Earnings during the fiscal year then most recently ended and (ii) in the case of any other Subsidiary created, restructured in any material respect or acquired since the end of such fiscal year, such Subsidiary if it is reasonably projected to contribute in excess of 5% of the Consolidated Net Earnings of the Borrower during the then current fiscal year.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50"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ectPr>
          <w:pgSz w:w="11900" w:h="16838" w:orient="portrait"/>
          <w:cols w:equalWidth="0" w:num="1">
            <w:col w:w="10760"/>
          </w:cols>
          <w:pgMar w:left="900" w:top="125" w:right="239" w:bottom="92" w:gutter="0" w:footer="0" w:header="0"/>
        </w:sectPr>
      </w:pPr>
    </w:p>
    <w:bookmarkStart w:id="13" w:name="page14"/>
    <w:bookmarkEnd w:id="13"/>
    <w:p>
      <w:pPr>
        <w:jc w:val="both"/>
        <w:ind w:left="7"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212"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Non-Approving Lender</w:t>
      </w:r>
      <w:r>
        <w:rPr>
          <w:rFonts w:ascii="Arial" w:cs="Arial" w:eastAsia="Arial" w:hAnsi="Arial"/>
          <w:sz w:val="18"/>
          <w:szCs w:val="18"/>
          <w:color w:val="auto"/>
        </w:rPr>
        <w:t>” means any Lender that does not approve any consent, waiver or amendment that (i) requires the approval of all affected Lenders in accordance with the terms of Section 8.01 and (ii) has been approved by the Required Lenders.</w:t>
      </w:r>
    </w:p>
    <w:p>
      <w:pPr>
        <w:spacing w:after="0" w:line="198"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specified in Section 2.19(b).</w:t>
      </w:r>
    </w:p>
    <w:p>
      <w:pPr>
        <w:spacing w:after="0" w:line="250"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50" w:lineRule="exact"/>
        <w:rPr>
          <w:sz w:val="20"/>
          <w:szCs w:val="20"/>
          <w:color w:val="auto"/>
        </w:rPr>
      </w:pPr>
    </w:p>
    <w:p>
      <w:pPr>
        <w:jc w:val="both"/>
        <w:ind w:left="7"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of the Borrower payable to the order of any Lender, delivered pursuant to a request made under Section 2.17 in substantially the form of Exhibit A hereto, evidencing the aggregate indebtedness of the Borrower to such Lender resulting from the Revolving Credit Advances or Letter of Credit Advances made by such Lender.</w:t>
      </w:r>
    </w:p>
    <w:p>
      <w:pPr>
        <w:spacing w:after="0" w:line="209"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has the meaning specified in Section 2.02(a).</w:t>
      </w:r>
    </w:p>
    <w:p>
      <w:pPr>
        <w:spacing w:after="0" w:line="250"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Issuance</w:t>
      </w:r>
      <w:r>
        <w:rPr>
          <w:rFonts w:ascii="Arial" w:cs="Arial" w:eastAsia="Arial" w:hAnsi="Arial"/>
          <w:sz w:val="18"/>
          <w:szCs w:val="18"/>
          <w:color w:val="auto"/>
        </w:rPr>
        <w:t>” has the meaning specified in Section 2.04(a).</w:t>
      </w:r>
    </w:p>
    <w:p>
      <w:pPr>
        <w:spacing w:after="0" w:line="250"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Office</w:t>
      </w:r>
      <w:r>
        <w:rPr>
          <w:rFonts w:ascii="Arial" w:cs="Arial" w:eastAsia="Arial" w:hAnsi="Arial"/>
          <w:sz w:val="18"/>
          <w:szCs w:val="18"/>
          <w:color w:val="auto"/>
        </w:rPr>
        <w:t>” means, for any Committed Currency, such office of Citibank as shall be from time to time selected by the Agent and notified by the Agent to the Borrower and the Lenders.</w:t>
      </w:r>
    </w:p>
    <w:p>
      <w:pPr>
        <w:spacing w:after="0" w:line="198" w:lineRule="exact"/>
        <w:rPr>
          <w:sz w:val="20"/>
          <w:szCs w:val="20"/>
          <w:color w:val="auto"/>
        </w:rPr>
      </w:pPr>
    </w:p>
    <w:p>
      <w:pPr>
        <w:jc w:val="both"/>
        <w:ind w:left="7"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Company</w:t>
      </w:r>
      <w:r>
        <w:rPr>
          <w:rFonts w:ascii="Arial" w:cs="Arial" w:eastAsia="Arial" w:hAnsi="Arial"/>
          <w:sz w:val="17"/>
          <w:szCs w:val="17"/>
          <w:color w:val="auto"/>
        </w:rPr>
        <w:t>” means, with respect to a Lender, the bank holding company (as defined in Federal Reserve Board Regulation Y), if any, of such Lender, or if such Lender does not have a bank holding company, then any corporation, association, partnership or other business entity owning, beneficially or of record, directly or indirectly, a majority of the Voting Stock of such Lender.</w:t>
      </w:r>
    </w:p>
    <w:p>
      <w:pPr>
        <w:spacing w:after="0" w:line="191"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specified in Section 8.07(d).</w:t>
      </w:r>
    </w:p>
    <w:p>
      <w:pPr>
        <w:spacing w:after="0" w:line="250"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250" w:lineRule="exact"/>
        <w:rPr>
          <w:sz w:val="20"/>
          <w:szCs w:val="20"/>
          <w:color w:val="auto"/>
        </w:rPr>
      </w:pPr>
    </w:p>
    <w:p>
      <w:pPr>
        <w:jc w:val="both"/>
        <w:ind w:left="7"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and repairmen’s Liens and other similar Liens arising in the ordinary course of business securing obligations that are not yet due or that are being contested in good faith by appropriate proceedings and with respect to which adequate reserves are being maintained; (c) pledges or deposits to secure obligations under workers’ compensation, unemployment insurance or other social security laws or similar legislation or to secure public or statutory obligations, the performance of tenders, surety and appeal bonds, bids, leases, government contracts, performance and return of money bonds (but not securing Debt) and similar obligations; and</w:t>
      </w:r>
    </w:p>
    <w:p>
      <w:pPr>
        <w:spacing w:after="0" w:line="2" w:lineRule="exact"/>
        <w:rPr>
          <w:sz w:val="20"/>
          <w:szCs w:val="20"/>
          <w:color w:val="auto"/>
        </w:rPr>
      </w:pPr>
    </w:p>
    <w:p>
      <w:pPr>
        <w:ind w:left="7" w:hanging="7"/>
        <w:spacing w:after="0" w:line="258" w:lineRule="auto"/>
        <w:tabs>
          <w:tab w:leader="none" w:pos="261"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easements, rights of way and other encumbrances on title to real property that do not render title to the property encumbered thereby unmarketable or materially adversely affect the use of such property for its present purposes.</w:t>
      </w:r>
    </w:p>
    <w:p>
      <w:pPr>
        <w:spacing w:after="0" w:line="213" w:lineRule="exact"/>
        <w:rPr>
          <w:sz w:val="20"/>
          <w:szCs w:val="20"/>
          <w:color w:val="auto"/>
        </w:rPr>
      </w:pPr>
    </w:p>
    <w:p>
      <w:pPr>
        <w:jc w:val="both"/>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98"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250" w:lineRule="exact"/>
        <w:rPr>
          <w:sz w:val="20"/>
          <w:szCs w:val="20"/>
          <w:color w:val="auto"/>
        </w:rPr>
      </w:pPr>
    </w:p>
    <w:p>
      <w:pPr>
        <w:jc w:val="both"/>
        <w:ind w:left="7"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of any amount means, with respect to any Lender at any time, the product of such amount </w:t>
      </w:r>
      <w:r>
        <w:rPr>
          <w:rFonts w:ascii="Arial" w:cs="Arial" w:eastAsia="Arial" w:hAnsi="Arial"/>
          <w:sz w:val="16"/>
          <w:szCs w:val="16"/>
          <w:i w:val="1"/>
          <w:iCs w:val="1"/>
          <w:color w:val="auto"/>
        </w:rPr>
        <w:t>times</w:t>
      </w:r>
      <w:r>
        <w:rPr>
          <w:rFonts w:ascii="Arial" w:cs="Arial" w:eastAsia="Arial" w:hAnsi="Arial"/>
          <w:sz w:val="16"/>
          <w:szCs w:val="16"/>
          <w:color w:val="auto"/>
        </w:rPr>
        <w:t xml:space="preserve"> a fraction the numerator of which is the amount of such Lender’s Revolving Commitment at such time (or, if the Revolving Commitments shall have been terminated pursuant to Section 2.06 or 6.01, such Lender’s Revolving Commitment as in effect immediately prior to such termination) and the denominator of which is the aggregate amount of all Revolving Commitments at such time (or, if the Revolving Commitments shall have been terminated pursuant to Section 2.06 or 6.01, the aggregate amount of all Revolving Commitments as in effect immediately prior to such termination).</w:t>
      </w:r>
    </w:p>
    <w:p>
      <w:pPr>
        <w:spacing w:after="0" w:line="187" w:lineRule="exact"/>
        <w:rPr>
          <w:sz w:val="20"/>
          <w:szCs w:val="20"/>
          <w:color w:val="auto"/>
        </w:rPr>
      </w:pPr>
    </w:p>
    <w:p>
      <w:pPr>
        <w:jc w:val="both"/>
        <w:ind w:left="7" w:firstLine="64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means, as of any date, the rating that has been most recently announced by either S&amp;P or Moody’s, as the case may be, for any class of non-credit enhanced long-term senior unsecured debt issued by the Borrower or, if either such rating agency shall have issued more than one such rating, the lowest such rating issued by such rating agency. For purposes of the foregoing, (a) if only one of S&amp;P and Moody’s shall have in effect a Public Debt Rating, the Applicable Margin and the Applicable Percentage shall be determined by reference to the available rating;</w:t>
      </w:r>
    </w:p>
    <w:p>
      <w:pPr>
        <w:spacing w:after="0" w:line="1" w:lineRule="exact"/>
        <w:rPr>
          <w:sz w:val="20"/>
          <w:szCs w:val="20"/>
          <w:color w:val="auto"/>
        </w:rPr>
      </w:pPr>
    </w:p>
    <w:p>
      <w:pPr>
        <w:jc w:val="both"/>
        <w:ind w:left="7" w:hanging="7"/>
        <w:spacing w:after="0" w:line="267" w:lineRule="auto"/>
        <w:tabs>
          <w:tab w:leader="none" w:pos="288"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neither S&amp;P nor Moody’s shall have in effect a Public Debt Rating, the Applicable Margin and the Applicable Percentage will be set in accordance with Level 4 under the definition of “</w:t>
      </w:r>
      <w:r>
        <w:rPr>
          <w:rFonts w:ascii="Arial" w:cs="Arial" w:eastAsia="Arial" w:hAnsi="Arial"/>
          <w:sz w:val="17"/>
          <w:szCs w:val="17"/>
          <w:u w:val="single" w:color="auto"/>
          <w:color w:val="auto"/>
        </w:rPr>
        <w:t>Applicable Margin</w:t>
      </w:r>
      <w:r>
        <w:rPr>
          <w:rFonts w:ascii="Arial" w:cs="Arial" w:eastAsia="Arial" w:hAnsi="Arial"/>
          <w:sz w:val="17"/>
          <w:szCs w:val="17"/>
          <w:color w:val="auto"/>
        </w:rPr>
        <w:t>” or “</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as the case may be; (c) if the ratings established by S&amp;P and Moody’s shall fall within different levels, the Applicable Margin and the Applicable Percentage shall be based upon the higher rating, unless the ratings shall fall within levels that are separated by two or more levels, in which case the Applicable Margin and the Applicable Percentage shall be based upon the rating that is one level above the lower rating;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208"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Citibank, BNP Paribas and JPMorgan Chase Bank, N.A.</w:t>
      </w:r>
    </w:p>
    <w:p>
      <w:pPr>
        <w:spacing w:after="0" w:line="250" w:lineRule="exact"/>
        <w:rPr>
          <w:sz w:val="20"/>
          <w:szCs w:val="20"/>
          <w:color w:val="auto"/>
        </w:rPr>
      </w:pPr>
    </w:p>
    <w:p>
      <w:pPr>
        <w:ind w:left="6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8.07(c).</w:t>
      </w:r>
    </w:p>
    <w:p>
      <w:pPr>
        <w:spacing w:after="0" w:line="250" w:lineRule="exact"/>
        <w:rPr>
          <w:sz w:val="20"/>
          <w:szCs w:val="20"/>
          <w:color w:val="auto"/>
        </w:rPr>
      </w:pPr>
    </w:p>
    <w:p>
      <w:pPr>
        <w:ind w:left="7"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98" w:lineRule="exact"/>
        <w:rPr>
          <w:sz w:val="20"/>
          <w:szCs w:val="20"/>
          <w:color w:val="auto"/>
        </w:rPr>
      </w:pPr>
    </w:p>
    <w:p>
      <w:pPr>
        <w:ind w:left="7"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Lenders owed more than 50% of (a) the then aggregate unpaid principal amount (based on the Equivalent in Dollars at such time) of the Revolving Credit Advances outstanding at such time and (b) the aggregate unpaid principal amount of</w:t>
      </w:r>
    </w:p>
    <w:p>
      <w:pPr>
        <w:sectPr>
          <w:pgSz w:w="11900" w:h="16838" w:orient="portrait"/>
          <w:cols w:equalWidth="0" w:num="1">
            <w:col w:w="10767"/>
          </w:cols>
          <w:pgMar w:left="893" w:top="125" w:right="239" w:bottom="0" w:gutter="0" w:footer="0" w:header="0"/>
        </w:sectPr>
      </w:pPr>
    </w:p>
    <w:bookmarkStart w:id="14" w:name="page15"/>
    <w:bookmarkEnd w:id="14"/>
    <w:p>
      <w:pPr>
        <w:spacing w:after="0" w:line="5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Letter of Credit Advances outstanding at such time, or, if no principal amount is outstanding from Letter of Credit Advances at such time, Lenders having more than 50% of the Revolving Commitments. The Commitment of any Defaulting Lender shall be disregarded in determining Required Lenders at any time.</w:t>
      </w:r>
    </w:p>
    <w:p>
      <w:pPr>
        <w:spacing w:after="0" w:line="209" w:lineRule="exact"/>
        <w:rPr>
          <w:sz w:val="20"/>
          <w:szCs w:val="20"/>
          <w:color w:val="auto"/>
        </w:rPr>
      </w:pPr>
    </w:p>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with respect to any Lender at any time, the amount set forth opposite such Lender’s name on Schedule I hereto under the caption “Revolving Commitment” or, if such Lender has entered into one or more Assignment and Assumptions, set forth for such Lender in the Register maintained by the Agent pursuant to Section 8.07(c) as such Lender’s “Revolving Commitment”, as such amount may be reduced at or prior to such time pursuant to Section 2.06.</w:t>
      </w:r>
    </w:p>
    <w:p>
      <w:pPr>
        <w:spacing w:after="0" w:line="212"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means an advance by a Lender to the Borrower as part of a Borrowing and refers to a Base Rate Advance or a Eurocurrency Rate Advance (each of which shall be a “</w:t>
      </w:r>
      <w:r>
        <w:rPr>
          <w:rFonts w:ascii="Arial" w:cs="Arial" w:eastAsia="Arial" w:hAnsi="Arial"/>
          <w:sz w:val="18"/>
          <w:szCs w:val="18"/>
          <w:u w:val="single" w:color="auto"/>
          <w:color w:val="auto"/>
        </w:rPr>
        <w:t>Type</w:t>
      </w:r>
      <w:r>
        <w:rPr>
          <w:rFonts w:ascii="Arial" w:cs="Arial" w:eastAsia="Arial" w:hAnsi="Arial"/>
          <w:sz w:val="18"/>
          <w:szCs w:val="18"/>
          <w:color w:val="auto"/>
        </w:rPr>
        <w:t>” of Revolving Credit Advance).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of the Revolving Commitments at such time.</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division of The McGraw-Hill Companies, Inc.</w:t>
      </w:r>
    </w:p>
    <w:p>
      <w:pPr>
        <w:spacing w:after="0" w:line="250" w:lineRule="exact"/>
        <w:rPr>
          <w:sz w:val="20"/>
          <w:szCs w:val="20"/>
          <w:color w:val="auto"/>
        </w:rPr>
      </w:pPr>
    </w:p>
    <w:p>
      <w:pPr>
        <w:jc w:val="both"/>
        <w:ind w:left="660"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212" w:lineRule="exact"/>
        <w:rPr>
          <w:sz w:val="20"/>
          <w:szCs w:val="20"/>
          <w:color w:val="auto"/>
        </w:rPr>
      </w:pPr>
    </w:p>
    <w:p>
      <w:pPr>
        <w:jc w:val="both"/>
        <w:ind w:left="660" w:firstLine="64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means any corporation, partnership, joint venture, limited liability company, trust or estate, or any other entity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joint venture or other entity or (c) the beneficial interest in such trust or estate is at the time directly or indirectly owned or controlled by such Person, by such Person and one or more of its other Subsidiaries or by one or more of such Person’s other Subsidiaries.</w:t>
      </w:r>
    </w:p>
    <w:p>
      <w:pPr>
        <w:spacing w:after="0" w:line="203" w:lineRule="exact"/>
        <w:rPr>
          <w:sz w:val="20"/>
          <w:szCs w:val="20"/>
          <w:color w:val="auto"/>
        </w:rPr>
      </w:pPr>
    </w:p>
    <w:p>
      <w:pPr>
        <w:jc w:val="both"/>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October 5, 2016, and (b) the date of termination in whole of the Revolving Commitments and Letter of Credit Commitments pursuant to Section 2.06 or 6.01.</w:t>
      </w:r>
    </w:p>
    <w:p>
      <w:pPr>
        <w:spacing w:after="0" w:line="198" w:lineRule="exact"/>
        <w:rPr>
          <w:sz w:val="20"/>
          <w:szCs w:val="20"/>
          <w:color w:val="auto"/>
        </w:rPr>
      </w:pPr>
    </w:p>
    <w:p>
      <w:pPr>
        <w:jc w:val="both"/>
        <w:ind w:left="660"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Commitment</w:t>
      </w:r>
      <w:r>
        <w:rPr>
          <w:rFonts w:ascii="Arial" w:cs="Arial" w:eastAsia="Arial" w:hAnsi="Arial"/>
          <w:sz w:val="18"/>
          <w:szCs w:val="18"/>
          <w:color w:val="auto"/>
        </w:rPr>
        <w:t xml:space="preserve">” means, with respect to each Lender at any time, (a) such Lender’s Revolving Commitment at such time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(i) the aggregate principal amount of all Revolving Credit Advances and Letter of Credit Advances made by such Lender (in its capacity as a Lender) and outstanding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such Lender’s Pro Rata Share of (A) the aggregate Available Amount of all the Letters of Credit outstanding at such time and (B) the aggregate principal amount of all Letter of Credit Advances made by each Issuing Bank pursuant to Section 2.04(c) and outstanding at such time.</w:t>
      </w:r>
    </w:p>
    <w:p>
      <w:pPr>
        <w:spacing w:after="0" w:line="218" w:lineRule="exact"/>
        <w:rPr>
          <w:sz w:val="20"/>
          <w:szCs w:val="20"/>
          <w:color w:val="auto"/>
        </w:rPr>
      </w:pPr>
    </w:p>
    <w:p>
      <w:pPr>
        <w:jc w:val="both"/>
        <w:ind w:left="660"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209"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98"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All accounting terms not specifically defined herein shall be construed in accordance with generally accepted accounting principles in the United States of America consistent with those applied in the preparation of the financial statements referred to in Section 4.01(e)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AND TERMS OF THE ADVANCES</w:t>
      </w:r>
    </w:p>
    <w:p>
      <w:pPr>
        <w:spacing w:after="0" w:line="250" w:lineRule="exact"/>
        <w:rPr>
          <w:sz w:val="20"/>
          <w:szCs w:val="20"/>
          <w:color w:val="auto"/>
        </w:rPr>
      </w:pPr>
    </w:p>
    <w:p>
      <w:pPr>
        <w:jc w:val="both"/>
        <w:ind w:firstLine="1290"/>
        <w:spacing w:after="0" w:line="270"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The Revolving Credit Advances and the Letters of Credit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The Revolving Credit Advances</w:t>
      </w:r>
      <w:r>
        <w:rPr>
          <w:rFonts w:ascii="Arial" w:cs="Arial" w:eastAsia="Arial" w:hAnsi="Arial"/>
          <w:sz w:val="17"/>
          <w:szCs w:val="17"/>
          <w:color w:val="auto"/>
        </w:rPr>
        <w:t>. Each Lender severally agrees, on the terms and conditions hereinafter set forth, to make Revolving Credit Advances to the Borrower from time to time on any Business Day during the period from the Effective Date until the Termination Date in an amount (based in respect of any Revolving Credit Advances to be denominated in a Committed Currency by reference to the Equivalent thereof in Dollars determined on the date of delivery of the applicable Notice of Borrowing) not to exceed at any time such Lender’s Unused Commitment at such time. Each Borrowing shall be in an amount not less than the Borrowing Minimum or the Borrowing Multiple in excess thereof and shall consist of Revolving Credit Advances of the same Type and in the same currency made on the same day by the Lenders ratably according to their respective Revolving Commitments. Within the limits of this Section 2.01(a), the Borrower may borrow under this Section 2.01(a), prepay pursuant to Section 2.11 and reborrow under this Section 2.01(a).</w:t>
      </w:r>
    </w:p>
    <w:p>
      <w:pPr>
        <w:spacing w:after="0" w:line="203" w:lineRule="exact"/>
        <w:rPr>
          <w:sz w:val="20"/>
          <w:szCs w:val="20"/>
          <w:color w:val="auto"/>
        </w:rPr>
      </w:pPr>
    </w:p>
    <w:p>
      <w:pPr>
        <w:jc w:val="both"/>
        <w:ind w:firstLine="1298"/>
        <w:spacing w:after="0" w:line="284" w:lineRule="auto"/>
        <w:tabs>
          <w:tab w:leader="none" w:pos="2113"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Letters of Credit</w:t>
      </w:r>
      <w:r>
        <w:rPr>
          <w:rFonts w:ascii="Arial" w:cs="Arial" w:eastAsia="Arial" w:hAnsi="Arial"/>
          <w:sz w:val="16"/>
          <w:szCs w:val="16"/>
          <w:color w:val="auto"/>
        </w:rPr>
        <w:t>. Each Issuing Bank agrees, on the terms and conditions hereinafter set forth, to issue letters of credit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denominated in Dollars or any Committed Currency for the account of the Borrower from time to time on any Business Day during the period from the Effective Date until 30 days before the Termination Date in an aggregate Available Amount (based in respect of any Letter of Credit to be denominated in a Committed Currency by reference to the Equivalent thereof in Dollars determined on the date of delivery of the applicable Notice of Issuance) (i) for all Letters of Credit issued by each Issuing Bank not to exceed at any time the lesser of (x) the Letter of Credit Facility at such time and</w:t>
      </w:r>
    </w:p>
    <w:p>
      <w:pPr>
        <w:spacing w:after="0" w:line="1" w:lineRule="exact"/>
        <w:rPr>
          <w:rFonts w:ascii="Arial" w:cs="Arial" w:eastAsia="Arial" w:hAnsi="Arial"/>
          <w:sz w:val="16"/>
          <w:szCs w:val="16"/>
          <w:color w:val="auto"/>
        </w:rPr>
      </w:pPr>
    </w:p>
    <w:p>
      <w:pPr>
        <w:jc w:val="both"/>
        <w:ind w:firstLine="8"/>
        <w:spacing w:after="0" w:line="272" w:lineRule="auto"/>
        <w:tabs>
          <w:tab w:leader="none" w:pos="278"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each Issuing Bank’s Letter of Credit Commitment at such time and (ii) for each such Letter of Credit not to exceed an amount equal to the Unused Commitments of the Lenders at such time. No Letter of Credit shall have an expiration date (including all rights of the Borrower or the beneficiary to require renewal) later than one year after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respect of any Letter of Credit with an expiry later than the date that is 90 days prior to the Termination Date, the Borrower shall deliver to the Agent cash collateral on such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pursuant to documentation reasonably satisfactory to the Agent, in an amount equal to the sum of (x) the aggregate stated amount of all Letters of Credit with an expiry later than the date five Business Days prior to the Termination Date and (y) an amount equal to the full amount of fees that would accrue with respect to such Letters of Credit under Section 2.05(b) if each such Letter of Credit with an expiry later than the date five Business Days prior to the Termination Date were not drawn or cancelled prior to its stated expiry. Within the limits referred to above, the Borrower may request the issuance of Letters of Credit under this Section 2.01(b), repay any Letter of Credit Advances resulting from drawings thereunder pursuant to Section 2.04(c) and request the issuance of additional Letters of Credit under this Section 2.01(b).</w:t>
      </w:r>
    </w:p>
    <w:p>
      <w:pPr>
        <w:sectPr>
          <w:pgSz w:w="11900" w:h="16894" w:orient="portrait"/>
          <w:cols w:equalWidth="0" w:num="1">
            <w:col w:w="11420"/>
          </w:cols>
          <w:pgMar w:left="240" w:top="125" w:right="239" w:bottom="0" w:gutter="0" w:footer="0" w:header="0"/>
        </w:sectPr>
      </w:pPr>
    </w:p>
    <w:bookmarkStart w:id="15" w:name="page16"/>
    <w:bookmarkEnd w:id="15"/>
    <w:p>
      <w:pPr>
        <w:jc w:val="both"/>
        <w:ind w:firstLine="1290"/>
        <w:spacing w:after="0" w:line="266"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Making the Revolving Credit Advances</w:t>
      </w:r>
      <w:r>
        <w:rPr>
          <w:rFonts w:ascii="Arial" w:cs="Arial" w:eastAsia="Arial" w:hAnsi="Arial"/>
          <w:sz w:val="17"/>
          <w:szCs w:val="17"/>
          <w:color w:val="auto"/>
        </w:rPr>
        <w:t>. (a) Each Borrowing shall be made on notice, given not later than (x) 11:00 A.M. (New York City time) on the third Business Day prior to the date of the proposed Borrowing in the case of a Borrowing consisting of Eurocurrency Rate Advances denominated in Dollars, (y) 9:00 A.M. (New York City time) on the third Business Day prior to the date of the proposed Borrowing in the case of a Borrowing consisting of Eurocurrency Rate Advances denominated in any Committed Currency, or (z) 11:00 A.M. (New York City time) on the date of the proposed Borrowing in the case of a Borrowing consisting of Base Rate Advances, by the Borrower to the Agent which shall give to each Lender prompt notice thereof by telecopier. Each such notice of a Borrowing (a “</w:t>
      </w:r>
      <w:r>
        <w:rPr>
          <w:rFonts w:ascii="Arial" w:cs="Arial" w:eastAsia="Arial" w:hAnsi="Arial"/>
          <w:sz w:val="17"/>
          <w:szCs w:val="17"/>
          <w:u w:val="single" w:color="auto"/>
          <w:color w:val="auto"/>
        </w:rPr>
        <w:t>Notice of Borrowing</w:t>
      </w:r>
      <w:r>
        <w:rPr>
          <w:rFonts w:ascii="Arial" w:cs="Arial" w:eastAsia="Arial" w:hAnsi="Arial"/>
          <w:sz w:val="17"/>
          <w:szCs w:val="17"/>
          <w:color w:val="auto"/>
        </w:rPr>
        <w:t xml:space="preserve">”) shall be by telephone, confirmed immediately in writing, or telecopier in substantially the form of Exhibit B hereto, specifying therein the requested (i) date of such Borrowing, (ii) Type of Advances comprising such Borrowing, (iii) aggregate amount of such Borrowing, and (iv) in the case of a Borrowing consisting of Eurocurrency Rate Advances, initial Interest Period and currency for each such Revolving Credit Advance. Each Lender shall, before 1:00 P.M. (New York City time) on the date of such Borrowing, in the case of a Borrowing consisting of Advances denominated in Dollars, and before 11:00 A.M. (London time) on the date of such Borrowing, in the case of a Borrowing consisting of Eurocurrency Rate Advances denominated in any Committed Currency, make available for the account of its Applicable Lending Office to the Agent at the applicable Agent’s Account, in same day funds, such Lender’s ratable portion of such Borrowing in the denominated Committed Currency. After the Agent’s receipt of such funds and upon fulfillment of the applicable conditions set forth in Article III, the Agent will make such funds available to the Borrower at the Agent’s address referred to in Section 8.02;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Agent shall first make a portion of such funds equal to the aggregate principal amount of any Letter of Credit Advances outstanding on the date of such Borrowing,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accrued and unpaid thereon to and as of such date, available to the Lenders for repayment of such Letter of Credit Advances.</w:t>
      </w:r>
    </w:p>
    <w:p>
      <w:pPr>
        <w:spacing w:after="0" w:line="217" w:lineRule="exact"/>
        <w:rPr>
          <w:sz w:val="20"/>
          <w:szCs w:val="20"/>
          <w:color w:val="auto"/>
        </w:rPr>
      </w:pPr>
    </w:p>
    <w:p>
      <w:pPr>
        <w:jc w:val="both"/>
        <w:ind w:firstLine="1298"/>
        <w:spacing w:after="0" w:line="262" w:lineRule="auto"/>
        <w:tabs>
          <w:tab w:leader="none" w:pos="20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the Borrower may not select Eurocurrency Rate Advances for any Borrowing if the aggregate amount of such Borrowing is less than the Borrowing Minimum or if the obligation of the Lenders to make Eurocurrency Rate Advances shall then be suspended pursuant to Section 2.09 or 2.13.</w:t>
      </w:r>
    </w:p>
    <w:p>
      <w:pPr>
        <w:spacing w:after="0" w:line="209" w:lineRule="exact"/>
        <w:rPr>
          <w:rFonts w:ascii="Arial" w:cs="Arial" w:eastAsia="Arial" w:hAnsi="Arial"/>
          <w:sz w:val="18"/>
          <w:szCs w:val="18"/>
          <w:color w:val="auto"/>
        </w:rPr>
      </w:pPr>
    </w:p>
    <w:p>
      <w:pPr>
        <w:jc w:val="both"/>
        <w:ind w:firstLine="1298"/>
        <w:spacing w:after="0" w:line="272" w:lineRule="auto"/>
        <w:tabs>
          <w:tab w:leader="none" w:pos="2022"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Notice of Borrowing shall be irrevocable and binding on the Borrower. In the case of any Borrowing that the related Notice of Borrowing specifies is to be comprised of Eurocurrency Rate Advances, the Borrower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loss (including loss of anticipated profits), cost or expense incurred by reason of the liquidation or reemployment of deposits or other funds acquired by such Lender to fund the Revolving Credit Advance to be made by such Lender as part of such Borrowing when such Revolving Credit Advance, as a result of such failure, is not made on such date.</w:t>
      </w:r>
    </w:p>
    <w:p>
      <w:pPr>
        <w:spacing w:after="0" w:line="203" w:lineRule="exact"/>
        <w:rPr>
          <w:rFonts w:ascii="Arial" w:cs="Arial" w:eastAsia="Arial" w:hAnsi="Arial"/>
          <w:sz w:val="17"/>
          <w:szCs w:val="17"/>
          <w:color w:val="auto"/>
        </w:rPr>
      </w:pPr>
    </w:p>
    <w:p>
      <w:pPr>
        <w:jc w:val="both"/>
        <w:ind w:firstLine="1298"/>
        <w:spacing w:after="0" w:line="268" w:lineRule="auto"/>
        <w:tabs>
          <w:tab w:leader="none" w:pos="21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higher of (A) the interest rate applicable at the time to Revolving Credit Advances comprising such Borrowing and (B) the cost of funds incurred by the Agent in respect of such amount and (ii) in the case of such Lender, (A) the Federal Funds Rate in the case of Advances denominated in Dollars or (B) the cost of funds incurred by the Agent in respect of such amount in the case of Advances denominated in Committed Currencies. If such Lender shall repay to the Agent such corresponding amount, such amount so repaid shall constitute such Lender’s Revolving Credit Advance as part of such Borrowing for purposes of this Agreement.</w:t>
      </w:r>
    </w:p>
    <w:p>
      <w:pPr>
        <w:spacing w:after="0" w:line="206" w:lineRule="exact"/>
        <w:rPr>
          <w:rFonts w:ascii="Arial" w:cs="Arial" w:eastAsia="Arial" w:hAnsi="Arial"/>
          <w:sz w:val="17"/>
          <w:szCs w:val="17"/>
          <w:color w:val="auto"/>
        </w:rPr>
      </w:pPr>
    </w:p>
    <w:p>
      <w:pPr>
        <w:jc w:val="both"/>
        <w:ind w:firstLine="1298"/>
        <w:spacing w:after="0" w:line="285" w:lineRule="auto"/>
        <w:tabs>
          <w:tab w:leader="none" w:pos="204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failure of any Lender to make the Revolving Credit Advance to be made by it as part of any Borrowing shall not relieve any other Lender of its obligation, if any, hereunder to make its Revolving Credit Advance on the date of such Borrowing, but no Lender shall be responsible for the failure of any other Lender to make the Revolving Credit Advance to be made by such other Lender on the date of any Borrowing.</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[Reserved]</w:t>
      </w:r>
      <w:r>
        <w:rPr>
          <w:rFonts w:ascii="Arial" w:cs="Arial" w:eastAsia="Arial" w:hAnsi="Arial"/>
          <w:sz w:val="18"/>
          <w:szCs w:val="18"/>
          <w:color w:val="auto"/>
        </w:rPr>
        <w:t>. .</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Issuance of and Drawings and Reimbursement Under Letters of Credit</w:t>
      </w:r>
      <w:r>
        <w:rPr>
          <w:rFonts w:ascii="Arial" w:cs="Arial" w:eastAsia="Arial" w:hAnsi="Arial"/>
          <w:sz w:val="18"/>
          <w:szCs w:val="18"/>
          <w:color w:val="auto"/>
        </w:rPr>
        <w:t>.</w:t>
      </w:r>
    </w:p>
    <w:p>
      <w:pPr>
        <w:spacing w:after="0" w:line="250" w:lineRule="exact"/>
        <w:rPr>
          <w:sz w:val="20"/>
          <w:szCs w:val="20"/>
          <w:color w:val="auto"/>
        </w:rPr>
      </w:pPr>
    </w:p>
    <w:p>
      <w:pPr>
        <w:jc w:val="both"/>
        <w:ind w:firstLine="1298"/>
        <w:spacing w:after="0" w:line="286" w:lineRule="auto"/>
        <w:tabs>
          <w:tab w:leader="none" w:pos="157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Request for Issuance</w:t>
      </w:r>
      <w:r>
        <w:rPr>
          <w:rFonts w:ascii="Arial" w:cs="Arial" w:eastAsia="Arial" w:hAnsi="Arial"/>
          <w:sz w:val="16"/>
          <w:szCs w:val="16"/>
          <w:color w:val="auto"/>
        </w:rPr>
        <w:t>. (i) Each Letter of Credit shall be issued upon notice, given not later than 11:00 A.M. (New York City time) on the fifth Business Day prior to the date of the proposed issuance of such Letter of Credit, by the Borrower to any Issuing Bank, and such Issuing Bank shall give the Agent, prompt notice thereof by telecopier, and the Agent shall, within one Business Day of receipt of such notice, confirm the availability of the Letter of Credit Commitment to such Issuing Bank. Each such notice of issuance of a Letter of Credit (a “</w:t>
      </w:r>
      <w:r>
        <w:rPr>
          <w:rFonts w:ascii="Arial" w:cs="Arial" w:eastAsia="Arial" w:hAnsi="Arial"/>
          <w:sz w:val="16"/>
          <w:szCs w:val="16"/>
          <w:u w:val="single" w:color="auto"/>
          <w:color w:val="auto"/>
        </w:rPr>
        <w:t>Notice of Issuance</w:t>
      </w:r>
      <w:r>
        <w:rPr>
          <w:rFonts w:ascii="Arial" w:cs="Arial" w:eastAsia="Arial" w:hAnsi="Arial"/>
          <w:sz w:val="16"/>
          <w:szCs w:val="16"/>
          <w:color w:val="auto"/>
        </w:rPr>
        <w:t>”) shall be by telecopier, confirmed immediately in writing, specifying therein the requested (A) date of such issuance (which shall be a Business Day), (B) Available Amount of such Letter of Credit, (C) expiration date of such Letter of Credit, (D) name and address of the beneficiary of such Letter of Credit and (E) form of such Letter of Credit, and shall be accompanied by such application and agreement for letter of credit as such Issuing Bank may reasonably specify to the Borrower for use in connection with such requested Letter of Credit (a “</w:t>
      </w:r>
      <w:r>
        <w:rPr>
          <w:rFonts w:ascii="Arial" w:cs="Arial" w:eastAsia="Arial" w:hAnsi="Arial"/>
          <w:sz w:val="16"/>
          <w:szCs w:val="16"/>
          <w:u w:val="single" w:color="auto"/>
          <w:color w:val="auto"/>
        </w:rPr>
        <w:t>Letter of Credit Agreement</w:t>
      </w:r>
      <w:r>
        <w:rPr>
          <w:rFonts w:ascii="Arial" w:cs="Arial" w:eastAsia="Arial" w:hAnsi="Arial"/>
          <w:sz w:val="16"/>
          <w:szCs w:val="16"/>
          <w:color w:val="auto"/>
        </w:rPr>
        <w:t>”). If the requested form of such Letter of Credit is reasonably acceptable to such Issuing Bank, such Issuing Bank will, upon fulfillment of the applicable conditions set forth in Article III, make such Letter of Credit available to the Borrower at its office referred to in Section 8.02 or as otherwise agreed with the Borrower in connection with such issuance. In the event and to the extent that the provisions of any Letter of Credit Agreement shall conflict with this Agreement, the provisions of this Agreement shall govern.</w:t>
      </w:r>
    </w:p>
    <w:p>
      <w:pPr>
        <w:spacing w:after="0" w:line="196" w:lineRule="exact"/>
        <w:rPr>
          <w:rFonts w:ascii="Arial" w:cs="Arial" w:eastAsia="Arial" w:hAnsi="Arial"/>
          <w:sz w:val="16"/>
          <w:szCs w:val="16"/>
          <w:color w:val="auto"/>
        </w:rPr>
      </w:pPr>
    </w:p>
    <w:p>
      <w:pPr>
        <w:jc w:val="both"/>
        <w:ind w:firstLine="1298"/>
        <w:spacing w:after="0" w:line="268" w:lineRule="auto"/>
        <w:tabs>
          <w:tab w:leader="none" w:pos="210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Pro Rata Share of the aggregate amount available to be drawn under such Letter of Credit. The Borrower hereby agrees to each such participation. In consideration and in furtherance of the foregoing, each Lender hereby absolutely and unconditionally agrees to pay to the Agent, for the account of such Issuing Bank, such Lender’s Pro Rata Share of each Letter of Credit Advance made by such Issuing Bank and not reimbursed by the Borrower on the date made,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210" w:lineRule="exact"/>
        <w:rPr>
          <w:rFonts w:ascii="Arial" w:cs="Arial" w:eastAsia="Arial" w:hAnsi="Arial"/>
          <w:sz w:val="17"/>
          <w:szCs w:val="17"/>
          <w:color w:val="auto"/>
        </w:rPr>
      </w:pPr>
    </w:p>
    <w:p>
      <w:pPr>
        <w:jc w:val="both"/>
        <w:ind w:firstLine="1298"/>
        <w:spacing w:after="0" w:line="310" w:lineRule="auto"/>
        <w:tabs>
          <w:tab w:leader="none" w:pos="200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Drawing and Reimbursement</w:t>
      </w:r>
      <w:r>
        <w:rPr>
          <w:rFonts w:ascii="Arial" w:cs="Arial" w:eastAsia="Arial" w:hAnsi="Arial"/>
          <w:sz w:val="16"/>
          <w:szCs w:val="16"/>
          <w:color w:val="auto"/>
        </w:rPr>
        <w:t>. The payment by an Issuing Bank of a draft drawn under any Letter of Credit shall constitute for all purposes of this Agreement the making by any such Issuing Bank of a Letter of Credit Advance, which shall be a Base Rate Advance in the amount of such drawing (in the case of a Letter of Credit denominated in Dollars) or in the amount that is the Equivalent thereof in Dollars determined on the date of such</w:t>
      </w:r>
    </w:p>
    <w:p>
      <w:pPr>
        <w:sectPr>
          <w:pgSz w:w="11900" w:h="16838" w:orient="portrait"/>
          <w:cols w:equalWidth="0" w:num="1">
            <w:col w:w="11420"/>
          </w:cols>
          <w:pgMar w:left="240" w:top="367" w:right="239" w:bottom="0" w:gutter="0" w:footer="0" w:header="0"/>
        </w:sectPr>
      </w:pPr>
    </w:p>
    <w:bookmarkStart w:id="16" w:name="page17"/>
    <w:bookmarkEnd w:id="16"/>
    <w:p>
      <w:pPr>
        <w:spacing w:after="0" w:line="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drawing, in the case of any Letter of Credit denominated in a Committed Currency. Upon written demand by such Issuing Bank, with a copy of such demand to the Agent, each Lender shall pay to the Agent such Lender’s Pro Rata Share of such outstanding Letter of Credit Advance, by making available for the account of its Applicable Lending Office to the Agent for the account of such Issuing Bank, by deposit to the Agent’s Account, in same day funds, an amount equal to the portion of the outstanding principal amount of such Letter of Credit Advance to be funded by such Lender. Promptly after receipt thereof, the Agent shall transfer such funds to such Issuing Bank. Each Lender agrees to fund its Pro Rata Share of an outstanding Letter of Credit Advance on (i) the Business Day on which demand therefor is made by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 of such demand is given not later than 11:00 A.M. (New York City time) on such Business Day, or (ii) the first Business Day next succeeding such demand if notice of such demand is given after such time. If and to the extent that any Lender shall not have so made the amount of such Letter of Credit Advance available to the Agent, such Lender agrees to pay to the Agent forthwith on demand such amount together with interest thereon, for each day from the date of demand by any such Issuing Bank until the date such amount is paid to the Agent, at the Federal Funds Rate for its account or the account of such Issuing Bank, as applicable. If such Lender shall pay to the Agent such amount for the account of any such Issuing Bank on any Business Day, such amount so paid in respect of principal shall constitute a Letter of Credit Advance made by such Lender on such Business Day for purposes of this Agreement, and the outstanding principal amount of the Letter of Credit Advance made by such Issuing Bank shall be reduced by such amount on such Business Day.</w:t>
      </w:r>
    </w:p>
    <w:p>
      <w:pPr>
        <w:spacing w:after="0" w:line="211" w:lineRule="exact"/>
        <w:rPr>
          <w:sz w:val="20"/>
          <w:szCs w:val="20"/>
          <w:color w:val="auto"/>
        </w:rPr>
      </w:pPr>
    </w:p>
    <w:p>
      <w:pPr>
        <w:jc w:val="both"/>
        <w:ind w:firstLine="1298"/>
        <w:spacing w:after="0" w:line="254" w:lineRule="auto"/>
        <w:tabs>
          <w:tab w:leader="none" w:pos="205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Letter of Credit Reports</w:t>
      </w:r>
      <w:r>
        <w:rPr>
          <w:rFonts w:ascii="Arial" w:cs="Arial" w:eastAsia="Arial" w:hAnsi="Arial"/>
          <w:sz w:val="18"/>
          <w:szCs w:val="18"/>
          <w:color w:val="auto"/>
        </w:rPr>
        <w:t>. Each Issuing Bank shall furnish in respect of Letters of Credit issued by it (A) to the Agent on the first Business Day of each week a written report summarizing issuance and expiration dates of Letters of Credit issued during the previous week and drawings during such week under all Letters of Credit, (B) to each Lender on the first Business Day of each month a written report summarizing issuance and expiration dates of Letters of Credit during the preceding month and drawings during such month under all Letters of Credit and (C) to the Agent and each Lender on the first Business Day of each calendar quarter a written report setting forth the average daily aggregate Available Amount during the preceding calendar quarter of all Letters of Credit.</w:t>
      </w:r>
    </w:p>
    <w:p>
      <w:pPr>
        <w:spacing w:after="0" w:line="218" w:lineRule="exact"/>
        <w:rPr>
          <w:rFonts w:ascii="Arial" w:cs="Arial" w:eastAsia="Arial" w:hAnsi="Arial"/>
          <w:sz w:val="18"/>
          <w:szCs w:val="18"/>
          <w:color w:val="auto"/>
        </w:rPr>
      </w:pPr>
    </w:p>
    <w:p>
      <w:pPr>
        <w:jc w:val="both"/>
        <w:ind w:firstLine="1298"/>
        <w:spacing w:after="0" w:line="310" w:lineRule="auto"/>
        <w:tabs>
          <w:tab w:leader="none" w:pos="2049"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Failure to Make Letter of Credit Advances</w:t>
      </w:r>
      <w:r>
        <w:rPr>
          <w:rFonts w:ascii="Arial" w:cs="Arial" w:eastAsia="Arial" w:hAnsi="Arial"/>
          <w:sz w:val="16"/>
          <w:szCs w:val="16"/>
          <w:color w:val="auto"/>
        </w:rPr>
        <w:t>. The failure of any Lender to make the Letter of Credit Advance to be made by it on the date specified in Section 2.04(c) shall not relieve any other Lender of its obligation hereunder to make its Letter of Credit Advance on such date, but no Lender shall be responsible for the failure of any other Lender to make the Letter of Credit Advance to be made by such other Lender on such date.</w:t>
      </w:r>
    </w:p>
    <w:p>
      <w:pPr>
        <w:spacing w:after="0" w:line="174" w:lineRule="exact"/>
        <w:rPr>
          <w:rFonts w:ascii="Arial" w:cs="Arial" w:eastAsia="Arial" w:hAnsi="Arial"/>
          <w:sz w:val="16"/>
          <w:szCs w:val="16"/>
          <w:color w:val="auto"/>
        </w:rPr>
      </w:pPr>
    </w:p>
    <w:p>
      <w:pPr>
        <w:jc w:val="both"/>
        <w:ind w:firstLine="1298"/>
        <w:spacing w:after="0" w:line="274" w:lineRule="auto"/>
        <w:tabs>
          <w:tab w:leader="none" w:pos="198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Effective as of the Effective Date (i) the letters of credit issued for the account of the Borrower prior to such date by Persons who are Issuing Banks hereunder and set forth on Schedule 2.04(f) hereto (such letters of credit being the “</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in an aggregate face amount not exceeding the total amount set forth on such Schedule 2.04(f) will be deemed to have been issued as, and be, Letters of Credit hereunder and (ii) the Existing Letters of Credit and the reimbursement obligations in respect thereof shall be obligations of the Borrower hereunder and shall no longer be obligations under the documents pursuant to which such Existing Letters of Credit were initially issued.</w:t>
      </w:r>
    </w:p>
    <w:p>
      <w:pPr>
        <w:spacing w:after="0" w:line="202"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Facility Fee</w:t>
      </w:r>
      <w:r>
        <w:rPr>
          <w:rFonts w:ascii="Arial" w:cs="Arial" w:eastAsia="Arial" w:hAnsi="Arial"/>
          <w:sz w:val="17"/>
          <w:szCs w:val="17"/>
          <w:color w:val="auto"/>
        </w:rPr>
        <w:t>. The Borrower agrees to pay to the Agent, in Dollars, for the account of each Lender a facility fee on the aggregate amount of such Lender’s Revolving Commitment from the Effective Date in the case of each Initial Lender and from the effective date specified in the Assumption Agreement or in the Assignment and Assumption pursuant to which it became a Lender in the case of each other Lender until the Termination Date at a rate per annum equal to the Applicable Percentage in effect from time to time, payable in arrears quarterly on the last day of each March, June, September and December, commencing December 31, 2011, and on the Termination Date, and after the Termination Date payable upon demand until all amounts due and payable under this Agreement have been paid in full in cash and either all Letters of Credit have been terminated or the Borrower shall otherwise have complied with the provisions of Section 6.02, provided that after the Revolving Credit Commitments have been terminated, the facility fee will be calculated on the aggregate balance of amounts outstanding under this Agreement plus the amounts of any outstanding Letters of Credit; and provided further that no Defaulting Lender shall be entitled to receive any facility fee except in respect of its outstanding Advances for any period during which that Lender is a Defaulting Lender (and the Borrower shall not be required to pay such fee that otherwise would have been required to have been paid to that Defaulting Lender).</w:t>
      </w:r>
    </w:p>
    <w:p>
      <w:pPr>
        <w:spacing w:after="0" w:line="207" w:lineRule="exact"/>
        <w:rPr>
          <w:sz w:val="20"/>
          <w:szCs w:val="20"/>
          <w:color w:val="auto"/>
        </w:rPr>
      </w:pPr>
    </w:p>
    <w:p>
      <w:pPr>
        <w:jc w:val="both"/>
        <w:ind w:firstLine="1298"/>
        <w:spacing w:after="0" w:line="288" w:lineRule="auto"/>
        <w:tabs>
          <w:tab w:leader="none" w:pos="203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(i) The Borrower shall pay to the Agent for the account of each Lender a commission on such Lender’s Pro Rata Share of the average daily aggregate Available Amount of all Letters of Credit outstanding from time to time at a rate per annum equal to the Applicable Margin for Eurocurrency Rate Advances in effect from time to time, payable in arrears quarterly on the last day of each March, June, September and December, commencing December 31, 2011, and on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that all or a portion of the Fronting Exposure in respect of any Defaulting Lender is reallocated to the Non-Defaulting Lenders pursuant to Section 2.20(a), such fees that would have accrued for the benefit of such Defaulting Lender will instead accrue for the benefit of and be payable to such Non-Defaulting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Revolving Credit Commitments, and (ii) to the extent that all or any portion of such Fronting Exposure cannot be so reallocated, such fees will instead accrue for the benefit of and be payable to the respective Issuing Banks ratably according to the outstanding Letters of Credit issued by each Issuing Bank, provided that such payments to the Issuing Banks shall accrue only to the extent that such Letters of Credit have not been Cash Collateralized.</w:t>
      </w:r>
    </w:p>
    <w:p>
      <w:pPr>
        <w:spacing w:after="0" w:line="191" w:lineRule="exact"/>
        <w:rPr>
          <w:sz w:val="20"/>
          <w:szCs w:val="20"/>
          <w:color w:val="auto"/>
        </w:rPr>
      </w:pPr>
    </w:p>
    <w:p>
      <w:pPr>
        <w:jc w:val="both"/>
        <w:ind w:left="660" w:firstLine="638"/>
        <w:spacing w:after="0" w:line="258" w:lineRule="auto"/>
        <w:tabs>
          <w:tab w:leader="none" w:pos="22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Borrower shall pay to each Issuing Bank, for its own account, a fronting fee equal to 0.125% per annum of the amount available to be drawn under each Letter of Credit issued by such Issuing Bank, payable quarterly in arrears, and such other commissions, issuance fees, transfer fees and other fees and charges in connection with the issuance or administration of each Letter of Credit as the Borrower and such Issuing Bank shall agree.</w:t>
      </w:r>
    </w:p>
    <w:p>
      <w:pPr>
        <w:spacing w:after="0" w:line="212" w:lineRule="exact"/>
        <w:rPr>
          <w:sz w:val="20"/>
          <w:szCs w:val="20"/>
          <w:color w:val="auto"/>
        </w:rPr>
      </w:pPr>
    </w:p>
    <w:p>
      <w:pPr>
        <w:ind w:left="2020" w:hanging="722"/>
        <w:spacing w:after="0"/>
        <w:tabs>
          <w:tab w:leader="none" w:pos="20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Agent’s Fees</w:t>
      </w:r>
      <w:r>
        <w:rPr>
          <w:rFonts w:ascii="Arial" w:cs="Arial" w:eastAsia="Arial" w:hAnsi="Arial"/>
          <w:sz w:val="16"/>
          <w:szCs w:val="16"/>
          <w:color w:val="auto"/>
        </w:rPr>
        <w:t>. The Borrower shall pay to the Agent for its own account such fees as may from time to time be agreed between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 and the Agent.</w:t>
      </w:r>
    </w:p>
    <w:p>
      <w:pPr>
        <w:spacing w:after="0" w:line="235"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Optional Termination or Reduction of the Commitments</w:t>
      </w:r>
      <w:r>
        <w:rPr>
          <w:rFonts w:ascii="Arial" w:cs="Arial" w:eastAsia="Arial" w:hAnsi="Arial"/>
          <w:sz w:val="17"/>
          <w:szCs w:val="17"/>
          <w:color w:val="auto"/>
        </w:rPr>
        <w:t xml:space="preserve">. The Borrower shall have the right, upon at least three Business Days’ notice to the Agent, to terminate in whole or permanently reduce ratably in part the Unused Commitments of the Lender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partial reduction shall be in the aggregate amount of $5,000,000 or an integral multiple of $1,000,000 in excess thereof.</w:t>
      </w:r>
    </w:p>
    <w:p>
      <w:pPr>
        <w:spacing w:after="0" w:line="19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Repayment of Revolving Credit Advances and 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Revolving Credit Advances</w:t>
      </w:r>
      <w:r>
        <w:rPr>
          <w:rFonts w:ascii="Arial" w:cs="Arial" w:eastAsia="Arial" w:hAnsi="Arial"/>
          <w:sz w:val="18"/>
          <w:szCs w:val="18"/>
          <w:color w:val="auto"/>
        </w:rPr>
        <w:t>. The Borrower shall repay to the Agent for the ratable account of the Lenders on the Termination Date the aggregate principal amount of the Revolving Credit Advances then outstanding.</w:t>
      </w:r>
    </w:p>
    <w:p>
      <w:pPr>
        <w:spacing w:after="0" w:line="209" w:lineRule="exact"/>
        <w:rPr>
          <w:sz w:val="20"/>
          <w:szCs w:val="20"/>
          <w:color w:val="auto"/>
        </w:rPr>
      </w:pPr>
    </w:p>
    <w:p>
      <w:pPr>
        <w:jc w:val="both"/>
        <w:ind w:firstLine="1298"/>
        <w:spacing w:after="0" w:line="262" w:lineRule="auto"/>
        <w:tabs>
          <w:tab w:leader="none" w:pos="201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Letter of Credit Advances</w:t>
      </w:r>
      <w:r>
        <w:rPr>
          <w:rFonts w:ascii="Arial" w:cs="Arial" w:eastAsia="Arial" w:hAnsi="Arial"/>
          <w:sz w:val="18"/>
          <w:szCs w:val="18"/>
          <w:color w:val="auto"/>
        </w:rPr>
        <w:t>. (i) The Borrower shall repay the outstanding principal amount of each Letter of Credit Advance made by each Lender Party that has made a Letter of Credit Advance to the Agent for the ratable account of each such Lender Party on the earlier of demand and the Termination Date.</w:t>
      </w:r>
    </w:p>
    <w:p>
      <w:pPr>
        <w:spacing w:after="0" w:line="209" w:lineRule="exact"/>
        <w:rPr>
          <w:sz w:val="20"/>
          <w:szCs w:val="20"/>
          <w:color w:val="auto"/>
        </w:rPr>
      </w:pPr>
    </w:p>
    <w:p>
      <w:pPr>
        <w:jc w:val="both"/>
        <w:ind w:firstLine="1298"/>
        <w:spacing w:after="0" w:line="340" w:lineRule="auto"/>
        <w:tabs>
          <w:tab w:leader="none" w:pos="212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obligations of the Borrower under this Agreement, any Letter of Credit Agreement and any other agreement or instrument relating to any Letter of Credit shall be unconditional and irrevocable, and shall be paid strictly in accordance with the terms of this Agreement, such Letter of</w:t>
      </w:r>
    </w:p>
    <w:p>
      <w:pPr>
        <w:sectPr>
          <w:pgSz w:w="11900" w:h="16844" w:orient="portrait"/>
          <w:cols w:equalWidth="0" w:num="1">
            <w:col w:w="11420"/>
          </w:cols>
          <w:pgMar w:left="240" w:top="125" w:right="239" w:bottom="0" w:gutter="0" w:footer="0" w:header="0"/>
        </w:sectPr>
      </w:pPr>
    </w:p>
    <w:bookmarkStart w:id="17" w:name="page18"/>
    <w:bookmarkEnd w:id="17"/>
    <w:p>
      <w:pPr>
        <w:spacing w:after="0" w:line="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Credit Agreement and such other agreement or instrument under all circumstances, including, without limitation, the following circumstances (it being understood that any such payment by the Borrower is without prejudice to, and does not constitute a waiver of, any rights the Borrower might have or might acquire as a result of the payment by any Lender of any draft or the reimbursement by the Borrower thereof):</w:t>
      </w:r>
    </w:p>
    <w:p>
      <w:pPr>
        <w:spacing w:after="0" w:line="209" w:lineRule="exact"/>
        <w:rPr>
          <w:sz w:val="20"/>
          <w:szCs w:val="20"/>
          <w:color w:val="auto"/>
        </w:rPr>
      </w:pPr>
    </w:p>
    <w:p>
      <w:pPr>
        <w:ind w:left="660" w:firstLine="638"/>
        <w:spacing w:after="0" w:line="275" w:lineRule="auto"/>
        <w:tabs>
          <w:tab w:leader="none" w:pos="21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any Note, any Letter of Credit Agreement, any Letter of Credit or any other agreement or instrument relating thereto (all of the foregoing being, collectively, the “</w:t>
      </w:r>
      <w:r>
        <w:rPr>
          <w:rFonts w:ascii="Arial" w:cs="Arial" w:eastAsia="Arial" w:hAnsi="Arial"/>
          <w:sz w:val="18"/>
          <w:szCs w:val="18"/>
          <w:u w:val="single" w:color="auto"/>
          <w:color w:val="auto"/>
        </w:rPr>
        <w:t>L/C Related Documents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660" w:firstLine="638"/>
        <w:spacing w:after="0" w:line="262" w:lineRule="auto"/>
        <w:tabs>
          <w:tab w:leader="none" w:pos="21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of the Borrower in respect of any L/C Related Document or any other amendment or waiver of or any consent to departure from all or any of the L/C Related Documents;</w:t>
      </w:r>
    </w:p>
    <w:p>
      <w:pPr>
        <w:spacing w:after="0" w:line="209" w:lineRule="exact"/>
        <w:rPr>
          <w:rFonts w:ascii="Arial" w:cs="Arial" w:eastAsia="Arial" w:hAnsi="Arial"/>
          <w:sz w:val="18"/>
          <w:szCs w:val="18"/>
          <w:color w:val="auto"/>
        </w:rPr>
      </w:pPr>
    </w:p>
    <w:p>
      <w:pPr>
        <w:jc w:val="both"/>
        <w:ind w:left="660" w:firstLine="638"/>
        <w:spacing w:after="0" w:line="258" w:lineRule="auto"/>
        <w:tabs>
          <w:tab w:leader="none" w:pos="21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the Borrower may have at any time against any beneficiary or any transferee of a Letter of Credit (or any Persons for which any such beneficiary or any such transferee may be acting), any Issuing Bank, any Agent, any Lender or any other Person, whether in connection with the transactions contemplated by the L/C Related Documents or any unrelated transaction;</w:t>
      </w:r>
    </w:p>
    <w:p>
      <w:pPr>
        <w:spacing w:after="0" w:line="212" w:lineRule="exact"/>
        <w:rPr>
          <w:rFonts w:ascii="Arial" w:cs="Arial" w:eastAsia="Arial" w:hAnsi="Arial"/>
          <w:sz w:val="18"/>
          <w:szCs w:val="18"/>
          <w:color w:val="auto"/>
        </w:rPr>
      </w:pPr>
    </w:p>
    <w:p>
      <w:pPr>
        <w:ind w:left="660" w:firstLine="638"/>
        <w:spacing w:after="0" w:line="275" w:lineRule="auto"/>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statement or any other document presented under a Letter of Credit proving to be forged, fraudulent, invalid or insufficient in any respect or any statement therein being untrue or inaccurate in any respect;</w:t>
      </w:r>
    </w:p>
    <w:p>
      <w:pPr>
        <w:spacing w:after="0" w:line="197" w:lineRule="exact"/>
        <w:rPr>
          <w:rFonts w:ascii="Arial" w:cs="Arial" w:eastAsia="Arial" w:hAnsi="Arial"/>
          <w:sz w:val="18"/>
          <w:szCs w:val="18"/>
          <w:color w:val="auto"/>
        </w:rPr>
      </w:pPr>
    </w:p>
    <w:p>
      <w:pPr>
        <w:ind w:left="660" w:right="20" w:firstLine="638"/>
        <w:spacing w:after="0" w:line="275" w:lineRule="auto"/>
        <w:tabs>
          <w:tab w:leader="none" w:pos="21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by any Issuing Bank under a Letter of Credit against presentation of a draft or certificate that does not strictly comply with the terms of such Letter of Credit;</w:t>
      </w:r>
    </w:p>
    <w:p>
      <w:pPr>
        <w:spacing w:after="0" w:line="197" w:lineRule="exact"/>
        <w:rPr>
          <w:rFonts w:ascii="Arial" w:cs="Arial" w:eastAsia="Arial" w:hAnsi="Arial"/>
          <w:sz w:val="18"/>
          <w:szCs w:val="18"/>
          <w:color w:val="auto"/>
        </w:rPr>
      </w:pPr>
    </w:p>
    <w:p>
      <w:pPr>
        <w:ind w:left="660" w:firstLine="638"/>
        <w:spacing w:after="0" w:line="275" w:lineRule="auto"/>
        <w:tabs>
          <w:tab w:leader="none" w:pos="20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guarantee, for all or any of the obligations of the Borrower in respect of the L/C Related Documents; or</w:t>
      </w:r>
    </w:p>
    <w:p>
      <w:pPr>
        <w:spacing w:after="0" w:line="197" w:lineRule="exact"/>
        <w:rPr>
          <w:rFonts w:ascii="Arial" w:cs="Arial" w:eastAsia="Arial" w:hAnsi="Arial"/>
          <w:sz w:val="18"/>
          <w:szCs w:val="18"/>
          <w:color w:val="auto"/>
        </w:rPr>
      </w:pPr>
    </w:p>
    <w:p>
      <w:pPr>
        <w:ind w:left="660" w:right="20" w:firstLine="638"/>
        <w:spacing w:after="0" w:line="306" w:lineRule="auto"/>
        <w:tabs>
          <w:tab w:leader="none" w:pos="20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without limitation, any other circumstance that might otherwise constitute a defense available to, or a discharge of, the Borrower or a guarantor.</w:t>
      </w:r>
    </w:p>
    <w:p>
      <w:pPr>
        <w:spacing w:after="0" w:line="174"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Scheduled Interest</w:t>
      </w:r>
      <w:r>
        <w:rPr>
          <w:rFonts w:ascii="Arial" w:cs="Arial" w:eastAsia="Arial" w:hAnsi="Arial"/>
          <w:sz w:val="18"/>
          <w:szCs w:val="18"/>
          <w:color w:val="auto"/>
        </w:rPr>
        <w:t>. The Borrower shall pay interest on the unpaid principal amount of each Advance owing to each Lender from the date of such Revolving Credit Advance until such principal amount shall be paid in full, at the following rates per annum:</w:t>
      </w:r>
    </w:p>
    <w:p>
      <w:pPr>
        <w:spacing w:after="0" w:line="209" w:lineRule="exact"/>
        <w:rPr>
          <w:sz w:val="20"/>
          <w:szCs w:val="20"/>
          <w:color w:val="auto"/>
        </w:rPr>
      </w:pPr>
    </w:p>
    <w:p>
      <w:pPr>
        <w:jc w:val="both"/>
        <w:ind w:left="660" w:firstLine="638"/>
        <w:spacing w:after="0" w:line="258" w:lineRule="auto"/>
        <w:tabs>
          <w:tab w:leader="none" w:pos="196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During such periods as such Revolving Credit Advance is a Base Rate Advance, a rate per annum equal at all times to the sum of (x)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payable in arrears quarterly on the last day of each March, June, September and December during such periods and on the date such Base Rate Advance shall be Converted or paid in full.</w:t>
      </w:r>
    </w:p>
    <w:p>
      <w:pPr>
        <w:spacing w:after="0" w:line="212" w:lineRule="exact"/>
        <w:rPr>
          <w:rFonts w:ascii="Arial" w:cs="Arial" w:eastAsia="Arial" w:hAnsi="Arial"/>
          <w:sz w:val="18"/>
          <w:szCs w:val="18"/>
          <w:color w:val="auto"/>
        </w:rPr>
      </w:pPr>
    </w:p>
    <w:p>
      <w:pPr>
        <w:jc w:val="both"/>
        <w:ind w:left="660" w:firstLine="638"/>
        <w:spacing w:after="0" w:line="295" w:lineRule="auto"/>
        <w:tabs>
          <w:tab w:leader="none" w:pos="203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Eurocurrency Rate Advances</w:t>
      </w:r>
      <w:r>
        <w:rPr>
          <w:rFonts w:ascii="Arial" w:cs="Arial" w:eastAsia="Arial" w:hAnsi="Arial"/>
          <w:sz w:val="16"/>
          <w:szCs w:val="16"/>
          <w:color w:val="auto"/>
        </w:rPr>
        <w:t xml:space="preserve">. During such periods as such Revolving Credit Advance is a Eurocurrency Rate Advance, a rate per annum equal at all times during each Interest Period for such Revolving Credit Advance to the sum of (x) the Eurocurrency Rate for such Interest Period for such Revolving Credit Advance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w:t>
      </w:r>
    </w:p>
    <w:p>
      <w:pPr>
        <w:spacing w:after="0" w:line="187" w:lineRule="exact"/>
        <w:rPr>
          <w:sz w:val="20"/>
          <w:szCs w:val="20"/>
          <w:color w:val="auto"/>
        </w:rPr>
      </w:pPr>
    </w:p>
    <w:p>
      <w:pPr>
        <w:jc w:val="both"/>
        <w:ind w:firstLine="1298"/>
        <w:spacing w:after="0" w:line="269" w:lineRule="auto"/>
        <w:tabs>
          <w:tab w:leader="none" w:pos="203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Default Interest</w:t>
      </w:r>
      <w:r>
        <w:rPr>
          <w:rFonts w:ascii="Arial" w:cs="Arial" w:eastAsia="Arial" w:hAnsi="Arial"/>
          <w:sz w:val="17"/>
          <w:szCs w:val="17"/>
          <w:color w:val="auto"/>
        </w:rPr>
        <w:t>. Upon the occurrence and during the continuance of an Event of Default, the Agent may, and upon the request of the Required Lenders shall, require the Borrower to pay interest (“</w:t>
      </w:r>
      <w:r>
        <w:rPr>
          <w:rFonts w:ascii="Arial" w:cs="Arial" w:eastAsia="Arial" w:hAnsi="Arial"/>
          <w:sz w:val="17"/>
          <w:szCs w:val="17"/>
          <w:u w:val="single" w:color="auto"/>
          <w:color w:val="auto"/>
        </w:rPr>
        <w:t>Default Interest</w:t>
      </w:r>
      <w:r>
        <w:rPr>
          <w:rFonts w:ascii="Arial" w:cs="Arial" w:eastAsia="Arial" w:hAnsi="Arial"/>
          <w:sz w:val="17"/>
          <w:szCs w:val="17"/>
          <w:color w:val="auto"/>
        </w:rPr>
        <w:t xml:space="preserve">”) on (i) the unpaid principal amount of each Revolving Credit Advance and each Letter of Credit Advance owing to each Lender Party, payable in arrears on the dates referred to in Section 2.08(a)(i) or 2.08(a)(ii) above, at a rate per annum equal at all times to 2% per annum above the rate per annum required to be paid on such Advance pursuant to Section 2.08(a)(i) or 2.08(a)(ii)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Section 2.08 (a)(i)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following acceleration of the Advances pursuant to Section 6.01, Default Interest shall accrue and be payable hereunder whether or not previously required by the Agent.</w:t>
      </w:r>
    </w:p>
    <w:p>
      <w:pPr>
        <w:spacing w:after="0" w:line="206"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Interest Rate Determination</w:t>
      </w:r>
      <w:r>
        <w:rPr>
          <w:rFonts w:ascii="Arial" w:cs="Arial" w:eastAsia="Arial" w:hAnsi="Arial"/>
          <w:sz w:val="18"/>
          <w:szCs w:val="18"/>
          <w:color w:val="auto"/>
        </w:rPr>
        <w:t>. (a) Each Reference Bank agrees to furnish to the Agent timely information for the purpose of determining each Eurocurrency Rate if the Reuters Screen LIBOR01 Page is unavailable.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2.08(a)(i) or (ii), and the rate, if any, furnished by each Reference Bank for the purpose of determining the interest rate under Section 2.08(a)(ii).</w:t>
      </w:r>
    </w:p>
    <w:p>
      <w:pPr>
        <w:spacing w:after="0" w:line="218" w:lineRule="exact"/>
        <w:rPr>
          <w:sz w:val="20"/>
          <w:szCs w:val="20"/>
          <w:color w:val="auto"/>
        </w:rPr>
      </w:pPr>
    </w:p>
    <w:p>
      <w:pPr>
        <w:jc w:val="both"/>
        <w:ind w:firstLine="1298"/>
        <w:spacing w:after="0" w:line="283" w:lineRule="auto"/>
        <w:tabs>
          <w:tab w:leader="none" w:pos="2173"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with respect to any Eurocurrency Rate Advances, the Required Lenders notify the Agent that (i) they are unable to obtain matching deposits in the London inter-bank market at or about 9:00 A.M. (New York time) on the second Business Day before the making of a Borrowing in sufficient amounts to fund their respective Revolving Credit Advances as a part of such Borrowing during its Interest Period or (ii) the Eurocurrency Rate for any Interest Period for such Advances will not adequately reflect the cost to such Required Lenders of making, funding or maintaining their respective Eurocurrency Rate Advances for such Interest Period, the Agent shall forthwith so notify the Borrower and the Lenders, whereupon (A) the Borrower will, on the last day of the then existing Interest Period therefor, (1) if such Eurocurrency Rate Advances are denominated in Dollars, either (x) prepay such Advances or (y) Convert such Advances into Base Rate Advances and (2) if such Eurocurrency Rate Advances are denominated in any Committed Currency, either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prepay such Advances or (y) exchange such Advances into an Equivalent amount of Dollars and Convert such Advances into Base Rate Advances and</w:t>
      </w:r>
    </w:p>
    <w:p>
      <w:pPr>
        <w:spacing w:after="0" w:line="31"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(B) the obligation of the Lenders to make, or to Convert Revolving Credit Advances into, Eurocurrency Rate Advances shall be suspended until the Agent shall notify the Borrower and the Lenders that the circumstances causing such suspension no longer exist;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set forth in clause (ii) above are applicable, the Borrower may elect, by notice to the Agent and the Lenders, to continue such Advances in such Committed Currency for Interest Periods of not longer than one month, which Advances shall thereafter bear interest at a rate per annum equal to the Applicable Margin plus, for each Lender, the cost to such Lender (expressed as a rate per annum) of funding its Eurocurrency Rate Advances by whatever means it reasonably determines to be appropriate. Each Lender shall certify its cost of funds for each Interest Period to the Agent and the Borrower as soon as practicable (but in any event not later than ten Business Days after the first day of such Interest Period).</w:t>
      </w:r>
    </w:p>
    <w:p>
      <w:pPr>
        <w:sectPr>
          <w:pgSz w:w="11900" w:h="16843" w:orient="portrait"/>
          <w:cols w:equalWidth="0" w:num="1">
            <w:col w:w="11420"/>
          </w:cols>
          <w:pgMar w:left="240" w:top="125" w:right="239" w:bottom="0" w:gutter="0" w:footer="0" w:header="0"/>
        </w:sectPr>
      </w:pPr>
    </w:p>
    <w:bookmarkStart w:id="18" w:name="page19"/>
    <w:bookmarkEnd w:id="18"/>
    <w:p>
      <w:pPr>
        <w:jc w:val="both"/>
        <w:ind w:firstLine="1298"/>
        <w:spacing w:after="0" w:line="295" w:lineRule="auto"/>
        <w:tabs>
          <w:tab w:leader="none" w:pos="2033"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Borrower shall fail to select the duration of any Interest Period for any Eurocurrency Rate Advances in accordance with the provisions contained in the definition of “Interest Period” in Section 1.01, the Agent will forthwith so notify the Borrower and the Lenders and such Advances will (to the extent such Eurocurrency Rate Advances remain outstanding on such day) automatically, on the last day of the then existing Interest Period therefor, (i) if such Eurocurrency Rate Advances are denominated in Dollars, Convert into Base Rate Advances and (ii) if such Eurocurrency Rate Advances are denominated in a Committed Currency, be exchanged for an Equivalent amount of Dollars and Convert into Base Rate Advances.</w:t>
      </w:r>
    </w:p>
    <w:p>
      <w:pPr>
        <w:spacing w:after="0" w:line="186" w:lineRule="exact"/>
        <w:rPr>
          <w:rFonts w:ascii="Arial" w:cs="Arial" w:eastAsia="Arial" w:hAnsi="Arial"/>
          <w:sz w:val="16"/>
          <w:szCs w:val="16"/>
          <w:color w:val="auto"/>
        </w:rPr>
      </w:pPr>
    </w:p>
    <w:p>
      <w:pPr>
        <w:ind w:firstLine="1298"/>
        <w:spacing w:after="0" w:line="340" w:lineRule="auto"/>
        <w:tabs>
          <w:tab w:leader="none" w:pos="20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the date on which the aggregate unpaid principal amount of Eurocurrency Rate Advances comprising any Borrowing shall be reduced, by payment or prepayment or otherwise, to less than the Borrowing Minimum, such Advances shall automatically Convert into Base Rate Advances.</w:t>
      </w:r>
    </w:p>
    <w:p>
      <w:pPr>
        <w:spacing w:after="0" w:line="150" w:lineRule="exact"/>
        <w:rPr>
          <w:rFonts w:ascii="Arial" w:cs="Arial" w:eastAsia="Arial" w:hAnsi="Arial"/>
          <w:sz w:val="16"/>
          <w:szCs w:val="16"/>
          <w:color w:val="auto"/>
        </w:rPr>
      </w:pPr>
    </w:p>
    <w:p>
      <w:pPr>
        <w:jc w:val="both"/>
        <w:ind w:firstLine="1298"/>
        <w:spacing w:after="0" w:line="286" w:lineRule="auto"/>
        <w:tabs>
          <w:tab w:leader="none" w:pos="20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continuance of any Event of Default, (i) each Eurocurrency Rate Advance will automatically, on the last day of the then existing Interest Period therefor, (A) if such Eurocurrency Rate Advances are denominated in Dollars, be Converted into Base Rate Advances and (B) if such Eurocurrency Rate Advances are denominated in any Committed Currency, be exchanged for an Equivalent amount of Dollars and be Converted into Base Rate Advances and (ii) the obligation of the Lenders to make, or to Convert Advances into, Eurocurrency Rate Advances shall be suspended;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may elect, by notice to the Agent and the Lenders within one Business Day of such Event of Default, to continue such Advances in such Committed Currency, whereupon the Agent may require that each Interest Period relating to such Eurocurrency Rate Advances shall bear interest at the Overnight Eurocurrency Rate for a period of three Business Days and thereafter, each such Interest Period shall have a duration of not longer than one month. “</w:t>
      </w:r>
      <w:r>
        <w:rPr>
          <w:rFonts w:ascii="Arial" w:cs="Arial" w:eastAsia="Arial" w:hAnsi="Arial"/>
          <w:sz w:val="16"/>
          <w:szCs w:val="16"/>
          <w:u w:val="single" w:color="auto"/>
          <w:color w:val="auto"/>
        </w:rPr>
        <w:t>Overnight Eurocurrency Rate</w:t>
      </w:r>
      <w:r>
        <w:rPr>
          <w:rFonts w:ascii="Arial" w:cs="Arial" w:eastAsia="Arial" w:hAnsi="Arial"/>
          <w:sz w:val="16"/>
          <w:szCs w:val="16"/>
          <w:color w:val="auto"/>
        </w:rPr>
        <w:t>” means the rate per annum applicable to an overnight period beginning on one Business Day and ending on the next Business Day equal to the sum of 1%, the Applicable Interest Rate Margin and the average, rounded upward to the nearest whole multiple of 1/16 of 1%, if such average is not such a multiple, of the respective rates per annum quoted by each Reference Bank to the Agent on request as the rate at which it is offering overnight deposits in the relevant currency in amounts comparable to such Reference Bank’s Eurocurrency Rate Advances.</w:t>
      </w:r>
    </w:p>
    <w:p>
      <w:pPr>
        <w:spacing w:after="0" w:line="196" w:lineRule="exact"/>
        <w:rPr>
          <w:rFonts w:ascii="Arial" w:cs="Arial" w:eastAsia="Arial" w:hAnsi="Arial"/>
          <w:sz w:val="16"/>
          <w:szCs w:val="16"/>
          <w:color w:val="auto"/>
        </w:rPr>
      </w:pPr>
    </w:p>
    <w:p>
      <w:pPr>
        <w:ind w:firstLine="1298"/>
        <w:spacing w:after="0" w:line="275" w:lineRule="auto"/>
        <w:tabs>
          <w:tab w:leader="none" w:pos="20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applicable Reuters Screen page is unavailable and fewer than two Reference Banks furnish timely information to the Agent for determining the Eurocurrency Rate for any Eurocurrency Rate Advances,</w:t>
      </w:r>
    </w:p>
    <w:p>
      <w:pPr>
        <w:spacing w:after="0" w:line="198" w:lineRule="exact"/>
        <w:rPr>
          <w:sz w:val="20"/>
          <w:szCs w:val="20"/>
          <w:color w:val="auto"/>
        </w:rPr>
      </w:pPr>
    </w:p>
    <w:p>
      <w:pPr>
        <w:ind w:left="2080" w:hanging="782"/>
        <w:spacing w:after="0"/>
        <w:tabs>
          <w:tab w:leader="none" w:pos="2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Agent shall forthwith notify the Borrower and the Lenders that the interest rate cannot be determined for such Eurocurrency</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Rate Advances,</w:t>
      </w:r>
    </w:p>
    <w:p>
      <w:pPr>
        <w:spacing w:after="0" w:line="235" w:lineRule="exact"/>
        <w:rPr>
          <w:rFonts w:ascii="Arial" w:cs="Arial" w:eastAsia="Arial" w:hAnsi="Arial"/>
          <w:sz w:val="16"/>
          <w:szCs w:val="16"/>
          <w:color w:val="auto"/>
        </w:rPr>
      </w:pPr>
    </w:p>
    <w:p>
      <w:pPr>
        <w:jc w:val="both"/>
        <w:ind w:left="660" w:firstLine="638"/>
        <w:spacing w:after="0" w:line="300" w:lineRule="auto"/>
        <w:tabs>
          <w:tab w:leader="none" w:pos="21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 respect to Eurocurrency Rate Advances, each such Advance will automatically, on the last day of the then existing Interest Period therefor, (A) if such Eurocurrency Rate Advance is denominated in Dollars, Convert into a Base Rate Advance and (B) if such Eurocurrency Rate Advance is denominated in any Committed Currency, be prepaid by the Borrower or be automatically exchanged for an Equivalent amount of Dollars and be Converted into a Base Rate Advance (or if such Advance is then a Base Rate Advance, will continue as a Base Rate Advance), and</w:t>
      </w:r>
    </w:p>
    <w:p>
      <w:pPr>
        <w:spacing w:after="0" w:line="182" w:lineRule="exact"/>
        <w:rPr>
          <w:rFonts w:ascii="Arial" w:cs="Arial" w:eastAsia="Arial" w:hAnsi="Arial"/>
          <w:sz w:val="16"/>
          <w:szCs w:val="16"/>
          <w:color w:val="auto"/>
        </w:rPr>
      </w:pPr>
    </w:p>
    <w:p>
      <w:pPr>
        <w:jc w:val="both"/>
        <w:ind w:left="660" w:firstLine="638"/>
        <w:spacing w:after="0" w:line="262" w:lineRule="auto"/>
        <w:tabs>
          <w:tab w:leader="none" w:pos="21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or to Convert Revolving Credit Advances into Eurodollar Rate Advances shall be suspended until the Agent shall notify the Borrower and the Lenders that the circumstances causing such suspension no longer exist.</w:t>
      </w:r>
    </w:p>
    <w:p>
      <w:pPr>
        <w:spacing w:after="0" w:line="209" w:lineRule="exact"/>
        <w:rPr>
          <w:sz w:val="20"/>
          <w:szCs w:val="20"/>
          <w:color w:val="auto"/>
        </w:rPr>
      </w:pPr>
    </w:p>
    <w:p>
      <w:pPr>
        <w:jc w:val="both"/>
        <w:ind w:firstLine="1613"/>
        <w:spacing w:after="0" w:line="252"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Optional Conversion of Revolving Credit Advances</w:t>
      </w:r>
      <w:r>
        <w:rPr>
          <w:rFonts w:ascii="Arial" w:cs="Arial" w:eastAsia="Arial" w:hAnsi="Arial"/>
          <w:sz w:val="18"/>
          <w:szCs w:val="18"/>
          <w:color w:val="auto"/>
        </w:rPr>
        <w:t xml:space="preserve">. The Borrower may on any Business Day, upon notice given to the Agent not later than 11:00 A.M. (New York City time) on the third Business Day prior to the date of the proposed Conversion and subject to the provisions of Sections 2.09 and 2.13, Convert all Revolving Credit Advances denominated in Dollars of one Type comprising the same Borrowing into Revolving Credit Advances denominated in Dollars of the other Type;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Conversion of Eurocurrency Rate Advances into Base Rate Advances shall be made only on the last day of an Interest Period for such Eurocurrency Rate Advances, any Conversion of Base Rate Advances into Eurocurrency Rate Advances shall be in an amount not less than the minimum amount specified in Section 2.02(b) and no Conversion of any Revolving Credit Advances shall result in more separate Borrowings than permitted under Section 2.02(b). Each such notice of a Conversion shall, within the restrictions specified above, specify (i) the date of such Conversion, (ii) the Dollar denominated Revolving Credit Advances to be Converted, and (iii) if such Conversion is into Eurocurrency Rate Advances, the duration of the initial Interest Period for each such Advance. Each notice of Conversion shall be irrevocable and binding on the Borrower.</w:t>
      </w:r>
    </w:p>
    <w:p>
      <w:pPr>
        <w:spacing w:after="0" w:line="219" w:lineRule="exact"/>
        <w:rPr>
          <w:sz w:val="20"/>
          <w:szCs w:val="20"/>
          <w:color w:val="auto"/>
        </w:rPr>
      </w:pPr>
    </w:p>
    <w:p>
      <w:pPr>
        <w:jc w:val="both"/>
        <w:ind w:firstLine="1290"/>
        <w:spacing w:after="0" w:line="252"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Prepayments of Revolving Credit Advances and Letter of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 may, upon notice at least two Business Days’ prior to the date of such prepayment, in the case of Eurocurrency Rate Advances, and not later than 11:00 A.M. (New York City time) on the date of such prepayment, in the case of Base Rate Advances, to the Agent stating the proposed date and aggregate principal amount of the prepayment, and if such notice is given the Borrower shall, prepay the outstanding principal amount of the Revolving Credit Advances comprising part of the same Borrowing or Letter of Credit Advances in whole or ratably in part, together with accrued interest to the date of such prepayment on the principal amount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each partial prepayment shall be in an aggregate principal amount of not less than the Borrowing Minimum or a Borrowing Multiple in excess thereof or the Equivalent thereof in a Committed Currency (determined on the date notice of prepayment is given) and (y) in the event of any such prepayment of a Eurocurrency Rate Advance, the Borrower shall be obligated to reimburse the Lenders in respect thereof pursuant to Section 8.04(c).</w:t>
      </w:r>
    </w:p>
    <w:p>
      <w:pPr>
        <w:spacing w:after="0" w:line="222" w:lineRule="exact"/>
        <w:rPr>
          <w:sz w:val="20"/>
          <w:szCs w:val="20"/>
          <w:color w:val="auto"/>
        </w:rPr>
      </w:pPr>
    </w:p>
    <w:p>
      <w:pPr>
        <w:jc w:val="both"/>
        <w:ind w:firstLine="1298"/>
        <w:spacing w:after="0" w:line="285" w:lineRule="auto"/>
        <w:tabs>
          <w:tab w:leader="none" w:pos="205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(i) If, on any date, the Agent notifies the Borrower that, on any interest payment date, the sum of (A) the aggregate principal amount of all Advances denominated in Dollars then outstanding plus (B) the Equivalent in Dollars (determined on the third Business Day prior to such interest payment date) of the aggregate principal amount of all Advances denominated in Committed Currencies then outstanding exceeds 105% of the aggregate Commitments of the Lenders on such date, the Borrower shall, as soon as practicable and in any event within two Business Days after receipt of such notice, subject to the proviso to this sentence set forth below, prepay the outstanding principal amount of any Advances owing by the Borrower in an aggregate amount sufficient to reduce such sum to an amount not to exceed 100% of the aggregate Commitments of the Lenders on such date </w:t>
      </w:r>
      <w:r>
        <w:rPr>
          <w:rFonts w:ascii="Arial" w:cs="Arial" w:eastAsia="Arial" w:hAnsi="Arial"/>
          <w:sz w:val="16"/>
          <w:szCs w:val="16"/>
          <w:u w:val="single" w:color="auto"/>
          <w:color w:val="auto"/>
        </w:rPr>
        <w:t>together with</w:t>
      </w:r>
      <w:r>
        <w:rPr>
          <w:rFonts w:ascii="Arial" w:cs="Arial" w:eastAsia="Arial" w:hAnsi="Arial"/>
          <w:sz w:val="16"/>
          <w:szCs w:val="16"/>
          <w:color w:val="auto"/>
        </w:rPr>
        <w:t xml:space="preserve"> </w:t>
      </w:r>
      <w:r>
        <w:rPr>
          <w:rFonts w:ascii="Arial" w:cs="Arial" w:eastAsia="Arial" w:hAnsi="Arial"/>
          <w:sz w:val="16"/>
          <w:szCs w:val="16"/>
          <w:u w:val="single" w:color="auto"/>
          <w:color w:val="auto"/>
        </w:rPr>
        <w:t>any interest accrued to the date of such prepayment on the aggregate principal amount of Advances prepaid; provided that if the aggregate principal amount of Base Rate Advances outstanding at the time of such required prepayment is less than the amount of such required prepayment, the portion of such required prepayment in excess of the aggregate principal amount of Base Rate Advances then outstanding shall be deferred until the earliest to occur of the last day of the Interest Period of the outstanding Eurocurrency Rate Advances in an aggregate amount equal to the excess of such required prepayment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Agent shall</w:t>
      </w:r>
      <w:r>
        <w:rPr>
          <w:rFonts w:ascii="Arial" w:cs="Arial" w:eastAsia="Arial" w:hAnsi="Arial"/>
          <w:sz w:val="16"/>
          <w:szCs w:val="16"/>
          <w:color w:val="auto"/>
        </w:rPr>
        <w:t xml:space="preserve"> </w:t>
      </w:r>
      <w:r>
        <w:rPr>
          <w:rFonts w:ascii="Arial" w:cs="Arial" w:eastAsia="Arial" w:hAnsi="Arial"/>
          <w:sz w:val="16"/>
          <w:szCs w:val="16"/>
          <w:u w:val="single" w:color="auto"/>
          <w:color w:val="auto"/>
        </w:rPr>
        <w:t>give prompt notice of any prepayment required under this Section 2.11(b) to the Borrower and the Lenders, and shall provide prompt notice to the Borrower of any such notice of required prepayment received by it from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5374005</wp:posOffset>
            </wp:positionH>
            <wp:positionV relativeFrom="paragraph">
              <wp:posOffset>-707390</wp:posOffset>
            </wp:positionV>
            <wp:extent cx="1869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9440" cy="8255"/>
                    </a:xfrm>
                    <a:prstGeom prst="rect">
                      <a:avLst/>
                    </a:prstGeom>
                    <a:noFill/>
                  </pic:spPr>
                </pic:pic>
              </a:graphicData>
            </a:graphic>
          </wp:anchor>
        </w:drawing>
      </w:r>
    </w:p>
    <w:p>
      <w:pPr>
        <w:spacing w:after="0" w:line="181" w:lineRule="exact"/>
        <w:rPr>
          <w:sz w:val="20"/>
          <w:szCs w:val="20"/>
          <w:color w:val="auto"/>
        </w:rPr>
      </w:pPr>
    </w:p>
    <w:p>
      <w:pPr>
        <w:jc w:val="both"/>
        <w:ind w:firstLine="1298"/>
        <w:spacing w:after="0" w:line="278" w:lineRule="auto"/>
        <w:tabs>
          <w:tab w:leader="none" w:pos="2202"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prepayment made pursuant to this Section 2.11(b) shall be made together with any interest accrued to the date of such prepayment on the principal amounts prepaid and, in the case of any prepayment of a Eurocurrency Rate Advance on a date other than the last day of an Interest Period or at its maturity, any additional amounts which the Borrower shall be obligated to reimburse to the Lenders in respect thereof pursuant to Section 8.04(c). The Agent shall give prompt notice of any prepayment required under this Section 2.11(b) to the Borrower and the Lenders.</w:t>
      </w:r>
    </w:p>
    <w:p>
      <w:pPr>
        <w:sectPr>
          <w:pgSz w:w="11900" w:h="16838" w:orient="portrait"/>
          <w:cols w:equalWidth="0" w:num="1">
            <w:col w:w="11420"/>
          </w:cols>
          <w:pgMar w:left="240" w:top="367" w:right="239" w:bottom="0" w:gutter="0" w:footer="0" w:header="0"/>
        </w:sectPr>
      </w:pPr>
    </w:p>
    <w:bookmarkStart w:id="19" w:name="page20"/>
    <w:bookmarkEnd w:id="19"/>
    <w:p>
      <w:pPr>
        <w:jc w:val="both"/>
        <w:ind w:firstLine="1290"/>
        <w:spacing w:after="0" w:line="267"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Increased Costs</w:t>
      </w:r>
      <w:r>
        <w:rPr>
          <w:rFonts w:ascii="Arial" w:cs="Arial" w:eastAsia="Arial" w:hAnsi="Arial"/>
          <w:sz w:val="17"/>
          <w:szCs w:val="17"/>
          <w:color w:val="auto"/>
        </w:rPr>
        <w:t xml:space="preserve">. (a) If, due to either (i) the introduction of or any change in or in the interpretation, administration or application of any law or regulation or (ii) the compliance with any guideline or request from any central bank or other governmental authority including, without limitation, any agency of the European Union or similar monetary or multinational authority (whether or not having the force of law), there shall be any increase in the cost to any Lender Party of agreeing to make or making, funding or maintaining Eurocurrency Rate Advances or of agreeing to issue or of issuing or maintaining or participating in Letters of Credit or of agreeing to make or of making or maintaining Letters of Credit Advances (excluding for purposes of this Section 2.12 any such increased costs resulting from (i) Taxes or Other Taxes (as to which Section 2.15 shall govern), (ii) changes in the basis of taxation of overall net income or overall gross income by the United States or by the foreign jurisdiction or state under the laws of which such Lender Party is organized or has its Applicable Lending Office or any political subdivision thereof and (iii) FATCA), then the Borrower shall from time to time, upon demand by such Lender Party (with a copy of such demand to the Agent), pay to the Agent for the account of such Lender Party additional amounts sufficient to compensate such Lender Party for such increased cost;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reasonable judgment of such Lender Party, be otherwise disadvantageous to such Lender Party. A certificate as to the amount of such increased cost, submitted to the Borrower and the Agent by such Lender Party, shall be conclusive and binding for all purposes, absent manifest error.</w:t>
      </w:r>
    </w:p>
    <w:p>
      <w:pPr>
        <w:spacing w:after="0" w:line="209" w:lineRule="exact"/>
        <w:rPr>
          <w:sz w:val="20"/>
          <w:szCs w:val="20"/>
          <w:color w:val="auto"/>
        </w:rPr>
      </w:pPr>
    </w:p>
    <w:p>
      <w:pPr>
        <w:jc w:val="both"/>
        <w:ind w:firstLine="1298"/>
        <w:spacing w:after="0" w:line="289" w:lineRule="auto"/>
        <w:tabs>
          <w:tab w:leader="none" w:pos="20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any Lender Party determines that compliance with any law or regulation or any guideline or request from any central bank or other governmental authority (whether or not having the force of law) affects or would affect the amount of capital required or expected to be maintained by such Lender Party or any corporation controlling such Lender Party and that the amount of such capital is increased by or based upon the existence of such Lender Party’s commitment to lend hereunder and other commitments of this type, then, upon demand by such Lender Party (with a copy of such demand to the Agent), the Borrower shall pay to the Agent for the account of such Lender Party, from time to time as specified by such Lender Party, additional amounts sufficient to compensate such Lender Party or such corporation in the light of such circumstances, to the extent that such Lender Party reasonably determines such increase in capital to be allocable to the existence of such Lender Party’s commitment to lend hereunder. A certificate as to such amounts submitted to the Borrower and the Agent by such Lender Party shall be conclusive and binding for all purposes, absent manifest error.</w:t>
      </w:r>
    </w:p>
    <w:p>
      <w:pPr>
        <w:spacing w:after="0" w:line="190" w:lineRule="exact"/>
        <w:rPr>
          <w:rFonts w:ascii="Arial" w:cs="Arial" w:eastAsia="Arial" w:hAnsi="Arial"/>
          <w:sz w:val="16"/>
          <w:szCs w:val="16"/>
          <w:color w:val="auto"/>
        </w:rPr>
      </w:pPr>
    </w:p>
    <w:p>
      <w:pPr>
        <w:jc w:val="both"/>
        <w:ind w:firstLine="1298"/>
        <w:spacing w:after="0" w:line="272" w:lineRule="auto"/>
        <w:tabs>
          <w:tab w:leader="none" w:pos="1982"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the avoidance of doubt and notwithstanding anything herein to the contrary, for the purposes of this Section 2.12,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case for this clause (y) pursuant to Basel III, shall in each case be deemed to be a change in law regardless of the date enacted, adopted, issued, promulgated or implemented.</w:t>
      </w:r>
    </w:p>
    <w:p>
      <w:pPr>
        <w:spacing w:after="0" w:line="203"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Notwithstanding any other provision of this Agreement, if any Lender Party shall notify the Agent that the introduction of or any change in or in the interpretation of any law or regulation makes it unlawful, or any central bank or other governmental authority asserts that it is unlawful, for any Lender Party or its Eurocurrency Lending Office to perform its obligations hereunder to make Eurocurrency Rate Advances in Dollars or any Committed Currency or to fund or maintain Eurocurrency Rate Advances in Dollars or any Committed Currency hereunder, (a) each Eurocurrency Rate Advance will automatically, upon such demand, Convert into a Base Rate Advance or an Advance that bears interest at the rate set forth in Section 2.08(a)(i), as the case may be, (i) if such Eurocurrency Rate Advance is denominated in Dollars, be Converted into a Base Rate Advance or an Advance that bears interest at the rate set forth in Section 2.08(a)(i), as the case may be, and (ii) if such Eurocurrency Rate Advance is denominated in any Committed Currency, be exchanged into an Equivalent amount of Dollars and be Converted into a Base Rate Advance or an Advance that bears interest at the rate set forth in Section 2.08(a)(i), as the case may be, and (b) the obligation of the Lender Parties to make Eurocurrency Rate Advances or to Convert Revolving Credit Advances into Eurocurrency Rate Advances shall be suspended until the Agent shall notify the Borrower and the Lender Parties that the circumstances causing such suspension no longer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before making any such demand, each Lender agrees to use reasonable efforts (consistent with its internal policy and legal and regulatory restrictions) to designate a different Eurodollar Lending Office if the making of such a designation would allow such Lender or its Eurodollar Lending Office to continue to perform its obligations to make Eurodollar Rate Advances or to continue to fund or maintain Eurodollar Rate Advances and would not, in the judgment of such Lender, be otherwise disadvantageous to such Lender.</w:t>
      </w:r>
    </w:p>
    <w:p>
      <w:pPr>
        <w:spacing w:after="0" w:line="194" w:lineRule="exact"/>
        <w:rPr>
          <w:sz w:val="20"/>
          <w:szCs w:val="20"/>
          <w:color w:val="auto"/>
        </w:rPr>
      </w:pPr>
    </w:p>
    <w:p>
      <w:pPr>
        <w:jc w:val="both"/>
        <w:ind w:firstLine="1290"/>
        <w:spacing w:after="0" w:line="284"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Payments and Computations</w:t>
      </w:r>
      <w:r>
        <w:rPr>
          <w:rFonts w:ascii="Arial" w:cs="Arial" w:eastAsia="Arial" w:hAnsi="Arial"/>
          <w:sz w:val="16"/>
          <w:szCs w:val="16"/>
          <w:color w:val="auto"/>
        </w:rPr>
        <w:t>. (a) The Borrower shall make each payment hereunder, irrespective of any right of counterclaim or set-off except with respect to principal of, interest on, and other amounts relating to, Advances denominated in a Committed Currency, not later than 11:00 A.M. (New York City time) on the day when due in Dollars to the Agent at the applicable Agent’s Account in same day funds. The Borrower shall make each payment, irrespective of any right of counterclaim or set-off hereunder with respect to principal of, interest on, and other amounts relating to, Advances denominated in a Committed Currency, not later than 11:00 A.M. (at the Payment Office for such Committed Currency) on the day when due in such Committed Currency to the Agent, by deposit of such funds to the applicable Agent’s Account in same day funds. The Agent will promptly thereafter cause to be distributed like funds relating to the payment of principal or interest or facility fees ratably (other than amounts payable pursuant to Section 2.12, 2.15, 2.20 or 8.04(c)) to the Lender Parties for the account of their respective Applicable Lending Offices, and like funds relating to the payment of any other amount payable to any Lender Party to such Lender Party for the account of its Applicable Lending Office, in each case to be applied in accordance with the terms of this Agreement. Upon any Assuming Lender becoming a Lender Party hereunder as a result of a Commitment Increase pursuant to Section 2.19, and upon the Agent’s receipt of such Lender’s Assumption Agreement and recording of the information contained therein in the Register, from and after the applicable Increase Date, as the case may be,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8.07(c), from and after the effective date specified in such Assignment and Assumption, the Agent shall make all payments hereunder and under the Notes in respect of the interest assigned thereby to the Lender Party assignee thereunder, and the parties to such Assignment and Assumption shall make all appropriate adjustments in such payments for periods prior to such effective date directly between themselves.</w:t>
      </w:r>
    </w:p>
    <w:p>
      <w:pPr>
        <w:spacing w:after="0" w:line="200" w:lineRule="exact"/>
        <w:rPr>
          <w:sz w:val="20"/>
          <w:szCs w:val="20"/>
          <w:color w:val="auto"/>
        </w:rPr>
      </w:pPr>
    </w:p>
    <w:p>
      <w:pPr>
        <w:jc w:val="both"/>
        <w:ind w:firstLine="1298"/>
        <w:spacing w:after="0" w:line="295" w:lineRule="auto"/>
        <w:tabs>
          <w:tab w:leader="none" w:pos="205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computations of interest based on Citibank’s base rate and of interest on Advances denominated in Sterling shall be made by the Agent on the basis of a year of 365 or 366 days, as the case may be, and all computations of interest based on the Eurocurrency Rate, the Federal Funds Rate or One Month LIBOR and of fees or Letter of Credit commissions shall be made by the Agent on the basis of a year of 360 days, in each case for the actual number of days (including the first day but excluding the last day) occurring in the period for which such interest fees or commissions are payable. Each determination by the Agent of an interest rate hereunder shall be conclusive and binding for all purposes, absent manifest error.</w:t>
      </w:r>
    </w:p>
    <w:p>
      <w:pPr>
        <w:spacing w:after="0" w:line="186" w:lineRule="exact"/>
        <w:rPr>
          <w:rFonts w:ascii="Arial" w:cs="Arial" w:eastAsia="Arial" w:hAnsi="Arial"/>
          <w:sz w:val="16"/>
          <w:szCs w:val="16"/>
          <w:color w:val="auto"/>
        </w:rPr>
      </w:pPr>
    </w:p>
    <w:p>
      <w:pPr>
        <w:jc w:val="both"/>
        <w:ind w:firstLine="1298"/>
        <w:spacing w:after="0" w:line="278" w:lineRule="auto"/>
        <w:tabs>
          <w:tab w:leader="none" w:pos="20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extension would cause payment of interest on or principal of Eurocurrency Rate Advances to be made in the next following calendar month, such payment shall be made on the next preceding Business Day.</w:t>
      </w:r>
    </w:p>
    <w:p>
      <w:pPr>
        <w:sectPr>
          <w:pgSz w:w="11900" w:h="16838" w:orient="portrait"/>
          <w:cols w:equalWidth="0" w:num="1">
            <w:col w:w="11420"/>
          </w:cols>
          <w:pgMar w:left="240" w:top="367" w:right="239" w:bottom="0" w:gutter="0" w:footer="0" w:header="0"/>
        </w:sectPr>
      </w:pPr>
    </w:p>
    <w:bookmarkStart w:id="20" w:name="page21"/>
    <w:bookmarkEnd w:id="20"/>
    <w:p>
      <w:pPr>
        <w:jc w:val="both"/>
        <w:ind w:firstLine="1298"/>
        <w:spacing w:after="0" w:line="290" w:lineRule="auto"/>
        <w:tabs>
          <w:tab w:leader="none" w:pos="2027"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Unless the Agent shall have received notice from the Borrower prior to the date on which any payment is due to any Lender Party hereunder that the Borrower will not make such payment in full, the Agent may assume that the Borrower has made such payment in full to the Agent on such date and the Agent may, in reliance upon such assumption, cause to be distributed to each Lender Party on such due date an amount equal to the amount then due such Lender Party. If and to the extent the Borrower shall not have so made such payment in full to the Agent, each Lender Party shall repay to the Agent forthwith on demand such amount distributed to such Lender Party together with interest thereon, for each day from the date such amount is distributed to such Lender Party until the date such Lender Party repays such amount to the Agent, at (i) the Federal Funds Rate in the case of Advances denominated in Dollars or (ii) the cost of funds incurred by the Agent in respect of such amount in the case of Advances denominated in Committed Currencies.</w:t>
      </w:r>
    </w:p>
    <w:p>
      <w:pPr>
        <w:spacing w:after="0" w:line="191" w:lineRule="exact"/>
        <w:rPr>
          <w:rFonts w:ascii="Arial" w:cs="Arial" w:eastAsia="Arial" w:hAnsi="Arial"/>
          <w:sz w:val="16"/>
          <w:szCs w:val="16"/>
          <w:color w:val="auto"/>
        </w:rPr>
      </w:pPr>
    </w:p>
    <w:p>
      <w:pPr>
        <w:jc w:val="both"/>
        <w:ind w:firstLine="1298"/>
        <w:spacing w:after="0" w:line="268" w:lineRule="auto"/>
        <w:tabs>
          <w:tab w:leader="none" w:pos="217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To the extent that the Agent receives funds for application to the amounts owing by the Borrower under or in respect of this Agreement or any Note in currencies other than the currency or currencies required to enable the Agent to distribute funds to the Lender</w:t>
      </w:r>
      <w:r>
        <w:rPr>
          <w:rFonts w:ascii="Arial" w:cs="Arial" w:eastAsia="Arial" w:hAnsi="Arial"/>
          <w:sz w:val="17"/>
          <w:szCs w:val="17"/>
          <w:color w:val="auto"/>
        </w:rPr>
        <w:t xml:space="preserve"> Partie</w:t>
      </w:r>
      <w:r>
        <w:rPr>
          <w:rFonts w:ascii="Arial" w:cs="Arial" w:eastAsia="Arial" w:hAnsi="Arial"/>
          <w:sz w:val="17"/>
          <w:szCs w:val="17"/>
          <w:u w:val="single" w:color="auto"/>
          <w:color w:val="auto"/>
        </w:rPr>
        <w:t>s in accordance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 the terms of this Section 2.14, the Agent shall be entitled to convert or exchange such funds into Dollars or into a Committed Currency or from Dollars to a Committed Currency or from a Committed Currency to Dollars, as the case may be, to the extent necessary to enable the Agent to distribute such funds in accordance with the terms of this Section 2.14; provided that the Borrower and each of the Lender Parties hereby agree that the Agent shall not be liable or responsible for any loss, cost or expense suffered by the Borrower or such Lender</w:t>
      </w:r>
      <w:r>
        <w:rPr>
          <w:rFonts w:ascii="Arial" w:cs="Arial" w:eastAsia="Arial" w:hAnsi="Arial"/>
          <w:sz w:val="17"/>
          <w:szCs w:val="17"/>
          <w:color w:val="auto"/>
        </w:rPr>
        <w:t xml:space="preserve"> Party as a result of any conversion or exchange of currencies affected </w:t>
      </w:r>
      <w:r>
        <w:rPr>
          <w:rFonts w:ascii="Arial" w:cs="Arial" w:eastAsia="Arial" w:hAnsi="Arial"/>
          <w:sz w:val="17"/>
          <w:szCs w:val="17"/>
          <w:u w:val="single" w:color="auto"/>
          <w:color w:val="auto"/>
        </w:rPr>
        <w:t>pursuant to this Section 2.14(f) or as a result of the failure of the Agent to effect any such conversion or exchange, other than any loss, cost or expense applicable to the Agent’s gross negligence or willful misconduct; and provided further that the Borrower agrees to indemnify the Agent and each Lender</w:t>
      </w:r>
      <w:r>
        <w:rPr>
          <w:rFonts w:ascii="Arial" w:cs="Arial" w:eastAsia="Arial" w:hAnsi="Arial"/>
          <w:sz w:val="17"/>
          <w:szCs w:val="17"/>
          <w:color w:val="auto"/>
        </w:rPr>
        <w:t xml:space="preserve"> Party</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hold the Agent and each Lender</w:t>
      </w:r>
      <w:r>
        <w:rPr>
          <w:rFonts w:ascii="Arial" w:cs="Arial" w:eastAsia="Arial" w:hAnsi="Arial"/>
          <w:sz w:val="17"/>
          <w:szCs w:val="17"/>
          <w:color w:val="auto"/>
        </w:rPr>
        <w:t xml:space="preserve"> Party </w:t>
      </w:r>
      <w:r>
        <w:rPr>
          <w:rFonts w:ascii="Arial" w:cs="Arial" w:eastAsia="Arial" w:hAnsi="Arial"/>
          <w:sz w:val="17"/>
          <w:szCs w:val="17"/>
          <w:u w:val="single" w:color="auto"/>
          <w:color w:val="auto"/>
        </w:rPr>
        <w:t>harmless, for any and all losses, costs and expenses incurred by the Agent or any Lender</w:t>
      </w:r>
      <w:r>
        <w:rPr>
          <w:rFonts w:ascii="Arial" w:cs="Arial" w:eastAsia="Arial" w:hAnsi="Arial"/>
          <w:sz w:val="17"/>
          <w:szCs w:val="17"/>
          <w:color w:val="auto"/>
        </w:rPr>
        <w:t xml:space="preserve"> Party for any conversion </w:t>
      </w:r>
      <w:r>
        <w:rPr>
          <w:rFonts w:ascii="Arial" w:cs="Arial" w:eastAsia="Arial" w:hAnsi="Arial"/>
          <w:sz w:val="17"/>
          <w:szCs w:val="17"/>
          <w:u w:val="single" w:color="auto"/>
          <w:color w:val="auto"/>
        </w:rPr>
        <w:t>or exchange of currencies (or the failure to convert or exchange any currencies) in accordance with this Section 2.14(f), other than any loss, cost or expense applicable to the Agent’s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-840740</wp:posOffset>
            </wp:positionV>
            <wp:extent cx="46183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18355" cy="8255"/>
                    </a:xfrm>
                    <a:prstGeom prst="rect">
                      <a:avLst/>
                    </a:prstGeom>
                    <a:noFill/>
                  </pic:spPr>
                </pic:pic>
              </a:graphicData>
            </a:graphic>
          </wp:anchor>
        </w:drawing>
        <w:drawing>
          <wp:anchor simplePos="0" relativeHeight="251657728" behindDoc="1" locked="0" layoutInCell="0" allowOverlap="1">
            <wp:simplePos x="0" y="0"/>
            <wp:positionH relativeFrom="column">
              <wp:posOffset>4178935</wp:posOffset>
            </wp:positionH>
            <wp:positionV relativeFrom="paragraph">
              <wp:posOffset>-704215</wp:posOffset>
            </wp:positionV>
            <wp:extent cx="30645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4510"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-721360</wp:posOffset>
            </wp:positionV>
            <wp:extent cx="3065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5145" cy="825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-430530</wp:posOffset>
            </wp:positionV>
            <wp:extent cx="33547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4705" cy="8255"/>
                    </a:xfrm>
                    <a:prstGeom prst="rect">
                      <a:avLst/>
                    </a:prstGeom>
                    <a:noFill/>
                  </pic:spPr>
                </pic:pic>
              </a:graphicData>
            </a:graphic>
          </wp:anchor>
        </w:drawing>
        <w:drawing>
          <wp:anchor simplePos="0" relativeHeight="251657728" behindDoc="1" locked="0" layoutInCell="0" allowOverlap="1">
            <wp:simplePos x="0" y="0"/>
            <wp:positionH relativeFrom="column">
              <wp:posOffset>6347460</wp:posOffset>
            </wp:positionH>
            <wp:positionV relativeFrom="paragraph">
              <wp:posOffset>-294005</wp:posOffset>
            </wp:positionV>
            <wp:extent cx="904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487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-311150</wp:posOffset>
            </wp:positionV>
            <wp:extent cx="898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spacing w:after="0" w:line="187"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Any and all payments by the Borrower to or for the account of any Lender or the Agent hereunder or under the Notes or any other documents to be delivered hereunder shall be made, in accordance with Section 2.14 or the applicable provisions of such other documents, free and clear of and without deduction for any and all present or future taxes, levies, imposts, deductions, charges or withholdings, and all liabilities with respect thereto,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(i) in the case of each Lender Party and the Agent, taxes imposed on its overall net income, and franchise taxes imposed on it in lieu of net income taxes, by the jurisdiction under the laws of which such Lender Party or the Agent (as the case may be) is organized or any political subdivision thereof and, in the case of each Lender Party, taxes imposed on its overall net income, and franchise taxes imposed on it in lieu of net income taxes, by the jurisdiction of such Lender Party’s Applicable Lending Office or any political subdivision thereof and (ii) any United States withholding tax imposed under FATCA (all such non-excluded taxes, levies, imposts, deductions, charges, withholdings and liabilities in respect of payments hereunder or under the Notes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If the Borrower shall be required by law to deduct any Taxes from or in respect of any sum payable hereunder or under any Note or any other documents to be delivered hereunder to any Lender Party or the Agent, (i) the sum payable shall be increased as may be necessary so that after making all required deductions (including deductions applicable to additional sums payable under this Section 2.15) such Lender Party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198" w:lineRule="exact"/>
        <w:rPr>
          <w:sz w:val="20"/>
          <w:szCs w:val="20"/>
          <w:color w:val="auto"/>
        </w:rPr>
      </w:pPr>
    </w:p>
    <w:p>
      <w:pPr>
        <w:jc w:val="both"/>
        <w:ind w:firstLine="1298"/>
        <w:spacing w:after="0" w:line="258" w:lineRule="auto"/>
        <w:tabs>
          <w:tab w:leader="none" w:pos="1997"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addition, the Borrower shall pay any present or future stamp or documentary taxes or any other excise or property taxes, charges or similar levies that arise from any payment made hereunder or under the Notes or any other documents to be delivered hereunder or from the execution, delivery or registration of, performing under, or otherwise with respect to, this Agreement or the Notes or any other documents to be delivered hereunder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jc w:val="both"/>
        <w:ind w:firstLine="1298"/>
        <w:spacing w:after="0" w:line="300" w:lineRule="auto"/>
        <w:tabs>
          <w:tab w:leader="none" w:pos="2006"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Borrower shall indemnify each Lender and the Agent for and hold it harmless against the full amount of Taxes or Other Taxes (including, without limitation, taxes of any kind imposed or asserted by any jurisdiction on amounts payable under this Section 2.15) imposed on or paid by such Lender Party or the Agent (as the case may be) and any liability (including penalties, interest and expenses) arising therefrom or with respect thereto. This indemnification shall be made within 30 days from the date such Lender Party or the Agent (as the case may be) makes written demand therefor.</w:t>
      </w:r>
    </w:p>
    <w:p>
      <w:pPr>
        <w:spacing w:after="0" w:line="182" w:lineRule="exact"/>
        <w:rPr>
          <w:rFonts w:ascii="Arial" w:cs="Arial" w:eastAsia="Arial" w:hAnsi="Arial"/>
          <w:sz w:val="16"/>
          <w:szCs w:val="16"/>
          <w:color w:val="auto"/>
        </w:rPr>
      </w:pPr>
    </w:p>
    <w:p>
      <w:pPr>
        <w:jc w:val="both"/>
        <w:ind w:firstLine="1298"/>
        <w:spacing w:after="0" w:line="283" w:lineRule="auto"/>
        <w:tabs>
          <w:tab w:leader="none" w:pos="2193" w:val="left"/>
        </w:tabs>
        <w:numPr>
          <w:ilvl w:val="1"/>
          <w:numId w:val="30"/>
        </w:numPr>
        <w:rPr>
          <w:rFonts w:ascii="Arial" w:cs="Arial" w:eastAsia="Arial" w:hAnsi="Arial"/>
          <w:sz w:val="16"/>
          <w:szCs w:val="16"/>
          <w:color w:val="auto"/>
        </w:rPr>
      </w:pPr>
      <w:r>
        <w:rPr>
          <w:rFonts w:ascii="Arial" w:cs="Arial" w:eastAsia="Arial" w:hAnsi="Arial"/>
          <w:sz w:val="16"/>
          <w:szCs w:val="16"/>
          <w:color w:val="auto"/>
        </w:rPr>
        <w:t>Within 30 days after the date of any payment of Taxes, the Borrower shall furnish to the Agent, at its address referred to in Section 8.02, the original or a certified copy of a receipt evidencing such payment to the extent such a receipt is issued therefor, or other written proof of payment thereof that is reasonably satisfactory to the Agent. In the case of any payment hereunder or under the Notes or any other documents to be delivered hereunder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and subsection (e), the terms “</w:t>
      </w:r>
      <w:r>
        <w:rPr>
          <w:rFonts w:ascii="Arial" w:cs="Arial" w:eastAsia="Arial" w:hAnsi="Arial"/>
          <w:sz w:val="16"/>
          <w:szCs w:val="16"/>
          <w:u w:val="single" w:color="auto"/>
          <w:color w:val="auto"/>
        </w:rPr>
        <w:t>United States</w:t>
      </w:r>
      <w:r>
        <w:rPr>
          <w:rFonts w:ascii="Arial" w:cs="Arial" w:eastAsia="Arial" w:hAnsi="Arial"/>
          <w:sz w:val="16"/>
          <w:szCs w:val="16"/>
          <w:color w:val="auto"/>
        </w:rPr>
        <w:t>” and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shall have the meanings specified in Section 7701 of the Internal Revenue Code.</w:t>
      </w:r>
    </w:p>
    <w:p>
      <w:pPr>
        <w:spacing w:after="0" w:line="258" w:lineRule="exact"/>
        <w:rPr>
          <w:rFonts w:ascii="Arial" w:cs="Arial" w:eastAsia="Arial" w:hAnsi="Arial"/>
          <w:sz w:val="16"/>
          <w:szCs w:val="16"/>
          <w:color w:val="auto"/>
        </w:rPr>
      </w:pPr>
    </w:p>
    <w:p>
      <w:pPr>
        <w:jc w:val="both"/>
        <w:ind w:firstLine="1298"/>
        <w:spacing w:after="0" w:line="284" w:lineRule="auto"/>
        <w:tabs>
          <w:tab w:leader="none" w:pos="2041"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(i) Each Lender Party organized under the laws of a jurisdiction outside the United States, on or prior to the date of its execution and delivery of this Agreement in the case of each Initial Lender Party and on the date of the Assumption Agreement or the Assignment and Assumption pursuant to which it becomes a Lender Party in the case of each other Lender Party, and from time to time thereafter as reasonably requested in writing by the Borrower (but only so long as such Lender Party remains lawfully able to do so), shall provide each of the Agent and the Borrower with two original Internal Revenue Service forms W-8BEN or W-8ECI, as appropriate, or any successor or other form prescribed by the Internal Revenue Service, certifying that such Lender Party is exempt from or entitled to a reduced rate of United States withholding tax on payments pursuant to this Agreement or the Notes. If the form provided by a Lender Party at the time such Lender Party first becomes a party to this Agreement indicates a United States interest withholding tax rate in excess of zero, withholding tax at such rate shall be considered excluded from Taxes unless and until such Lender Party provides the appropriate forms certifying that a lesser rate applies, whereupon withholding tax at such lesser rate only shall be considered excluded from Taxes for periods governed by such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date of the Assignment and Assumption pursuant to which a Lender Party assignee becomes a party to this Agreement, the Lender Party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Party assignee on such date. If any form or document referred to in this subsection (e) requires the disclosure of information, other than information necessary to compute the tax payable and information required by the Internal Revenue Service, that the Lender Party reasonably considers to be confidential, the Lender shall give notice thereof to the Borrower and shall not be obligated to include in such form or document such confidential information.</w:t>
      </w:r>
    </w:p>
    <w:p>
      <w:pPr>
        <w:spacing w:after="0" w:line="200" w:lineRule="exact"/>
        <w:rPr>
          <w:sz w:val="20"/>
          <w:szCs w:val="20"/>
          <w:color w:val="auto"/>
        </w:rPr>
      </w:pPr>
    </w:p>
    <w:p>
      <w:pPr>
        <w:jc w:val="both"/>
        <w:ind w:firstLine="1298"/>
        <w:spacing w:after="0" w:line="292" w:lineRule="auto"/>
        <w:tabs>
          <w:tab w:leader="none" w:pos="20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 payment made to a Lender Party would be subject to United States federal withholding tax imposed by FATCA if such Lender Party were to fail to comply with the applicable reporting requirements of FATCA (including those contained in Section 1471(b) or 1472(b) of the Internal Revenue Code, as applicable), such Lender Party shall deliver to the Borrower and the Agent, at the time or times prescribed by law and at such time or times reasonably requested in writing by the Borrower, such documentation prescribed by applicable law (including as prescribed by Section 1471(b)(3)(C)(i) of the Internal Revenue Code) and such additional documentation reasonably requested in writing by the Borrower of the Agent as may be necessary for the Borrower or the Agent to comply with their obligations under FATCA, to determine that such Lender Party has complied with such Lender Party’s obligations</w:t>
      </w:r>
    </w:p>
    <w:p>
      <w:pPr>
        <w:sectPr>
          <w:pgSz w:w="11900" w:h="16838" w:orient="portrait"/>
          <w:cols w:equalWidth="0" w:num="1">
            <w:col w:w="11420"/>
          </w:cols>
          <w:pgMar w:left="240" w:top="125" w:right="239" w:bottom="0" w:gutter="0" w:footer="0" w:header="0"/>
        </w:sectPr>
      </w:pPr>
    </w:p>
    <w:bookmarkStart w:id="21" w:name="page22"/>
    <w:bookmarkEnd w:id="21"/>
    <w:p>
      <w:pPr>
        <w:spacing w:after="0" w:line="275" w:lineRule="auto"/>
        <w:rPr>
          <w:sz w:val="20"/>
          <w:szCs w:val="20"/>
          <w:color w:val="auto"/>
        </w:rPr>
      </w:pPr>
      <w:r>
        <w:rPr>
          <w:rFonts w:ascii="Arial" w:cs="Arial" w:eastAsia="Arial" w:hAnsi="Arial"/>
          <w:sz w:val="18"/>
          <w:szCs w:val="18"/>
          <w:color w:val="auto"/>
        </w:rPr>
        <w:t>under FATCA or to determine the amount to deduct and withhold from such payment. For purposes of this Section 2.14(e)(ii) FATCA shall include amendments made to FATCA after the date of this Agreement.</w:t>
      </w:r>
    </w:p>
    <w:p>
      <w:pPr>
        <w:spacing w:after="0" w:line="198" w:lineRule="exact"/>
        <w:rPr>
          <w:sz w:val="20"/>
          <w:szCs w:val="20"/>
          <w:color w:val="auto"/>
        </w:rPr>
      </w:pPr>
    </w:p>
    <w:p>
      <w:pPr>
        <w:jc w:val="both"/>
        <w:ind w:firstLine="1298"/>
        <w:spacing w:after="0" w:line="253" w:lineRule="auto"/>
        <w:tabs>
          <w:tab w:leader="none" w:pos="20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any period with respect to which a Lender Party has failed to provide the Borrower with the appropriate form, certificate or other document described in Section 2.15(e)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if such failure is due to a change in law, or in the interpretation or application thereof, occurring subsequent to the date on which a form, certificate or other document originally was required to be provided, or if such form, certificate or other document otherwise is not required under subsection (e) above), such Lender Party shall not be entitled to indemnification under Section 2.15(a) or (c) with respect to Taxes imposed by the United States by reason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should a Lender Party become subject to Taxes because of its failure to deliver a form, certificate or other document required hereunder, the Borrower shall take such steps as the Lender Party shall reasonably request to assist the Lender Party to recover such Taxes.</w:t>
      </w:r>
    </w:p>
    <w:p>
      <w:pPr>
        <w:spacing w:after="0" w:line="220" w:lineRule="exact"/>
        <w:rPr>
          <w:rFonts w:ascii="Arial" w:cs="Arial" w:eastAsia="Arial" w:hAnsi="Arial"/>
          <w:sz w:val="18"/>
          <w:szCs w:val="18"/>
          <w:color w:val="auto"/>
        </w:rPr>
      </w:pPr>
    </w:p>
    <w:p>
      <w:pPr>
        <w:jc w:val="both"/>
        <w:ind w:firstLine="1298"/>
        <w:spacing w:after="0" w:line="258" w:lineRule="auto"/>
        <w:tabs>
          <w:tab w:leader="none" w:pos="22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Lender Party claiming any additional amounts payable pursuant to this Section 2.15 agrees to use reasonable efforts (consistent with its internal policy and legal and regulatory restrictions) to change the jurisdiction of its Eurodollar Lending Office if the making of such a change would avoid the need for, or reduce the amount of, any such additional amounts that may thereafter accrue and would not, in the reasonable judgment of such Lender Party, be otherwise disadvantageous to such Lender Party.</w:t>
      </w:r>
    </w:p>
    <w:p>
      <w:pPr>
        <w:spacing w:after="0" w:line="212" w:lineRule="exact"/>
        <w:rPr>
          <w:rFonts w:ascii="Arial" w:cs="Arial" w:eastAsia="Arial" w:hAnsi="Arial"/>
          <w:sz w:val="18"/>
          <w:szCs w:val="18"/>
          <w:color w:val="auto"/>
        </w:rPr>
      </w:pPr>
    </w:p>
    <w:p>
      <w:pPr>
        <w:jc w:val="both"/>
        <w:ind w:firstLine="1298"/>
        <w:spacing w:after="0" w:line="253" w:lineRule="auto"/>
        <w:tabs>
          <w:tab w:leader="none" w:pos="20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If any Lender Party determines, in its sole discretion, that it has actually and finally realized, by reason of a refund, deduction or credit of any Taxes paid or reimbursed by the Borrower pursuant to subsection (a) or (c) above in respect of payments under the Credit Agreement or the Notes, a current monetary benefit that it would otherwise not have obtained, and that would result in the total payments under this Section 2.15 exceeding the amount needed to make such Lender Party whole, such Lender Party shall pay to the Borrower, with reasonable promptness following the date on which it actually realizes such benefit, an amount equal to the lesser of the amount of such benefit or the amount of such excess, in each case net of all out-of-pocket expenses in securing such refund, deduction or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be construed to require any Lender to disclose confidential information regarding its tax affairs.</w:t>
      </w:r>
    </w:p>
    <w:p>
      <w:pPr>
        <w:spacing w:after="0" w:line="220"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Sharing of Payments, Etc</w:t>
      </w:r>
      <w:r>
        <w:rPr>
          <w:rFonts w:ascii="Arial" w:cs="Arial" w:eastAsia="Arial" w:hAnsi="Arial"/>
          <w:sz w:val="18"/>
          <w:szCs w:val="18"/>
          <w:color w:val="auto"/>
        </w:rPr>
        <w:t xml:space="preserve">. 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pro rata share thereof as provided herein, then the Lender receiving such greater proportion shall (a) notify the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0" w:lineRule="exact"/>
        <w:rPr>
          <w:sz w:val="20"/>
          <w:szCs w:val="20"/>
          <w:color w:val="auto"/>
        </w:rPr>
      </w:pPr>
    </w:p>
    <w:p>
      <w:pPr>
        <w:ind w:left="660" w:firstLine="638"/>
        <w:spacing w:after="0" w:line="275" w:lineRule="auto"/>
        <w:tabs>
          <w:tab w:leader="none" w:pos="20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97" w:lineRule="exact"/>
        <w:rPr>
          <w:rFonts w:ascii="Arial" w:cs="Arial" w:eastAsia="Arial" w:hAnsi="Arial"/>
          <w:sz w:val="18"/>
          <w:szCs w:val="18"/>
          <w:color w:val="auto"/>
        </w:rPr>
      </w:pPr>
    </w:p>
    <w:p>
      <w:pPr>
        <w:jc w:val="both"/>
        <w:ind w:left="660" w:firstLine="638"/>
        <w:spacing w:after="0" w:line="278" w:lineRule="auto"/>
        <w:tabs>
          <w:tab w:leader="none" w:pos="218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 other than to the Borrower or any Subsidiary thereof (as to which the provisions of this paragraph shall apply).</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9"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Evidence of Debt</w:t>
      </w:r>
      <w:r>
        <w:rPr>
          <w:rFonts w:ascii="Arial" w:cs="Arial" w:eastAsia="Arial" w:hAnsi="Arial"/>
          <w:sz w:val="17"/>
          <w:szCs w:val="17"/>
          <w:color w:val="auto"/>
        </w:rPr>
        <w:t>. (a) Each Lender Party shall maintain in accordance with its usual practice an account or accounts evidencing the indebtedness of the Borrower to such Lender Party resulting from each Revolving Credit Advance owing to such Lender Party from time to time, including the amounts of principal and interest payable and paid to such Lender Party from time to time hereunder in respect of Revolving Credit Advances. The Borrower agrees that upon notice by any Lender Party to the Borrower (with a copy of such notice to the Agent) to the effect that a Note is required or appropriate in order for such Lender Party to evidence (whether for purposes of pledge, enforcement or otherwise) the Revolving Credit Advances owing to, or to be made by, such Lender Party, the Borrower shall promptly execute and deliver to such Lender Party a Note payable to the order of such Lender Party in a principal amount up to the Commitment of such Lender Party.</w:t>
      </w:r>
    </w:p>
    <w:p>
      <w:pPr>
        <w:spacing w:after="0" w:line="203" w:lineRule="exact"/>
        <w:rPr>
          <w:sz w:val="20"/>
          <w:szCs w:val="20"/>
          <w:color w:val="auto"/>
        </w:rPr>
      </w:pPr>
    </w:p>
    <w:p>
      <w:pPr>
        <w:jc w:val="both"/>
        <w:ind w:firstLine="1298"/>
        <w:spacing w:after="0" w:line="295" w:lineRule="auto"/>
        <w:tabs>
          <w:tab w:leader="none" w:pos="212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Register maintained by the Agent pursuant to Section 8.07(c) shall include a control account, and a subsidiary account for each Lender Party,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the Borrower to each Lender Party hereunder and (iv) the amount of any sum received by the Agent from the Borrower hereunder and each Lender Party’s share thereof.</w:t>
      </w:r>
    </w:p>
    <w:p>
      <w:pPr>
        <w:spacing w:after="0" w:line="186" w:lineRule="exact"/>
        <w:rPr>
          <w:rFonts w:ascii="Arial" w:cs="Arial" w:eastAsia="Arial" w:hAnsi="Arial"/>
          <w:sz w:val="16"/>
          <w:szCs w:val="16"/>
          <w:color w:val="auto"/>
        </w:rPr>
      </w:pPr>
    </w:p>
    <w:p>
      <w:pPr>
        <w:jc w:val="both"/>
        <w:ind w:firstLine="1298"/>
        <w:spacing w:after="0" w:line="295" w:lineRule="auto"/>
        <w:tabs>
          <w:tab w:leader="none" w:pos="203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Entries made in good faith by the Agent in the Register pursuant to subsection (b) above, and by each Lender Party in its account or accounts pursuant to subsection (a) above,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amount of principal and interest due and payable or to become due and payable from the Borrower to, in the case of the Register, each Lender and, in the case of such account or accounts, such Lender Party, under this Agreement,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Agent or such Lender Party to make an entry, or any finding that an entry is incorrect, in the Register or such account or accounts shall not limit or otherwise affect the obligations of the Borrower under this Agreement.</w:t>
      </w:r>
    </w:p>
    <w:p>
      <w:pPr>
        <w:spacing w:after="0" w:line="187" w:lineRule="exact"/>
        <w:rPr>
          <w:sz w:val="20"/>
          <w:szCs w:val="20"/>
          <w:color w:val="auto"/>
        </w:rPr>
      </w:pPr>
    </w:p>
    <w:p>
      <w:pPr>
        <w:jc w:val="both"/>
        <w:ind w:firstLine="1290"/>
        <w:spacing w:after="0" w:line="340"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Advances and issuances of Letters of Credit shall be available (and the Borrower agrees that it shall use such proceeds) solely for general corporate purposes of the Borrower and its Subsidiaries, including, without limitation, acquisitions.</w:t>
      </w:r>
    </w:p>
    <w:p>
      <w:pPr>
        <w:spacing w:after="0" w:line="151"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Increase in the Aggregate Commitments</w:t>
      </w:r>
      <w:r>
        <w:rPr>
          <w:rFonts w:ascii="Arial" w:cs="Arial" w:eastAsia="Arial" w:hAnsi="Arial"/>
          <w:sz w:val="17"/>
          <w:szCs w:val="17"/>
          <w:color w:val="auto"/>
        </w:rPr>
        <w:t>. (a) The Borrower may, at any time but in any event not more than once in any calendar year prior to the Termination Date, by notice to the Agent, request that the aggregate amount of the Commitment be increased by an amount of $10,000,000 or an integral multiple of $10,000,000 in excess thereof (each a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to be effective as of a date that is at least 90 days prior to the scheduled Termination Date then in effect (the “</w:t>
      </w:r>
      <w:r>
        <w:rPr>
          <w:rFonts w:ascii="Arial" w:cs="Arial" w:eastAsia="Arial" w:hAnsi="Arial"/>
          <w:sz w:val="17"/>
          <w:szCs w:val="17"/>
          <w:u w:val="single" w:color="auto"/>
          <w:color w:val="auto"/>
        </w:rPr>
        <w:t>Increase Date</w:t>
      </w:r>
      <w:r>
        <w:rPr>
          <w:rFonts w:ascii="Arial" w:cs="Arial" w:eastAsia="Arial" w:hAnsi="Arial"/>
          <w:sz w:val="17"/>
          <w:szCs w:val="17"/>
          <w:color w:val="auto"/>
        </w:rPr>
        <w:t xml:space="preserve">”) as specified in the related notice to the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in no event shall the aggregate amount of the Commitments at any time exceed $1,000,000,000 and (ii) on the date of any request by the Borrower for a Commitment Increase and on the related Increase Date, the applicable conditions set forth in Article III shall be satisfied.</w:t>
      </w:r>
    </w:p>
    <w:p>
      <w:pPr>
        <w:sectPr>
          <w:pgSz w:w="11900" w:h="16838" w:orient="portrait"/>
          <w:cols w:equalWidth="0" w:num="1">
            <w:col w:w="11420"/>
          </w:cols>
          <w:pgMar w:left="240" w:top="125" w:right="239" w:bottom="86" w:gutter="0" w:footer="0" w:header="0"/>
        </w:sectPr>
      </w:pPr>
    </w:p>
    <w:bookmarkStart w:id="22" w:name="page23"/>
    <w:bookmarkEnd w:id="22"/>
    <w:p>
      <w:pPr>
        <w:jc w:val="both"/>
        <w:ind w:firstLine="1298"/>
        <w:spacing w:after="0" w:line="253" w:lineRule="auto"/>
        <w:tabs>
          <w:tab w:leader="none" w:pos="20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Agent shall promptly notify the Lender Parties of a request by the Borrower for a Commitment Increase, which notice shall include (i) the proposed amount of such requested Commitment Increase, (ii) the proposed Increase Date and (iii) the date by which Lender Parties wishing to participate in the Commitment Increase must commit to an increase in the amount of their respective Commitments (the “</w:t>
      </w:r>
      <w:r>
        <w:rPr>
          <w:rFonts w:ascii="Arial" w:cs="Arial" w:eastAsia="Arial" w:hAnsi="Arial"/>
          <w:sz w:val="18"/>
          <w:szCs w:val="18"/>
          <w:u w:val="single" w:color="auto"/>
          <w:color w:val="auto"/>
        </w:rPr>
        <w:t>Commitment Date</w:t>
      </w:r>
      <w:r>
        <w:rPr>
          <w:rFonts w:ascii="Arial" w:cs="Arial" w:eastAsia="Arial" w:hAnsi="Arial"/>
          <w:sz w:val="18"/>
          <w:szCs w:val="18"/>
          <w:color w:val="auto"/>
        </w:rPr>
        <w:t>”). Each Lender Party that is willing to participate in such requested Commitment Increase (each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shall, in its sole discretion, give written notice to the Agent on or prior to the Commitment Date of the amount by which it is willing to increase its Commitment. If the Lender Parties notify the Agent that they are willing to increase the amount of their respective Commitments by an aggregate amount that exceeds the amount of the requested Commitment Increase, the requested Commitment Increase shall be allocated among the Lender Parties willing to participate therein in such proportion as the Agent and the Borrower may agree.</w:t>
      </w:r>
    </w:p>
    <w:p>
      <w:pPr>
        <w:spacing w:after="0" w:line="217" w:lineRule="exact"/>
        <w:rPr>
          <w:rFonts w:ascii="Arial" w:cs="Arial" w:eastAsia="Arial" w:hAnsi="Arial"/>
          <w:sz w:val="18"/>
          <w:szCs w:val="18"/>
          <w:color w:val="auto"/>
        </w:rPr>
      </w:pPr>
    </w:p>
    <w:p>
      <w:pPr>
        <w:jc w:val="both"/>
        <w:ind w:firstLine="1298"/>
        <w:spacing w:after="0" w:line="295" w:lineRule="auto"/>
        <w:tabs>
          <w:tab w:leader="none" w:pos="2106"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Promptly following each Commitment Date, the Agent shall notify the Borrower as to the amount, if any, by which the Lender Parties are willing to participate in the requested Commitment Increase. If the aggregate amount by which the Lender Parties are willing to participate in any requested Commitment Increase on any such Commitment Date is less than the requested Commitment Increase, then the Borrower may extend offers to one or more Eligible Assignees to participate in any portion of the requested Commitment Increase that has not been committed to by the Lender Parties as of the applicable Commitment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Commitment of each such Eligible Assignee shall be in an amount of not less than $5,000,000.</w:t>
      </w:r>
    </w:p>
    <w:p>
      <w:pPr>
        <w:spacing w:after="0" w:line="186" w:lineRule="exact"/>
        <w:rPr>
          <w:rFonts w:ascii="Arial" w:cs="Arial" w:eastAsia="Arial" w:hAnsi="Arial"/>
          <w:sz w:val="16"/>
          <w:szCs w:val="16"/>
          <w:color w:val="auto"/>
        </w:rPr>
      </w:pPr>
    </w:p>
    <w:p>
      <w:pPr>
        <w:jc w:val="both"/>
        <w:ind w:firstLine="1298"/>
        <w:spacing w:after="0" w:line="255" w:lineRule="auto"/>
        <w:tabs>
          <w:tab w:leader="none" w:pos="22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each Increase Date, each Eligible Assignee that accepts an offer to participate in a requested Commitment Increase in accordance with Section 2.19(b) (each such Eligible Assignee, an “</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shall become a Lender Party to this Agreement as of such Increase Date and the Commitment of each Increasing Lender Party for such requested Commitment Increase shall be so increased by such amount (or by the amount allocated to such Lender Party pursuant to the last sentence of Section 2.19(b)) as of such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Agent shall have received on or before such Increase Date the following, each dated such date:</w:t>
      </w:r>
    </w:p>
    <w:p>
      <w:pPr>
        <w:spacing w:after="0" w:line="218" w:lineRule="exact"/>
        <w:rPr>
          <w:sz w:val="20"/>
          <w:szCs w:val="20"/>
          <w:color w:val="auto"/>
        </w:rPr>
      </w:pPr>
    </w:p>
    <w:p>
      <w:pPr>
        <w:jc w:val="both"/>
        <w:ind w:left="660" w:firstLine="638"/>
        <w:spacing w:after="0" w:line="262" w:lineRule="auto"/>
        <w:tabs>
          <w:tab w:leader="none" w:pos="20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certified copies of resolutions of the Board of Directors of the Borrower or the Executive Committee of such Board approving the Commitment Increase and the corresponding modifications to this Agreement and (B) an opinion of counsel for the Borrower (which may be in-house counsel), in substantially the form of Exhibit E hereto;</w:t>
      </w:r>
    </w:p>
    <w:p>
      <w:pPr>
        <w:spacing w:after="0" w:line="209" w:lineRule="exact"/>
        <w:rPr>
          <w:rFonts w:ascii="Arial" w:cs="Arial" w:eastAsia="Arial" w:hAnsi="Arial"/>
          <w:sz w:val="18"/>
          <w:szCs w:val="18"/>
          <w:color w:val="auto"/>
        </w:rPr>
      </w:pPr>
    </w:p>
    <w:p>
      <w:pPr>
        <w:ind w:left="660" w:firstLine="638"/>
        <w:spacing w:after="0" w:line="275" w:lineRule="auto"/>
        <w:tabs>
          <w:tab w:leader="none" w:pos="21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assumption agreement from each Assuming Lender, if any, in form and substance satisfactory to the Borrower and the Agent (each an “</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duly executed by such Eligible Assignee, the Agent and the Borrower; and</w:t>
      </w:r>
    </w:p>
    <w:p>
      <w:pPr>
        <w:spacing w:after="0" w:line="197" w:lineRule="exact"/>
        <w:rPr>
          <w:rFonts w:ascii="Arial" w:cs="Arial" w:eastAsia="Arial" w:hAnsi="Arial"/>
          <w:sz w:val="18"/>
          <w:szCs w:val="18"/>
          <w:color w:val="auto"/>
        </w:rPr>
      </w:pPr>
    </w:p>
    <w:p>
      <w:pPr>
        <w:ind w:left="660" w:firstLine="638"/>
        <w:spacing w:after="0" w:line="275" w:lineRule="auto"/>
        <w:tabs>
          <w:tab w:leader="none" w:pos="22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confirmation from each Increasing Lender of the increase in the amount of its Commitment in a writing satisfactory to the Borrower and the Agent.</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each Increase Date, upon fulfillment of the conditions set forth in the immediately preceding sentence of this Section 2.19(d), the Agent shall notify the Lender Parties (including, without limitation, each Assuming Lender) and the Borrower, on or before 1:00 P.M. (New York City time), by telecopier, of the occurrence of the Commitment Increase to be effected on such Increase Date and shall record in the Register the relevant information with respect to each Increasing Lender and each Assuming Lender on such date.</w:t>
      </w:r>
    </w:p>
    <w:p>
      <w:pPr>
        <w:spacing w:after="0" w:line="212" w:lineRule="exact"/>
        <w:rPr>
          <w:sz w:val="20"/>
          <w:szCs w:val="20"/>
          <w:color w:val="auto"/>
        </w:rPr>
      </w:pPr>
    </w:p>
    <w:p>
      <w:pPr>
        <w:ind w:right="640" w:firstLine="1290"/>
        <w:spacing w:after="0" w:line="275"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(a) If a Lender becomes, and during the period it remains, a Defaulting Lender, the following provisions shall apply:</w:t>
      </w:r>
    </w:p>
    <w:p>
      <w:pPr>
        <w:spacing w:after="0" w:line="198" w:lineRule="exact"/>
        <w:rPr>
          <w:sz w:val="20"/>
          <w:szCs w:val="20"/>
          <w:color w:val="auto"/>
        </w:rPr>
      </w:pPr>
    </w:p>
    <w:p>
      <w:pPr>
        <w:jc w:val="both"/>
        <w:ind w:left="660" w:firstLine="638"/>
        <w:spacing w:after="0" w:line="271" w:lineRule="auto"/>
        <w:tabs>
          <w:tab w:leader="none" w:pos="196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unless a Default has occurred and is continuing, such Defaulting Lenders’ Pro Rata Share of the L/C Obligations will, subject to the limitation in the first proviso below, automatically be reallocated (effective on the day such Lender becomes a Defaulting Lender) among the Non-Defaulting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their respective Revolving Credit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sum of each Non-Defaulting Lender’s aggregate principal amount of Advances and allocated share of the L/C Obligations may not in any event exceed the Revolving Credit Commitment of such Non-Defaulting Lender as in effect at the time of such reallocation and (B) neither such reallocation nor any payment by a Non-Defaulting Lender pursuant thereto will constitute a waiver or release of any claim the Borrower, the Agent, any Issuing Bank or any other Lender may have against such Defaulting Lender or cause such Defaulting Lender to be a Non-Defaulting Lender;</w:t>
      </w:r>
    </w:p>
    <w:p>
      <w:pPr>
        <w:spacing w:after="0" w:line="202" w:lineRule="exact"/>
        <w:rPr>
          <w:rFonts w:ascii="Arial" w:cs="Arial" w:eastAsia="Arial" w:hAnsi="Arial"/>
          <w:sz w:val="17"/>
          <w:szCs w:val="17"/>
          <w:color w:val="auto"/>
        </w:rPr>
      </w:pPr>
    </w:p>
    <w:p>
      <w:pPr>
        <w:jc w:val="both"/>
        <w:ind w:left="660" w:firstLine="638"/>
        <w:spacing w:after="0" w:line="254" w:lineRule="auto"/>
        <w:tabs>
          <w:tab w:leader="none" w:pos="21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extent that any portion (the “</w:t>
      </w:r>
      <w:r>
        <w:rPr>
          <w:rFonts w:ascii="Arial" w:cs="Arial" w:eastAsia="Arial" w:hAnsi="Arial"/>
          <w:sz w:val="18"/>
          <w:szCs w:val="18"/>
          <w:u w:val="single" w:color="auto"/>
          <w:color w:val="auto"/>
        </w:rPr>
        <w:t>unreallocated portion</w:t>
      </w:r>
      <w:r>
        <w:rPr>
          <w:rFonts w:ascii="Arial" w:cs="Arial" w:eastAsia="Arial" w:hAnsi="Arial"/>
          <w:sz w:val="18"/>
          <w:szCs w:val="18"/>
          <w:color w:val="auto"/>
        </w:rPr>
        <w:t>”) of the Defaulting Lender’s share of the L/C Obligations cannot be so reallocated, whether by reason of the first proviso in clause (i) above or otherwise, the Borrower will, not later than three Business Days after demand by the Agent (at the direction of an Issuing Bank), (A) Cash Collateralize the obligations of the Borrower in respect of such L/C Obligations in an amount at least equal to the aggregate amount of the unreallocated portion of such L/C Obligations, or (B) make other arrangements satisfactory to the Agent and each Issuing Bank, as the case may be, in their sole discretion to protect them against the risk of non-payment by such Defaulting Lender; and</w:t>
      </w:r>
    </w:p>
    <w:p>
      <w:pPr>
        <w:spacing w:after="0" w:line="218" w:lineRule="exact"/>
        <w:rPr>
          <w:rFonts w:ascii="Arial" w:cs="Arial" w:eastAsia="Arial" w:hAnsi="Arial"/>
          <w:sz w:val="18"/>
          <w:szCs w:val="18"/>
          <w:color w:val="auto"/>
        </w:rPr>
      </w:pPr>
    </w:p>
    <w:p>
      <w:pPr>
        <w:jc w:val="both"/>
        <w:ind w:left="660" w:firstLine="638"/>
        <w:spacing w:after="0" w:line="283" w:lineRule="auto"/>
        <w:tabs>
          <w:tab w:leader="none" w:pos="1638"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any amount paid by the Borrower or otherwise received by the Agent for the account of a Defaulting Lender under this Agreement (whether on account of principal, interest, fees, indemnity payments or other amounts) will not be paid or distributed to such Defaulting Lender, but will instead be retained by the Agent in a segregated non-interest bearing account until (subject to Section 2.20(d)) the termination of the Revolving Credit Commitments and payment in full of all obligations of the Borrower hereunder and will be applied by the Agent, to the fullest extent permitted by law, to the making of payments from time to time in the following order of priority: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Agent under this Agreement,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of any amounts owing by such Defaulting Lender to an Issuing Bank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as to the respective amounts owing to each of them) under this Agreement,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the payment of post-default interest and then current interest due and payable to the Lenders hereunder other than Defaulting Lenders, ratably among them in accordance with the amounts of such interest then due and payable to them,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Event of Default exists), to the funding of any Advance in respect of which such Defaulting Lender has failed to fund its portion thereof as required by this Agreement, as determined by the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payment of fees then due and payable to the Non-Defaulting Lenders hereunder, ratably among them in accordance with the amounts of such fees then due and payable to them,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pay principal then due and payable to the Non-Defaulting Lenders hereunder ratably in accordance with the amounts thereof then due and payable to them,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ratable payment of other amounts then due and payable to the Non-Defaulting Lenders,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fund the Cash Collateralization requirements specified in clause (ii) above, </w:t>
      </w:r>
      <w:r>
        <w:rPr>
          <w:rFonts w:ascii="Arial" w:cs="Arial" w:eastAsia="Arial" w:hAnsi="Arial"/>
          <w:sz w:val="16"/>
          <w:szCs w:val="16"/>
          <w:u w:val="single" w:color="auto"/>
          <w:color w:val="auto"/>
        </w:rPr>
        <w:t>ninth</w:t>
      </w:r>
      <w:r>
        <w:rPr>
          <w:rFonts w:ascii="Arial" w:cs="Arial" w:eastAsia="Arial" w:hAnsi="Arial"/>
          <w:sz w:val="16"/>
          <w:szCs w:val="16"/>
          <w:color w:val="auto"/>
        </w:rPr>
        <w:t xml:space="preserve">,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tenth</w:t>
      </w:r>
      <w:r>
        <w:rPr>
          <w:rFonts w:ascii="Arial" w:cs="Arial" w:eastAsia="Arial" w:hAnsi="Arial"/>
          <w:sz w:val="16"/>
          <w:szCs w:val="16"/>
          <w:color w:val="auto"/>
        </w:rPr>
        <w:t xml:space="preserve"> after the termination of the Revolving Credit Commitments and payment in full of all obligations of the Borrower hereunder, to pay amounts owing under this Agreement to such Defaulting Lender or as a court of competent jurisdiction may otherwise direct. Any payments, prepayments or other amounts paid or payable to a Defaulting Lender that are applied (or held) to pay amounts owed by a Defaulting Lender or to post cash collateral pursuant to this Section 2.20 shall be deemed paid to and redirected by such Defaulting Lender, and each Lender irrevocably consents hereto.</w:t>
      </w:r>
    </w:p>
    <w:p>
      <w:pPr>
        <w:sectPr>
          <w:pgSz w:w="11900" w:h="16838" w:orient="portrait"/>
          <w:cols w:equalWidth="0" w:num="1">
            <w:col w:w="11420"/>
          </w:cols>
          <w:pgMar w:left="240" w:top="125" w:right="239" w:bottom="0" w:gutter="0" w:footer="0" w:header="0"/>
        </w:sectPr>
      </w:pPr>
    </w:p>
    <w:bookmarkStart w:id="23" w:name="page24"/>
    <w:bookmarkEnd w:id="23"/>
    <w:p>
      <w:pPr>
        <w:jc w:val="both"/>
        <w:ind w:left="660" w:firstLine="645"/>
        <w:spacing w:after="0" w:line="274" w:lineRule="auto"/>
        <w:rPr>
          <w:sz w:val="20"/>
          <w:szCs w:val="20"/>
          <w:color w:val="auto"/>
        </w:rPr>
      </w:pPr>
      <w:r>
        <w:rPr>
          <w:rFonts w:ascii="Arial" w:cs="Arial" w:eastAsia="Arial" w:hAnsi="Arial"/>
          <w:sz w:val="17"/>
          <w:szCs w:val="17"/>
          <w:color w:val="auto"/>
        </w:rPr>
        <w:t>In furtherance of the foregoing, if any Lender becomes, and during the period it remains, a Defaulting Lender, each Issuing Bank is hereby authorized by the Borrower (which authorization is irrevocable and coupled with an interest) to give, in its discretion, through the Agent, Notices of Borrowing pursuant to Section 3.02 in such amounts and in such times as may be required to (i) reimburse an outstanding drawing under a Letter of Credit or (ii) Cash Collateralize the obligations of the Borrower in respect of outstanding Letters of Credit in an amount at least equal to the aggregate amount of the obligations (contingent or otherwise) of such Defaulting Lender in respect of such Letter of Credit.</w:t>
      </w:r>
    </w:p>
    <w:p>
      <w:pPr>
        <w:spacing w:after="0" w:line="202" w:lineRule="exact"/>
        <w:rPr>
          <w:sz w:val="20"/>
          <w:szCs w:val="20"/>
          <w:color w:val="auto"/>
        </w:rPr>
      </w:pPr>
    </w:p>
    <w:p>
      <w:pPr>
        <w:jc w:val="both"/>
        <w:ind w:firstLine="1298"/>
        <w:spacing w:after="0" w:line="258" w:lineRule="auto"/>
        <w:tabs>
          <w:tab w:leader="none" w:pos="22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Commitment of any Lender shall be increased or otherwise affected, and, except as otherwise expressly provided in this Section 2.20, performance by the Borrower of its obligations shall not be excused or otherwise modified as a result of the operation of this Section 2.20. The rights and remedies against a Defaulting Lender under this Section 2.20 are in addition to any other rights and remedies which the Borrower, the Agent, any Issuing Bank or any Lender may have against such Defaulting Lender.</w:t>
      </w:r>
    </w:p>
    <w:p>
      <w:pPr>
        <w:spacing w:after="0" w:line="212" w:lineRule="exact"/>
        <w:rPr>
          <w:rFonts w:ascii="Arial" w:cs="Arial" w:eastAsia="Arial" w:hAnsi="Arial"/>
          <w:sz w:val="18"/>
          <w:szCs w:val="18"/>
          <w:color w:val="auto"/>
        </w:rPr>
      </w:pPr>
    </w:p>
    <w:p>
      <w:pPr>
        <w:jc w:val="both"/>
        <w:ind w:firstLine="1298"/>
        <w:spacing w:after="0" w:line="252" w:lineRule="auto"/>
        <w:tabs>
          <w:tab w:leader="none" w:pos="21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the Borrower and the Agent agree in writing in their reasonable determination that a Defaulting Lender should no longer be deemed to be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Agent may determine to be necessary to cause the Advances to be funded and held on a pro rata basis by the Lenders in accordance with their Revolving Credit Commitments,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222"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u w:val="single" w:color="auto"/>
          <w:color w:val="auto"/>
        </w:rPr>
        <w:t>Replacement of Lenders</w:t>
      </w:r>
      <w:r>
        <w:rPr>
          <w:rFonts w:ascii="Arial" w:cs="Arial" w:eastAsia="Arial" w:hAnsi="Arial"/>
          <w:sz w:val="17"/>
          <w:szCs w:val="17"/>
          <w:color w:val="auto"/>
        </w:rPr>
        <w:t xml:space="preserve">. If any Lender requests compensation under Section 2.12, or if the Borrower is required to pay additional amounts to any Lender or any governmental authority for the account of any Lender pursuant to Section 2.15 and, in each case, such Lender has declined or is unable to designate a different Applicable Lending Office in accordance with Section 2.12(a) or 2.15(g), or if any Lender is a Defaulting Lender or a Non-Approving Lender, then the Borrower may, at its sole expense and effort and so long as no Default is continuing, upon notice to such Lender and the Agent, require such Lender to assign and delegate, without recourse (in accordance with and subject to the restrictions contained in, and consents required by, Section 8.07), all of its interests, rights and obligations under this Agreement to an Eligible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03" w:lineRule="exact"/>
        <w:rPr>
          <w:sz w:val="20"/>
          <w:szCs w:val="20"/>
          <w:color w:val="auto"/>
        </w:rPr>
      </w:pPr>
    </w:p>
    <w:p>
      <w:pPr>
        <w:ind w:left="1980" w:hanging="68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have paid to the Agent the assignment fee (if any) specified in Section 8.07;</w:t>
      </w:r>
    </w:p>
    <w:p>
      <w:pPr>
        <w:spacing w:after="0" w:line="250" w:lineRule="exact"/>
        <w:rPr>
          <w:rFonts w:ascii="Arial" w:cs="Arial" w:eastAsia="Arial" w:hAnsi="Arial"/>
          <w:sz w:val="18"/>
          <w:szCs w:val="18"/>
          <w:color w:val="auto"/>
        </w:rPr>
      </w:pPr>
    </w:p>
    <w:p>
      <w:pPr>
        <w:jc w:val="both"/>
        <w:ind w:firstLine="1298"/>
        <w:spacing w:after="0" w:line="262" w:lineRule="auto"/>
        <w:tabs>
          <w:tab w:leader="none" w:pos="19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Advances, accrued interest thereon, accrued fees and all other amounts payable to it hereunder (including any amounts under Section 8.04(e)) from the assignee (to the extent of such outstanding principal and accrued interest and fees) or the Borrower (in the case of all other amounts);</w:t>
      </w:r>
    </w:p>
    <w:p>
      <w:pPr>
        <w:spacing w:after="0" w:line="209" w:lineRule="exact"/>
        <w:rPr>
          <w:rFonts w:ascii="Arial" w:cs="Arial" w:eastAsia="Arial" w:hAnsi="Arial"/>
          <w:sz w:val="18"/>
          <w:szCs w:val="18"/>
          <w:color w:val="auto"/>
        </w:rPr>
      </w:pPr>
    </w:p>
    <w:p>
      <w:pPr>
        <w:ind w:firstLine="1298"/>
        <w:spacing w:after="0" w:line="275" w:lineRule="auto"/>
        <w:tabs>
          <w:tab w:leader="none" w:pos="20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claim for compensation under Section 2.12 or payments required to be made pursuant to Section 2.15, such assignment will result in a reduction in such compensation or payments thereafter;</w:t>
      </w:r>
    </w:p>
    <w:p>
      <w:pPr>
        <w:spacing w:after="0" w:line="197" w:lineRule="exact"/>
        <w:rPr>
          <w:rFonts w:ascii="Arial" w:cs="Arial" w:eastAsia="Arial" w:hAnsi="Arial"/>
          <w:sz w:val="18"/>
          <w:szCs w:val="18"/>
          <w:color w:val="auto"/>
        </w:rPr>
      </w:pPr>
    </w:p>
    <w:p>
      <w:pPr>
        <w:ind w:left="2000" w:hanging="702"/>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250" w:lineRule="exact"/>
        <w:rPr>
          <w:rFonts w:ascii="Arial" w:cs="Arial" w:eastAsia="Arial" w:hAnsi="Arial"/>
          <w:sz w:val="18"/>
          <w:szCs w:val="18"/>
          <w:color w:val="auto"/>
        </w:rPr>
      </w:pPr>
    </w:p>
    <w:p>
      <w:pPr>
        <w:ind w:right="20" w:firstLine="1298"/>
        <w:spacing w:after="0" w:line="275" w:lineRule="auto"/>
        <w:tabs>
          <w:tab w:leader="none" w:pos="21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any assignment resulting from a Lender becoming a Non-Approving Lender, the applicable assignee shall have consented to the applicable amendment, waiver or consent.</w:t>
      </w:r>
    </w:p>
    <w:p>
      <w:pPr>
        <w:spacing w:after="0" w:line="198"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EFFECTIVENESS AND LENDING</w:t>
      </w:r>
    </w:p>
    <w:p>
      <w:pPr>
        <w:spacing w:after="0" w:line="250"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 of Section 2.01</w:t>
      </w:r>
      <w:r>
        <w:rPr>
          <w:rFonts w:ascii="Arial" w:cs="Arial" w:eastAsia="Arial" w:hAnsi="Arial"/>
          <w:sz w:val="18"/>
          <w:szCs w:val="18"/>
          <w:color w:val="auto"/>
        </w:rPr>
        <w:t>. Section 2.01 of this Agreement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w:t>
      </w:r>
    </w:p>
    <w:p>
      <w:pPr>
        <w:spacing w:after="0" w:line="198" w:lineRule="exact"/>
        <w:rPr>
          <w:sz w:val="20"/>
          <w:szCs w:val="20"/>
          <w:color w:val="auto"/>
        </w:rPr>
      </w:pPr>
    </w:p>
    <w:p>
      <w:pPr>
        <w:ind w:left="1980" w:hanging="68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shall have occurred no Material Adverse Change since December 31, 2010.</w:t>
      </w:r>
    </w:p>
    <w:p>
      <w:pPr>
        <w:spacing w:after="0" w:line="250" w:lineRule="exact"/>
        <w:rPr>
          <w:rFonts w:ascii="Arial" w:cs="Arial" w:eastAsia="Arial" w:hAnsi="Arial"/>
          <w:sz w:val="18"/>
          <w:szCs w:val="18"/>
          <w:color w:val="auto"/>
        </w:rPr>
      </w:pPr>
    </w:p>
    <w:p>
      <w:pPr>
        <w:jc w:val="both"/>
        <w:ind w:left="660" w:firstLine="638"/>
        <w:spacing w:after="0" w:line="258" w:lineRule="auto"/>
        <w:tabs>
          <w:tab w:leader="none" w:pos="20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shall exist no action, suit, investigation, litigation or proceeding affecting the Borrower or any of its Subsidiaries pending or, to the knowledge of the Borrower, threatened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212" w:lineRule="exact"/>
        <w:rPr>
          <w:rFonts w:ascii="Arial" w:cs="Arial" w:eastAsia="Arial" w:hAnsi="Arial"/>
          <w:sz w:val="18"/>
          <w:szCs w:val="18"/>
          <w:color w:val="auto"/>
        </w:rPr>
      </w:pPr>
    </w:p>
    <w:p>
      <w:pPr>
        <w:jc w:val="both"/>
        <w:ind w:left="660" w:firstLine="638"/>
        <w:spacing w:after="0" w:line="258" w:lineRule="auto"/>
        <w:tabs>
          <w:tab w:leader="none" w:pos="20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Nothing shall have come to the attention of the Lender Parties during the course of their due diligence investigation to lead them to believe that the Information Memorandum was or has become misleading, incorrect or incomplete in any material respect; without limiting the generality of the foregoing, the Lender Parties shall have been given such access to the management, records, books of account, contracts and properties of the Borrower and its Subsidiaries as they shall have requested.</w:t>
      </w:r>
    </w:p>
    <w:p>
      <w:pPr>
        <w:spacing w:after="0" w:line="212" w:lineRule="exact"/>
        <w:rPr>
          <w:rFonts w:ascii="Arial" w:cs="Arial" w:eastAsia="Arial" w:hAnsi="Arial"/>
          <w:sz w:val="18"/>
          <w:szCs w:val="18"/>
          <w:color w:val="auto"/>
        </w:rPr>
      </w:pPr>
    </w:p>
    <w:p>
      <w:pPr>
        <w:jc w:val="both"/>
        <w:ind w:left="660" w:firstLine="638"/>
        <w:spacing w:after="0" w:line="258" w:lineRule="auto"/>
        <w:tabs>
          <w:tab w:leader="none" w:pos="20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governmental and third party consents and approvals necessary in connection with the transactions contemplated hereby shall have been obtained (without the imposition of any conditions that are not acceptable to the Lender Parties) and shall remain in effect, and no law or regulation shall be applicable in the reasonable judgment of the Lender Parties that restrains, prevents or imposes materially adverse conditions upon the transactions contemplated hereby.</w:t>
      </w:r>
    </w:p>
    <w:p>
      <w:pPr>
        <w:spacing w:after="0" w:line="212" w:lineRule="exact"/>
        <w:rPr>
          <w:rFonts w:ascii="Arial" w:cs="Arial" w:eastAsia="Arial" w:hAnsi="Arial"/>
          <w:sz w:val="18"/>
          <w:szCs w:val="18"/>
          <w:color w:val="auto"/>
        </w:rPr>
      </w:pPr>
    </w:p>
    <w:p>
      <w:pPr>
        <w:ind w:left="1980" w:hanging="68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shall have notified the Agent in writing as to the proposed Effective Date.</w:t>
      </w:r>
    </w:p>
    <w:p>
      <w:pPr>
        <w:spacing w:after="0" w:line="250" w:lineRule="exact"/>
        <w:rPr>
          <w:rFonts w:ascii="Arial" w:cs="Arial" w:eastAsia="Arial" w:hAnsi="Arial"/>
          <w:sz w:val="18"/>
          <w:szCs w:val="18"/>
          <w:color w:val="auto"/>
        </w:rPr>
      </w:pPr>
    </w:p>
    <w:p>
      <w:pPr>
        <w:ind w:left="660" w:right="20" w:firstLine="638"/>
        <w:spacing w:after="0" w:line="275" w:lineRule="auto"/>
        <w:tabs>
          <w:tab w:leader="none" w:pos="19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shall have paid all accrued fees and expenses of the Agent and the Lenders (including the accrued fees and expenses of counsel to the Agent).</w:t>
      </w:r>
    </w:p>
    <w:p>
      <w:pPr>
        <w:sectPr>
          <w:pgSz w:w="11900" w:h="16838" w:orient="portrait"/>
          <w:cols w:equalWidth="0" w:num="1">
            <w:col w:w="11420"/>
          </w:cols>
          <w:pgMar w:left="240" w:top="125" w:right="239" w:bottom="0" w:gutter="0" w:footer="0" w:header="0"/>
        </w:sectPr>
      </w:pPr>
    </w:p>
    <w:bookmarkStart w:id="24" w:name="page25"/>
    <w:bookmarkEnd w:id="24"/>
    <w:p>
      <w:pPr>
        <w:ind w:left="660" w:firstLine="638"/>
        <w:spacing w:after="0" w:line="275" w:lineRule="auto"/>
        <w:tabs>
          <w:tab w:leader="none" w:pos="21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for the account of each Lender Party a certificate signed by a duly authorized officer of the Borrower, dated the Effective Date, stating that:</w:t>
      </w:r>
    </w:p>
    <w:p>
      <w:pPr>
        <w:spacing w:after="0" w:line="197" w:lineRule="exact"/>
        <w:rPr>
          <w:rFonts w:ascii="Arial" w:cs="Arial" w:eastAsia="Arial" w:hAnsi="Arial"/>
          <w:sz w:val="18"/>
          <w:szCs w:val="18"/>
          <w:color w:val="auto"/>
        </w:rPr>
      </w:pPr>
    </w:p>
    <w:p>
      <w:pPr>
        <w:ind w:left="2600" w:hanging="657"/>
        <w:spacing w:after="0"/>
        <w:tabs>
          <w:tab w:leader="none" w:pos="2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on and as of the Effective Date, and</w:t>
      </w:r>
    </w:p>
    <w:p>
      <w:pPr>
        <w:spacing w:after="0" w:line="250" w:lineRule="exact"/>
        <w:rPr>
          <w:rFonts w:ascii="Arial" w:cs="Arial" w:eastAsia="Arial" w:hAnsi="Arial"/>
          <w:sz w:val="18"/>
          <w:szCs w:val="18"/>
          <w:color w:val="auto"/>
        </w:rPr>
      </w:pPr>
    </w:p>
    <w:p>
      <w:pPr>
        <w:ind w:left="2660" w:hanging="717"/>
        <w:spacing w:after="0"/>
        <w:tabs>
          <w:tab w:leader="none" w:pos="2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250" w:lineRule="exact"/>
        <w:rPr>
          <w:rFonts w:ascii="Arial" w:cs="Arial" w:eastAsia="Arial" w:hAnsi="Arial"/>
          <w:sz w:val="18"/>
          <w:szCs w:val="18"/>
          <w:color w:val="auto"/>
        </w:rPr>
      </w:pPr>
    </w:p>
    <w:p>
      <w:pPr>
        <w:ind w:left="660" w:right="20" w:firstLine="638"/>
        <w:spacing w:after="0" w:line="275" w:lineRule="auto"/>
        <w:tabs>
          <w:tab w:leader="none" w:pos="2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Agent shall have received on or before the Effective Date the following, each dated such day, in form and substance satisfactory to the Agent and (except for the Notes) in sufficient copies for each Lender:</w:t>
      </w:r>
    </w:p>
    <w:p>
      <w:pPr>
        <w:spacing w:after="0" w:line="197" w:lineRule="exact"/>
        <w:rPr>
          <w:rFonts w:ascii="Arial" w:cs="Arial" w:eastAsia="Arial" w:hAnsi="Arial"/>
          <w:sz w:val="18"/>
          <w:szCs w:val="18"/>
          <w:color w:val="auto"/>
        </w:rPr>
      </w:pPr>
    </w:p>
    <w:p>
      <w:pPr>
        <w:ind w:left="2600" w:hanging="657"/>
        <w:spacing w:after="0"/>
        <w:tabs>
          <w:tab w:leader="none" w:pos="2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Notes to the order of the Lenders to the extent requested by any Lender pursuant to Section 2.17.</w:t>
      </w:r>
    </w:p>
    <w:p>
      <w:pPr>
        <w:spacing w:after="0" w:line="250" w:lineRule="exact"/>
        <w:rPr>
          <w:rFonts w:ascii="Arial" w:cs="Arial" w:eastAsia="Arial" w:hAnsi="Arial"/>
          <w:sz w:val="18"/>
          <w:szCs w:val="18"/>
          <w:color w:val="auto"/>
        </w:rPr>
      </w:pPr>
    </w:p>
    <w:p>
      <w:pPr>
        <w:jc w:val="both"/>
        <w:ind w:left="1300" w:firstLine="643"/>
        <w:spacing w:after="0" w:line="262" w:lineRule="auto"/>
        <w:tabs>
          <w:tab w:leader="none" w:pos="2657" w:val="left"/>
        </w:tabs>
        <w:numPr>
          <w:ilvl w:val="1"/>
          <w:numId w:val="42"/>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209" w:lineRule="exact"/>
        <w:rPr>
          <w:rFonts w:ascii="Arial" w:cs="Arial" w:eastAsia="Arial" w:hAnsi="Arial"/>
          <w:sz w:val="18"/>
          <w:szCs w:val="18"/>
          <w:color w:val="auto"/>
        </w:rPr>
      </w:pPr>
    </w:p>
    <w:p>
      <w:pPr>
        <w:ind w:left="1300" w:firstLine="643"/>
        <w:spacing w:after="0" w:line="306" w:lineRule="auto"/>
        <w:tabs>
          <w:tab w:leader="none" w:pos="2795" w:val="left"/>
        </w:tabs>
        <w:numPr>
          <w:ilvl w:val="1"/>
          <w:numId w:val="42"/>
        </w:numPr>
        <w:rPr>
          <w:rFonts w:ascii="Arial" w:cs="Arial" w:eastAsia="Arial" w:hAnsi="Arial"/>
          <w:sz w:val="17"/>
          <w:szCs w:val="17"/>
          <w:color w:val="auto"/>
        </w:rPr>
      </w:pPr>
      <w:r>
        <w:rPr>
          <w:rFonts w:ascii="Arial" w:cs="Arial" w:eastAsia="Arial" w:hAnsi="Arial"/>
          <w:sz w:val="17"/>
          <w:szCs w:val="17"/>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73" w:lineRule="exact"/>
        <w:rPr>
          <w:rFonts w:ascii="Arial" w:cs="Arial" w:eastAsia="Arial" w:hAnsi="Arial"/>
          <w:sz w:val="17"/>
          <w:szCs w:val="17"/>
          <w:color w:val="auto"/>
        </w:rPr>
      </w:pPr>
    </w:p>
    <w:p>
      <w:pPr>
        <w:ind w:left="1300" w:firstLine="643"/>
        <w:spacing w:after="0" w:line="275" w:lineRule="auto"/>
        <w:tabs>
          <w:tab w:leader="none" w:pos="26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favorable opinion of Godfrey &amp; Kahn, S.C., counsel for the Borrower, substantially in the form of Exhibit E hereto and as to such other matters as any Lender Party through the Agent may reasonably request.</w:t>
      </w:r>
    </w:p>
    <w:p>
      <w:pPr>
        <w:spacing w:after="0" w:line="197" w:lineRule="exact"/>
        <w:rPr>
          <w:rFonts w:ascii="Arial" w:cs="Arial" w:eastAsia="Arial" w:hAnsi="Arial"/>
          <w:sz w:val="18"/>
          <w:szCs w:val="18"/>
          <w:color w:val="auto"/>
        </w:rPr>
      </w:pPr>
    </w:p>
    <w:p>
      <w:pPr>
        <w:ind w:left="2640" w:hanging="697"/>
        <w:spacing w:after="0"/>
        <w:tabs>
          <w:tab w:leader="none" w:pos="26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favorable opinion of Shearman &amp; Sterling LLP, counsel for the Agent, in form and substance satisfactory to the Agent.</w:t>
      </w:r>
    </w:p>
    <w:p>
      <w:pPr>
        <w:spacing w:after="0" w:line="273" w:lineRule="exact"/>
        <w:rPr>
          <w:rFonts w:ascii="Arial" w:cs="Arial" w:eastAsia="Arial" w:hAnsi="Arial"/>
          <w:sz w:val="16"/>
          <w:szCs w:val="16"/>
          <w:color w:val="auto"/>
        </w:rPr>
      </w:pPr>
    </w:p>
    <w:p>
      <w:pPr>
        <w:jc w:val="both"/>
        <w:ind w:left="660" w:firstLine="638"/>
        <w:spacing w:after="0" w:line="258" w:lineRule="auto"/>
        <w:tabs>
          <w:tab w:leader="none" w:pos="19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Borrower shall have terminated the commitments, and paid in full all Debt, interest, fees and other amounts outstanding, under the Five Year Credit Agreement dated as October 8, 2004, as amended, among the Borrower, the lender parties thereto and Citibank, as agent, and each of the Lenders that is a party to such credit facility hereby waives, upon execution of this Agreement, the three Business Days’ notice required by said Credit Agreement relating to the termination of commitments thereunder.</w:t>
      </w:r>
    </w:p>
    <w:p>
      <w:pPr>
        <w:spacing w:after="0" w:line="212" w:lineRule="exact"/>
        <w:rPr>
          <w:sz w:val="20"/>
          <w:szCs w:val="20"/>
          <w:color w:val="auto"/>
        </w:rPr>
      </w:pPr>
    </w:p>
    <w:p>
      <w:pPr>
        <w:jc w:val="both"/>
        <w:ind w:firstLine="1290"/>
        <w:spacing w:after="0" w:line="29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Conditions Precedent to Each Borrowing, Each Issuance of Letters of Credit and Commitment Increase</w:t>
      </w:r>
      <w:r>
        <w:rPr>
          <w:rFonts w:ascii="Arial" w:cs="Arial" w:eastAsia="Arial" w:hAnsi="Arial"/>
          <w:sz w:val="16"/>
          <w:szCs w:val="16"/>
          <w:color w:val="auto"/>
        </w:rPr>
        <w:t>. The obligation of each Lender to make a Revolving Credit Advance on the occasion of each Borrowing, and the obligation of the Issuing Banks to issue a Letter of Credit and each Commitment Increase shall be subject to the conditions precedent that the Effective Date shall have occurred and on the date of such Borrowing, issuance of Letter of Credit or the applicable Increase Date (a) the following statements shall be true (and each of the giving of the applicable Notice of Borrowing, Notice of Issuance, request for Commitment Increase and the acceptance by the Borrower of the proceeds of such Borrowing shall constitute a representation and warranty by the Borrower that on the date of such Borrowing, such issuance of Letter of Credit or such Increase Date such statements are true):</w:t>
      </w:r>
    </w:p>
    <w:p>
      <w:pPr>
        <w:spacing w:after="0" w:line="189" w:lineRule="exact"/>
        <w:rPr>
          <w:sz w:val="20"/>
          <w:szCs w:val="20"/>
          <w:color w:val="auto"/>
        </w:rPr>
      </w:pPr>
    </w:p>
    <w:p>
      <w:pPr>
        <w:jc w:val="both"/>
        <w:ind w:left="660" w:firstLine="638"/>
        <w:spacing w:after="0" w:line="258" w:lineRule="auto"/>
        <w:tabs>
          <w:tab w:leader="none" w:pos="20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(except, in the case of Borrowings and issuance of Letters of Credit, the representations set forth in the last sentence of subsection (e) thereof and in subsection (f)(i) thereof) are correct on and as of such date, before and after giving effect to such Borrowing, such issuance of Letter of Credit or such Commitment Increase and to the application of the proceeds therefrom, as though made on and as of such date, and</w:t>
      </w:r>
    </w:p>
    <w:p>
      <w:pPr>
        <w:spacing w:after="0" w:line="212" w:lineRule="exact"/>
        <w:rPr>
          <w:rFonts w:ascii="Arial" w:cs="Arial" w:eastAsia="Arial" w:hAnsi="Arial"/>
          <w:sz w:val="18"/>
          <w:szCs w:val="18"/>
          <w:color w:val="auto"/>
        </w:rPr>
      </w:pPr>
    </w:p>
    <w:p>
      <w:pPr>
        <w:ind w:left="660" w:firstLine="638"/>
        <w:spacing w:after="0" w:line="275" w:lineRule="auto"/>
        <w:tabs>
          <w:tab w:leader="none" w:pos="23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Borrowing, such issuance of Letter of Credit or such Commitment Increase or from the application of the proceeds therefrom, that constitutes a Default;</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and (b) the Agent shall have received such other approvals, opinions or documents as any Lender Party through the Agent may reasonably request to confirm the foregoing.</w:t>
      </w:r>
    </w:p>
    <w:p>
      <w:pPr>
        <w:spacing w:after="0" w:line="198"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In addition to the other conditions precedent herein set forth, if any Lender becomes, and during the period it remains, a Defaulting Lender, no Issuing Bank will be required to issue any Letter of Credit or to amend any outstanding Letter of Credit to increase the face amount thereof, alter the drawing terms thereunder or extend the expiry date thereof unless such Issuing Bank is reasonably satisfied that any exposure that would result therefrom is eliminated or fully covered by the Revolving Credit Commitments of the Non-Defaulting Lenders or by Cash Collateralization or a combination thereof reasonably satisfactory to such Issuing Bank.</w:t>
      </w:r>
    </w:p>
    <w:p>
      <w:pPr>
        <w:spacing w:after="0" w:line="218" w:lineRule="exact"/>
        <w:rPr>
          <w:sz w:val="20"/>
          <w:szCs w:val="20"/>
          <w:color w:val="auto"/>
        </w:rPr>
      </w:pPr>
    </w:p>
    <w:p>
      <w:pPr>
        <w:jc w:val="both"/>
        <w:ind w:firstLine="1290"/>
        <w:spacing w:after="0" w:line="295"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Determinations Under Section 3.01</w:t>
      </w:r>
      <w:r>
        <w:rPr>
          <w:rFonts w:ascii="Arial" w:cs="Arial" w:eastAsia="Arial" w:hAnsi="Arial"/>
          <w:sz w:val="16"/>
          <w:szCs w:val="16"/>
          <w:color w:val="auto"/>
        </w:rPr>
        <w:t>. For purposes of determining compliance with the conditions specified in Section 3.01, each Lender Party shall be deemed to have consented to, approved or accepted or to be satisfied with each document or other matter required thereunder to be consented to or approved by or acceptable or satisfactory to the Lender Parties unless an officer of the Agent responsible for the transactions contemplated by this Agreement shall have received notice from such Lender Party prior to the date that the Borrower, by notice to the Lender Parties, designates as the proposed Effective Date, specifying its objection thereto. The Agent shall promptly notify the Lender Parties of the occurrence of the Effective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as follows:</w:t>
      </w:r>
    </w:p>
    <w:p>
      <w:pPr>
        <w:spacing w:after="0" w:line="250" w:lineRule="exact"/>
        <w:rPr>
          <w:sz w:val="20"/>
          <w:szCs w:val="20"/>
          <w:color w:val="auto"/>
        </w:rPr>
      </w:pPr>
    </w:p>
    <w:p>
      <w:pPr>
        <w:ind w:left="1980" w:hanging="682"/>
        <w:spacing w:after="0"/>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Borrower is a corporation duly organized, validly existing and in good standing under the laws of the State of Wisconsin.</w:t>
      </w:r>
    </w:p>
    <w:p>
      <w:pPr>
        <w:spacing w:after="0" w:line="261" w:lineRule="exact"/>
        <w:rPr>
          <w:rFonts w:ascii="Arial" w:cs="Arial" w:eastAsia="Arial" w:hAnsi="Arial"/>
          <w:sz w:val="17"/>
          <w:szCs w:val="17"/>
          <w:color w:val="auto"/>
        </w:rPr>
      </w:pPr>
    </w:p>
    <w:p>
      <w:pPr>
        <w:jc w:val="both"/>
        <w:ind w:left="660" w:firstLine="638"/>
        <w:spacing w:after="0" w:line="258" w:lineRule="auto"/>
        <w:tabs>
          <w:tab w:leader="none" w:pos="22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execution, delivery and performance by the Borrower of this Agreement and the Notes to be delivered by it, and the consummation of the transactions contemplated hereby, are within the Borrower’s corporate powers, have been duly authorized by all necessary corporate action, and do not contravene (i) the Borrower’s charter or by-laws or (ii) law or any contractual restriction binding on or affecting the Borrower.</w:t>
      </w:r>
    </w:p>
    <w:p>
      <w:pPr>
        <w:sectPr>
          <w:pgSz w:w="11900" w:h="16838" w:orient="portrait"/>
          <w:cols w:equalWidth="0" w:num="1">
            <w:col w:w="11420"/>
          </w:cols>
          <w:pgMar w:left="240" w:top="367" w:right="239" w:bottom="68" w:gutter="0" w:footer="0" w:header="0"/>
        </w:sectPr>
      </w:pPr>
    </w:p>
    <w:bookmarkStart w:id="25" w:name="page26"/>
    <w:bookmarkEnd w:id="25"/>
    <w:p>
      <w:pPr>
        <w:jc w:val="both"/>
        <w:ind w:left="660" w:firstLine="638"/>
        <w:spacing w:after="0" w:line="340" w:lineRule="auto"/>
        <w:tabs>
          <w:tab w:leader="none" w:pos="2057"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 to be delivered by it.</w:t>
      </w:r>
    </w:p>
    <w:p>
      <w:pPr>
        <w:spacing w:after="0" w:line="150" w:lineRule="exact"/>
        <w:rPr>
          <w:rFonts w:ascii="Arial" w:cs="Arial" w:eastAsia="Arial" w:hAnsi="Arial"/>
          <w:sz w:val="16"/>
          <w:szCs w:val="16"/>
          <w:color w:val="auto"/>
        </w:rPr>
      </w:pPr>
    </w:p>
    <w:p>
      <w:pPr>
        <w:jc w:val="both"/>
        <w:ind w:left="660" w:firstLine="638"/>
        <w:spacing w:after="0" w:line="262" w:lineRule="auto"/>
        <w:tabs>
          <w:tab w:leader="none" w:pos="20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has been, and each of the Notes to be delivered by it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209" w:lineRule="exact"/>
        <w:rPr>
          <w:rFonts w:ascii="Arial" w:cs="Arial" w:eastAsia="Arial" w:hAnsi="Arial"/>
          <w:sz w:val="18"/>
          <w:szCs w:val="18"/>
          <w:color w:val="auto"/>
        </w:rPr>
      </w:pPr>
    </w:p>
    <w:p>
      <w:pPr>
        <w:jc w:val="both"/>
        <w:ind w:left="660" w:firstLine="638"/>
        <w:spacing w:after="0" w:line="288" w:lineRule="auto"/>
        <w:tabs>
          <w:tab w:leader="none" w:pos="220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Consolidated balance sheet of the Borrower and its Subsidiaries as at December 31, 2010, and the related Consolidated statements of income and cash flows of the Borrower and its Subsidiaries for the fiscal year then ended, accompanied by an opinion of PricewaterhouseCoopers LLP, an independent registered public accounting firm, and the Consolidated balance sheet of the Borrower and its Subsidiaries as at June 30, 2011, and the related Consolidated statements of income and cash flows of the Borrower and its Subsidiaries for the six months then ended, duly certified by the chief financial officer of the Borrower, copies of which have been furnished to each Lender Party, fairly present in all material respects, subject, in the case of said balance sheet as at June 30, 2011, and said statements of income and cash flows for the six months then ended, to year-end audit adjustments,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Since December 31, 2010, there has been no Material Adverse Change.</w:t>
      </w:r>
    </w:p>
    <w:p>
      <w:pPr>
        <w:spacing w:after="0" w:line="190" w:lineRule="exact"/>
        <w:rPr>
          <w:rFonts w:ascii="Arial" w:cs="Arial" w:eastAsia="Arial" w:hAnsi="Arial"/>
          <w:sz w:val="16"/>
          <w:szCs w:val="16"/>
          <w:color w:val="auto"/>
        </w:rPr>
      </w:pPr>
    </w:p>
    <w:p>
      <w:pPr>
        <w:jc w:val="both"/>
        <w:ind w:left="660" w:firstLine="638"/>
        <w:spacing w:after="0" w:line="258" w:lineRule="auto"/>
        <w:tabs>
          <w:tab w:leader="none" w:pos="19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212" w:lineRule="exact"/>
        <w:rPr>
          <w:rFonts w:ascii="Arial" w:cs="Arial" w:eastAsia="Arial" w:hAnsi="Arial"/>
          <w:sz w:val="18"/>
          <w:szCs w:val="18"/>
          <w:color w:val="auto"/>
        </w:rPr>
      </w:pPr>
    </w:p>
    <w:p>
      <w:pPr>
        <w:jc w:val="both"/>
        <w:ind w:left="660" w:firstLine="638"/>
        <w:spacing w:after="0" w:line="300" w:lineRule="auto"/>
        <w:tabs>
          <w:tab w:leader="none" w:pos="206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Borrower and its Subsidiaries have filed all United States Federal income tax returns and all other material tax returns which are required to be filed by them and have paid all taxes due pursuant to such returns or pursuant to any assessment received by the Borrower or any of its Subsidiaries except such taxes or assessments, if any, as are being contested in good faith by appropriate proceedings. The charges, accruals and reserves on the books of the Borrower and its Subsidiaries in respect of taxes are, in the opinion of the Borrower, adequate.</w:t>
      </w:r>
    </w:p>
    <w:p>
      <w:pPr>
        <w:spacing w:after="0" w:line="182" w:lineRule="exact"/>
        <w:rPr>
          <w:rFonts w:ascii="Arial" w:cs="Arial" w:eastAsia="Arial" w:hAnsi="Arial"/>
          <w:sz w:val="16"/>
          <w:szCs w:val="16"/>
          <w:color w:val="auto"/>
        </w:rPr>
      </w:pPr>
    </w:p>
    <w:p>
      <w:pPr>
        <w:jc w:val="both"/>
        <w:ind w:left="660" w:firstLine="638"/>
        <w:spacing w:after="0" w:line="262" w:lineRule="auto"/>
        <w:tabs>
          <w:tab w:leader="none" w:pos="2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proceeds of any Advance will be used to acquire any equity security of a class which is registered pursuant to Section 12 of the Securities Exchange Act of 1934 if the Borrower has reason to know that the board of directors of the issuer of such equity security opposes or will oppose such acquisition.</w:t>
      </w:r>
    </w:p>
    <w:p>
      <w:pPr>
        <w:spacing w:after="0" w:line="209" w:lineRule="exact"/>
        <w:rPr>
          <w:rFonts w:ascii="Arial" w:cs="Arial" w:eastAsia="Arial" w:hAnsi="Arial"/>
          <w:sz w:val="18"/>
          <w:szCs w:val="18"/>
          <w:color w:val="auto"/>
        </w:rPr>
      </w:pPr>
    </w:p>
    <w:p>
      <w:pPr>
        <w:jc w:val="both"/>
        <w:ind w:left="660" w:firstLine="638"/>
        <w:spacing w:after="0" w:line="285" w:lineRule="auto"/>
        <w:tabs>
          <w:tab w:leader="none" w:pos="199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Borrower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w:t>
      </w:r>
    </w:p>
    <w:p>
      <w:pPr>
        <w:spacing w:after="0" w:line="190" w:lineRule="exact"/>
        <w:rPr>
          <w:rFonts w:ascii="Arial" w:cs="Arial" w:eastAsia="Arial" w:hAnsi="Arial"/>
          <w:sz w:val="17"/>
          <w:szCs w:val="17"/>
          <w:color w:val="auto"/>
        </w:rPr>
      </w:pPr>
    </w:p>
    <w:p>
      <w:pPr>
        <w:jc w:val="both"/>
        <w:ind w:left="660" w:firstLine="638"/>
        <w:spacing w:after="0" w:line="289" w:lineRule="auto"/>
        <w:tabs>
          <w:tab w:leader="none" w:pos="20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operations of the Borrower and each of its Domestic Subsidiaries comply in all material respects with all applicable ERISA, environmental, health and safety requirements of law the failure to comply with which would have a Material Adverse Effect; (ii) the operations of each Foreign Subsidiary of the Borrower comply in all material respects with all applicable environmental, health and safety requirements of law, the failure to comply with which would have a Material Adverse Effect; and (iii) prior to the date hereof, the Borrower shall have inspected, and shall have caused each of its Subsidiaries to have inspected, its property owned in fee and, with respect to each building in which asbestos shall have been found, the Borrower shall have caused such building to be in compliance with applicable rules and regulations under local law relating to asbestos containment, maintenance and removal. The term “Domestic Subsidiary” means a Subsidiary organized under the laws of, or having its principal place of business within, a jurisdiction located in the United States and the term “Foreign Subsidiary” means any other Subsidiary.</w:t>
      </w:r>
    </w:p>
    <w:p>
      <w:pPr>
        <w:spacing w:after="0" w:line="190" w:lineRule="exact"/>
        <w:rPr>
          <w:rFonts w:ascii="Arial" w:cs="Arial" w:eastAsia="Arial" w:hAnsi="Arial"/>
          <w:sz w:val="16"/>
          <w:szCs w:val="16"/>
          <w:color w:val="auto"/>
        </w:rPr>
      </w:pPr>
    </w:p>
    <w:p>
      <w:pPr>
        <w:ind w:left="660" w:firstLine="638"/>
        <w:spacing w:after="0" w:line="275" w:lineRule="auto"/>
        <w:tabs>
          <w:tab w:leader="none" w:pos="20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Borrower is not an “investment company”, or a company “controlled” by an “investment company”, within the meaning of the Investment Company Act of 1940, as amended.</w:t>
      </w:r>
    </w:p>
    <w:p>
      <w:pPr>
        <w:spacing w:after="0" w:line="197" w:lineRule="exact"/>
        <w:rPr>
          <w:rFonts w:ascii="Arial" w:cs="Arial" w:eastAsia="Arial" w:hAnsi="Arial"/>
          <w:sz w:val="18"/>
          <w:szCs w:val="18"/>
          <w:color w:val="auto"/>
        </w:rPr>
      </w:pPr>
    </w:p>
    <w:p>
      <w:pPr>
        <w:jc w:val="both"/>
        <w:ind w:left="660" w:firstLine="638"/>
        <w:spacing w:after="0" w:line="262" w:lineRule="auto"/>
        <w:tabs>
          <w:tab w:leader="none" w:pos="22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information furnished to the Agent or any Lender Party by or at the direction of the Borrower in connection with this Agreement was, on the date furnished, true and correct in all material respects and did not fail to state any fact the omission of which rendered the information provided materially misleading in any material respect.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OF THE BORROWER</w:t>
      </w:r>
    </w:p>
    <w:p>
      <w:pPr>
        <w:spacing w:after="0" w:line="250"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So long as any Advance shall remain unpaid, any Lender shall have any Commitment hereunder or any Letter of Credit shall be outstanding, the Borrower will:</w:t>
      </w:r>
    </w:p>
    <w:p>
      <w:pPr>
        <w:spacing w:after="0" w:line="198" w:lineRule="exact"/>
        <w:rPr>
          <w:sz w:val="20"/>
          <w:szCs w:val="20"/>
          <w:color w:val="auto"/>
        </w:rPr>
      </w:pPr>
    </w:p>
    <w:p>
      <w:pPr>
        <w:ind w:left="660" w:right="20" w:firstLine="638"/>
        <w:spacing w:after="0" w:line="306" w:lineRule="auto"/>
        <w:tabs>
          <w:tab w:leader="none" w:pos="211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Comply, and cause each of its Subsidiaries to comply, in all material respects, with all applicable laws, rules, regulations and orders, such compliance to include, without limitation, compliance with ERISA and Environmental Laws.</w:t>
      </w:r>
    </w:p>
    <w:p>
      <w:pPr>
        <w:spacing w:after="0" w:line="173" w:lineRule="exact"/>
        <w:rPr>
          <w:rFonts w:ascii="Arial" w:cs="Arial" w:eastAsia="Arial" w:hAnsi="Arial"/>
          <w:sz w:val="17"/>
          <w:szCs w:val="17"/>
          <w:color w:val="auto"/>
        </w:rPr>
      </w:pPr>
    </w:p>
    <w:p>
      <w:pPr>
        <w:jc w:val="both"/>
        <w:ind w:left="660" w:firstLine="638"/>
        <w:spacing w:after="0" w:line="272" w:lineRule="auto"/>
        <w:tabs>
          <w:tab w:leader="none" w:pos="204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Payment of Taxes, Etc</w:t>
      </w:r>
      <w:r>
        <w:rPr>
          <w:rFonts w:ascii="Arial" w:cs="Arial" w:eastAsia="Arial" w:hAnsi="Arial"/>
          <w:sz w:val="17"/>
          <w:szCs w:val="17"/>
          <w:color w:val="auto"/>
        </w:rPr>
        <w:t xml:space="preserve">.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the Borrower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(unless such Lien would be permitted in accordance with Section 5.02(a)).</w:t>
      </w:r>
    </w:p>
    <w:p>
      <w:pPr>
        <w:spacing w:after="0" w:line="203" w:lineRule="exact"/>
        <w:rPr>
          <w:rFonts w:ascii="Arial" w:cs="Arial" w:eastAsia="Arial" w:hAnsi="Arial"/>
          <w:sz w:val="17"/>
          <w:szCs w:val="17"/>
          <w:color w:val="auto"/>
        </w:rPr>
      </w:pPr>
    </w:p>
    <w:p>
      <w:pPr>
        <w:jc w:val="both"/>
        <w:ind w:left="660" w:firstLine="638"/>
        <w:spacing w:after="0" w:line="262" w:lineRule="auto"/>
        <w:tabs>
          <w:tab w:leader="none" w:pos="215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w:t>
      </w:r>
    </w:p>
    <w:p>
      <w:pPr>
        <w:sectPr>
          <w:pgSz w:w="11900" w:h="16838" w:orient="portrait"/>
          <w:cols w:equalWidth="0" w:num="1">
            <w:col w:w="11420"/>
          </w:cols>
          <w:pgMar w:left="240" w:top="125" w:right="239" w:bottom="199" w:gutter="0" w:footer="0" w:header="0"/>
        </w:sectPr>
      </w:pPr>
    </w:p>
    <w:bookmarkStart w:id="26" w:name="page27"/>
    <w:bookmarkEnd w:id="26"/>
    <w:p>
      <w:pPr>
        <w:jc w:val="both"/>
        <w:ind w:left="660" w:firstLine="638"/>
        <w:spacing w:after="0" w:line="272" w:lineRule="auto"/>
        <w:tabs>
          <w:tab w:leader="none" w:pos="218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Preservation of Corporate Existence, Etc</w:t>
      </w:r>
      <w:r>
        <w:rPr>
          <w:rFonts w:ascii="Arial" w:cs="Arial" w:eastAsia="Arial" w:hAnsi="Arial"/>
          <w:sz w:val="17"/>
          <w:szCs w:val="17"/>
          <w:color w:val="auto"/>
        </w:rPr>
        <w:t xml:space="preserve">. Preserve and maintain, and cause each of its Material Subsidiaries to preserve and maintain, its corporate existence, and its material rights (charter and statutory) and franchises;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 and its Subsidiaries may consummate any merger or consolidation permitted under Section 5.02(b),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neither the Borrower nor any of its Subsidiaries shall be required to preserve any right or franchise if the Board of Directors of the Borrower or such Subsidiary shall determine that the preservation thereof is no longer desirable in the conduct of the business of the Borrower or such Subsidiary, as the case may be, and that the loss thereof is not disadvantageous in any material respect to the Borrower, such Subsidiary or the Lenders.</w:t>
      </w:r>
    </w:p>
    <w:p>
      <w:pPr>
        <w:spacing w:after="0" w:line="203" w:lineRule="exact"/>
        <w:rPr>
          <w:rFonts w:ascii="Arial" w:cs="Arial" w:eastAsia="Arial" w:hAnsi="Arial"/>
          <w:sz w:val="17"/>
          <w:szCs w:val="17"/>
          <w:color w:val="auto"/>
        </w:rPr>
      </w:pPr>
    </w:p>
    <w:p>
      <w:pPr>
        <w:jc w:val="both"/>
        <w:ind w:left="660" w:firstLine="638"/>
        <w:spacing w:after="0" w:line="258" w:lineRule="auto"/>
        <w:tabs>
          <w:tab w:leader="none" w:pos="207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Visitation Rights</w:t>
      </w:r>
      <w:r>
        <w:rPr>
          <w:rFonts w:ascii="Arial" w:cs="Arial" w:eastAsia="Arial" w:hAnsi="Arial"/>
          <w:sz w:val="18"/>
          <w:szCs w:val="18"/>
          <w:color w:val="auto"/>
        </w:rPr>
        <w:t>. At any reasonable time and from time to time, permit the Agent or any of the Lender Parties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w:t>
      </w:r>
    </w:p>
    <w:p>
      <w:pPr>
        <w:spacing w:after="0" w:line="212" w:lineRule="exact"/>
        <w:rPr>
          <w:rFonts w:ascii="Arial" w:cs="Arial" w:eastAsia="Arial" w:hAnsi="Arial"/>
          <w:sz w:val="18"/>
          <w:szCs w:val="18"/>
          <w:color w:val="auto"/>
        </w:rPr>
      </w:pPr>
    </w:p>
    <w:p>
      <w:pPr>
        <w:jc w:val="both"/>
        <w:ind w:left="660" w:firstLine="638"/>
        <w:spacing w:after="0" w:line="262" w:lineRule="auto"/>
        <w:tabs>
          <w:tab w:leader="none" w:pos="205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of its Consolidated Subsidiaries to keep, proper books of record and account, in which full and correct entries shall be made of all financial transactions and the assets and business of the Borrower and each such Subsidiary in accordance with generally accepted accounting principles in effect from time to time.</w:t>
      </w:r>
    </w:p>
    <w:p>
      <w:pPr>
        <w:spacing w:after="0" w:line="209" w:lineRule="exact"/>
        <w:rPr>
          <w:rFonts w:ascii="Arial" w:cs="Arial" w:eastAsia="Arial" w:hAnsi="Arial"/>
          <w:sz w:val="18"/>
          <w:szCs w:val="18"/>
          <w:color w:val="auto"/>
        </w:rPr>
      </w:pPr>
    </w:p>
    <w:p>
      <w:pPr>
        <w:ind w:left="660" w:firstLine="638"/>
        <w:spacing w:after="0" w:line="306" w:lineRule="auto"/>
        <w:tabs>
          <w:tab w:leader="none" w:pos="216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Maintenance of Properties, Etc</w:t>
      </w:r>
      <w:r>
        <w:rPr>
          <w:rFonts w:ascii="Arial" w:cs="Arial" w:eastAsia="Arial" w:hAnsi="Arial"/>
          <w:sz w:val="17"/>
          <w:szCs w:val="17"/>
          <w:color w:val="auto"/>
        </w:rPr>
        <w:t>. Maintain and preserve, and cause each of its Subsidiaries to maintain and preserve, all of its properties that are used or useful in the conduct of its business in good working order and condition, ordinary wear and tear excepted.</w:t>
      </w:r>
    </w:p>
    <w:p>
      <w:pPr>
        <w:spacing w:after="0" w:line="173" w:lineRule="exact"/>
        <w:rPr>
          <w:rFonts w:ascii="Arial" w:cs="Arial" w:eastAsia="Arial" w:hAnsi="Arial"/>
          <w:sz w:val="17"/>
          <w:szCs w:val="17"/>
          <w:color w:val="auto"/>
        </w:rPr>
      </w:pPr>
    </w:p>
    <w:p>
      <w:pPr>
        <w:ind w:left="2000" w:hanging="702"/>
        <w:spacing w:after="0"/>
        <w:tabs>
          <w:tab w:leader="none" w:pos="20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Lender Parties:</w:t>
      </w:r>
    </w:p>
    <w:p>
      <w:pPr>
        <w:spacing w:after="0" w:line="250" w:lineRule="exact"/>
        <w:rPr>
          <w:rFonts w:ascii="Arial" w:cs="Arial" w:eastAsia="Arial" w:hAnsi="Arial"/>
          <w:sz w:val="18"/>
          <w:szCs w:val="18"/>
          <w:color w:val="auto"/>
        </w:rPr>
      </w:pPr>
    </w:p>
    <w:p>
      <w:pPr>
        <w:jc w:val="both"/>
        <w:ind w:left="1300" w:firstLine="643"/>
        <w:spacing w:after="0" w:line="288" w:lineRule="auto"/>
        <w:tabs>
          <w:tab w:leader="none" w:pos="2669"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50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chief accounting officer, treasurer or Vice President - Finance of the Borrower as having been prepared in accordance with generally accepted accounting principles and certificates of the chief financial officer of the Borrower as to compliance with the terms of this Agreement and setting forth in reasonable detail the calculations necessary to demonstrate compliance with Section 5.03,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190" w:lineRule="exact"/>
        <w:rPr>
          <w:rFonts w:ascii="Arial" w:cs="Arial" w:eastAsia="Arial" w:hAnsi="Arial"/>
          <w:sz w:val="16"/>
          <w:szCs w:val="16"/>
          <w:color w:val="auto"/>
        </w:rPr>
      </w:pPr>
    </w:p>
    <w:p>
      <w:pPr>
        <w:jc w:val="both"/>
        <w:ind w:left="1300" w:firstLine="643"/>
        <w:spacing w:after="0" w:line="253" w:lineRule="auto"/>
        <w:tabs>
          <w:tab w:leader="none" w:pos="27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independent public accountants of nationally recognized 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220" w:lineRule="exact"/>
        <w:rPr>
          <w:rFonts w:ascii="Arial" w:cs="Arial" w:eastAsia="Arial" w:hAnsi="Arial"/>
          <w:sz w:val="18"/>
          <w:szCs w:val="18"/>
          <w:color w:val="auto"/>
        </w:rPr>
      </w:pPr>
    </w:p>
    <w:p>
      <w:pPr>
        <w:jc w:val="both"/>
        <w:ind w:left="1300" w:firstLine="643"/>
        <w:spacing w:after="0" w:line="285" w:lineRule="auto"/>
        <w:tabs>
          <w:tab w:leader="none" w:pos="2743" w:val="left"/>
        </w:tabs>
        <w:numPr>
          <w:ilvl w:val="1"/>
          <w:numId w:val="47"/>
        </w:numPr>
        <w:rPr>
          <w:rFonts w:ascii="Arial" w:cs="Arial" w:eastAsia="Arial" w:hAnsi="Arial"/>
          <w:sz w:val="17"/>
          <w:szCs w:val="17"/>
          <w:color w:val="auto"/>
        </w:rPr>
      </w:pPr>
      <w:r>
        <w:rPr>
          <w:rFonts w:ascii="Arial" w:cs="Arial" w:eastAsia="Arial" w:hAnsi="Arial"/>
          <w:sz w:val="17"/>
          <w:szCs w:val="17"/>
          <w:color w:val="auto"/>
        </w:rPr>
        <w:t>as soon as possible and in any event within five days after the occurrence of each Default continuing on the date of such statement, a statement of the chief financial officer, chief accounting officer, treasurer or Vice President - Finance of the Borrower setting forth details of such Default and the action that the Borrower has taken and proposes to take with respect thereto;</w:t>
      </w:r>
    </w:p>
    <w:p>
      <w:pPr>
        <w:spacing w:after="0" w:line="190" w:lineRule="exact"/>
        <w:rPr>
          <w:rFonts w:ascii="Arial" w:cs="Arial" w:eastAsia="Arial" w:hAnsi="Arial"/>
          <w:sz w:val="17"/>
          <w:szCs w:val="17"/>
          <w:color w:val="auto"/>
        </w:rPr>
      </w:pPr>
    </w:p>
    <w:p>
      <w:pPr>
        <w:jc w:val="both"/>
        <w:ind w:left="1300" w:firstLine="643"/>
        <w:spacing w:after="0" w:line="258" w:lineRule="auto"/>
        <w:tabs>
          <w:tab w:leader="none" w:pos="2761"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promptly after the sending or filing thereof, copies of all quarterly and annual reports or any proxy solicitations that the Borrower sends to its securityholders generally, and copies of all reports on Form 8-K and registration statements for the public offering (other than pursuant to employee Plans) of securities that the Borrower or any Subsidiary files with the Securities and Exchange Commission or any national securities exchange;</w:t>
      </w:r>
    </w:p>
    <w:p>
      <w:pPr>
        <w:spacing w:after="0" w:line="212" w:lineRule="exact"/>
        <w:rPr>
          <w:rFonts w:ascii="Arial" w:cs="Arial" w:eastAsia="Arial" w:hAnsi="Arial"/>
          <w:sz w:val="18"/>
          <w:szCs w:val="18"/>
          <w:color w:val="auto"/>
        </w:rPr>
      </w:pPr>
    </w:p>
    <w:p>
      <w:pPr>
        <w:ind w:left="1300" w:firstLine="643"/>
        <w:spacing w:after="0" w:line="275" w:lineRule="auto"/>
        <w:tabs>
          <w:tab w:leader="none" w:pos="26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w:t>
      </w:r>
    </w:p>
    <w:p>
      <w:pPr>
        <w:spacing w:after="0" w:line="197" w:lineRule="exact"/>
        <w:rPr>
          <w:rFonts w:ascii="Arial" w:cs="Arial" w:eastAsia="Arial" w:hAnsi="Arial"/>
          <w:sz w:val="18"/>
          <w:szCs w:val="18"/>
          <w:color w:val="auto"/>
        </w:rPr>
      </w:pPr>
    </w:p>
    <w:p>
      <w:pPr>
        <w:ind w:left="1300" w:firstLine="643"/>
        <w:spacing w:after="0" w:line="275" w:lineRule="auto"/>
        <w:tabs>
          <w:tab w:leader="none" w:pos="27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promptly following any change in any credit rating (whether publicly announced or shadow) by either S&amp;P or Moody’s in respect of any debt of the Borrower, notice thereof; and</w:t>
      </w:r>
    </w:p>
    <w:p>
      <w:pPr>
        <w:spacing w:after="0" w:line="197" w:lineRule="exact"/>
        <w:rPr>
          <w:rFonts w:ascii="Arial" w:cs="Arial" w:eastAsia="Arial" w:hAnsi="Arial"/>
          <w:sz w:val="18"/>
          <w:szCs w:val="18"/>
          <w:color w:val="auto"/>
        </w:rPr>
      </w:pPr>
    </w:p>
    <w:p>
      <w:pPr>
        <w:ind w:left="1300" w:right="20" w:firstLine="643"/>
        <w:spacing w:after="0" w:line="275" w:lineRule="auto"/>
        <w:tabs>
          <w:tab w:leader="none" w:pos="2843"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Party through the Agent may from time to time reasonably request.</w:t>
      </w:r>
    </w:p>
    <w:p>
      <w:pPr>
        <w:spacing w:after="0" w:line="198"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Reports and financial statements required to be delivered by the Borrower pursuant to paragraphs (i), (ii) and (iv) of this Section 5.01 shall be deemed to have been delivered on the date on which it posts such reports, or reports containing such financial statements, on its website on the Internet at www.manpower.com and when such reports, or reports containing such financial statements are posted on the SEC’s website at www.sec.gov;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shall deliver paper copies of the reports and financial statements referred to in paragraphs (i), (ii) and (iv) of this Section 5.01 to the Agent or any Lender who requests it to deliver such paper copies until written notice to cease delivering paper copies is given by the Agent or such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every instance it shall provide paper copies of the certificate required by subsections (i) and (ii) to the Agent and the Agent shall, in turn, provide a copy to each of the Lender Parties until such time as the Agent shall provide it written notice otherwise.</w:t>
      </w:r>
    </w:p>
    <w:p>
      <w:pPr>
        <w:spacing w:after="0" w:line="20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w:t>
      </w:r>
      <w:r>
        <w:rPr>
          <w:rFonts w:ascii="Arial" w:cs="Arial" w:eastAsia="Arial" w:hAnsi="Arial"/>
          <w:sz w:val="18"/>
          <w:szCs w:val="18"/>
          <w:color w:val="auto"/>
        </w:rPr>
        <w:t>. So long as any Advance shall remain unpaid or any Lender Party shall have any Commitment hereunder or any Letter of Credit shall be outstanding, the Borrower will not:</w:t>
      </w:r>
    </w:p>
    <w:p>
      <w:pPr>
        <w:spacing w:after="0" w:line="198" w:lineRule="exact"/>
        <w:rPr>
          <w:sz w:val="20"/>
          <w:szCs w:val="20"/>
          <w:color w:val="auto"/>
        </w:rPr>
      </w:pPr>
    </w:p>
    <w:p>
      <w:pPr>
        <w:jc w:val="both"/>
        <w:ind w:left="660" w:firstLine="638"/>
        <w:spacing w:after="0" w:line="262" w:lineRule="auto"/>
        <w:tabs>
          <w:tab w:leader="none" w:pos="201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Liens, Etc</w:t>
      </w:r>
      <w:r>
        <w:rPr>
          <w:rFonts w:ascii="Arial" w:cs="Arial" w:eastAsia="Arial" w:hAnsi="Arial"/>
          <w:sz w:val="18"/>
          <w:szCs w:val="18"/>
          <w:color w:val="auto"/>
        </w:rPr>
        <w:t>. Create or suffer to exist, or permit any of its Subsidiaries to create or suffer to exist, any Lien on or with respect to any of its properties, whether now owned or hereafter acquired, or assign, or permit any of its Subsidiaries to assign, any right to receive income, other than:</w:t>
      </w:r>
    </w:p>
    <w:p>
      <w:pPr>
        <w:spacing w:after="0" w:line="209" w:lineRule="exact"/>
        <w:rPr>
          <w:rFonts w:ascii="Arial" w:cs="Arial" w:eastAsia="Arial" w:hAnsi="Arial"/>
          <w:sz w:val="18"/>
          <w:szCs w:val="18"/>
          <w:color w:val="auto"/>
        </w:rPr>
      </w:pPr>
    </w:p>
    <w:p>
      <w:pPr>
        <w:ind w:left="2600" w:hanging="657"/>
        <w:spacing w:after="0"/>
        <w:tabs>
          <w:tab w:leader="none" w:pos="26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Permitted Liens,</w:t>
      </w:r>
    </w:p>
    <w:p>
      <w:pPr>
        <w:sectPr>
          <w:pgSz w:w="11900" w:h="16838" w:orient="portrait"/>
          <w:cols w:equalWidth="0" w:num="1">
            <w:col w:w="11420"/>
          </w:cols>
          <w:pgMar w:left="240" w:top="125" w:right="239" w:bottom="52" w:gutter="0" w:footer="0" w:header="0"/>
        </w:sectPr>
      </w:pPr>
    </w:p>
    <w:bookmarkStart w:id="27" w:name="page28"/>
    <w:bookmarkEnd w:id="27"/>
    <w:p>
      <w:pPr>
        <w:jc w:val="both"/>
        <w:ind w:left="100" w:firstLine="643"/>
        <w:spacing w:after="0" w:line="253" w:lineRule="auto"/>
        <w:tabs>
          <w:tab w:leader="none" w:pos="148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Purchase money liens or purchase money security interests upon or in any property acquired or held by the Borrower or any of its Subsidiaries in the ordinary course of business to secure the purchase of such property or to secure indebtedness incurred solely for the purpose of financing the acquisition of such property, (B) liens consisting of the interests of lessors under Capitalized Leases and (C) liens not otherwise described above in this Section 5.02(a); provided, that the aggregate capitalized amount of Debt incurred pursuant to such Capitalized Leases, plus the aggregate principal amount of the indebtedness or other obligations secured by any of the liens described in this clause (ii) (or, if greater, the book value of the assets that are subject to such liens) shall not exceed $75,000,000 at any time outstanding; and</w:t>
      </w:r>
    </w:p>
    <w:p>
      <w:pPr>
        <w:spacing w:after="0" w:line="220" w:lineRule="exact"/>
        <w:rPr>
          <w:rFonts w:ascii="Arial" w:cs="Arial" w:eastAsia="Arial" w:hAnsi="Arial"/>
          <w:sz w:val="18"/>
          <w:szCs w:val="18"/>
          <w:color w:val="auto"/>
        </w:rPr>
      </w:pPr>
    </w:p>
    <w:p>
      <w:pPr>
        <w:ind w:left="1500" w:hanging="757"/>
        <w:spacing w:after="0"/>
        <w:tabs>
          <w:tab w:leader="none" w:pos="15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Liens existing on the Effective Date and described on Schedule 5.02(a) hereto,</w:t>
      </w:r>
    </w:p>
    <w:p>
      <w:pPr>
        <w:spacing w:after="0" w:line="250" w:lineRule="exact"/>
        <w:rPr>
          <w:rFonts w:ascii="Arial" w:cs="Arial" w:eastAsia="Arial" w:hAnsi="Arial"/>
          <w:sz w:val="18"/>
          <w:szCs w:val="18"/>
          <w:color w:val="auto"/>
        </w:rPr>
      </w:pPr>
    </w:p>
    <w:p>
      <w:pPr>
        <w:jc w:val="both"/>
        <w:ind w:left="100" w:firstLine="643"/>
        <w:spacing w:after="0" w:line="255" w:lineRule="auto"/>
        <w:tabs>
          <w:tab w:leader="none" w:pos="15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into or consolidated with the Borrower or any Subsidiary of the Borrower or becomes a Subsidiary of the Borrower or the property is acquired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not created in contemplation of such merger, consolidation or acquisition and do not extend to any assets other than those of the Person so merged into or consolidated with the Borrower or such Subsidiary or acquired by the Borrower or such Subsidiary,</w:t>
      </w:r>
    </w:p>
    <w:p>
      <w:pPr>
        <w:spacing w:after="0" w:line="217" w:lineRule="exact"/>
        <w:rPr>
          <w:rFonts w:ascii="Arial" w:cs="Arial" w:eastAsia="Arial" w:hAnsi="Arial"/>
          <w:sz w:val="18"/>
          <w:szCs w:val="18"/>
          <w:color w:val="auto"/>
        </w:rPr>
      </w:pPr>
    </w:p>
    <w:p>
      <w:pPr>
        <w:ind w:left="1440" w:hanging="697"/>
        <w:spacing w:after="0"/>
        <w:tabs>
          <w:tab w:leader="none" w:pos="1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Liens permitted by Section 5.02(d);</w:t>
      </w:r>
    </w:p>
    <w:p>
      <w:pPr>
        <w:spacing w:after="0" w:line="250" w:lineRule="exact"/>
        <w:rPr>
          <w:rFonts w:ascii="Arial" w:cs="Arial" w:eastAsia="Arial" w:hAnsi="Arial"/>
          <w:sz w:val="18"/>
          <w:szCs w:val="18"/>
          <w:color w:val="auto"/>
        </w:rPr>
      </w:pPr>
    </w:p>
    <w:p>
      <w:pPr>
        <w:jc w:val="both"/>
        <w:ind w:left="100" w:firstLine="643"/>
        <w:spacing w:after="0" w:line="262" w:lineRule="auto"/>
        <w:tabs>
          <w:tab w:leader="none" w:pos="1721"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(ii), (iii) or (iv) above upon or in the same property theretofore subject thereto or the replacement, extension or renewal (without increase in the amount or change in any direct or contingent obligor) of the Debt secured thereby;</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1540" w:hanging="797"/>
        <w:spacing w:after="0"/>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Liens on cash collateral provided under the terms of this Agreement; and</w:t>
      </w:r>
    </w:p>
    <w:p>
      <w:pPr>
        <w:spacing w:after="0" w:line="250" w:lineRule="exact"/>
        <w:rPr>
          <w:rFonts w:ascii="Arial" w:cs="Arial" w:eastAsia="Arial" w:hAnsi="Arial"/>
          <w:sz w:val="18"/>
          <w:szCs w:val="18"/>
          <w:color w:val="auto"/>
        </w:rPr>
      </w:pPr>
    </w:p>
    <w:p>
      <w:pPr>
        <w:jc w:val="both"/>
        <w:ind w:left="100" w:firstLine="643"/>
        <w:spacing w:after="0" w:line="258" w:lineRule="auto"/>
        <w:tabs>
          <w:tab w:leader="none" w:pos="16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Liens on cash balances of accounts maintained by the Borrower or any of its Subsidiaries organized outside of the United States with Bank Mendes Gans nv pursuant to the Cash Pooling Agreement dated July 9, 2003, as may be amended from time to time, or on cash balances of accounts maintained by the Borrower or any of its Subsidiaries organized outside of the United States with other lending institutions under substantially similar arrangements.</w:t>
      </w:r>
    </w:p>
    <w:p>
      <w:pPr>
        <w:spacing w:after="0" w:line="212" w:lineRule="exact"/>
        <w:rPr>
          <w:rFonts w:ascii="Arial" w:cs="Arial" w:eastAsia="Arial" w:hAnsi="Arial"/>
          <w:sz w:val="18"/>
          <w:szCs w:val="18"/>
          <w:color w:val="auto"/>
        </w:rPr>
      </w:pPr>
    </w:p>
    <w:p>
      <w:pPr>
        <w:jc w:val="both"/>
        <w:ind w:left="-540" w:firstLine="638"/>
        <w:spacing w:after="0" w:line="262" w:lineRule="auto"/>
        <w:tabs>
          <w:tab w:leader="none" w:pos="80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Mergers, Etc</w:t>
      </w:r>
      <w:r>
        <w:rPr>
          <w:rFonts w:ascii="Arial" w:cs="Arial" w:eastAsia="Arial" w:hAnsi="Arial"/>
          <w:sz w:val="18"/>
          <w:szCs w:val="18"/>
          <w:color w:val="auto"/>
        </w:rPr>
        <w:t>. Merge or consolidate with or into, or convey, transfer, lease or otherwise dispose of (whether in one transaction or in a series of transactions) all or substantially all of its assets (whether now owned or hereafter acquired) to, or acquire all or substantially all of the assets of, any Person, or permit any of its Subsidiaries to do so, other than:</w:t>
      </w:r>
    </w:p>
    <w:p>
      <w:pPr>
        <w:spacing w:after="0" w:line="209" w:lineRule="exact"/>
        <w:rPr>
          <w:rFonts w:ascii="Arial" w:cs="Arial" w:eastAsia="Arial" w:hAnsi="Arial"/>
          <w:sz w:val="18"/>
          <w:szCs w:val="18"/>
          <w:color w:val="auto"/>
        </w:rPr>
      </w:pPr>
    </w:p>
    <w:p>
      <w:pPr>
        <w:jc w:val="both"/>
        <w:ind w:left="100" w:firstLine="643"/>
        <w:spacing w:after="0" w:line="258" w:lineRule="auto"/>
        <w:tabs>
          <w:tab w:leader="none" w:pos="147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Borrower or any Subsidiary of the Borrower may, in the ordinary course of its business, acquire all or any portion of the stock of any Person conducting business primarily in the staffing or workforce management services industry or acquire all or substantially all of the assets used in the conduct by any Person of a staffing or workforce management services business (and assume the liabilities related to such assets);</w:t>
      </w:r>
    </w:p>
    <w:p>
      <w:pPr>
        <w:spacing w:after="0" w:line="212" w:lineRule="exact"/>
        <w:rPr>
          <w:rFonts w:ascii="Arial" w:cs="Arial" w:eastAsia="Arial" w:hAnsi="Arial"/>
          <w:sz w:val="18"/>
          <w:szCs w:val="18"/>
          <w:color w:val="auto"/>
        </w:rPr>
      </w:pPr>
    </w:p>
    <w:p>
      <w:pPr>
        <w:jc w:val="both"/>
        <w:ind w:left="100" w:firstLine="643"/>
        <w:spacing w:after="0" w:line="292" w:lineRule="auto"/>
        <w:tabs>
          <w:tab w:leader="none" w:pos="1496"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any Subsidiary of the Borrower or the Borrower may merge into or consolidate with, or transfer assets (including but not limited to stock or other equity interests of any Person) to or acquire the assets (including but not limited to stock or other equity interests of any Person) of any Subsidiary of the Borrower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merger or consolidation transaction to which the Borrower is a party, the Borrower shall be the surviving corporation; provided that, in each such case, immediately after giving effect to such proposed transaction, no Default shall exist (it being understood that in connection with any internal corporate restructuring of the Borrower, the Borrower may transfer assets to any of its Subsidiaries and may change its name); and</w:t>
      </w:r>
    </w:p>
    <w:p>
      <w:pPr>
        <w:spacing w:after="0" w:line="189" w:lineRule="exact"/>
        <w:rPr>
          <w:rFonts w:ascii="Arial" w:cs="Arial" w:eastAsia="Arial" w:hAnsi="Arial"/>
          <w:sz w:val="16"/>
          <w:szCs w:val="16"/>
          <w:color w:val="auto"/>
        </w:rPr>
      </w:pPr>
    </w:p>
    <w:p>
      <w:pPr>
        <w:ind w:left="1500" w:hanging="757"/>
        <w:spacing w:after="0"/>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sales permitted pursuant to Section 5.02(c).</w:t>
      </w:r>
    </w:p>
    <w:p>
      <w:pPr>
        <w:spacing w:after="0" w:line="250" w:lineRule="exact"/>
        <w:rPr>
          <w:rFonts w:ascii="Arial" w:cs="Arial" w:eastAsia="Arial" w:hAnsi="Arial"/>
          <w:sz w:val="18"/>
          <w:szCs w:val="18"/>
          <w:color w:val="auto"/>
        </w:rPr>
      </w:pPr>
    </w:p>
    <w:p>
      <w:pPr>
        <w:jc w:val="both"/>
        <w:ind w:left="-540" w:firstLine="638"/>
        <w:spacing w:after="0" w:line="270" w:lineRule="auto"/>
        <w:tabs>
          <w:tab w:leader="none" w:pos="85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Sales, Etc. of Assets</w:t>
      </w:r>
      <w:r>
        <w:rPr>
          <w:rFonts w:ascii="Arial" w:cs="Arial" w:eastAsia="Arial" w:hAnsi="Arial"/>
          <w:sz w:val="17"/>
          <w:szCs w:val="17"/>
          <w:color w:val="auto"/>
        </w:rPr>
        <w:t>. Sell, lease, transfer or otherwise dispose of, or permit any of its Material Subsidiaries to sell, lease, transfer or otherwise dispose of, any material portion of its assets, including (without limitation) assets constituting any investment in any Subsidiary thereof or substantially all of the assets constituting the business of any division, branch or other unit operation thereof, except (i) in a transaction or a series of related transactions where the aggregate amount of the fair market value of all assets of the Borrower and its Subsidiaries sold, leased, assigned, transferred or otherwise disposed of in such transaction or transactions (as such fair market value is determined by the Board of Directors of the Borrower at the time of such transaction or transactions) does not exceed 15% of the Borrower’s Consolidated Tangible Assets, and the consideration received by the Borrower or any of its Subsidiaries in each such transaction shall constitute fair market value, or (ii) in connection with a transaction permitted by Section 5.02(b) or Section 5.02(d).</w:t>
      </w:r>
    </w:p>
    <w:p>
      <w:pPr>
        <w:spacing w:after="0" w:line="203" w:lineRule="exact"/>
        <w:rPr>
          <w:rFonts w:ascii="Arial" w:cs="Arial" w:eastAsia="Arial" w:hAnsi="Arial"/>
          <w:sz w:val="17"/>
          <w:szCs w:val="17"/>
          <w:color w:val="auto"/>
        </w:rPr>
      </w:pPr>
    </w:p>
    <w:p>
      <w:pPr>
        <w:jc w:val="both"/>
        <w:ind w:left="-540" w:firstLine="638"/>
        <w:spacing w:after="0" w:line="270" w:lineRule="auto"/>
        <w:tabs>
          <w:tab w:leader="none" w:pos="968"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Securitization Facilities</w:t>
      </w:r>
      <w:r>
        <w:rPr>
          <w:rFonts w:ascii="Arial" w:cs="Arial" w:eastAsia="Arial" w:hAnsi="Arial"/>
          <w:sz w:val="17"/>
          <w:szCs w:val="17"/>
          <w:color w:val="auto"/>
        </w:rPr>
        <w:t>. At any time sell, assign or otherwise dispose of all or any material portion of the Borrower’s or any Subsidiary’s accounts receivable, lease receivables or other rights to receive payment or income (any of the foregoing being a “</w:t>
      </w:r>
      <w:r>
        <w:rPr>
          <w:rFonts w:ascii="Arial" w:cs="Arial" w:eastAsia="Arial" w:hAnsi="Arial"/>
          <w:sz w:val="17"/>
          <w:szCs w:val="17"/>
          <w:u w:val="single" w:color="auto"/>
          <w:color w:val="auto"/>
        </w:rPr>
        <w:t>Receivable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in Section 5.02 to the contrary, the Borrower or any of its Subsidiaries may enter into one or more agreements contemplating the sale, assignment or other transfer of its Receivables, whether constituting a “true sale” or secured financing for accounting, tax or any other purpose (each, a “</w:t>
      </w:r>
      <w:r>
        <w:rPr>
          <w:rFonts w:ascii="Arial" w:cs="Arial" w:eastAsia="Arial" w:hAnsi="Arial"/>
          <w:sz w:val="17"/>
          <w:szCs w:val="17"/>
          <w:u w:val="single" w:color="auto"/>
          <w:color w:val="auto"/>
        </w:rPr>
        <w:t>Receivables Purchase Agreement</w:t>
      </w:r>
      <w:r>
        <w:rPr>
          <w:rFonts w:ascii="Arial" w:cs="Arial" w:eastAsia="Arial" w:hAnsi="Arial"/>
          <w:sz w:val="17"/>
          <w:szCs w:val="17"/>
          <w:color w:val="auto"/>
        </w:rPr>
        <w:t>”), so long as (i) the aggregate outstanding investment or claims held at any time by purchasers, assignees or other transferees of (or of interests in) Receivables under Receivables Purchase Agreements shall not exceed an amount equal to $500,000,000 and (ii) each sale, assignment or other transfer effected under or in connection with a Receivables Purchase Agreement shall be effected on a non-recourse or limited recourse basis.</w:t>
      </w:r>
    </w:p>
    <w:p>
      <w:pPr>
        <w:spacing w:after="0" w:line="203" w:lineRule="exact"/>
        <w:rPr>
          <w:rFonts w:ascii="Arial" w:cs="Arial" w:eastAsia="Arial" w:hAnsi="Arial"/>
          <w:sz w:val="17"/>
          <w:szCs w:val="17"/>
          <w:color w:val="auto"/>
        </w:rPr>
      </w:pPr>
    </w:p>
    <w:p>
      <w:pPr>
        <w:ind w:left="-540" w:firstLine="638"/>
        <w:spacing w:after="0" w:line="275" w:lineRule="auto"/>
        <w:tabs>
          <w:tab w:leader="none" w:pos="81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Consolidated Subsidiaries to make or permit, any change in accounting policies or reporting practices, except as required or permitted by generally accepted accounting principles.</w:t>
      </w:r>
    </w:p>
    <w:p>
      <w:pPr>
        <w:spacing w:after="0" w:line="197" w:lineRule="exact"/>
        <w:rPr>
          <w:rFonts w:ascii="Arial" w:cs="Arial" w:eastAsia="Arial" w:hAnsi="Arial"/>
          <w:sz w:val="18"/>
          <w:szCs w:val="18"/>
          <w:color w:val="auto"/>
        </w:rPr>
      </w:pPr>
    </w:p>
    <w:p>
      <w:pPr>
        <w:ind w:left="760" w:hanging="662"/>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Subsidiary Debt</w:t>
      </w:r>
      <w:r>
        <w:rPr>
          <w:rFonts w:ascii="Arial" w:cs="Arial" w:eastAsia="Arial" w:hAnsi="Arial"/>
          <w:sz w:val="18"/>
          <w:szCs w:val="18"/>
          <w:color w:val="auto"/>
        </w:rPr>
        <w:t>. Permit any of its Subsidiaries to create or suffer to exist, any Debt other than:</w:t>
      </w:r>
    </w:p>
    <w:p>
      <w:pPr>
        <w:spacing w:after="0" w:line="250" w:lineRule="exact"/>
        <w:rPr>
          <w:rFonts w:ascii="Arial" w:cs="Arial" w:eastAsia="Arial" w:hAnsi="Arial"/>
          <w:sz w:val="18"/>
          <w:szCs w:val="18"/>
          <w:color w:val="auto"/>
        </w:rPr>
      </w:pPr>
    </w:p>
    <w:p>
      <w:pPr>
        <w:ind w:left="1400" w:hanging="657"/>
        <w:spacing w:after="0"/>
        <w:tabs>
          <w:tab w:leader="none" w:pos="14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Debt owed to the Borrower or to a Subsidiary of the Borrower,</w:t>
      </w:r>
    </w:p>
    <w:p>
      <w:pPr>
        <w:sectPr>
          <w:pgSz w:w="11900" w:h="16838" w:orient="portrait"/>
          <w:cols w:equalWidth="0" w:num="1">
            <w:col w:w="10220"/>
          </w:cols>
          <w:pgMar w:left="1440" w:top="125" w:right="239" w:bottom="240" w:gutter="0" w:footer="0" w:header="0"/>
        </w:sectPr>
      </w:pPr>
    </w:p>
    <w:bookmarkStart w:id="28" w:name="page29"/>
    <w:bookmarkEnd w:id="28"/>
    <w:p>
      <w:pPr>
        <w:jc w:val="both"/>
        <w:ind w:left="1300" w:firstLine="643"/>
        <w:spacing w:after="0" w:line="262" w:lineRule="auto"/>
        <w:tabs>
          <w:tab w:leader="none" w:pos="2691"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Debt aggregating for all of the Borrower’s Subsidiaries not more than (A) $300,000,000 at any one time drawn and outstanding during each fiscal quarter ending March 31, June 30 and December 31 in each calendar year and (B) $600,000,000 at any one time drawn and outstanding during each fiscal quarter ending September 30 in each calendar year,</w:t>
      </w:r>
    </w:p>
    <w:p>
      <w:pPr>
        <w:spacing w:after="0" w:line="209" w:lineRule="exact"/>
        <w:rPr>
          <w:rFonts w:ascii="Arial" w:cs="Arial" w:eastAsia="Arial" w:hAnsi="Arial"/>
          <w:sz w:val="18"/>
          <w:szCs w:val="18"/>
          <w:color w:val="auto"/>
        </w:rPr>
      </w:pPr>
    </w:p>
    <w:p>
      <w:pPr>
        <w:ind w:left="2720" w:hanging="777"/>
        <w:spacing w:after="0"/>
        <w:tabs>
          <w:tab w:leader="none" w:pos="2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indorsement of negotiable instruments for deposit or collection or similar transactions in the ordinary course of business,</w:t>
      </w:r>
    </w:p>
    <w:p>
      <w:pPr>
        <w:spacing w:after="0" w:line="4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35" w:lineRule="exact"/>
        <w:rPr>
          <w:rFonts w:ascii="Arial" w:cs="Arial" w:eastAsia="Arial" w:hAnsi="Arial"/>
          <w:sz w:val="16"/>
          <w:szCs w:val="16"/>
          <w:color w:val="auto"/>
        </w:rPr>
      </w:pPr>
    </w:p>
    <w:p>
      <w:pPr>
        <w:ind w:left="2700" w:hanging="757"/>
        <w:spacing w:after="0"/>
        <w:tabs>
          <w:tab w:leader="none" w:pos="2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Debt which is, or would be permitted to be, secured by a Lien permitted under Section 5.02(a).</w:t>
      </w:r>
    </w:p>
    <w:p>
      <w:pPr>
        <w:spacing w:after="0" w:line="250" w:lineRule="exact"/>
        <w:rPr>
          <w:sz w:val="20"/>
          <w:szCs w:val="20"/>
          <w:color w:val="auto"/>
        </w:rPr>
      </w:pPr>
    </w:p>
    <w:p>
      <w:pPr>
        <w:ind w:left="660" w:right="20" w:firstLine="638"/>
        <w:spacing w:after="0" w:line="275" w:lineRule="auto"/>
        <w:tabs>
          <w:tab w:leader="none" w:pos="200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Make, or permit any of its Subsidiaries to make, any material change in the nature of its business as carried on at the date hereof.</w:t>
      </w:r>
    </w:p>
    <w:p>
      <w:pPr>
        <w:spacing w:after="0" w:line="198" w:lineRule="exact"/>
        <w:rPr>
          <w:sz w:val="20"/>
          <w:szCs w:val="20"/>
          <w:color w:val="auto"/>
        </w:rPr>
      </w:pPr>
    </w:p>
    <w:p>
      <w:pPr>
        <w:ind w:right="20" w:firstLine="1290"/>
        <w:spacing w:after="0" w:line="27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Covenants</w:t>
      </w:r>
      <w:r>
        <w:rPr>
          <w:rFonts w:ascii="Arial" w:cs="Arial" w:eastAsia="Arial" w:hAnsi="Arial"/>
          <w:sz w:val="18"/>
          <w:szCs w:val="18"/>
          <w:color w:val="auto"/>
        </w:rPr>
        <w:t>. So long as any Advance shall remain unpaid or any Lender Party shall have any Commitment hereunder or any Letter of Credit shall be outstanding, the Borrower will:</w:t>
      </w:r>
    </w:p>
    <w:p>
      <w:pPr>
        <w:spacing w:after="0" w:line="198" w:lineRule="exact"/>
        <w:rPr>
          <w:sz w:val="20"/>
          <w:szCs w:val="20"/>
          <w:color w:val="auto"/>
        </w:rPr>
      </w:pPr>
    </w:p>
    <w:p>
      <w:pPr>
        <w:ind w:left="660" w:firstLine="638"/>
        <w:spacing w:after="0" w:line="275" w:lineRule="auto"/>
        <w:tabs>
          <w:tab w:leader="none" w:pos="205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Maintain a ratio of Consolidated Adjusted Debt to Consolidated EBITDA as of the end of each fiscal quarter, in respect of the four-quarter period then ended, of not greater than 3.5 to 1.00.</w:t>
      </w:r>
    </w:p>
    <w:p>
      <w:pPr>
        <w:spacing w:after="0" w:line="197" w:lineRule="exact"/>
        <w:rPr>
          <w:rFonts w:ascii="Arial" w:cs="Arial" w:eastAsia="Arial" w:hAnsi="Arial"/>
          <w:sz w:val="18"/>
          <w:szCs w:val="18"/>
          <w:color w:val="auto"/>
        </w:rPr>
      </w:pPr>
    </w:p>
    <w:p>
      <w:pPr>
        <w:jc w:val="both"/>
        <w:ind w:left="660" w:firstLine="638"/>
        <w:spacing w:after="0" w:line="262" w:lineRule="auto"/>
        <w:tabs>
          <w:tab w:leader="none" w:pos="206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Maintain a ratio of (i) the sum of Consolidated EBITDA plus Consolidated Rental Expense to (ii) the sum of Consolidated Interest Expense and Consolidated Rental Expense as of the end of each fiscal quarter, in respect of the four-quarter period then ended, of not less than 1.50 to 1.00.</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50" w:lineRule="exact"/>
        <w:rPr>
          <w:sz w:val="20"/>
          <w:szCs w:val="20"/>
          <w:color w:val="auto"/>
        </w:rPr>
      </w:pPr>
    </w:p>
    <w:p>
      <w:pPr>
        <w:jc w:val="both"/>
        <w:ind w:left="660" w:firstLine="638"/>
        <w:spacing w:after="0" w:line="262" w:lineRule="auto"/>
        <w:tabs>
          <w:tab w:leader="none" w:pos="199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Advance when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209" w:lineRule="exact"/>
        <w:rPr>
          <w:rFonts w:ascii="Arial" w:cs="Arial" w:eastAsia="Arial" w:hAnsi="Arial"/>
          <w:sz w:val="18"/>
          <w:szCs w:val="18"/>
          <w:color w:val="auto"/>
        </w:rPr>
      </w:pPr>
    </w:p>
    <w:p>
      <w:pPr>
        <w:ind w:left="660" w:right="20" w:firstLine="638"/>
        <w:spacing w:after="0" w:line="275" w:lineRule="auto"/>
        <w:tabs>
          <w:tab w:leader="none" w:pos="2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Borrower herein or by the Borrower (or any of its officers) in connection with this Agreement shall prove to have been incorrect in any material respect when made or deemed made; or</w:t>
      </w:r>
    </w:p>
    <w:p>
      <w:pPr>
        <w:spacing w:after="0" w:line="197" w:lineRule="exact"/>
        <w:rPr>
          <w:rFonts w:ascii="Arial" w:cs="Arial" w:eastAsia="Arial" w:hAnsi="Arial"/>
          <w:sz w:val="18"/>
          <w:szCs w:val="18"/>
          <w:color w:val="auto"/>
        </w:rPr>
      </w:pPr>
    </w:p>
    <w:p>
      <w:pPr>
        <w:jc w:val="both"/>
        <w:ind w:left="660" w:firstLine="638"/>
        <w:spacing w:after="0" w:line="258" w:lineRule="auto"/>
        <w:tabs>
          <w:tab w:leader="none" w:pos="20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The Borrower shall fail to perform or observe any term, covenant or agreement contained in Section 5.01(d), (e) or (h)(iii), 5.02 or 5.03, or (ii)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Agent or any Lender Party; or</w:t>
      </w:r>
    </w:p>
    <w:p>
      <w:pPr>
        <w:spacing w:after="0" w:line="212" w:lineRule="exact"/>
        <w:rPr>
          <w:rFonts w:ascii="Arial" w:cs="Arial" w:eastAsia="Arial" w:hAnsi="Arial"/>
          <w:sz w:val="18"/>
          <w:szCs w:val="18"/>
          <w:color w:val="auto"/>
        </w:rPr>
      </w:pPr>
    </w:p>
    <w:p>
      <w:pPr>
        <w:jc w:val="both"/>
        <w:ind w:left="660" w:firstLine="638"/>
        <w:spacing w:after="0" w:line="285" w:lineRule="auto"/>
        <w:tabs>
          <w:tab w:leader="none" w:pos="20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Borrower or any of its Subsidiaries shall fail to pay any principal of or premium or interest on any Debt that is outstanding in a principal or notional amount of at least $50,000,000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Section 6.01(d), in the case of (x) Debt of any Person (other than the Borrower or one of its Subsidiaries) which the Borrower or a Subsidiary has guaranteed and (y) Debt of Persons (other than the Borrower or one of its Subsidiaries) the payment of which is secured by a Lien on property of the Borrower or one of its Subsidiaries, such Debt shall be deemed to have not been paid when due or the have been declared to be due and payable only when the Borrower or its Subsidiary, as the case may be, shall have failed to pay when due any amount which it shall be obligated to pay with respect to such Debt; or</w:t>
      </w:r>
    </w:p>
    <w:p>
      <w:pPr>
        <w:spacing w:after="0" w:line="197" w:lineRule="exact"/>
        <w:rPr>
          <w:rFonts w:ascii="Arial" w:cs="Arial" w:eastAsia="Arial" w:hAnsi="Arial"/>
          <w:sz w:val="16"/>
          <w:szCs w:val="16"/>
          <w:color w:val="auto"/>
        </w:rPr>
      </w:pPr>
    </w:p>
    <w:p>
      <w:pPr>
        <w:jc w:val="both"/>
        <w:ind w:left="660" w:firstLine="638"/>
        <w:spacing w:after="0" w:line="252" w:lineRule="auto"/>
        <w:tabs>
          <w:tab w:leader="none" w:pos="21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Borrower or any of its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Subsidiaries shall take any corporate action to authorize any of the actions set forth above in this subsection (e); or</w:t>
      </w:r>
    </w:p>
    <w:p>
      <w:pPr>
        <w:spacing w:after="0" w:line="219" w:lineRule="exact"/>
        <w:rPr>
          <w:rFonts w:ascii="Arial" w:cs="Arial" w:eastAsia="Arial" w:hAnsi="Arial"/>
          <w:sz w:val="18"/>
          <w:szCs w:val="18"/>
          <w:color w:val="auto"/>
        </w:rPr>
      </w:pPr>
    </w:p>
    <w:p>
      <w:pPr>
        <w:jc w:val="both"/>
        <w:ind w:left="660" w:firstLine="638"/>
        <w:spacing w:after="0" w:line="258" w:lineRule="auto"/>
        <w:tabs>
          <w:tab w:leader="none" w:pos="2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Judgments or orders for the payment of money in excess of $50,000,000 in the aggregate shall be rendered against and remain unpaid by the Borrower or any of its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or</w:t>
      </w:r>
    </w:p>
    <w:p>
      <w:pPr>
        <w:spacing w:after="0" w:line="212" w:lineRule="exact"/>
        <w:rPr>
          <w:rFonts w:ascii="Arial" w:cs="Arial" w:eastAsia="Arial" w:hAnsi="Arial"/>
          <w:sz w:val="18"/>
          <w:szCs w:val="18"/>
          <w:color w:val="auto"/>
        </w:rPr>
      </w:pPr>
    </w:p>
    <w:p>
      <w:pPr>
        <w:jc w:val="both"/>
        <w:ind w:left="660" w:firstLine="638"/>
        <w:spacing w:after="0" w:line="340" w:lineRule="auto"/>
        <w:tabs>
          <w:tab w:leader="none" w:pos="2036"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non-monetary judgment or order shall be rendered against the Borrower or any of its Subsidiaries that is reasonably expected to have a Material Adverse Effect, and enforcement proceedings shall have been commenced by any Person upon such judgment or order and there</w:t>
      </w:r>
    </w:p>
    <w:p>
      <w:pPr>
        <w:sectPr>
          <w:pgSz w:w="11900" w:h="16838" w:orient="portrait"/>
          <w:cols w:equalWidth="0" w:num="1">
            <w:col w:w="11420"/>
          </w:cols>
          <w:pgMar w:left="240" w:top="125" w:right="239" w:bottom="0" w:gutter="0" w:footer="0" w:header="0"/>
        </w:sectPr>
      </w:pPr>
    </w:p>
    <w:bookmarkStart w:id="29" w:name="page30"/>
    <w:bookmarkEnd w:id="29"/>
    <w:p>
      <w:pPr>
        <w:ind w:left="660"/>
        <w:spacing w:after="0" w:line="275" w:lineRule="auto"/>
        <w:rPr>
          <w:sz w:val="20"/>
          <w:szCs w:val="20"/>
          <w:color w:val="auto"/>
        </w:rPr>
      </w:pPr>
      <w:r>
        <w:rPr>
          <w:rFonts w:ascii="Arial" w:cs="Arial" w:eastAsia="Arial" w:hAnsi="Arial"/>
          <w:sz w:val="18"/>
          <w:szCs w:val="18"/>
          <w:color w:val="auto"/>
        </w:rPr>
        <w:t>shall be any period of 10 consecutive days during which a stay of enforcement of such judgment or order, by reason of a pending appeal or otherwise, shall not be in effect; or</w:t>
      </w:r>
    </w:p>
    <w:p>
      <w:pPr>
        <w:spacing w:after="0" w:line="198" w:lineRule="exact"/>
        <w:rPr>
          <w:sz w:val="20"/>
          <w:szCs w:val="20"/>
          <w:color w:val="auto"/>
        </w:rPr>
      </w:pPr>
    </w:p>
    <w:p>
      <w:pPr>
        <w:jc w:val="both"/>
        <w:ind w:left="660" w:right="20" w:firstLine="638"/>
        <w:spacing w:after="0" w:line="286" w:lineRule="auto"/>
        <w:tabs>
          <w:tab w:leader="none" w:pos="2007" w:val="left"/>
        </w:tabs>
        <w:numPr>
          <w:ilvl w:val="1"/>
          <w:numId w:val="55"/>
        </w:numPr>
        <w:rPr>
          <w:rFonts w:ascii="Arial" w:cs="Arial" w:eastAsia="Arial" w:hAnsi="Arial"/>
          <w:sz w:val="16"/>
          <w:szCs w:val="16"/>
          <w:color w:val="auto"/>
        </w:rPr>
      </w:pPr>
      <w:r>
        <w:rPr>
          <w:rFonts w:ascii="Arial" w:cs="Arial" w:eastAsia="Arial" w:hAnsi="Arial"/>
          <w:sz w:val="16"/>
          <w:szCs w:val="16"/>
          <w:color w:val="auto"/>
        </w:rPr>
        <w:t>(i) Any Person or two or more Persons acting in concert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25% or more of the combined voting power of all Voting Stock of the Borrower; or</w:t>
      </w:r>
    </w:p>
    <w:p>
      <w:pPr>
        <w:spacing w:after="0" w:line="2" w:lineRule="exact"/>
        <w:rPr>
          <w:rFonts w:ascii="Arial" w:cs="Arial" w:eastAsia="Arial" w:hAnsi="Arial"/>
          <w:sz w:val="16"/>
          <w:szCs w:val="16"/>
          <w:color w:val="auto"/>
        </w:rPr>
      </w:pPr>
    </w:p>
    <w:p>
      <w:pPr>
        <w:jc w:val="both"/>
        <w:ind w:left="660" w:hanging="7"/>
        <w:spacing w:after="0" w:line="287" w:lineRule="auto"/>
        <w:tabs>
          <w:tab w:leader="none" w:pos="9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any period of up to 24 consecutive months, commencing before or after the date of this Agreement, individuals who at the beginning of such 24-month period were directors of the Borrower shall cease for any reason to constitute a majority of the board of directors of the Borrower (except to the extent that individuals who at the beginning of such 24-month period were replaced by individuals (x) elected by 66-2/3% of the remaining members of the board of directors of the Borrower or (y) nominated for election by a majority of the remaining members of the board of directors of the Borrower and thereafter elected as directors by the shareholders of the Borrower) ; or (iii) any Person or two or more Persons acting in concert shall have acquired by contract or otherwise, or shall have entered into a contract or arrangement that, upon consummation, will result in its or their acquisition of the power to exercise, directly or indirectly, a controlling influence over the management or policies of the Borrower; or</w:t>
      </w:r>
    </w:p>
    <w:p>
      <w:pPr>
        <w:spacing w:after="0" w:line="192" w:lineRule="exact"/>
        <w:rPr>
          <w:rFonts w:ascii="Arial" w:cs="Arial" w:eastAsia="Arial" w:hAnsi="Arial"/>
          <w:sz w:val="16"/>
          <w:szCs w:val="16"/>
          <w:color w:val="auto"/>
        </w:rPr>
      </w:pPr>
    </w:p>
    <w:p>
      <w:pPr>
        <w:jc w:val="both"/>
        <w:ind w:left="660" w:firstLine="638"/>
        <w:spacing w:after="0" w:line="285" w:lineRule="auto"/>
        <w:tabs>
          <w:tab w:leader="none" w:pos="2013"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Borrower or any of its ERISA Affiliates shall incur, or shall be reasonably likely to incur liability in excess of $50,000,000 in the aggregate as a result of one or more of the following: (i) the occurrence of any ERISA Event; (ii) the partial or complete withdrawal of the Borrower or any of its ERISA Affiliates from a Multiemployer Plan; or (iii) the reorganization or termination of a Multiemployer Plan;</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then, and in any such event, the Agent (i) shall at the request, or may with the consent, of the Required Lenders, by notice to the Borrower, declare the obligation of each Lender Party to make Advances (other than Letter of Credit Advances by an Issuing Bank or a Lender pursuant to Section 2.04(c)) and of any Issuing Bank to issue Letters of Credit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the Borrower under the Federal Bankruptcy Code, (A) the obligation of each Lender Party to make Advances (other than Letter of Credit Advances by any Issuing Bank or a Lender pursuant to Section 2.04(c)) and of the Issuing Banks to issue Letters of Credit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193"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Actions in Respect of the Letters of Credit upon Default</w:t>
      </w:r>
      <w:r>
        <w:rPr>
          <w:rFonts w:ascii="Arial" w:cs="Arial" w:eastAsia="Arial" w:hAnsi="Arial"/>
          <w:sz w:val="17"/>
          <w:szCs w:val="17"/>
          <w:color w:val="auto"/>
        </w:rPr>
        <w:t>. If any Event of Default shall have occurred and be continuing, the Agent may with the consent, or shall at the request, of the Required Lenders, irrespective of whether it is taking any of the actions described in Section 6.01 or otherwise, make demand upon the Borrower to, and forthwith upon such demand the Borrower will, (a) pay to the Agent on behalf of the Lender Parties in same day funds at the Agent’s office designated in such demand, for deposit in the L/C Cash Collateral Account, an amount equal to the aggregate Available Amount of all Letters of Credit then outstanding (but only to the extent such Available Amount has not already been Cash Collateralized) or (b) make such other arrangements in respect of the outstanding Letters of Credit as shall be acceptable to the Required Lenders. If at any time the Agent determines that any funds held in the L/C Cash Collateral Account are subject to any right or claim of any Person other than the Agent and the Lender Parties or that the total amount of such funds is less than the aggregate Available Amount of all Letters of Credit, the Borrower will, forthwith upon demand by the Agent, pay to the Agent, as additional funds to be deposited and held in the L/C Cash Collateral Account, an amount equal to the excess of (a) such aggregate Available Amount over (b) the total amount of funds, if any, then held in the L/C Cash Collateral Account that the Agent determines to be free and clear of any such right and claim. Upon the drawing of any Letter of Credit, to the extent funds are on deposit in the L/C Cash Collateral Account, such funds shall be applied to reimburse the Issuing Banks to the extent permitted by applicable law.</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w:t>
      </w:r>
    </w:p>
    <w:p>
      <w:pPr>
        <w:spacing w:after="0" w:line="250"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Each of the Lender Parties hereby irrevocably appoints Citibank to act on its behalf as the Agent hereunder and under the Notes and authorizes the Agent to take such actions on its behalf and to exercise such powers as are delegated to the Agent by the terms hereof, together with such actions and powers as are reasonably incidental thereto. The provisions of this Article are solely for the benefit of the Agent and the Lender Parties, and the Borrower shall not have rights as a third-party beneficiary of any of such provisions. It is understood and agreed that the use of the term “agent” herein or in any Note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the Agent hereunder shall have the same rights and powers in its capacity as a Lender Party as any other Lender Party and may exercise the same as though it were not the Agent, and the term “Lender Party” or “Lender Parties”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Agent hereunder and without any duty to account therefor to the Lender Parties.</w:t>
      </w:r>
    </w:p>
    <w:p>
      <w:pPr>
        <w:spacing w:after="0" w:line="218"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 (a) The Agent shall not have any duties or obligations except those expressly set forth herein, and its duties hereunder shall be administrative in nature. Without limiting the generality of the foregoing, the Agent:</w:t>
      </w:r>
    </w:p>
    <w:p>
      <w:pPr>
        <w:spacing w:after="0" w:line="198" w:lineRule="exact"/>
        <w:rPr>
          <w:sz w:val="20"/>
          <w:szCs w:val="20"/>
          <w:color w:val="auto"/>
        </w:rPr>
      </w:pPr>
    </w:p>
    <w:p>
      <w:pPr>
        <w:ind w:left="2900" w:hanging="957"/>
        <w:spacing w:after="0"/>
        <w:tabs>
          <w:tab w:leader="none" w:pos="2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235" w:lineRule="exact"/>
        <w:rPr>
          <w:rFonts w:ascii="Arial" w:cs="Arial" w:eastAsia="Arial" w:hAnsi="Arial"/>
          <w:sz w:val="17"/>
          <w:szCs w:val="17"/>
          <w:color w:val="auto"/>
        </w:rPr>
      </w:pPr>
    </w:p>
    <w:p>
      <w:pPr>
        <w:jc w:val="both"/>
        <w:ind w:left="1300" w:firstLine="643"/>
        <w:spacing w:after="0" w:line="292" w:lineRule="auto"/>
        <w:tabs>
          <w:tab w:leader="none" w:pos="27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that the Agent is required to exercise as directed in writing by the Required Lenders (or such other number or percentage of the Lenders as shall be expressly provided for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Agent shall not be required to take any action that, in its opinion or the opinion of its counsel, may expose the Agent to liability or that 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ectPr>
          <w:pgSz w:w="11900" w:h="16838" w:orient="portrait"/>
          <w:cols w:equalWidth="0" w:num="1">
            <w:col w:w="11420"/>
          </w:cols>
          <w:pgMar w:left="240" w:top="125" w:right="239" w:bottom="99" w:gutter="0" w:footer="0" w:header="0"/>
        </w:sectPr>
      </w:pPr>
    </w:p>
    <w:bookmarkStart w:id="30" w:name="page31"/>
    <w:bookmarkEnd w:id="30"/>
    <w:p>
      <w:pPr>
        <w:jc w:val="both"/>
        <w:ind w:left="1300" w:firstLine="643"/>
        <w:spacing w:after="0" w:line="262" w:lineRule="auto"/>
        <w:tabs>
          <w:tab w:leader="none" w:pos="2725" w:val="left"/>
        </w:tabs>
        <w:numPr>
          <w:ilvl w:val="2"/>
          <w:numId w:val="58"/>
        </w:numPr>
        <w:rPr>
          <w:rFonts w:ascii="Arial" w:cs="Arial" w:eastAsia="Arial" w:hAnsi="Arial"/>
          <w:sz w:val="18"/>
          <w:szCs w:val="18"/>
          <w:color w:val="auto"/>
        </w:rPr>
      </w:pPr>
      <w:r>
        <w:rPr>
          <w:rFonts w:ascii="Arial" w:cs="Arial" w:eastAsia="Arial" w:hAnsi="Arial"/>
          <w:sz w:val="18"/>
          <w:szCs w:val="18"/>
          <w:color w:val="auto"/>
        </w:rPr>
        <w:t>shall not, except as expressly set forth herein, have any duty to disclose, and shall not be liable for the failure to disclose, any information relating to the Borrower or any of its Affiliates that is communicated to or obtained by the Person serving as the Agent or any of its Affiliates in any capacity.</w:t>
      </w:r>
    </w:p>
    <w:p>
      <w:pPr>
        <w:spacing w:after="0" w:line="209" w:lineRule="exact"/>
        <w:rPr>
          <w:rFonts w:ascii="Arial" w:cs="Arial" w:eastAsia="Arial" w:hAnsi="Arial"/>
          <w:sz w:val="18"/>
          <w:szCs w:val="18"/>
          <w:color w:val="auto"/>
        </w:rPr>
      </w:pPr>
    </w:p>
    <w:p>
      <w:pPr>
        <w:jc w:val="both"/>
        <w:ind w:firstLine="1298"/>
        <w:spacing w:after="0" w:line="255" w:lineRule="auto"/>
        <w:tabs>
          <w:tab w:leader="none" w:pos="20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8.01 and 6.01),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the Borrower or a Lender.</w:t>
      </w:r>
    </w:p>
    <w:p>
      <w:pPr>
        <w:spacing w:after="0" w:line="217" w:lineRule="exact"/>
        <w:rPr>
          <w:rFonts w:ascii="Arial" w:cs="Arial" w:eastAsia="Arial" w:hAnsi="Arial"/>
          <w:sz w:val="18"/>
          <w:szCs w:val="18"/>
          <w:color w:val="auto"/>
        </w:rPr>
      </w:pPr>
    </w:p>
    <w:p>
      <w:pPr>
        <w:jc w:val="both"/>
        <w:ind w:firstLine="1298"/>
        <w:spacing w:after="0" w:line="285" w:lineRule="auto"/>
        <w:tabs>
          <w:tab w:leader="none" w:pos="2071"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Agent shall not be responsible for or have any duty to ascertain or inquire into (i) any statement, warranty or representation made in or in connection with this Agreement,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agreement, instrument or document, or</w:t>
      </w:r>
    </w:p>
    <w:p>
      <w:pPr>
        <w:ind w:firstLine="8"/>
        <w:spacing w:after="0" w:line="258" w:lineRule="auto"/>
        <w:tabs>
          <w:tab w:leader="none" w:pos="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satisfaction of any condition set forth in Article III or elsewhere herein, other than to confirm receipt of items expressly required to be delivered to the Agent.</w:t>
      </w:r>
    </w:p>
    <w:p>
      <w:pPr>
        <w:spacing w:after="0" w:line="213" w:lineRule="exact"/>
        <w:rPr>
          <w:sz w:val="20"/>
          <w:szCs w:val="20"/>
          <w:color w:val="auto"/>
        </w:rPr>
      </w:pPr>
    </w:p>
    <w:p>
      <w:pPr>
        <w:jc w:val="both"/>
        <w:ind w:firstLine="1290"/>
        <w:spacing w:after="0" w:line="288"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Reliance by Agent</w:t>
      </w:r>
      <w:r>
        <w:rPr>
          <w:rFonts w:ascii="Arial" w:cs="Arial" w:eastAsia="Arial" w:hAnsi="Arial"/>
          <w:sz w:val="16"/>
          <w:szCs w:val="16"/>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extension, renewal or increase of a Letter of Credit, that by its terms must be fulfilled to the satisfaction of a Lender or an Issuing Bank, the Agent may presume that such condition is satisfactory to such Lender or Issuing Bank unless the Agent shall have received notice to the contrary from such Lender or Issuing Bank prior to the making of such Advance or the issuance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Indemnification</w:t>
      </w:r>
      <w:r>
        <w:rPr>
          <w:rFonts w:ascii="Arial" w:cs="Arial" w:eastAsia="Arial" w:hAnsi="Arial"/>
          <w:sz w:val="16"/>
          <w:szCs w:val="16"/>
          <w:color w:val="auto"/>
        </w:rPr>
        <w:t>. (a) Each Lender Party severally agrees to indemnify the Agent (to the extent not reimbursed by the Borrower), ratably according to the respective principal amounts of the Revolving Credit Advances and Letter of Credit Advances owed to each of them (or if no Revolving Credit Advances and Letter of Credit Advances are at the time outstanding,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(collectively, the “</w:t>
      </w:r>
      <w:r>
        <w:rPr>
          <w:rFonts w:ascii="Arial" w:cs="Arial" w:eastAsia="Arial" w:hAnsi="Arial"/>
          <w:sz w:val="16"/>
          <w:szCs w:val="16"/>
          <w:u w:val="single" w:color="auto"/>
          <w:color w:val="auto"/>
        </w:rPr>
        <w:t>Indemnified Costs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Party shall be liable for any portion of the Indemnified Costs resulting from the Agent’s gross negligence or willful misconduct. Without limitation of the foregoing, each Lender Party agrees to reimburse the Agent promptly upon demand for its ratable share of any out-of-pocket expenses (including reasonable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 In the case of any investigation, litigation or proceeding giving rise to any Indemnified Costs, this Section 7.05 applies whether any such investigation, litigation or proceeding is brought by the Agent, any Lender Party or a third party.</w:t>
      </w:r>
    </w:p>
    <w:p>
      <w:pPr>
        <w:spacing w:after="0" w:line="201" w:lineRule="exact"/>
        <w:rPr>
          <w:sz w:val="20"/>
          <w:szCs w:val="20"/>
          <w:color w:val="auto"/>
        </w:rPr>
      </w:pPr>
    </w:p>
    <w:p>
      <w:pPr>
        <w:jc w:val="both"/>
        <w:ind w:firstLine="1298"/>
        <w:spacing w:after="0" w:line="288" w:lineRule="auto"/>
        <w:tabs>
          <w:tab w:leader="none" w:pos="20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Each Lender Party severally agrees to indemnify the Issuing Banks (to the extent not promptly reimbursed by the Borrower) from and against such Lender Party’s ratable share (determined as provided below) of any and all liabilities, obligations, losses, damages, penalties, actions, judgments, suits, costs, expenses or disbursements of any kind or nature whatsoever that may be imposed on, incurred by, or asserted against any such Issuing Bank in any way relating to or arising out of this Agreement or any action taken or omitted by such Issuing Bank hereunder or in connection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Lender Party shall be liable for any portion of such liabilities, obligations, losses, damages, penalties, actions, judgments, suits, costs, expenses or disbursements resulting from such Issuing Bank’s gross negligence or willful misconduct as found in a final, non-appealable judgment by a court of competent jurisdiction. Without limitation of the foregoing, each Lender Party agrees to reimburse any such Issuing Bank promptly upon demand for its ratable share of any costs and expenses (including, without limitation, fees and expenses of counsel) payable by the Borrower under Section 8.04, to the extent that such Issuing Bank is not promptly reimbursed for such costs and expenses by the Borrower.</w:t>
      </w:r>
    </w:p>
    <w:p>
      <w:pPr>
        <w:spacing w:after="0" w:line="190" w:lineRule="exact"/>
        <w:rPr>
          <w:rFonts w:ascii="Arial" w:cs="Arial" w:eastAsia="Arial" w:hAnsi="Arial"/>
          <w:sz w:val="16"/>
          <w:szCs w:val="16"/>
          <w:color w:val="auto"/>
        </w:rPr>
      </w:pPr>
    </w:p>
    <w:p>
      <w:pPr>
        <w:jc w:val="both"/>
        <w:ind w:firstLine="1298"/>
        <w:spacing w:after="0" w:line="268" w:lineRule="auto"/>
        <w:tabs>
          <w:tab w:leader="none" w:pos="2106"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For purposes of this Section 7.05, the Lender Parties’ respective ratable shares of any amount shall be determined, at any time, according to the sum of (i) the aggregate principal amount of the Advances outstanding at such time and owing to the respective Lender Parties, (ii) their respective Pro Rata Shares of the aggregate Available Amount of all Letters of Credit outstanding at such time and (iii) their respective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principal amount of Letter of Credit Advances owing to the Issuing Banks shall be considered to be owed to the Lenders ratably in accordance with their respective Revolving Commitments. The failure of any Lender Party to reimburse the Agent or any such Issuing Bank, as the case may be, promptly upon demand for its ratable share of any amount required to be paid by the Lender Parties to such Agent or such Issuing Bank, as the case may be, as provided herein shall not relieve any other Lender Party of its obligation hereunder to reimburse such Agent or Issuing Bank, as the case may be, for its ratable share of such amount, but no Lender Party shall be responsible for the failure of any other Lender Party to reimburse the Agent or any such Issuing Bank, as the case may be, for such other Lender Party’s ratable share of such amount. Without prejudice to the survival of any other agreement of any Lender Party hereunder, the agreement and obligations of each Lender Party contained in this Section 7.05 shall survive the payment in full of principal, interest and all other amounts payable hereunder and under the Notes.</w:t>
      </w:r>
    </w:p>
    <w:p>
      <w:pPr>
        <w:spacing w:after="0" w:line="207"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Agent may perform any and all of its duties and exercise its rights and powers hereunder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The Agent shall not be responsible for the negligence or misconduct of any sub-agents except to the extent that a court of competent jurisdiction determines in a final and non appealable judgment that the Agent acted with gross negligence or willful misconduct in the selection of such sub-agents.</w:t>
      </w:r>
    </w:p>
    <w:p>
      <w:pPr>
        <w:spacing w:after="0" w:line="218" w:lineRule="exact"/>
        <w:rPr>
          <w:sz w:val="20"/>
          <w:szCs w:val="20"/>
          <w:color w:val="auto"/>
        </w:rPr>
      </w:pPr>
    </w:p>
    <w:p>
      <w:pPr>
        <w:jc w:val="both"/>
        <w:ind w:firstLine="1290"/>
        <w:spacing w:after="0" w:line="292"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Resignation of Agent</w:t>
      </w:r>
      <w:r>
        <w:rPr>
          <w:rFonts w:ascii="Arial" w:cs="Arial" w:eastAsia="Arial" w:hAnsi="Arial"/>
          <w:sz w:val="16"/>
          <w:szCs w:val="16"/>
          <w:color w:val="auto"/>
        </w:rPr>
        <w:t>. (a) The Agent may at any time give notice of its resignation to the Lender Parties and the Borrower. Upon receipt of any such notice of resignation, the Required Lenders shall have the right, so long as no Default has occurred and is continuing, with the consent of the Borrower (which consent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Agent may (but shall not be obligated to), on behalf of the Lender Parties,</w:t>
      </w:r>
    </w:p>
    <w:p>
      <w:pPr>
        <w:sectPr>
          <w:pgSz w:w="11900" w:h="16838" w:orient="portrait"/>
          <w:cols w:equalWidth="0" w:num="1">
            <w:col w:w="11420"/>
          </w:cols>
          <w:pgMar w:left="240" w:top="125" w:right="239" w:bottom="0" w:gutter="0" w:footer="0" w:header="0"/>
        </w:sectPr>
      </w:pPr>
    </w:p>
    <w:bookmarkStart w:id="31" w:name="page32"/>
    <w:bookmarkEnd w:id="31"/>
    <w:p>
      <w:pPr>
        <w:ind w:right="20"/>
        <w:spacing w:after="0" w:line="275" w:lineRule="auto"/>
        <w:rPr>
          <w:sz w:val="20"/>
          <w:szCs w:val="20"/>
          <w:color w:val="auto"/>
        </w:rPr>
      </w:pPr>
      <w:r>
        <w:rPr>
          <w:rFonts w:ascii="Arial" w:cs="Arial" w:eastAsia="Arial" w:hAnsi="Arial"/>
          <w:sz w:val="18"/>
          <w:szCs w:val="18"/>
          <w:color w:val="auto"/>
        </w:rPr>
        <w:t>appoint a successor Agent meeting the qualifications set forth above. Whether or not a successor has been appointed, such resignation shall become effective in accordance with such notice on the Resignation Effective Date.</w:t>
      </w:r>
    </w:p>
    <w:p>
      <w:pPr>
        <w:spacing w:after="0" w:line="198" w:lineRule="exact"/>
        <w:rPr>
          <w:sz w:val="20"/>
          <w:szCs w:val="20"/>
          <w:color w:val="auto"/>
        </w:rPr>
      </w:pPr>
    </w:p>
    <w:p>
      <w:pPr>
        <w:jc w:val="both"/>
        <w:ind w:firstLine="1298"/>
        <w:spacing w:after="0" w:line="254" w:lineRule="auto"/>
        <w:tabs>
          <w:tab w:leader="none" w:pos="20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Person serving as Agent is a Defaulting Lender pursuant to clause (v) of the definition thereof, the Required Lenders may, to the extent permitted by applicable law, by notice in writing to the Borrower and such Person remove such Person as Agent and, so long as no Default has occurred and is continuing, with the consent of the Borrower (which consent shall not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218" w:lineRule="exact"/>
        <w:rPr>
          <w:rFonts w:ascii="Arial" w:cs="Arial" w:eastAsia="Arial" w:hAnsi="Arial"/>
          <w:sz w:val="18"/>
          <w:szCs w:val="18"/>
          <w:color w:val="auto"/>
        </w:rPr>
      </w:pPr>
    </w:p>
    <w:p>
      <w:pPr>
        <w:jc w:val="both"/>
        <w:ind w:firstLine="1298"/>
        <w:spacing w:after="0" w:line="268" w:lineRule="auto"/>
        <w:tabs>
          <w:tab w:leader="none" w:pos="2063" w:val="left"/>
        </w:tabs>
        <w:numPr>
          <w:ilvl w:val="0"/>
          <w:numId w:val="62"/>
        </w:numPr>
        <w:rPr>
          <w:rFonts w:ascii="Arial" w:cs="Arial" w:eastAsia="Arial" w:hAnsi="Arial"/>
          <w:sz w:val="17"/>
          <w:szCs w:val="17"/>
          <w:color w:val="auto"/>
        </w:rPr>
      </w:pPr>
      <w:r>
        <w:rPr>
          <w:rFonts w:ascii="Arial" w:cs="Arial" w:eastAsia="Arial" w:hAnsi="Arial"/>
          <w:sz w:val="17"/>
          <w:szCs w:val="17"/>
          <w:color w:val="auto"/>
        </w:rPr>
        <w:t>With effect from the Resignation Effective Date or the Removal Effective Date (as applicable) (1) the retiring or removed Agent shall be discharged from its duties and obligations hereunder (except that in the case of any Cash Collateral held by the Agent on behalf of the Lenders or the Issuing Banks hereunder, the retiring or removed Agent shall continue to hold such Cash Collateral until such time as a successor Agent is appointed) and (2) all payments, communications and determinations provided to be made by, to or through the Agent shall instead be made by or to each Lender and Issuing Bank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and the retiring or removed Agent shall be discharged from all of its duties and obligations hereunder. The fees payable by the Borrower to a successor Agent shall be the same as those payable to its predecessor unless otherwise agreed between the Borrower and such successor. After the retiring or removed Agent’s resignation or removal hereunder, the provisions of this Article and Section 8.04 shall continue in effect for the benefit of such retiring or removed Agent, its sub-agents and their respective Related Parties in respect of any actions taken or omitted to be taken by any of them while the retiring or removed Agent was acting as Agent.</w:t>
      </w:r>
    </w:p>
    <w:p>
      <w:pPr>
        <w:spacing w:after="0" w:line="206" w:lineRule="exact"/>
        <w:rPr>
          <w:rFonts w:ascii="Arial" w:cs="Arial" w:eastAsia="Arial" w:hAnsi="Arial"/>
          <w:sz w:val="17"/>
          <w:szCs w:val="17"/>
          <w:color w:val="auto"/>
        </w:rPr>
      </w:pPr>
    </w:p>
    <w:p>
      <w:pPr>
        <w:jc w:val="both"/>
        <w:ind w:firstLine="1298"/>
        <w:spacing w:after="0" w:line="271" w:lineRule="auto"/>
        <w:tabs>
          <w:tab w:leader="none" w:pos="207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resignation pursuant to this Section by a Person acting as Agent shall, unless such Person shall notify the Borrower and the Lenders otherwise, also act to relieve such Person and its Affiliates of any obligation to advance or issue new, or extend existing, Letters of Credit where such advance, 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(ii) the retiring Issuing Bank shall be discharged from all of its duties and obligations hereunder and (iii)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20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Non-Reliance on Agent and Other Lenders</w:t>
      </w:r>
      <w:r>
        <w:rPr>
          <w:rFonts w:ascii="Arial" w:cs="Arial" w:eastAsia="Arial" w:hAnsi="Arial"/>
          <w:sz w:val="18"/>
          <w:szCs w:val="18"/>
          <w:color w:val="auto"/>
        </w:rPr>
        <w:t>. Each Lender Party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Party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218"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Bookrunners, Arrangers, Syndication Agents or Documentation Agents listed on the cover page hereof shall have any powers, duties or responsibilities under this Agreement, except in its capacity, as applicable, as the Agent or a Lender hereunder.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50"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or the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no amendment, waiver or consent shall, unless in writing and signed by all the Lenders, do any of the following: (i) waive any of the conditions specified in Section 3.01, (ii) change the percentage of the Commitments or of the aggregate unpaid principal amount of the Advances, or the number of Lenders, that shall be required for the Lenders or any of them to take any action hereunder or (iii) amend this Section 8.01 and (b) no amendment, waiver or consent shall, unless in writing and signed by each Lender directly affected thereby, do any of the following: (i) increase the Commitments of such Lender, (ii) reduce the principal of, or rate of interest on, the Advances or any fees or other amounts payable hereunder or (iii) postpone any date fixed for any payment of principal of, or interest on, the Advances or any fees or other amounts payable hereunder;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Agent in addition to the Lenders required above to take such action, affect the rights or duties of the Agent under this Agreement or any Note;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Issuing Banks in addition to the Lenders required above to take such action, affect the rights or obligation of the Issuing Banks under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1560" w:type="dxa"/>
            <w:vAlign w:val="bottom"/>
          </w:tcPr>
          <w:p>
            <w:pPr>
              <w:ind w:left="140"/>
              <w:spacing w:after="0"/>
              <w:rPr>
                <w:sz w:val="20"/>
                <w:szCs w:val="20"/>
                <w:color w:val="auto"/>
              </w:rPr>
            </w:pPr>
            <w:r>
              <w:rPr>
                <w:rFonts w:ascii="Arial" w:cs="Arial" w:eastAsia="Arial" w:hAnsi="Arial"/>
                <w:sz w:val="18"/>
                <w:szCs w:val="18"/>
                <w:color w:val="auto"/>
              </w:rPr>
              <w:t>SECTION</w:t>
            </w:r>
          </w:p>
        </w:tc>
        <w:tc>
          <w:tcPr>
            <w:tcW w:w="2360" w:type="dxa"/>
            <w:vAlign w:val="bottom"/>
          </w:tcPr>
          <w:p>
            <w:pPr>
              <w:jc w:val="right"/>
              <w:ind w:right="1250"/>
              <w:spacing w:after="0"/>
              <w:rPr>
                <w:sz w:val="20"/>
                <w:szCs w:val="20"/>
                <w:color w:val="auto"/>
              </w:rPr>
            </w:pPr>
            <w:r>
              <w:rPr>
                <w:rFonts w:ascii="Arial" w:cs="Arial" w:eastAsia="Arial" w:hAnsi="Arial"/>
                <w:sz w:val="18"/>
                <w:szCs w:val="18"/>
                <w:color w:val="auto"/>
              </w:rPr>
              <w:t>8.02.</w:t>
            </w:r>
          </w:p>
        </w:tc>
        <w:tc>
          <w:tcPr>
            <w:tcW w:w="2020" w:type="dxa"/>
            <w:vAlign w:val="bottom"/>
            <w:gridSpan w:val="2"/>
          </w:tcPr>
          <w:p>
            <w:pPr>
              <w:ind w:left="1320"/>
              <w:spacing w:after="0"/>
              <w:rPr>
                <w:sz w:val="20"/>
                <w:szCs w:val="20"/>
                <w:color w:val="auto"/>
              </w:rPr>
            </w:pPr>
            <w:r>
              <w:rPr>
                <w:rFonts w:ascii="Arial" w:cs="Arial" w:eastAsia="Arial" w:hAnsi="Arial"/>
                <w:sz w:val="18"/>
                <w:szCs w:val="18"/>
                <w:color w:val="auto"/>
              </w:rPr>
              <w:t>Notices;</w:t>
            </w:r>
          </w:p>
        </w:tc>
        <w:tc>
          <w:tcPr>
            <w:tcW w:w="80" w:type="dxa"/>
            <w:vAlign w:val="bottom"/>
          </w:tcPr>
          <w:p>
            <w:pPr>
              <w:spacing w:after="0"/>
              <w:rPr>
                <w:sz w:val="18"/>
                <w:szCs w:val="18"/>
                <w:color w:val="auto"/>
              </w:rPr>
            </w:pPr>
          </w:p>
        </w:tc>
        <w:tc>
          <w:tcPr>
            <w:tcW w:w="2840" w:type="dxa"/>
            <w:vAlign w:val="bottom"/>
            <w:gridSpan w:val="2"/>
          </w:tcPr>
          <w:p>
            <w:pPr>
              <w:ind w:left="1160"/>
              <w:spacing w:after="0"/>
              <w:rPr>
                <w:sz w:val="20"/>
                <w:szCs w:val="20"/>
                <w:color w:val="auto"/>
              </w:rPr>
            </w:pPr>
            <w:r>
              <w:rPr>
                <w:rFonts w:ascii="Arial" w:cs="Arial" w:eastAsia="Arial" w:hAnsi="Arial"/>
                <w:sz w:val="18"/>
                <w:szCs w:val="18"/>
                <w:color w:val="auto"/>
              </w:rPr>
              <w:t>Effectiveness;</w:t>
            </w:r>
          </w:p>
        </w:tc>
        <w:tc>
          <w:tcPr>
            <w:tcW w:w="1400" w:type="dxa"/>
            <w:vAlign w:val="bottom"/>
          </w:tcPr>
          <w:p>
            <w:pPr>
              <w:jc w:val="right"/>
              <w:spacing w:after="0"/>
              <w:rPr>
                <w:sz w:val="20"/>
                <w:szCs w:val="20"/>
                <w:color w:val="auto"/>
              </w:rPr>
            </w:pPr>
            <w:r>
              <w:rPr>
                <w:rFonts w:ascii="Arial" w:cs="Arial" w:eastAsia="Arial" w:hAnsi="Arial"/>
                <w:sz w:val="18"/>
                <w:szCs w:val="18"/>
                <w:color w:val="auto"/>
              </w:rPr>
              <w:t>Electronic</w:t>
            </w:r>
          </w:p>
        </w:tc>
      </w:tr>
      <w:tr>
        <w:trPr>
          <w:trHeight w:val="195"/>
        </w:trPr>
        <w:tc>
          <w:tcPr>
            <w:tcW w:w="2720" w:type="dxa"/>
            <w:vAlign w:val="bottom"/>
            <w:gridSpan w:val="2"/>
          </w:tcPr>
          <w:p>
            <w:pPr>
              <w:spacing w:after="0" w:line="195" w:lineRule="exact"/>
              <w:rPr>
                <w:sz w:val="20"/>
                <w:szCs w:val="20"/>
                <w:color w:val="auto"/>
              </w:rPr>
            </w:pPr>
            <w:r>
              <w:rPr>
                <w:rFonts w:ascii="Arial" w:cs="Arial" w:eastAsia="Arial" w:hAnsi="Arial"/>
                <w:sz w:val="18"/>
                <w:szCs w:val="18"/>
                <w:color w:val="auto"/>
              </w:rPr>
              <w:t>Communication. (a)</w:t>
            </w:r>
          </w:p>
        </w:tc>
        <w:tc>
          <w:tcPr>
            <w:tcW w:w="2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w w:val="93"/>
              </w:rPr>
              <w:t>Notices Generally. Except in the case of notices and other</w:t>
            </w:r>
          </w:p>
        </w:tc>
      </w:tr>
      <w:tr>
        <w:trPr>
          <w:trHeight w:val="20"/>
        </w:trPr>
        <w:tc>
          <w:tcPr>
            <w:tcW w:w="11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51" w:lineRule="exact"/>
        <w:rPr>
          <w:sz w:val="20"/>
          <w:szCs w:val="20"/>
          <w:color w:val="auto"/>
        </w:rPr>
      </w:pPr>
    </w:p>
    <w:p>
      <w:pPr>
        <w:ind w:left="1300" w:firstLine="643"/>
        <w:spacing w:after="0" w:line="275" w:lineRule="auto"/>
        <w:tabs>
          <w:tab w:leader="none" w:pos="29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to the Borrower, to it at 100 Manpower Place, Milwaukee, Wisconsin 53212, Attention: Lesley Noer, Vice President/Treasurer (Facsimile No. 414-906-7875; Telephone No. 414-906-6867);</w:t>
      </w:r>
    </w:p>
    <w:p>
      <w:pPr>
        <w:spacing w:after="0" w:line="197" w:lineRule="exact"/>
        <w:rPr>
          <w:rFonts w:ascii="Arial" w:cs="Arial" w:eastAsia="Arial" w:hAnsi="Arial"/>
          <w:sz w:val="18"/>
          <w:szCs w:val="18"/>
          <w:color w:val="auto"/>
        </w:rPr>
      </w:pPr>
    </w:p>
    <w:p>
      <w:pPr>
        <w:ind w:left="1300" w:firstLine="643"/>
        <w:spacing w:after="0" w:line="275" w:lineRule="auto"/>
        <w:tabs>
          <w:tab w:leader="none" w:pos="28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to the Agent, to Citibank at 1615 Brett Road, Building #3, New Castle, Delaware 19720, Attention of Bank Loan Syndications (Facsimile No. 212-994-0961; Telephone No. 302-894-6160;</w:t>
      </w:r>
    </w:p>
    <w:p>
      <w:pPr>
        <w:spacing w:after="0" w:line="197" w:lineRule="exact"/>
        <w:rPr>
          <w:rFonts w:ascii="Arial" w:cs="Arial" w:eastAsia="Arial" w:hAnsi="Arial"/>
          <w:sz w:val="18"/>
          <w:szCs w:val="18"/>
          <w:color w:val="auto"/>
        </w:rPr>
      </w:pPr>
    </w:p>
    <w:p>
      <w:pPr>
        <w:ind w:left="1300" w:firstLine="643"/>
        <w:spacing w:after="0" w:line="275" w:lineRule="auto"/>
        <w:tabs>
          <w:tab w:leader="none" w:pos="27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Issuing Bank, to it at the address provided in writing to the Agent and the Borrower at the time of its appointment as an Issuing Bank hereunder;</w:t>
      </w:r>
    </w:p>
    <w:p>
      <w:pPr>
        <w:spacing w:after="0" w:line="197" w:lineRule="exact"/>
        <w:rPr>
          <w:rFonts w:ascii="Arial" w:cs="Arial" w:eastAsia="Arial" w:hAnsi="Arial"/>
          <w:sz w:val="18"/>
          <w:szCs w:val="18"/>
          <w:color w:val="auto"/>
        </w:rPr>
      </w:pPr>
    </w:p>
    <w:p>
      <w:pPr>
        <w:ind w:left="2700" w:hanging="757"/>
        <w:spacing w:after="0"/>
        <w:tabs>
          <w:tab w:leader="none" w:pos="2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to a Lender, to it at its address (or facsimile number) set forth in its Administrative Questionnaire.</w:t>
      </w:r>
    </w:p>
    <w:p>
      <w:pPr>
        <w:sectPr>
          <w:pgSz w:w="11900" w:h="16838" w:orient="portrait"/>
          <w:cols w:equalWidth="0" w:num="1">
            <w:col w:w="11420"/>
          </w:cols>
          <w:pgMar w:left="240" w:top="125" w:right="239" w:bottom="106" w:gutter="0" w:footer="0" w:header="0"/>
        </w:sectPr>
      </w:pPr>
    </w:p>
    <w:bookmarkStart w:id="32" w:name="page33"/>
    <w:bookmarkEnd w:id="32"/>
    <w:p>
      <w:pPr>
        <w:jc w:val="both"/>
        <w:spacing w:after="0" w:line="258"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212" w:lineRule="exact"/>
        <w:rPr>
          <w:sz w:val="20"/>
          <w:szCs w:val="20"/>
          <w:color w:val="auto"/>
        </w:rPr>
      </w:pPr>
    </w:p>
    <w:p>
      <w:pPr>
        <w:jc w:val="both"/>
        <w:ind w:firstLine="1298"/>
        <w:spacing w:after="0" w:line="254" w:lineRule="auto"/>
        <w:tabs>
          <w:tab w:leader="none" w:pos="201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 Parties hereunder may be delivered or furnished by electronic communication (including e-mail and Internet or intranet websites) pursuant to procedures approved by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Party pursuant to Article II if such Lender Party has notified the Agent that it is incapable of receiving notices under such Article by electronic communication. The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18"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20" w:lineRule="exact"/>
        <w:rPr>
          <w:sz w:val="20"/>
          <w:szCs w:val="20"/>
          <w:color w:val="auto"/>
        </w:rPr>
      </w:pPr>
    </w:p>
    <w:p>
      <w:pPr>
        <w:ind w:firstLine="1298"/>
        <w:spacing w:after="0" w:line="275" w:lineRule="auto"/>
        <w:tabs>
          <w:tab w:leader="none" w:pos="215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Any party hereto may change its address or facsimile number for notices and other communications hereunder by notice to the other parties hereto.</w:t>
      </w:r>
    </w:p>
    <w:p>
      <w:pPr>
        <w:spacing w:after="0" w:line="197" w:lineRule="exact"/>
        <w:rPr>
          <w:rFonts w:ascii="Arial" w:cs="Arial" w:eastAsia="Arial" w:hAnsi="Arial"/>
          <w:sz w:val="18"/>
          <w:szCs w:val="18"/>
          <w:color w:val="auto"/>
        </w:rPr>
      </w:pPr>
    </w:p>
    <w:p>
      <w:pPr>
        <w:ind w:left="2000" w:hanging="702"/>
        <w:spacing w:after="0"/>
        <w:tabs>
          <w:tab w:leader="none" w:pos="20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250" w:lineRule="exact"/>
        <w:rPr>
          <w:rFonts w:ascii="Arial" w:cs="Arial" w:eastAsia="Arial" w:hAnsi="Arial"/>
          <w:sz w:val="18"/>
          <w:szCs w:val="18"/>
          <w:color w:val="auto"/>
        </w:rPr>
      </w:pPr>
    </w:p>
    <w:p>
      <w:pPr>
        <w:jc w:val="both"/>
        <w:ind w:left="1300" w:firstLine="643"/>
        <w:spacing w:after="0" w:line="262" w:lineRule="auto"/>
        <w:tabs>
          <w:tab w:leader="none" w:pos="2767"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Borrower agrees that the Agent may, but shall not be obligated to, make the Communications (as defined below) available to the Lender Parties by posting the Communications on Debt Domain, Intralinks, Syndtrak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jc w:val="both"/>
        <w:ind w:left="1300" w:firstLine="643"/>
        <w:spacing w:after="0" w:line="285" w:lineRule="auto"/>
        <w:tabs>
          <w:tab w:leader="none" w:pos="2663"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unless, and solely in the case of direct damages, such damages are found in a final, non-appealable judgment by a court of competent jurisdiction to have resulted from the gross negligence or willful misconduct of such Agent Party. “</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that the Borrower provides to the Agent pursuant to this Agreement or the transactions contemplated herein which is distributed to the Agent or any Lender Party by means of electronic communications pursuant to this Section, including through the Platform.</w:t>
      </w:r>
    </w:p>
    <w:p>
      <w:pPr>
        <w:spacing w:after="0" w:line="201" w:lineRule="exact"/>
        <w:rPr>
          <w:sz w:val="20"/>
          <w:szCs w:val="20"/>
          <w:color w:val="auto"/>
        </w:rPr>
      </w:pPr>
    </w:p>
    <w:p>
      <w:pPr>
        <w:jc w:val="both"/>
        <w:ind w:firstLine="1290"/>
        <w:spacing w:after="0" w:line="310"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Party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4" w:lineRule="exact"/>
        <w:rPr>
          <w:sz w:val="20"/>
          <w:szCs w:val="20"/>
          <w:color w:val="auto"/>
        </w:rPr>
      </w:pPr>
    </w:p>
    <w:p>
      <w:pPr>
        <w:jc w:val="both"/>
        <w:ind w:firstLine="1290"/>
        <w:spacing w:after="0" w:line="252"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Costs and Expenses</w:t>
      </w:r>
      <w:r>
        <w:rPr>
          <w:rFonts w:ascii="Arial" w:cs="Arial" w:eastAsia="Arial" w:hAnsi="Arial"/>
          <w:sz w:val="18"/>
          <w:szCs w:val="18"/>
          <w:color w:val="auto"/>
        </w:rPr>
        <w:t>. (a) The Borrower agrees to pay on demand all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computer, duplication, appraisal, consultant, and audit expenses and (B) the reasonable fees and expenses of counsel for the Agent with respect thereto and with respect to advising the Agent as to its rights and responsibilities under this Agreement. The Borrower further agrees to pay on demand all costs and expenses of the Agent and the Lender Parties,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Party in connection with the enforcement of rights under this Section 8.04(a).</w:t>
      </w:r>
    </w:p>
    <w:p>
      <w:pPr>
        <w:spacing w:after="0" w:line="222" w:lineRule="exact"/>
        <w:rPr>
          <w:sz w:val="20"/>
          <w:szCs w:val="20"/>
          <w:color w:val="auto"/>
        </w:rPr>
      </w:pPr>
    </w:p>
    <w:p>
      <w:pPr>
        <w:jc w:val="both"/>
        <w:ind w:firstLine="1298"/>
        <w:spacing w:after="0" w:line="267" w:lineRule="auto"/>
        <w:tabs>
          <w:tab w:leader="none" w:pos="211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Borrower agrees to indemnify and hold harmless the Agent and each Lender and each of their Affiliates and their officers, directors, employees, agents and advisors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from and against any and all claims, damages, losses, liabilities and expenses (including, without limitation, reasonable fees and expenses of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the Notes, this Agreement, any of the transactions contemplated herein or the actual or proposed use of the proceeds of the Advances, except to the extent such claim, damage, loss, liability or expense is found in a final, non-appealable judgment by a court of competent jurisdiction to have resulted from such Indemnified Party’s gross negligence or willful misconduct. In the case of an investigation, litigation or other proceeding to which the indemnity in this Section 8.04(b)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 hereby are consummated. The Borrower also agrees not to assert any claim for special, indirect, consequential or punitive damages against the Agent, any Lender Party,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Advances.</w:t>
      </w:r>
    </w:p>
    <w:p>
      <w:pPr>
        <w:spacing w:after="0" w:line="211" w:lineRule="exact"/>
        <w:rPr>
          <w:rFonts w:ascii="Arial" w:cs="Arial" w:eastAsia="Arial" w:hAnsi="Arial"/>
          <w:sz w:val="17"/>
          <w:szCs w:val="17"/>
          <w:color w:val="auto"/>
        </w:rPr>
      </w:pPr>
    </w:p>
    <w:p>
      <w:pPr>
        <w:jc w:val="both"/>
        <w:ind w:firstLine="1298"/>
        <w:spacing w:after="0" w:line="295" w:lineRule="auto"/>
        <w:tabs>
          <w:tab w:leader="none" w:pos="19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any payment of principal of, or Conversion of, any Eurocurrency Rate Advance is made by the Borrower to or for the account of a Lender (i) other than on the last day of the Interest Period for such Advance, as a result of a payment or Conversion pursuant to Section 2.09, 2.11 or 2.13, acceleration of the maturity of the Notes pursuant to Section 6.01 or for any other reason, or by an Eligible Assignee to a Lender Party other than on the last day of the Interest Period for such Advance upon an assignment of rights and obligations under this Agreement pursuant to Section 8.07 as a result of a demand by the Borrower pursuant to Section 2.21 or (ii) as a result of a payment or Conversion pursuant to Section 2.09, 2.11 or 2.13, the Borrower shall,</w:t>
      </w:r>
    </w:p>
    <w:p>
      <w:pPr>
        <w:sectPr>
          <w:pgSz w:w="11900" w:h="16838" w:orient="portrait"/>
          <w:cols w:equalWidth="0" w:num="1">
            <w:col w:w="11420"/>
          </w:cols>
          <w:pgMar w:left="240" w:top="125" w:right="239" w:bottom="0" w:gutter="0" w:footer="0" w:header="0"/>
        </w:sectPr>
      </w:pPr>
    </w:p>
    <w:bookmarkStart w:id="33" w:name="page34"/>
    <w:bookmarkEnd w:id="33"/>
    <w:p>
      <w:pPr>
        <w:jc w:val="both"/>
        <w:spacing w:after="0" w:line="272" w:lineRule="auto"/>
        <w:rPr>
          <w:sz w:val="20"/>
          <w:szCs w:val="20"/>
          <w:color w:val="auto"/>
        </w:rPr>
      </w:pPr>
      <w:r>
        <w:rPr>
          <w:rFonts w:ascii="Arial" w:cs="Arial" w:eastAsia="Arial" w:hAnsi="Arial"/>
          <w:sz w:val="17"/>
          <w:szCs w:val="17"/>
          <w:color w:val="auto"/>
        </w:rPr>
        <w:t>upon demand by such Lender Party (with a copy of such demand to the Agent), pay to the Agent for the account of such Lender Party any amounts required to compensate such Lender Party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Party to fund or maintain such Advance. If the amount of the Committed Currency purchased by any Lender Party in the case of a Conversion or redenomination of Advances in the case of Section 2.09 or 2.13 exceeds the sum required to satisfy such Lender Party’s liability in respect of such Advances, such Lender agrees to remit to the Company such excess.</w:t>
      </w:r>
    </w:p>
    <w:p>
      <w:pPr>
        <w:spacing w:after="0" w:line="203" w:lineRule="exact"/>
        <w:rPr>
          <w:sz w:val="20"/>
          <w:szCs w:val="20"/>
          <w:color w:val="auto"/>
        </w:rPr>
      </w:pPr>
    </w:p>
    <w:p>
      <w:pPr>
        <w:jc w:val="both"/>
        <w:ind w:firstLine="1298"/>
        <w:spacing w:after="0" w:line="262" w:lineRule="auto"/>
        <w:tabs>
          <w:tab w:leader="none" w:pos="223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Without prejudice to the survival of any other agreement of the Borrower hereunder, the agreements and obligations of the Borrower contained in Sections 2.12, 2.15 and 8.04 shall survive the payment in full of principal, interest and all other amounts payable hereunder and under the Notes.</w:t>
      </w:r>
    </w:p>
    <w:p>
      <w:pPr>
        <w:spacing w:after="0" w:line="209"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Party,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Party or any such Affiliate, to or for the credit or the account of the Borrower against any and all of the obligations of the Borrower now or hereafter existing under this Agreement or any Note to such Lender Party or its Affiliates, irrespective of whether or not such Lender Party or Affiliate shall have made any demand under this Agreement or any Note and although such obligations of the Borrower may be contingent or unmatured or are owed to a branch, office or Affiliate of such Lender Party different from the branch, office or Affiliate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Agent for further application in accordance with the provisions of Section 2.20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The rights of each Lender Party and its Affiliates under this Section are in addition to other rights and remedies (including other rights of setoff) that such Lender Party or its Affiliates may have. Each Lender Party agrees to notify the Borrower and the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209" w:lineRule="exact"/>
        <w:rPr>
          <w:sz w:val="20"/>
          <w:szCs w:val="20"/>
          <w:color w:val="auto"/>
        </w:rPr>
      </w:pPr>
    </w:p>
    <w:p>
      <w:pPr>
        <w:jc w:val="both"/>
        <w:ind w:firstLine="1290"/>
        <w:spacing w:after="0" w:line="295"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become effective (other than Section 2.01,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all of the Lenders (and any other attempted assignment or transfer by the Borrower shall be null and void).</w:t>
      </w:r>
    </w:p>
    <w:p>
      <w:pPr>
        <w:spacing w:after="0" w:line="187" w:lineRule="exact"/>
        <w:rPr>
          <w:sz w:val="20"/>
          <w:szCs w:val="20"/>
          <w:color w:val="auto"/>
        </w:rPr>
      </w:pPr>
    </w:p>
    <w:p>
      <w:pPr>
        <w:jc w:val="both"/>
        <w:ind w:firstLine="1290"/>
        <w:spacing w:after="0" w:line="289"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no Lender Party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Lender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Agent and the Lenders) any legal or equitable right, remedy or claim under or by reason of this Agreement.</w:t>
      </w:r>
    </w:p>
    <w:p>
      <w:pPr>
        <w:spacing w:after="0" w:line="190" w:lineRule="exact"/>
        <w:rPr>
          <w:sz w:val="20"/>
          <w:szCs w:val="20"/>
          <w:color w:val="auto"/>
        </w:rPr>
      </w:pPr>
    </w:p>
    <w:p>
      <w:pPr>
        <w:jc w:val="both"/>
        <w:ind w:firstLine="1298"/>
        <w:spacing w:after="0" w:line="262" w:lineRule="auto"/>
        <w:tabs>
          <w:tab w:leader="none" w:pos="200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 and the Advances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 such assignment shall be subject to the following conditions:</w:t>
      </w:r>
    </w:p>
    <w:p>
      <w:pPr>
        <w:spacing w:after="0" w:line="209" w:lineRule="exact"/>
        <w:rPr>
          <w:sz w:val="20"/>
          <w:szCs w:val="20"/>
          <w:color w:val="auto"/>
        </w:rPr>
      </w:pPr>
    </w:p>
    <w:p>
      <w:pPr>
        <w:ind w:left="1960" w:hanging="662"/>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50" w:lineRule="exact"/>
        <w:rPr>
          <w:rFonts w:ascii="Arial" w:cs="Arial" w:eastAsia="Arial" w:hAnsi="Arial"/>
          <w:sz w:val="18"/>
          <w:szCs w:val="18"/>
          <w:color w:val="auto"/>
        </w:rPr>
      </w:pPr>
    </w:p>
    <w:p>
      <w:pPr>
        <w:jc w:val="both"/>
        <w:ind w:left="1300" w:firstLine="643"/>
        <w:spacing w:after="0" w:line="258" w:lineRule="auto"/>
        <w:tabs>
          <w:tab w:leader="none" w:pos="2243"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and/or the Advances at the time owing to it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212" w:lineRule="exact"/>
        <w:rPr>
          <w:rFonts w:ascii="Arial" w:cs="Arial" w:eastAsia="Arial" w:hAnsi="Arial"/>
          <w:sz w:val="18"/>
          <w:szCs w:val="18"/>
          <w:color w:val="auto"/>
        </w:rPr>
      </w:pPr>
    </w:p>
    <w:p>
      <w:pPr>
        <w:jc w:val="both"/>
        <w:ind w:left="1300" w:firstLine="643"/>
        <w:spacing w:after="0" w:line="272" w:lineRule="auto"/>
        <w:tabs>
          <w:tab w:leader="none" w:pos="2254"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Agent or, if “</w:t>
      </w:r>
      <w:r>
        <w:rPr>
          <w:rFonts w:ascii="Arial" w:cs="Arial" w:eastAsia="Arial" w:hAnsi="Arial"/>
          <w:sz w:val="17"/>
          <w:szCs w:val="17"/>
          <w:u w:val="single" w:color="auto"/>
          <w:color w:val="auto"/>
        </w:rPr>
        <w:t>Trade Date</w:t>
      </w:r>
      <w:r>
        <w:rPr>
          <w:rFonts w:ascii="Arial" w:cs="Arial" w:eastAsia="Arial" w:hAnsi="Arial"/>
          <w:sz w:val="17"/>
          <w:szCs w:val="17"/>
          <w:color w:val="auto"/>
        </w:rPr>
        <w:t>” is specified in the Assignment and Assumption, as of the Trade Date) shall not be less than $5,000,000, unless each of the Agent and, so long as no Event of Default has occurred and is continuing, the Borrower otherwise consents (each such consent not to be unreasonably withheld or delayed).</w:t>
      </w:r>
    </w:p>
    <w:p>
      <w:pPr>
        <w:spacing w:after="0" w:line="203" w:lineRule="exact"/>
        <w:rPr>
          <w:rFonts w:ascii="Arial" w:cs="Arial" w:eastAsia="Arial" w:hAnsi="Arial"/>
          <w:sz w:val="17"/>
          <w:szCs w:val="17"/>
          <w:color w:val="auto"/>
        </w:rPr>
      </w:pPr>
    </w:p>
    <w:p>
      <w:pPr>
        <w:ind w:left="660" w:firstLine="638"/>
        <w:spacing w:after="0" w:line="275" w:lineRule="auto"/>
        <w:tabs>
          <w:tab w:leader="none" w:pos="220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Advances or the Commitment assigned.</w:t>
      </w:r>
    </w:p>
    <w:p>
      <w:pPr>
        <w:spacing w:after="0" w:line="197" w:lineRule="exact"/>
        <w:rPr>
          <w:rFonts w:ascii="Arial" w:cs="Arial" w:eastAsia="Arial" w:hAnsi="Arial"/>
          <w:sz w:val="18"/>
          <w:szCs w:val="18"/>
          <w:color w:val="auto"/>
        </w:rPr>
      </w:pPr>
    </w:p>
    <w:p>
      <w:pPr>
        <w:ind w:left="660" w:firstLine="638"/>
        <w:spacing w:after="0" w:line="275" w:lineRule="auto"/>
        <w:tabs>
          <w:tab w:leader="none" w:pos="21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paragraph (b)(i)(B) of this Section and, in addition:</w:t>
      </w:r>
    </w:p>
    <w:p>
      <w:pPr>
        <w:spacing w:after="0" w:line="197" w:lineRule="exact"/>
        <w:rPr>
          <w:rFonts w:ascii="Arial" w:cs="Arial" w:eastAsia="Arial" w:hAnsi="Arial"/>
          <w:sz w:val="18"/>
          <w:szCs w:val="18"/>
          <w:color w:val="auto"/>
        </w:rPr>
      </w:pPr>
    </w:p>
    <w:p>
      <w:pPr>
        <w:jc w:val="both"/>
        <w:ind w:left="1300" w:firstLine="643"/>
        <w:spacing w:after="0" w:line="278" w:lineRule="auto"/>
        <w:tabs>
          <w:tab w:leader="none" w:pos="2243"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consented to any such assignment unless it shall object thereto by written notice to the Agent within five Business Days after having received notice thereof;</w:t>
      </w:r>
    </w:p>
    <w:p>
      <w:pPr>
        <w:spacing w:after="0" w:line="196" w:lineRule="exact"/>
        <w:rPr>
          <w:rFonts w:ascii="Arial" w:cs="Arial" w:eastAsia="Arial" w:hAnsi="Arial"/>
          <w:sz w:val="17"/>
          <w:szCs w:val="17"/>
          <w:color w:val="auto"/>
        </w:rPr>
      </w:pPr>
    </w:p>
    <w:p>
      <w:pPr>
        <w:jc w:val="both"/>
        <w:ind w:left="1300" w:firstLine="643"/>
        <w:spacing w:after="0" w:line="262" w:lineRule="auto"/>
        <w:tabs>
          <w:tab w:leader="none" w:pos="2232"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consent of the Agent (such consent not to be unreasonably withheld or delayed) shall be required for assignments in respect of any Commitments if such assignment is to a Person that is not a Lender, an Affiliate of such Lender or an Approved Fund with respect to such Lender, and</w:t>
      </w:r>
    </w:p>
    <w:p>
      <w:pPr>
        <w:spacing w:after="0" w:line="209" w:lineRule="exact"/>
        <w:rPr>
          <w:rFonts w:ascii="Arial" w:cs="Arial" w:eastAsia="Arial" w:hAnsi="Arial"/>
          <w:sz w:val="18"/>
          <w:szCs w:val="18"/>
          <w:color w:val="auto"/>
        </w:rPr>
      </w:pPr>
    </w:p>
    <w:p>
      <w:pPr>
        <w:ind w:left="2220" w:hanging="277"/>
        <w:spacing w:after="0"/>
        <w:tabs>
          <w:tab w:leader="none" w:pos="22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consent of each Issuing Bank shall be required for any assignment in respect of the Revolving Credit Commitments.</w:t>
      </w:r>
    </w:p>
    <w:p>
      <w:pPr>
        <w:sectPr>
          <w:pgSz w:w="11900" w:h="16838" w:orient="portrait"/>
          <w:cols w:equalWidth="0" w:num="1">
            <w:col w:w="11420"/>
          </w:cols>
          <w:pgMar w:left="240" w:top="125" w:right="239" w:bottom="0" w:gutter="0" w:footer="0" w:header="0"/>
        </w:sectPr>
      </w:pPr>
    </w:p>
    <w:bookmarkStart w:id="34" w:name="page35"/>
    <w:bookmarkEnd w:id="34"/>
    <w:p>
      <w:pPr>
        <w:jc w:val="both"/>
        <w:ind w:left="660" w:firstLine="638"/>
        <w:spacing w:after="0" w:line="258" w:lineRule="auto"/>
        <w:tabs>
          <w:tab w:leader="none" w:pos="235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Agent an Assignment and Assumption, together with a processing and recordation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Agent may, in its sole discretion, elect to waive such processing and recordation fee in the case of any 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assignee, if it is not a Lender, shall deliver to the Agent an Administrative Questionnaire.</w:t>
      </w:r>
    </w:p>
    <w:p>
      <w:pPr>
        <w:spacing w:after="0" w:line="212" w:lineRule="exact"/>
        <w:rPr>
          <w:rFonts w:ascii="Arial" w:cs="Arial" w:eastAsia="Arial" w:hAnsi="Arial"/>
          <w:sz w:val="18"/>
          <w:szCs w:val="18"/>
          <w:color w:val="auto"/>
        </w:rPr>
      </w:pPr>
    </w:p>
    <w:p>
      <w:pPr>
        <w:jc w:val="both"/>
        <w:ind w:left="660" w:firstLine="638"/>
        <w:spacing w:after="0" w:line="262" w:lineRule="auto"/>
        <w:tabs>
          <w:tab w:leader="none" w:pos="204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209" w:lineRule="exact"/>
        <w:rPr>
          <w:rFonts w:ascii="Arial" w:cs="Arial" w:eastAsia="Arial" w:hAnsi="Arial"/>
          <w:sz w:val="18"/>
          <w:szCs w:val="18"/>
          <w:color w:val="auto"/>
        </w:rPr>
      </w:pPr>
    </w:p>
    <w:p>
      <w:pPr>
        <w:ind w:left="2040" w:hanging="742"/>
        <w:spacing w:after="0"/>
        <w:tabs>
          <w:tab w:leader="none" w:pos="20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250" w:lineRule="exact"/>
        <w:rPr>
          <w:rFonts w:ascii="Arial" w:cs="Arial" w:eastAsia="Arial" w:hAnsi="Arial"/>
          <w:sz w:val="18"/>
          <w:szCs w:val="18"/>
          <w:color w:val="auto"/>
        </w:rPr>
      </w:pPr>
    </w:p>
    <w:p>
      <w:pPr>
        <w:jc w:val="both"/>
        <w:ind w:left="660" w:firstLine="638"/>
        <w:spacing w:after="0" w:line="287" w:lineRule="auto"/>
        <w:tabs>
          <w:tab w:leader="none" w:pos="216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other compensating actions, including funding, with the consent of the Borrower and the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Agent, each Issuing Bank and each other Lender hereunder (and interest accrued thereon), and (y) acquire (and fund as appropriate) its full pro rata share of all Advances in accordance with its Commitment.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3"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auto"/>
        </w:rPr>
        <w:t xml:space="preserve">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2.12 and 8.04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210" w:lineRule="exact"/>
        <w:rPr>
          <w:sz w:val="20"/>
          <w:szCs w:val="20"/>
          <w:color w:val="auto"/>
        </w:rPr>
      </w:pPr>
    </w:p>
    <w:p>
      <w:pPr>
        <w:jc w:val="both"/>
        <w:ind w:firstLine="1298"/>
        <w:spacing w:after="0" w:line="272" w:lineRule="auto"/>
        <w:tabs>
          <w:tab w:leader="none" w:pos="2049"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Agent, acting solely for this purpose as an agent of the Borrower, shall maintain at one of its offices in the United States a copy of each Assignment and Assumption delivered to it and a register for the recordation of the names and addresses of the Lenders, and the Commitments of, and principal amounts of the Advances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203" w:lineRule="exact"/>
        <w:rPr>
          <w:rFonts w:ascii="Arial" w:cs="Arial" w:eastAsia="Arial" w:hAnsi="Arial"/>
          <w:sz w:val="17"/>
          <w:szCs w:val="17"/>
          <w:color w:val="auto"/>
        </w:rPr>
      </w:pPr>
    </w:p>
    <w:p>
      <w:pPr>
        <w:jc w:val="both"/>
        <w:ind w:firstLine="1298"/>
        <w:spacing w:after="0" w:line="271" w:lineRule="auto"/>
        <w:tabs>
          <w:tab w:leader="none" w:pos="203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Agent, sell participations to any Person (other than a natural Person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Advances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Agent, the Issuing Banks and Lenders shall continue to deal solely and directly with such Lender in connection with such Lender’s rights and obligations under this Agreement. For the avoidance of doubt, each Lender shall be responsible for the indemnity under Section 8.04(c) with respect to any payments made by such Lender to its Participant(s).</w:t>
      </w:r>
    </w:p>
    <w:p>
      <w:pPr>
        <w:spacing w:after="0" w:line="203" w:lineRule="exact"/>
        <w:rPr>
          <w:sz w:val="20"/>
          <w:szCs w:val="20"/>
          <w:color w:val="auto"/>
        </w:rPr>
      </w:pPr>
    </w:p>
    <w:p>
      <w:pPr>
        <w:jc w:val="both"/>
        <w:ind w:firstLine="1290"/>
        <w:spacing w:after="0" w:line="286"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clause</w:t>
      </w:r>
    </w:p>
    <w:p>
      <w:pPr>
        <w:spacing w:after="0" w:line="2" w:lineRule="exact"/>
        <w:rPr>
          <w:sz w:val="20"/>
          <w:szCs w:val="20"/>
          <w:color w:val="auto"/>
        </w:rPr>
      </w:pPr>
    </w:p>
    <w:p>
      <w:pPr>
        <w:jc w:val="both"/>
        <w:ind w:firstLine="8"/>
        <w:spacing w:after="0" w:line="251" w:lineRule="auto"/>
        <w:tabs>
          <w:tab w:leader="none" w:pos="2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of the first proviso of Section 8.01 that affects such Participant. The Borrower agrees that each Participant shall be entitled to the benefits of Sections 2.12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the provisions of Section 2.21 as if it were an assignee under paragraph (b) of this Section. To the extent permitted by law, each Participant also shall be entitled to the benefits of Section 8.05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Section 2.14 as though it were a Lender.</w:t>
      </w:r>
    </w:p>
    <w:p>
      <w:pPr>
        <w:spacing w:after="0" w:line="220" w:lineRule="exact"/>
        <w:rPr>
          <w:rFonts w:ascii="Arial" w:cs="Arial" w:eastAsia="Arial" w:hAnsi="Arial"/>
          <w:sz w:val="18"/>
          <w:szCs w:val="18"/>
          <w:color w:val="auto"/>
        </w:rPr>
      </w:pPr>
    </w:p>
    <w:p>
      <w:pPr>
        <w:jc w:val="both"/>
        <w:ind w:firstLine="1298"/>
        <w:spacing w:after="0" w:line="255" w:lineRule="auto"/>
        <w:tabs>
          <w:tab w:leader="none" w:pos="1579"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A Participant shall not be entitled to receive any greater payment under Sections 2.12 and 2.15 than the applicable Lender would have been entitled to receive with respect to the participation sold to such Participant, unless the sale of the participation to such Participant is made with the Borrower’s prior written consent. A Participant that is organized under the laws of a jurisdiction outside of the United States shall not be entitled to the benefits of Section 2.15 unless the Borrower is notified of the participation sold to such Participant and such Participant agrees, for the benefit of the Borrower, to comply with Section 2.15(e) as though it were a Lender.</w:t>
      </w:r>
    </w:p>
    <w:p>
      <w:pPr>
        <w:spacing w:after="0" w:line="217" w:lineRule="exact"/>
        <w:rPr>
          <w:rFonts w:ascii="Arial" w:cs="Arial" w:eastAsia="Arial" w:hAnsi="Arial"/>
          <w:sz w:val="18"/>
          <w:szCs w:val="18"/>
          <w:color w:val="auto"/>
        </w:rPr>
      </w:pPr>
    </w:p>
    <w:p>
      <w:pPr>
        <w:jc w:val="both"/>
        <w:ind w:firstLine="1298"/>
        <w:spacing w:after="0" w:line="258" w:lineRule="auto"/>
        <w:tabs>
          <w:tab w:leader="none" w:pos="2123"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212" w:lineRule="exact"/>
        <w:rPr>
          <w:sz w:val="20"/>
          <w:szCs w:val="20"/>
          <w:color w:val="auto"/>
        </w:rPr>
      </w:pPr>
    </w:p>
    <w:p>
      <w:pPr>
        <w:jc w:val="both"/>
        <w:ind w:firstLine="1298"/>
        <w:spacing w:after="0" w:line="274" w:lineRule="auto"/>
        <w:tabs>
          <w:tab w:leader="none" w:pos="21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Issuing Bank may assign to an Eligible Assignee its rights and obligations or any portion of the undrawn Letter of Credit Commitment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amount of the Letter of Credit Commitment of the assigning Issuing Bank being assigned pursuant to each such assignment (determined as of the date of the Assignment and Assumption with respect to such assignment) shall in no event be less than $1,000,000 or an integral multiple of $1,000,000 in excess thereof, and (ii) the parties to each such assignment shall execute and deliver to the Agent, for its acceptance and recording in the Register, an Assignment and Assumption, together with a processing and recordation fee of $3,500.</w:t>
      </w:r>
    </w:p>
    <w:p>
      <w:pPr>
        <w:sectPr>
          <w:pgSz w:w="11900" w:h="16838" w:orient="portrait"/>
          <w:cols w:equalWidth="0" w:num="1">
            <w:col w:w="11420"/>
          </w:cols>
          <w:pgMar w:left="240" w:top="367" w:right="239" w:bottom="0" w:gutter="0" w:footer="0" w:header="0"/>
        </w:sectPr>
      </w:pPr>
    </w:p>
    <w:bookmarkStart w:id="35" w:name="page36"/>
    <w:bookmarkEnd w:id="35"/>
    <w:p>
      <w:pPr>
        <w:jc w:val="both"/>
        <w:ind w:firstLine="1298"/>
        <w:spacing w:after="0" w:line="262" w:lineRule="auto"/>
        <w:tabs>
          <w:tab w:leader="none" w:pos="2029"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any Lender Party may at any time create a security interest in all or any portion of its rights under this Agreement including in favor of any Federal Reserve Bank in accordance with Regulation A of the Board of Governors of the Federal Reserve System.</w:t>
      </w:r>
    </w:p>
    <w:p>
      <w:pPr>
        <w:spacing w:after="0" w:line="209"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8.08.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Agent and the Lender Parties agree to maintain the confidentiality of the Confidential Information, except that Confidential Information may be disclosed (a) to its Affiliates and to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Note or any action or proceeding relating to this Agreement or any Note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transactions contemplated by this Agreement or (ii) the CUSIP Service Bureau or any similar agency in connection with the issuance and monitoring of CUSIP numbers with respect to this Agreement; or (h) with the consent of the Borrower.</w:t>
      </w:r>
    </w:p>
    <w:p>
      <w:pPr>
        <w:spacing w:after="0" w:line="21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and the Notes and any claims, controversy, dispute </w:t>
      </w:r>
      <w:r>
        <w:rPr>
          <w:rFonts w:ascii="Arial" w:cs="Arial" w:eastAsia="Arial" w:hAnsi="Arial"/>
          <w:sz w:val="18"/>
          <w:szCs w:val="18"/>
          <w:u w:val="single" w:color="auto"/>
          <w:color w:val="auto"/>
        </w:rPr>
        <w:t>or cause of action (whether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 or tort or otherwise) based upon,</w:t>
      </w:r>
      <w:r>
        <w:rPr>
          <w:rFonts w:ascii="Arial" w:cs="Arial" w:eastAsia="Arial" w:hAnsi="Arial"/>
          <w:sz w:val="18"/>
          <w:szCs w:val="18"/>
          <w:color w:val="auto"/>
        </w:rPr>
        <w:t xml:space="preserve"> arising out of or relating to this Agreement or any Note </w:t>
      </w:r>
      <w:r>
        <w:rPr>
          <w:rFonts w:ascii="Arial" w:cs="Arial" w:eastAsia="Arial" w:hAnsi="Arial"/>
          <w:sz w:val="18"/>
          <w:szCs w:val="18"/>
          <w:u w:val="single" w:color="auto"/>
          <w:color w:val="auto"/>
        </w:rPr>
        <w:t>and the transactions contemplated hereby and thereby</w:t>
      </w:r>
      <w:r>
        <w:rPr>
          <w:rFonts w:ascii="Arial" w:cs="Arial" w:eastAsia="Arial" w:hAnsi="Arial"/>
          <w:sz w:val="18"/>
          <w:szCs w:val="18"/>
          <w:color w:val="auto"/>
        </w:rPr>
        <w:t xml:space="preserve"> shall be governed by, and construed in accordance with, the law of the State of New York.</w:t>
      </w:r>
    </w:p>
    <w:p>
      <w:pPr>
        <w:spacing w:after="0" w:line="209"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212" w:lineRule="exact"/>
        <w:rPr>
          <w:sz w:val="20"/>
          <w:szCs w:val="20"/>
          <w:color w:val="auto"/>
        </w:rPr>
      </w:pPr>
    </w:p>
    <w:p>
      <w:pPr>
        <w:jc w:val="both"/>
        <w:ind w:firstLine="1290"/>
        <w:spacing w:after="0" w:line="278"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Judgment</w:t>
      </w:r>
      <w:r>
        <w:rPr>
          <w:rFonts w:ascii="Arial" w:cs="Arial" w:eastAsia="Arial" w:hAnsi="Arial"/>
          <w:sz w:val="17"/>
          <w:szCs w:val="17"/>
          <w:color w:val="auto"/>
        </w:rPr>
        <w:t>. (a)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Citibank’s principal office in London at 11:00 A.M. (London time) on the Business Day preceding that on which final judgment is given.</w:t>
      </w:r>
    </w:p>
    <w:p>
      <w:pPr>
        <w:spacing w:after="0" w:line="197" w:lineRule="exact"/>
        <w:rPr>
          <w:sz w:val="20"/>
          <w:szCs w:val="20"/>
          <w:color w:val="auto"/>
        </w:rPr>
      </w:pPr>
    </w:p>
    <w:p>
      <w:pPr>
        <w:jc w:val="both"/>
        <w:ind w:firstLine="1298"/>
        <w:spacing w:after="0" w:line="258" w:lineRule="auto"/>
        <w:tabs>
          <w:tab w:leader="none" w:pos="199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for the purposes of obtaining judgment in any court it is necessary to convert a sum due hereunder in a Committed Currency into Dollars, the parties agree to the fullest extent that they may effectively do so, that the rate of exchange used shall be that at which in accordance with normal banking procedures the Agent could purchase such Committed Currency with Dollars at Citibank’s principal office in London at 11:00 A.M. (London time) on the Business Day preceding that on which final judgment is given.</w:t>
      </w:r>
    </w:p>
    <w:p>
      <w:pPr>
        <w:spacing w:after="0" w:line="212" w:lineRule="exact"/>
        <w:rPr>
          <w:rFonts w:ascii="Arial" w:cs="Arial" w:eastAsia="Arial" w:hAnsi="Arial"/>
          <w:sz w:val="18"/>
          <w:szCs w:val="18"/>
          <w:color w:val="auto"/>
        </w:rPr>
      </w:pPr>
    </w:p>
    <w:p>
      <w:pPr>
        <w:jc w:val="both"/>
        <w:ind w:firstLine="1298"/>
        <w:spacing w:after="0" w:line="289" w:lineRule="auto"/>
        <w:tabs>
          <w:tab w:leader="none" w:pos="20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obligation of the Borrower in respect of any sum due from it in any currency (the “</w:t>
      </w:r>
      <w:r>
        <w:rPr>
          <w:rFonts w:ascii="Arial" w:cs="Arial" w:eastAsia="Arial" w:hAnsi="Arial"/>
          <w:sz w:val="16"/>
          <w:szCs w:val="16"/>
          <w:u w:val="single" w:color="auto"/>
          <w:color w:val="auto"/>
        </w:rPr>
        <w:t>Primary Currency</w:t>
      </w:r>
      <w:r>
        <w:rPr>
          <w:rFonts w:ascii="Arial" w:cs="Arial" w:eastAsia="Arial" w:hAnsi="Arial"/>
          <w:sz w:val="16"/>
          <w:szCs w:val="16"/>
          <w:color w:val="auto"/>
        </w:rPr>
        <w:t>”) to any Lender Party or the Agent hereunder shall, notwithstanding any judgment in any other currency, be discharged only to the extent that on the Business Day following receipt by such Lender Party or the Agent (as the case may be), of any sum adjudged to be so due in such other currency, such Lender Party or the Agent (as the case may be) may in accordance with normal banking procedures purchase the applicable Primary Currency with such other currency; if the amount of the applicable Primary Currency so purchased is less than such sum due to such Lender Party or the Agent (as the case may be) in the applicable Primary Currency, the Borrower agrees, as a separate obligation and notwithstanding any such judgment, to indemnify such Lender Party or the Agent (as the case may be) against such loss, and if the amount of the applicable Primary Currency so purchased exceeds such sum due to any Lender Party or the Agent (as the case may be) in the applicable Primary Currency, such Lender Party or the Agent (as the case may be) agrees to remit to the Borrower such excess.</w:t>
      </w:r>
    </w:p>
    <w:p>
      <w:pPr>
        <w:spacing w:after="0" w:line="190"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Jurisdiction, Etc</w:t>
      </w:r>
      <w:r>
        <w:rPr>
          <w:rFonts w:ascii="Arial" w:cs="Arial" w:eastAsia="Arial" w:hAnsi="Arial"/>
          <w:sz w:val="17"/>
          <w:szCs w:val="17"/>
          <w:color w:val="auto"/>
        </w:rPr>
        <w:t>. (a) The Borrower irrevocably and unconditionally agrees that it will not commence any action, litigation or proceeding of any kind or description, whether in law or equity, whether in contract or in tort or otherwise, against the Agent, any Lender Party or any Related Party of the foregoing in any way relating to this Agreement or any Note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Note shall affect any right that the Agent or any Lender Party or may otherwise have to bring any action or proceeding relating to this Agreement or any Note against the Borrower or its properties in the courts of any jurisdiction.</w:t>
      </w:r>
    </w:p>
    <w:p>
      <w:pPr>
        <w:spacing w:after="0" w:line="210" w:lineRule="exact"/>
        <w:rPr>
          <w:sz w:val="20"/>
          <w:szCs w:val="20"/>
          <w:color w:val="auto"/>
        </w:rPr>
      </w:pPr>
    </w:p>
    <w:p>
      <w:pPr>
        <w:jc w:val="both"/>
        <w:ind w:firstLine="1298"/>
        <w:spacing w:after="0" w:line="278" w:lineRule="auto"/>
        <w:tabs>
          <w:tab w:leader="none" w:pos="2126"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Waiver of Venue</w:t>
      </w:r>
      <w:r>
        <w:rPr>
          <w:rFonts w:ascii="Arial" w:cs="Arial" w:eastAsia="Arial" w:hAnsi="Arial"/>
          <w:sz w:val="17"/>
          <w:szCs w:val="17"/>
          <w:color w:val="auto"/>
        </w:rPr>
        <w:t>. The Borrower irrevocably and unconditionally waives, to the fullest extent permitted by applicable law, any objection that it may now or hereafter have to the laying of venue of any action or proceeding arising out of or relating to this Agreement or any Note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97"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Substitution of Currency</w:t>
      </w:r>
      <w:r>
        <w:rPr>
          <w:rFonts w:ascii="Arial" w:cs="Arial" w:eastAsia="Arial" w:hAnsi="Arial"/>
          <w:sz w:val="18"/>
          <w:szCs w:val="18"/>
          <w:color w:val="auto"/>
        </w:rPr>
        <w:t>. If a change in any Committed Currency occurs pursuant to any applicable law, rule or regulation of any governmental, monetary or multi-national authority, this Agreement (including, without limitation, the definition of Eurocurrency Rate) will be amended to the extent determined by the Agent (acting reasonably and in consultation with the Borrower) to be necessary to reflect the change in currency and to put the Lender Parties and the Borrower in the same position, so far as possible, that they would have been in if no change in such Committed Currency had occurred.</w:t>
      </w:r>
    </w:p>
    <w:p>
      <w:pPr>
        <w:spacing w:after="0" w:line="218"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No Liability of the Issuing Banks.</w:t>
      </w:r>
      <w:r>
        <w:rPr>
          <w:rFonts w:ascii="Arial" w:cs="Arial" w:eastAsia="Arial" w:hAnsi="Arial"/>
          <w:sz w:val="16"/>
          <w:szCs w:val="16"/>
          <w:color w:val="auto"/>
        </w:rPr>
        <w:t xml:space="preserve"> The Borrower assumes all risks of the acts or omissions of any beneficiary or transferee of any Letter of Credit with respect to its use of such Letter of Credit. Neither an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w:t>
      </w:r>
    </w:p>
    <w:p>
      <w:pPr>
        <w:sectPr>
          <w:pgSz w:w="11900" w:h="16838" w:orient="portrait"/>
          <w:cols w:equalWidth="0" w:num="1">
            <w:col w:w="11420"/>
          </w:cols>
          <w:pgMar w:left="240" w:top="125" w:right="239" w:bottom="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7"/>
          <w:szCs w:val="17"/>
          <w:color w:val="auto"/>
        </w:rPr>
        <w:t>Borrower, to the extent of any direct, but not consequential, damages suffered by the Borrower that the Borrower proves were caused by (i) 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 Credit after the presentation to it of a draft and certificates strictly complying with the terms and conditions of the Letter of Credit. In furtherance and not in limitation of the foregoing, such Issuing Bank may accept documents that appear on their face to be in order, without responsibility for further investigation, regardless of any notice or information to the contrary.</w:t>
      </w:r>
    </w:p>
    <w:p>
      <w:pPr>
        <w:spacing w:after="0" w:line="203" w:lineRule="exact"/>
        <w:rPr>
          <w:sz w:val="20"/>
          <w:szCs w:val="20"/>
          <w:color w:val="auto"/>
        </w:rPr>
      </w:pPr>
    </w:p>
    <w:p>
      <w:pPr>
        <w:ind w:right="80" w:firstLine="1290"/>
        <w:spacing w:after="0" w:line="258"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Each Lender hereby notifies each Borrower that pursuant to the requirements of the USA Patriot Act (Title III of Pub. L. 107-56 (signed into law October 26, 2001)) (the “Act”), it is required to obtain, verify and record information that identifies each borrower, guarantor or grantor (the “Loan Parties”), which information includes the name and address of each Loan Party and other information that will allow such Lender to identify such Loan Party in accordance with the Act.</w:t>
      </w:r>
    </w:p>
    <w:p>
      <w:pPr>
        <w:spacing w:after="0" w:line="212"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No Fiduciary Duty</w:t>
      </w:r>
      <w:r>
        <w:rPr>
          <w:rFonts w:ascii="Arial" w:cs="Arial" w:eastAsia="Arial" w:hAnsi="Arial"/>
          <w:sz w:val="18"/>
          <w:szCs w:val="18"/>
          <w:color w:val="auto"/>
        </w:rPr>
        <w:t>. The Borrower acknowledges that the Lender Parties have no fiduciary relationship with, or fiduciary duty to, the Borrower arising out of or in connection with this Agreement, and the relationship between each Lender Party and the Borrower is solely that of creditor and debtor. This Agreement does not create a joint venture among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both"/>
        <w:ind w:firstLine="1290"/>
        <w:spacing w:after="0" w:line="254"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Borrower, the Agent and the Lender Parties hereby irrevocably waives, to the fullest extent permitted by applicable law, any right it may have to a trial by jury in any legal proceeding directly or indirectly arising out of or relating to this Agreement or any Note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18"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MANPOWER INC.</w:t>
      </w:r>
    </w:p>
    <w:p>
      <w:pPr>
        <w:spacing w:after="0" w:line="232"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 Lesley Noer</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w w:val="87"/>
              </w:rPr>
              <w:t>Vice President, Treasurer</w:t>
            </w:r>
          </w:p>
        </w:tc>
      </w:tr>
    </w:tbl>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Agent, Issuing Bank and a as Lender</w:t>
      </w:r>
    </w:p>
    <w:p>
      <w:pPr>
        <w:spacing w:after="0" w:line="218"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/s/ Andrew Sidford</w:t>
            </w:r>
          </w:p>
        </w:tc>
        <w:tc>
          <w:tcPr>
            <w:tcW w:w="100" w:type="dxa"/>
            <w:vAlign w:val="bottom"/>
          </w:tcPr>
          <w:p>
            <w:pPr>
              <w:spacing w:after="0"/>
              <w:rPr>
                <w:sz w:val="17"/>
                <w:szCs w:val="17"/>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20"/>
                <w:szCs w:val="20"/>
                <w:color w:val="auto"/>
              </w:rPr>
            </w:pPr>
          </w:p>
        </w:tc>
        <w:tc>
          <w:tcPr>
            <w:tcW w:w="1480" w:type="dxa"/>
            <w:vAlign w:val="bottom"/>
            <w:gridSpan w:val="4"/>
          </w:tcPr>
          <w:p>
            <w:pPr>
              <w:ind w:left="180"/>
              <w:spacing w:after="0"/>
              <w:rPr>
                <w:sz w:val="20"/>
                <w:szCs w:val="20"/>
                <w:color w:val="auto"/>
              </w:rPr>
            </w:pPr>
            <w:r>
              <w:rPr>
                <w:rFonts w:ascii="Arial" w:cs="Arial" w:eastAsia="Arial" w:hAnsi="Arial"/>
                <w:sz w:val="18"/>
                <w:szCs w:val="18"/>
                <w:color w:val="auto"/>
              </w:rPr>
              <w:t>Vice President</w:t>
            </w:r>
          </w:p>
        </w:tc>
      </w:tr>
      <w:tr>
        <w:trPr>
          <w:trHeight w:val="416"/>
        </w:trPr>
        <w:tc>
          <w:tcPr>
            <w:tcW w:w="520" w:type="dxa"/>
            <w:vAlign w:val="bottom"/>
          </w:tcPr>
          <w:p>
            <w:pPr>
              <w:spacing w:after="0"/>
              <w:rPr>
                <w:sz w:val="24"/>
                <w:szCs w:val="24"/>
                <w:color w:val="auto"/>
              </w:rPr>
            </w:pPr>
          </w:p>
        </w:tc>
        <w:tc>
          <w:tcPr>
            <w:tcW w:w="1660" w:type="dxa"/>
            <w:vAlign w:val="bottom"/>
            <w:gridSpan w:val="5"/>
          </w:tcPr>
          <w:p>
            <w:pPr>
              <w:spacing w:after="0"/>
              <w:rPr>
                <w:sz w:val="20"/>
                <w:szCs w:val="20"/>
                <w:color w:val="auto"/>
              </w:rPr>
            </w:pPr>
            <w:r>
              <w:rPr>
                <w:rFonts w:ascii="Arial" w:cs="Arial" w:eastAsia="Arial" w:hAnsi="Arial"/>
                <w:sz w:val="18"/>
                <w:szCs w:val="18"/>
                <w:color w:val="auto"/>
              </w:rPr>
              <w:t>Syndication Agent</w:t>
            </w:r>
          </w:p>
        </w:tc>
      </w:tr>
      <w:tr>
        <w:trPr>
          <w:trHeight w:val="20"/>
        </w:trPr>
        <w:tc>
          <w:tcPr>
            <w:tcW w:w="52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78"/>
        </w:trPr>
        <w:tc>
          <w:tcPr>
            <w:tcW w:w="2180" w:type="dxa"/>
            <w:vAlign w:val="bottom"/>
            <w:gridSpan w:val="6"/>
          </w:tcPr>
          <w:p>
            <w:pPr>
              <w:spacing w:after="0"/>
              <w:rPr>
                <w:sz w:val="20"/>
                <w:szCs w:val="20"/>
                <w:color w:val="auto"/>
              </w:rPr>
            </w:pPr>
            <w:r>
              <w:rPr>
                <w:rFonts w:ascii="Arial" w:cs="Arial" w:eastAsia="Arial" w:hAnsi="Arial"/>
                <w:sz w:val="18"/>
                <w:szCs w:val="18"/>
                <w:color w:val="auto"/>
              </w:rPr>
              <w:t>BNP PARIBAS</w:t>
            </w:r>
          </w:p>
        </w:tc>
      </w:tr>
      <w:tr>
        <w:trPr>
          <w:trHeight w:val="4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98"/>
              </w:rPr>
              <w:t>/s/ Nader Tannous</w:t>
            </w: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20"/>
                <w:szCs w:val="20"/>
                <w:color w:val="auto"/>
              </w:rPr>
            </w:pPr>
          </w:p>
        </w:tc>
        <w:tc>
          <w:tcPr>
            <w:tcW w:w="13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Director</w:t>
            </w:r>
          </w:p>
        </w:tc>
        <w:tc>
          <w:tcPr>
            <w:tcW w:w="180" w:type="dxa"/>
            <w:vAlign w:val="bottom"/>
            <w:gridSpan w:val="2"/>
          </w:tcPr>
          <w:p>
            <w:pPr>
              <w:spacing w:after="0"/>
              <w:rPr>
                <w:sz w:val="20"/>
                <w:szCs w:val="20"/>
                <w:color w:val="auto"/>
              </w:rPr>
            </w:pPr>
          </w:p>
        </w:tc>
      </w:tr>
      <w:tr>
        <w:trPr>
          <w:trHeight w:val="4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5"/>
          </w:tcPr>
          <w:p>
            <w:pPr>
              <w:ind w:left="180"/>
              <w:spacing w:after="0"/>
              <w:rPr>
                <w:sz w:val="20"/>
                <w:szCs w:val="20"/>
                <w:color w:val="auto"/>
              </w:rPr>
            </w:pPr>
            <w:r>
              <w:rPr>
                <w:rFonts w:ascii="Arial" w:cs="Arial" w:eastAsia="Arial" w:hAnsi="Arial"/>
                <w:sz w:val="18"/>
                <w:szCs w:val="18"/>
                <w:color w:val="auto"/>
                <w:w w:val="88"/>
              </w:rPr>
              <w:t>/s/ Todd Grossnickle</w:t>
            </w: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20"/>
                <w:szCs w:val="20"/>
                <w:color w:val="auto"/>
              </w:rPr>
            </w:pPr>
          </w:p>
        </w:tc>
        <w:tc>
          <w:tcPr>
            <w:tcW w:w="148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color w:val="auto"/>
              </w:rPr>
              <w:t>Vice President</w:t>
            </w:r>
          </w:p>
        </w:tc>
      </w:tr>
    </w:tbl>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Documentation Agents</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JPMORGAN CHASE BANK, N.A., as Issuing Bank and as Lender</w:t>
      </w:r>
    </w:p>
    <w:p>
      <w:pPr>
        <w:spacing w:after="0" w:line="232"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w w:val="86"/>
              </w:rPr>
              <w:t>/s/ Suzanne Ergastalo</w:t>
            </w: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r>
      <w:tr>
        <w:trPr>
          <w:trHeight w:val="457"/>
        </w:trPr>
        <w:tc>
          <w:tcPr>
            <w:tcW w:w="2240" w:type="dxa"/>
            <w:vAlign w:val="bottom"/>
            <w:gridSpan w:val="4"/>
          </w:tcPr>
          <w:p>
            <w:pPr>
              <w:spacing w:after="0"/>
              <w:rPr>
                <w:sz w:val="20"/>
                <w:szCs w:val="20"/>
                <w:color w:val="auto"/>
              </w:rPr>
            </w:pPr>
            <w:r>
              <w:rPr>
                <w:rFonts w:ascii="Arial" w:cs="Arial" w:eastAsia="Arial" w:hAnsi="Arial"/>
                <w:sz w:val="18"/>
                <w:szCs w:val="18"/>
                <w:color w:val="auto"/>
              </w:rPr>
              <w:t>RBS CITIZENS, N.A.</w:t>
            </w:r>
          </w:p>
        </w:tc>
      </w:tr>
      <w:tr>
        <w:trPr>
          <w:trHeight w:val="4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[illegible signature]</w:t>
            </w:r>
          </w:p>
        </w:tc>
        <w:tc>
          <w:tcPr>
            <w:tcW w:w="120" w:type="dxa"/>
            <w:vAlign w:val="bottom"/>
          </w:tcPr>
          <w:p>
            <w:pPr>
              <w:spacing w:after="0"/>
              <w:rPr>
                <w:sz w:val="24"/>
                <w:szCs w:val="24"/>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U.S. BANK NATIONAL ASSOCIATION</w:t>
      </w:r>
    </w:p>
    <w:p>
      <w:pPr>
        <w:spacing w:after="0" w:line="232"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8"/>
                <w:szCs w:val="18"/>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Piotr Wasiak</w:t>
            </w:r>
          </w:p>
        </w:tc>
        <w:tc>
          <w:tcPr>
            <w:tcW w:w="1140" w:type="dxa"/>
            <w:vAlign w:val="bottom"/>
            <w:gridSpan w:val="6"/>
          </w:tcPr>
          <w:p>
            <w:pPr>
              <w:spacing w:after="0"/>
              <w:rPr>
                <w:sz w:val="18"/>
                <w:szCs w:val="18"/>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2280" w:type="dxa"/>
            <w:vAlign w:val="bottom"/>
            <w:gridSpan w:val="7"/>
          </w:tcPr>
          <w:p>
            <w:pPr>
              <w:ind w:left="180"/>
              <w:spacing w:after="0"/>
              <w:rPr>
                <w:sz w:val="20"/>
                <w:szCs w:val="20"/>
                <w:color w:val="auto"/>
              </w:rPr>
            </w:pPr>
            <w:r>
              <w:rPr>
                <w:rFonts w:ascii="Arial" w:cs="Arial" w:eastAsia="Arial" w:hAnsi="Arial"/>
                <w:sz w:val="18"/>
                <w:szCs w:val="18"/>
                <w:color w:val="auto"/>
              </w:rPr>
              <w:t>Portfolio Manager</w:t>
            </w:r>
          </w:p>
        </w:tc>
      </w:tr>
      <w:tr>
        <w:trPr>
          <w:trHeight w:val="457"/>
        </w:trPr>
        <w:tc>
          <w:tcPr>
            <w:tcW w:w="2980" w:type="dxa"/>
            <w:vAlign w:val="bottom"/>
            <w:gridSpan w:val="9"/>
          </w:tcPr>
          <w:p>
            <w:pPr>
              <w:spacing w:after="0"/>
              <w:rPr>
                <w:sz w:val="20"/>
                <w:szCs w:val="20"/>
                <w:color w:val="auto"/>
              </w:rPr>
            </w:pPr>
            <w:r>
              <w:rPr>
                <w:rFonts w:ascii="Arial" w:cs="Arial" w:eastAsia="Arial" w:hAnsi="Arial"/>
                <w:sz w:val="18"/>
                <w:szCs w:val="18"/>
                <w:color w:val="auto"/>
              </w:rPr>
              <w:t>BARCLAYS BANK PLC</w:t>
            </w:r>
          </w:p>
        </w:tc>
      </w:tr>
      <w:tr>
        <w:trPr>
          <w:trHeight w:val="4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/s/ Isanna R Devine</w:t>
            </w:r>
          </w:p>
        </w:tc>
        <w:tc>
          <w:tcPr>
            <w:tcW w:w="840" w:type="dxa"/>
            <w:vAlign w:val="bottom"/>
            <w:gridSpan w:val="2"/>
          </w:tcPr>
          <w:p>
            <w:pPr>
              <w:spacing w:after="0"/>
              <w:rPr>
                <w:sz w:val="24"/>
                <w:szCs w:val="24"/>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2280" w:type="dxa"/>
            <w:vAlign w:val="bottom"/>
            <w:gridSpan w:val="7"/>
          </w:tcPr>
          <w:p>
            <w:pPr>
              <w:ind w:left="160"/>
              <w:spacing w:after="0"/>
              <w:rPr>
                <w:sz w:val="20"/>
                <w:szCs w:val="20"/>
                <w:color w:val="auto"/>
              </w:rPr>
            </w:pPr>
            <w:r>
              <w:rPr>
                <w:rFonts w:ascii="Arial" w:cs="Arial" w:eastAsia="Arial" w:hAnsi="Arial"/>
                <w:sz w:val="18"/>
                <w:szCs w:val="18"/>
                <w:color w:val="auto"/>
              </w:rPr>
              <w:t>Associate Director</w:t>
            </w:r>
          </w:p>
        </w:tc>
      </w:tr>
      <w:tr>
        <w:trPr>
          <w:trHeight w:val="457"/>
        </w:trPr>
        <w:tc>
          <w:tcPr>
            <w:tcW w:w="2980" w:type="dxa"/>
            <w:vAlign w:val="bottom"/>
            <w:gridSpan w:val="9"/>
          </w:tcPr>
          <w:p>
            <w:pPr>
              <w:spacing w:after="0"/>
              <w:rPr>
                <w:sz w:val="20"/>
                <w:szCs w:val="20"/>
                <w:color w:val="auto"/>
              </w:rPr>
            </w:pPr>
            <w:r>
              <w:rPr>
                <w:rFonts w:ascii="Arial" w:cs="Arial" w:eastAsia="Arial" w:hAnsi="Arial"/>
                <w:sz w:val="18"/>
                <w:szCs w:val="18"/>
                <w:color w:val="auto"/>
              </w:rPr>
              <w:t>BMO HARRIS BANK N.A.</w:t>
            </w:r>
          </w:p>
        </w:tc>
      </w:tr>
      <w:tr>
        <w:trPr>
          <w:trHeight w:val="4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 Cassi M. Bisque</w:t>
            </w:r>
          </w:p>
        </w:tc>
        <w:tc>
          <w:tcPr>
            <w:tcW w:w="880" w:type="dxa"/>
            <w:vAlign w:val="bottom"/>
            <w:gridSpan w:val="4"/>
          </w:tcPr>
          <w:p>
            <w:pPr>
              <w:spacing w:after="0"/>
              <w:rPr>
                <w:sz w:val="24"/>
                <w:szCs w:val="24"/>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2280" w:type="dxa"/>
            <w:vAlign w:val="bottom"/>
            <w:gridSpan w:val="7"/>
          </w:tcPr>
          <w:p>
            <w:pPr>
              <w:ind w:left="180"/>
              <w:spacing w:after="0"/>
              <w:rPr>
                <w:sz w:val="20"/>
                <w:szCs w:val="20"/>
                <w:color w:val="auto"/>
              </w:rPr>
            </w:pPr>
            <w:r>
              <w:rPr>
                <w:rFonts w:ascii="Arial" w:cs="Arial" w:eastAsia="Arial" w:hAnsi="Arial"/>
                <w:sz w:val="18"/>
                <w:szCs w:val="18"/>
                <w:color w:val="auto"/>
                <w:w w:val="92"/>
              </w:rPr>
              <w:t>Commercial Banking Officer</w:t>
            </w:r>
          </w:p>
        </w:tc>
      </w:tr>
      <w:tr>
        <w:trPr>
          <w:trHeight w:val="4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[illegible signature]</w:t>
            </w:r>
          </w:p>
        </w:tc>
        <w:tc>
          <w:tcPr>
            <w:tcW w:w="860" w:type="dxa"/>
            <w:vAlign w:val="bottom"/>
            <w:gridSpan w:val="3"/>
          </w:tcPr>
          <w:p>
            <w:pPr>
              <w:spacing w:after="0"/>
              <w:rPr>
                <w:sz w:val="24"/>
                <w:szCs w:val="24"/>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2280" w:type="dxa"/>
            <w:vAlign w:val="bottom"/>
            <w:gridSpan w:val="7"/>
          </w:tcPr>
          <w:p>
            <w:pPr>
              <w:ind w:left="180"/>
              <w:spacing w:after="0"/>
              <w:rPr>
                <w:sz w:val="20"/>
                <w:szCs w:val="20"/>
                <w:color w:val="auto"/>
              </w:rPr>
            </w:pPr>
            <w:r>
              <w:rPr>
                <w:rFonts w:ascii="Arial" w:cs="Arial" w:eastAsia="Arial" w:hAnsi="Arial"/>
                <w:sz w:val="18"/>
                <w:szCs w:val="18"/>
                <w:color w:val="auto"/>
              </w:rPr>
              <w:t>Senior Vice President</w:t>
            </w:r>
          </w:p>
        </w:tc>
      </w:tr>
      <w:tr>
        <w:trPr>
          <w:trHeight w:val="457"/>
        </w:trPr>
        <w:tc>
          <w:tcPr>
            <w:tcW w:w="2980" w:type="dxa"/>
            <w:vAlign w:val="bottom"/>
            <w:gridSpan w:val="9"/>
          </w:tcPr>
          <w:p>
            <w:pPr>
              <w:spacing w:after="0"/>
              <w:rPr>
                <w:sz w:val="20"/>
                <w:szCs w:val="20"/>
                <w:color w:val="auto"/>
              </w:rPr>
            </w:pPr>
            <w:r>
              <w:rPr>
                <w:rFonts w:ascii="Arial" w:cs="Arial" w:eastAsia="Arial" w:hAnsi="Arial"/>
                <w:sz w:val="18"/>
                <w:szCs w:val="18"/>
                <w:color w:val="auto"/>
              </w:rPr>
              <w:t>ING BANK N.V.</w:t>
            </w:r>
          </w:p>
        </w:tc>
      </w:tr>
      <w:tr>
        <w:trPr>
          <w:trHeight w:val="4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 C.A.J.A. Qudemans</w:t>
            </w:r>
          </w:p>
        </w:tc>
        <w:tc>
          <w:tcPr>
            <w:tcW w:w="620" w:type="dxa"/>
            <w:vAlign w:val="bottom"/>
          </w:tcPr>
          <w:p>
            <w:pPr>
              <w:spacing w:after="0"/>
              <w:rPr>
                <w:sz w:val="24"/>
                <w:szCs w:val="24"/>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2280" w:type="dxa"/>
            <w:vAlign w:val="bottom"/>
            <w:gridSpan w:val="7"/>
          </w:tcPr>
          <w:p>
            <w:pPr>
              <w:ind w:left="180"/>
              <w:spacing w:after="0"/>
              <w:rPr>
                <w:sz w:val="20"/>
                <w:szCs w:val="20"/>
                <w:color w:val="auto"/>
              </w:rPr>
            </w:pPr>
            <w:r>
              <w:rPr>
                <w:rFonts w:ascii="Arial" w:cs="Arial" w:eastAsia="Arial" w:hAnsi="Arial"/>
                <w:sz w:val="18"/>
                <w:szCs w:val="18"/>
                <w:color w:val="auto"/>
              </w:rPr>
              <w:t>[not provided]</w:t>
            </w:r>
          </w:p>
        </w:tc>
      </w:tr>
      <w:tr>
        <w:trPr>
          <w:trHeight w:val="4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280" w:type="dxa"/>
            <w:vAlign w:val="bottom"/>
            <w:gridSpan w:val="7"/>
          </w:tcPr>
          <w:p>
            <w:pPr>
              <w:spacing w:after="0"/>
              <w:rPr>
                <w:sz w:val="20"/>
                <w:szCs w:val="20"/>
                <w:color w:val="auto"/>
              </w:rPr>
            </w:pPr>
            <w:r>
              <w:rPr>
                <w:rFonts w:ascii="Arial" w:cs="Arial" w:eastAsia="Arial" w:hAnsi="Arial"/>
                <w:sz w:val="18"/>
                <w:szCs w:val="18"/>
                <w:color w:val="auto"/>
              </w:rPr>
              <w:t>/s/ J.C. Stubenitsky</w:t>
            </w: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13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[not provided]</w:t>
            </w:r>
          </w:p>
        </w:tc>
        <w:tc>
          <w:tcPr>
            <w:tcW w:w="900" w:type="dxa"/>
            <w:vAlign w:val="bottom"/>
            <w:gridSpan w:val="5"/>
          </w:tcPr>
          <w:p>
            <w:pPr>
              <w:spacing w:after="0"/>
              <w:rPr>
                <w:sz w:val="20"/>
                <w:szCs w:val="20"/>
                <w:color w:val="auto"/>
              </w:rPr>
            </w:pPr>
          </w:p>
        </w:tc>
      </w:tr>
    </w:tbl>
    <w:p>
      <w:pPr>
        <w:sectPr>
          <w:pgSz w:w="11900" w:h="16838" w:orient="portrait"/>
          <w:cols w:equalWidth="0" w:num="1">
            <w:col w:w="11420"/>
          </w:cols>
          <w:pgMar w:left="240" w:top="515" w:right="239" w:bottom="0" w:gutter="0" w:footer="0" w:header="0"/>
        </w:sectPr>
      </w:pPr>
    </w:p>
    <w:bookmarkStart w:id="38" w:name="page39"/>
    <w:bookmarkEnd w:id="38"/>
    <w:p>
      <w:pPr>
        <w:jc w:val="center"/>
        <w:ind w:left="460"/>
        <w:spacing w:after="0"/>
        <w:rPr>
          <w:sz w:val="20"/>
          <w:szCs w:val="20"/>
          <w:color w:val="auto"/>
        </w:rPr>
      </w:pPr>
      <w:r>
        <w:rPr>
          <w:rFonts w:ascii="Arial" w:cs="Arial" w:eastAsia="Arial" w:hAnsi="Arial"/>
          <w:sz w:val="18"/>
          <w:szCs w:val="18"/>
          <w:color w:val="auto"/>
        </w:rPr>
        <w:t>MIZUHO CORPORATE BANK, LTD.</w:t>
      </w:r>
    </w:p>
    <w:p>
      <w:pPr>
        <w:spacing w:after="0" w:line="232"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7"/>
                <w:szCs w:val="17"/>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Robert Gallagher</w:t>
            </w:r>
          </w:p>
        </w:tc>
        <w:tc>
          <w:tcPr>
            <w:tcW w:w="260" w:type="dxa"/>
            <w:vAlign w:val="bottom"/>
          </w:tcPr>
          <w:p>
            <w:pPr>
              <w:spacing w:after="0"/>
              <w:rPr>
                <w:sz w:val="17"/>
                <w:szCs w:val="17"/>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w w:val="92"/>
              </w:rPr>
              <w:t>Authorized Signatory</w:t>
            </w:r>
          </w:p>
        </w:tc>
      </w:tr>
    </w:tbl>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SUMITOMO MITSUI BANKING CORPORATION</w:t>
      </w:r>
    </w:p>
    <w:p>
      <w:pPr>
        <w:spacing w:after="0" w:line="232"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/s/ Shuji Yabe</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1"/>
              </w:rPr>
              <w:t>Managing Director</w:t>
            </w:r>
          </w:p>
        </w:tc>
      </w:tr>
    </w:tbl>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BANK OF TOKYO-MITSUBISHI UFJ, LTD.</w:t>
      </w:r>
    </w:p>
    <w:p>
      <w:pPr>
        <w:spacing w:after="0" w:line="232"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7"/>
                <w:szCs w:val="17"/>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rPr>
              <w:t>/s/ Victor Pierzchalski</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2220" w:type="dxa"/>
            <w:vAlign w:val="bottom"/>
            <w:gridSpan w:val="4"/>
          </w:tcPr>
          <w:p>
            <w:pPr>
              <w:ind w:left="160"/>
              <w:spacing w:after="0"/>
              <w:rPr>
                <w:sz w:val="20"/>
                <w:szCs w:val="20"/>
                <w:color w:val="auto"/>
              </w:rPr>
            </w:pPr>
            <w:r>
              <w:rPr>
                <w:rFonts w:ascii="Arial" w:cs="Arial" w:eastAsia="Arial" w:hAnsi="Arial"/>
                <w:sz w:val="18"/>
                <w:szCs w:val="18"/>
                <w:color w:val="auto"/>
              </w:rPr>
              <w:t>Authorized Signatory</w:t>
            </w:r>
          </w:p>
        </w:tc>
      </w:tr>
      <w:tr>
        <w:trPr>
          <w:trHeight w:val="457"/>
        </w:trPr>
        <w:tc>
          <w:tcPr>
            <w:tcW w:w="2920" w:type="dxa"/>
            <w:vAlign w:val="bottom"/>
            <w:gridSpan w:val="6"/>
          </w:tcPr>
          <w:p>
            <w:pPr>
              <w:spacing w:after="0"/>
              <w:rPr>
                <w:sz w:val="20"/>
                <w:szCs w:val="20"/>
                <w:color w:val="auto"/>
              </w:rPr>
            </w:pPr>
            <w:r>
              <w:rPr>
                <w:rFonts w:ascii="Arial" w:cs="Arial" w:eastAsia="Arial" w:hAnsi="Arial"/>
                <w:sz w:val="18"/>
                <w:szCs w:val="18"/>
                <w:color w:val="auto"/>
              </w:rPr>
              <w:t>NORDEA BANK</w:t>
            </w:r>
          </w:p>
        </w:tc>
      </w:tr>
      <w:tr>
        <w:trPr>
          <w:trHeight w:val="4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rPr>
              <w:t>/s/ Christine Svardh</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2220" w:type="dxa"/>
            <w:vAlign w:val="bottom"/>
            <w:gridSpan w:val="4"/>
          </w:tcPr>
          <w:p>
            <w:pPr>
              <w:ind w:left="180"/>
              <w:spacing w:after="0"/>
              <w:rPr>
                <w:sz w:val="20"/>
                <w:szCs w:val="20"/>
                <w:color w:val="auto"/>
              </w:rPr>
            </w:pPr>
            <w:r>
              <w:rPr>
                <w:rFonts w:ascii="Arial" w:cs="Arial" w:eastAsia="Arial" w:hAnsi="Arial"/>
                <w:sz w:val="18"/>
                <w:szCs w:val="18"/>
                <w:color w:val="auto"/>
              </w:rPr>
              <w:t>First Vice President</w:t>
            </w:r>
          </w:p>
        </w:tc>
      </w:tr>
      <w:tr>
        <w:trPr>
          <w:trHeight w:val="4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 Gerald E. Chelius, Jr.</w:t>
            </w:r>
          </w:p>
        </w:tc>
        <w:tc>
          <w:tcPr>
            <w:tcW w:w="460" w:type="dxa"/>
            <w:vAlign w:val="bottom"/>
          </w:tcPr>
          <w:p>
            <w:pPr>
              <w:spacing w:after="0"/>
              <w:rPr>
                <w:sz w:val="24"/>
                <w:szCs w:val="24"/>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2220" w:type="dxa"/>
            <w:vAlign w:val="bottom"/>
            <w:gridSpan w:val="4"/>
          </w:tcPr>
          <w:p>
            <w:pPr>
              <w:ind w:left="180"/>
              <w:spacing w:after="0"/>
              <w:rPr>
                <w:sz w:val="20"/>
                <w:szCs w:val="20"/>
                <w:color w:val="auto"/>
              </w:rPr>
            </w:pPr>
            <w:r>
              <w:rPr>
                <w:rFonts w:ascii="Arial" w:cs="Arial" w:eastAsia="Arial" w:hAnsi="Arial"/>
                <w:sz w:val="18"/>
                <w:szCs w:val="18"/>
                <w:color w:val="auto"/>
                <w:w w:val="89"/>
              </w:rPr>
              <w:t>Senior Vice President Credit</w:t>
            </w:r>
          </w:p>
        </w:tc>
      </w:tr>
    </w:tbl>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UNICREDIT BANK AG, NEW YORK BRANCH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ind w:left="45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7"/>
                <w:szCs w:val="17"/>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/s/ Kimberly Sousa___</w:t>
            </w:r>
          </w:p>
        </w:tc>
      </w:tr>
      <w:tr>
        <w:trPr>
          <w:trHeight w:val="236"/>
        </w:trPr>
        <w:tc>
          <w:tcPr>
            <w:tcW w:w="5060" w:type="dxa"/>
            <w:vAlign w:val="bottom"/>
          </w:tcPr>
          <w:p>
            <w:pPr>
              <w:ind w:left="4520"/>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16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Director</w:t>
            </w:r>
          </w:p>
        </w:tc>
        <w:tc>
          <w:tcPr>
            <w:tcW w:w="4560" w:type="dxa"/>
            <w:vAlign w:val="bottom"/>
          </w:tcPr>
          <w:p>
            <w:pPr>
              <w:spacing w:after="0"/>
              <w:rPr>
                <w:sz w:val="20"/>
                <w:szCs w:val="20"/>
                <w:color w:val="auto"/>
              </w:rPr>
            </w:pPr>
          </w:p>
        </w:tc>
      </w:tr>
      <w:tr>
        <w:trPr>
          <w:trHeight w:val="416"/>
        </w:trPr>
        <w:tc>
          <w:tcPr>
            <w:tcW w:w="5060" w:type="dxa"/>
            <w:vAlign w:val="bottom"/>
          </w:tcPr>
          <w:p>
            <w:pPr>
              <w:ind w:left="45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Elaine Tung</w:t>
            </w:r>
          </w:p>
        </w:tc>
        <w:tc>
          <w:tcPr>
            <w:tcW w:w="5100" w:type="dxa"/>
            <w:vAlign w:val="bottom"/>
            <w:gridSpan w:val="2"/>
          </w:tcPr>
          <w:p>
            <w:pPr>
              <w:spacing w:after="0"/>
              <w:rPr>
                <w:sz w:val="24"/>
                <w:szCs w:val="24"/>
                <w:color w:val="auto"/>
              </w:rPr>
            </w:pPr>
          </w:p>
        </w:tc>
      </w:tr>
      <w:tr>
        <w:trPr>
          <w:trHeight w:val="236"/>
        </w:trPr>
        <w:tc>
          <w:tcPr>
            <w:tcW w:w="5060" w:type="dxa"/>
            <w:vAlign w:val="bottom"/>
          </w:tcPr>
          <w:p>
            <w:pPr>
              <w:ind w:left="4520"/>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0"/>
                <w:szCs w:val="20"/>
                <w:color w:val="auto"/>
              </w:rPr>
            </w:pPr>
          </w:p>
        </w:tc>
        <w:tc>
          <w:tcPr>
            <w:tcW w:w="62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1139"/>
        </w:trPr>
        <w:tc>
          <w:tcPr>
            <w:tcW w:w="50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SCHEDULE I</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MANPOWER INC.</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FIVE YEAR CREDIT AGREEMENT</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APPLICABLE LENDING OFFICES</w:t>
            </w:r>
          </w:p>
        </w:tc>
        <w:tc>
          <w:tcPr>
            <w:tcW w:w="0" w:type="dxa"/>
            <w:vAlign w:val="bottom"/>
          </w:tcPr>
          <w:p>
            <w:pPr>
              <w:spacing w:after="0"/>
              <w:rPr>
                <w:sz w:val="1"/>
                <w:szCs w:val="1"/>
                <w:color w:val="auto"/>
              </w:rPr>
            </w:pPr>
          </w:p>
        </w:tc>
      </w:tr>
      <w:tr>
        <w:trPr>
          <w:trHeight w:val="242"/>
        </w:trPr>
        <w:tc>
          <w:tcPr>
            <w:tcW w:w="440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Name of Initial Lender</w:t>
            </w:r>
          </w:p>
        </w:tc>
        <w:tc>
          <w:tcPr>
            <w:tcW w:w="37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Revolving Credit Commitment</w:t>
            </w:r>
          </w:p>
        </w:tc>
        <w:tc>
          <w:tcPr>
            <w:tcW w:w="3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Letter of Credit Commitment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Citibank, N.A.</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8"/>
              </w:rPr>
              <w:t>$112,000,000</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BNP Paribas</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8"/>
              </w:rPr>
              <w:t>$112,000,000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JPMorgan Chase Bank, N.A.</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8"/>
              </w:rPr>
              <w:t>$112,000,000</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RBS Citizens, N.A.</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$65,000,000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Bank National Association</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$65,000,000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Barclays Bank PLC</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$46,000,000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BMO Harris Bank N.A.</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$46,000,000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ING Bank N.V.</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$46,000,000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Mizuho Corporate Bank, Ltd.</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$46,000,000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Sumitomo Mitsui Banking Corporation</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$46,000,000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Bank of Tokyo-Mitsubishi UFJ, Ltd.</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$46,000,000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Nordea Bank</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$29,000,000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UniCredit Bank AG, New York Branch</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$29,000,000</w:t>
            </w:r>
          </w:p>
        </w:tc>
        <w:tc>
          <w:tcPr>
            <w:tcW w:w="3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8"/>
              </w:rPr>
              <w:t>$800,000,000</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$150,000,000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7"/>
        </w:trPr>
        <w:tc>
          <w:tcPr>
            <w:tcW w:w="440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Schedule 2.04(f)</w:t>
      </w: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Letters of Credit</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September 30, 2011</w:t>
      </w:r>
    </w:p>
    <w:p>
      <w:pPr>
        <w:spacing w:after="0" w:line="27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728980</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51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Schedule 5.02(a)</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Liens</w:t>
      </w:r>
    </w:p>
    <w:p>
      <w:pPr>
        <w:spacing w:after="0" w:line="200" w:lineRule="exact"/>
        <w:rPr>
          <w:sz w:val="20"/>
          <w:szCs w:val="20"/>
          <w:color w:val="auto"/>
        </w:rPr>
      </w:pPr>
    </w:p>
    <w:p>
      <w:pPr>
        <w:spacing w:after="0" w:line="2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Liens otherwise permitted by Section 5.02(a), including financing statements covering leased assets or purchase money security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Manpower Five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267970</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300" w:top="51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A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235"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U.S.$_______________</w:t>
      </w:r>
      <w:r>
        <w:rPr>
          <w:sz w:val="20"/>
          <w:szCs w:val="20"/>
          <w:color w:val="auto"/>
        </w:rPr>
        <w:tab/>
      </w:r>
      <w:r>
        <w:rPr>
          <w:rFonts w:ascii="Arial" w:cs="Arial" w:eastAsia="Arial" w:hAnsi="Arial"/>
          <w:sz w:val="16"/>
          <w:szCs w:val="16"/>
          <w:color w:val="auto"/>
        </w:rPr>
        <w:t>Dated: _______________, 200_</w:t>
      </w:r>
    </w:p>
    <w:p>
      <w:pPr>
        <w:spacing w:after="0" w:line="250"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auto"/>
        </w:rPr>
        <w:t>FOR VALUE RECEIVED, the undersigned, MANPOWER INC., a Wisconsin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the order of _________________________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Termination Date (each as defined</w:t>
      </w:r>
    </w:p>
    <w:p>
      <w:pPr>
        <w:jc w:val="both"/>
        <w:spacing w:after="0" w:line="294" w:lineRule="auto"/>
        <w:rPr>
          <w:sz w:val="20"/>
          <w:szCs w:val="20"/>
          <w:color w:val="auto"/>
        </w:rPr>
      </w:pPr>
      <w:r>
        <w:rPr>
          <w:rFonts w:ascii="Arial" w:cs="Arial" w:eastAsia="Arial" w:hAnsi="Arial"/>
          <w:sz w:val="16"/>
          <w:szCs w:val="16"/>
          <w:color w:val="auto"/>
        </w:rPr>
        <w:t>in the Credit Agreement referred to below) the principal sum of U.S.$[amount of the Lender’s Commitment in figures] or, if less, the aggregate principal amount of the Revolving Credit Advances made by the Lender to the Borrower pursuant to the Five Year Credit Agreement dated as of October 5, 2011 among the Borrower, the Lender and certain other lenders parties thereto, and Citibank, N.A. as Agent for the Lender and such other lenders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outstanding on the Termination Date.</w:t>
      </w:r>
    </w:p>
    <w:p>
      <w:pPr>
        <w:spacing w:after="0" w:line="186" w:lineRule="exact"/>
        <w:rPr>
          <w:sz w:val="20"/>
          <w:szCs w:val="20"/>
          <w:color w:val="auto"/>
        </w:rPr>
      </w:pPr>
    </w:p>
    <w:p>
      <w:pPr>
        <w:jc w:val="both"/>
        <w:ind w:firstLine="1290"/>
        <w:spacing w:after="0" w:line="340" w:lineRule="auto"/>
        <w:rPr>
          <w:sz w:val="20"/>
          <w:szCs w:val="20"/>
          <w:color w:val="auto"/>
        </w:rPr>
      </w:pPr>
      <w:r>
        <w:rPr>
          <w:rFonts w:ascii="Arial" w:cs="Arial" w:eastAsia="Arial" w:hAnsi="Arial"/>
          <w:sz w:val="16"/>
          <w:szCs w:val="16"/>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5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Both principal and interest in respect of each Revolving Credit Advance (i) in Dollars are payable in lawful money of the United States of America to the Agent at its account maintained at 388 Greenwich Street, New York, New York 10013, in same day funds and (ii) in any Committed Currency are payable in such currency at the applicable Payment Office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218"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auto"/>
        </w:rPr>
        <w:t>This Promissory Note is one of the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Dollar amount first above mentioned, the indebtedness of the Borrower resulting from each such Revolving Credit Advance being evidenced by this Promissory Note, (ii) contains provisions for determining the Dollar Equivalent of Revolving Credit Advances denominated in Committed Currencies and (iii) contains provisions for acceleration of the maturity hereof upon the happening of certain stated events and also for prepayments on account of principal hereof prior to the maturity hereof upon the terms and conditions therein specified.</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MANPOWER INC.</w:t>
      </w: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__________________________</w:t>
      </w:r>
    </w:p>
    <w:p>
      <w:pPr>
        <w:spacing w:after="0" w:line="23" w:lineRule="exact"/>
        <w:rPr>
          <w:sz w:val="20"/>
          <w:szCs w:val="20"/>
          <w:color w:val="auto"/>
        </w:rPr>
      </w:pPr>
    </w:p>
    <w:p>
      <w:pPr>
        <w:ind w:left="5900" w:hanging="763"/>
        <w:spacing w:after="0"/>
        <w:tabs>
          <w:tab w:leader="none" w:pos="5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Title:</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Manpower Five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ADVANCES AND PAYMENTS OF PRINCIPAL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Amount of</w:t>
            </w:r>
          </w:p>
        </w:tc>
        <w:tc>
          <w:tcPr>
            <w:tcW w:w="25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r>
      <w:tr>
        <w:trPr>
          <w:trHeight w:val="215"/>
        </w:trPr>
        <w:tc>
          <w:tcPr>
            <w:tcW w:w="2160" w:type="dxa"/>
            <w:vAlign w:val="bottom"/>
          </w:tcPr>
          <w:p>
            <w:pPr>
              <w:ind w:left="960"/>
              <w:spacing w:after="0"/>
              <w:rPr>
                <w:sz w:val="20"/>
                <w:szCs w:val="20"/>
                <w:color w:val="auto"/>
              </w:rPr>
            </w:pPr>
            <w:r>
              <w:rPr>
                <w:rFonts w:ascii="Arial" w:cs="Arial" w:eastAsia="Arial" w:hAnsi="Arial"/>
                <w:sz w:val="18"/>
                <w:szCs w:val="18"/>
                <w:b w:val="1"/>
                <w:bCs w:val="1"/>
                <w:color w:val="auto"/>
              </w:rPr>
              <w:t>Date</w:t>
            </w:r>
          </w:p>
        </w:tc>
        <w:tc>
          <w:tcPr>
            <w:tcW w:w="234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Amount of</w:t>
            </w:r>
          </w:p>
        </w:tc>
        <w:tc>
          <w:tcPr>
            <w:tcW w:w="23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Principal Paid</w:t>
            </w:r>
          </w:p>
        </w:tc>
        <w:tc>
          <w:tcPr>
            <w:tcW w:w="25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Unpaid Principal</w:t>
            </w:r>
          </w:p>
        </w:tc>
        <w:tc>
          <w:tcPr>
            <w:tcW w:w="2120" w:type="dxa"/>
            <w:vAlign w:val="bottom"/>
          </w:tcPr>
          <w:p>
            <w:pPr>
              <w:ind w:left="640"/>
              <w:spacing w:after="0"/>
              <w:rPr>
                <w:sz w:val="20"/>
                <w:szCs w:val="20"/>
                <w:color w:val="auto"/>
              </w:rPr>
            </w:pPr>
            <w:r>
              <w:rPr>
                <w:rFonts w:ascii="Arial" w:cs="Arial" w:eastAsia="Arial" w:hAnsi="Arial"/>
                <w:sz w:val="18"/>
                <w:szCs w:val="18"/>
                <w:b w:val="1"/>
                <w:bCs w:val="1"/>
                <w:color w:val="auto"/>
              </w:rPr>
              <w:t>Notation</w:t>
            </w:r>
          </w:p>
        </w:tc>
      </w:tr>
      <w:tr>
        <w:trPr>
          <w:trHeight w:val="240"/>
        </w:trPr>
        <w:tc>
          <w:tcPr>
            <w:tcW w:w="2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Advance</w:t>
            </w:r>
          </w:p>
        </w:tc>
        <w:tc>
          <w:tcPr>
            <w:tcW w:w="23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2"/>
              </w:rPr>
              <w:t>or Prepaid</w:t>
            </w:r>
          </w:p>
        </w:tc>
        <w:tc>
          <w:tcPr>
            <w:tcW w:w="2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Balance</w:t>
            </w:r>
          </w:p>
        </w:tc>
        <w:tc>
          <w:tcPr>
            <w:tcW w:w="21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Made By</w:t>
            </w: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2"/>
        </w:trPr>
        <w:tc>
          <w:tcPr>
            <w:tcW w:w="2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897"/>
        </w:trPr>
        <w:tc>
          <w:tcPr>
            <w:tcW w:w="21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B - FORM OF NOTICE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BORROWING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Lender Parties party</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Credit Agreement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referred to below</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1615 Brett Road, Building #3</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Castle, Delaware 19720</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Bank Loan Syndications Department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0"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The undersigned, Manpower Inc., refers to the Five Year Credit Agreement, dated as of October 5, 2011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the undersigned, certain Lender Parties thereto and Citibank, N.A., as Agent for said Lenders, and hereby gives you notice, irrevocably,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18"/>
          <w:szCs w:val="18"/>
          <w:u w:val="single" w:color="auto"/>
          <w:color w:val="auto"/>
        </w:rPr>
        <w:t>Proposed Borrowing</w:t>
      </w:r>
      <w:r>
        <w:rPr>
          <w:rFonts w:ascii="Arial" w:cs="Arial" w:eastAsia="Arial" w:hAnsi="Arial"/>
          <w:sz w:val="18"/>
          <w:szCs w:val="18"/>
          <w:color w:val="auto"/>
        </w:rPr>
        <w:t>”) as required by Section 2.02(a) of the Credit Agreement:</w:t>
      </w:r>
    </w:p>
    <w:p>
      <w:pPr>
        <w:spacing w:after="0" w:line="218" w:lineRule="exact"/>
        <w:rPr>
          <w:sz w:val="20"/>
          <w:szCs w:val="20"/>
          <w:color w:val="auto"/>
        </w:rPr>
      </w:pPr>
    </w:p>
    <w:p>
      <w:pPr>
        <w:ind w:left="1960" w:hanging="662"/>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Business Day of the Proposed Borrowing is _______________, 200_.</w:t>
      </w:r>
    </w:p>
    <w:p>
      <w:pPr>
        <w:spacing w:after="0" w:line="250" w:lineRule="exact"/>
        <w:rPr>
          <w:rFonts w:ascii="Arial" w:cs="Arial" w:eastAsia="Arial" w:hAnsi="Arial"/>
          <w:sz w:val="18"/>
          <w:szCs w:val="18"/>
          <w:color w:val="auto"/>
        </w:rPr>
      </w:pPr>
    </w:p>
    <w:p>
      <w:pPr>
        <w:ind w:left="2000" w:hanging="702"/>
        <w:spacing w:after="0"/>
        <w:tabs>
          <w:tab w:leader="none" w:pos="2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Type of Advances comprising the Proposed Borrowing is [Base Rate Advances] [Eurocurrency Rate Advances].</w:t>
      </w:r>
    </w:p>
    <w:p>
      <w:pPr>
        <w:spacing w:after="0" w:line="250" w:lineRule="exact"/>
        <w:rPr>
          <w:rFonts w:ascii="Arial" w:cs="Arial" w:eastAsia="Arial" w:hAnsi="Arial"/>
          <w:sz w:val="18"/>
          <w:szCs w:val="18"/>
          <w:color w:val="auto"/>
        </w:rPr>
      </w:pPr>
    </w:p>
    <w:p>
      <w:pPr>
        <w:ind w:left="660" w:firstLine="638"/>
        <w:spacing w:after="0" w:line="275" w:lineRule="auto"/>
        <w:tabs>
          <w:tab w:leader="none" w:pos="232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amount of the Proposed Borrowing is [$_______________][for a Borrowing in a Committed Currency, list currency and amount of Borrowing].</w:t>
      </w:r>
    </w:p>
    <w:p>
      <w:pPr>
        <w:spacing w:after="0" w:line="198"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color w:val="auto"/>
        </w:rPr>
        <w:t>The initial Interest Period for each Eurocurrency Rate Advance made as part of the Proposed Borrowing is _____ month[s].]</w:t>
      </w: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hereby certifies that the following statements are true on the date hereof, and will be true on the date of the Proposed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Borrowing:</w:t>
      </w:r>
    </w:p>
    <w:p>
      <w:pPr>
        <w:spacing w:after="0" w:line="235" w:lineRule="exact"/>
        <w:rPr>
          <w:sz w:val="20"/>
          <w:szCs w:val="20"/>
          <w:color w:val="auto"/>
        </w:rPr>
      </w:pPr>
    </w:p>
    <w:p>
      <w:pPr>
        <w:jc w:val="both"/>
        <w:ind w:left="660" w:firstLine="638"/>
        <w:spacing w:after="0" w:line="262" w:lineRule="auto"/>
        <w:tabs>
          <w:tab w:leader="none" w:pos="2133"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(except the representations set forth in the last sentence of subsection (e) thereof and in subsection (f)(i) thereof) are correct, before and after giving effect to the Proposed Borrowing and to the application of the proceeds therefrom, as though made on and as of such date; and</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160" w:hanging="108"/>
        <w:spacing w:after="0"/>
        <w:tabs>
          <w:tab w:leader="none" w:pos="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Manpower Five Year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5" w:name="page46"/>
    <w:bookmarkEnd w:id="45"/>
    <w:p>
      <w:pPr>
        <w:ind w:left="-540" w:firstLine="638"/>
        <w:spacing w:after="0" w:line="275" w:lineRule="auto"/>
        <w:tabs>
          <w:tab w:leader="none" w:pos="9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Proposed Borrowing or from the application of the proceeds therefrom, that constitutes a Default.</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Very truly yours,</w:t>
      </w:r>
    </w:p>
    <w:p>
      <w:pPr>
        <w:spacing w:after="0" w:line="25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MANPOWER INC.</w:t>
      </w:r>
    </w:p>
    <w:p>
      <w:pPr>
        <w:spacing w:after="0" w:line="25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__________________________</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412750</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00"/>
          </w:cols>
          <w:pgMar w:left="1440" w:top="515" w:right="259" w:bottom="1440" w:gutter="0" w:footer="0" w:header="0"/>
        </w:sectPr>
      </w:pPr>
    </w:p>
    <w:bookmarkStart w:id="46" w:name="page47"/>
    <w:bookmarkEnd w:id="46"/>
    <w:p>
      <w:pPr>
        <w:ind w:left="8520"/>
        <w:spacing w:after="0"/>
        <w:rPr>
          <w:sz w:val="20"/>
          <w:szCs w:val="20"/>
          <w:color w:val="auto"/>
        </w:rPr>
      </w:pPr>
      <w:r>
        <w:rPr>
          <w:rFonts w:ascii="Arial" w:cs="Arial" w:eastAsia="Arial" w:hAnsi="Arial"/>
          <w:sz w:val="16"/>
          <w:szCs w:val="16"/>
          <w:color w:val="auto"/>
        </w:rPr>
        <w:t>CUSIP Number:___________________</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ASSUMPTION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SSIGNMENT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SSUMPTION</w:t>
      </w:r>
    </w:p>
    <w:p>
      <w:pPr>
        <w:spacing w:after="0" w:line="200" w:lineRule="exact"/>
        <w:rPr>
          <w:sz w:val="20"/>
          <w:szCs w:val="20"/>
          <w:color w:val="auto"/>
        </w:rPr>
      </w:pPr>
    </w:p>
    <w:p>
      <w:pPr>
        <w:spacing w:after="0" w:line="296"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[the][each]</w:t>
      </w:r>
      <w:r>
        <w:rPr>
          <w:rFonts w:ascii="Arial" w:cs="Arial" w:eastAsia="Arial" w:hAnsi="Arial"/>
          <w:sz w:val="22"/>
          <w:szCs w:val="22"/>
          <w:u w:val="single" w:color="auto"/>
          <w:color w:val="0000EE"/>
          <w:vertAlign w:val="superscript"/>
        </w:rPr>
        <w:t>11</w:t>
      </w:r>
      <w:r>
        <w:rPr>
          <w:rFonts w:ascii="Arial" w:cs="Arial" w:eastAsia="Arial" w:hAnsi="Arial"/>
          <w:sz w:val="16"/>
          <w:szCs w:val="16"/>
          <w:color w:val="auto"/>
        </w:rPr>
        <w:t xml:space="preserve">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w:t>
      </w:r>
      <w:r>
        <w:rPr>
          <w:rFonts w:ascii="Arial" w:cs="Arial" w:eastAsia="Arial" w:hAnsi="Arial"/>
          <w:sz w:val="22"/>
          <w:szCs w:val="22"/>
          <w:u w:val="single" w:color="auto"/>
          <w:color w:val="0000EE"/>
          <w:vertAlign w:val="superscript"/>
        </w:rPr>
        <w:t>12</w:t>
      </w:r>
      <w:r>
        <w:rPr>
          <w:rFonts w:ascii="Arial" w:cs="Arial" w:eastAsia="Arial" w:hAnsi="Arial"/>
          <w:sz w:val="16"/>
          <w:szCs w:val="16"/>
          <w:color w:val="auto"/>
        </w:rPr>
        <w:t xml:space="preserve"> Assignee identified in item 2 below ([the] [each, an] “</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22"/>
          <w:szCs w:val="22"/>
          <w:u w:val="single" w:color="auto"/>
          <w:color w:val="0000EE"/>
          <w:vertAlign w:val="superscript"/>
        </w:rPr>
        <w:t>13</w:t>
      </w:r>
      <w:r>
        <w:rPr>
          <w:rFonts w:ascii="Arial" w:cs="Arial" w:eastAsia="Arial" w:hAnsi="Arial"/>
          <w:sz w:val="16"/>
          <w:szCs w:val="16"/>
          <w:color w:val="auto"/>
        </w:rPr>
        <w:t xml:space="preserve"> hereunder are several and not joint.]</w:t>
      </w:r>
      <w:r>
        <w:rPr>
          <w:rFonts w:ascii="Arial" w:cs="Arial" w:eastAsia="Arial" w:hAnsi="Arial"/>
          <w:sz w:val="22"/>
          <w:szCs w:val="22"/>
          <w:u w:val="single" w:color="auto"/>
          <w:color w:val="0000EE"/>
          <w:vertAlign w:val="superscript"/>
        </w:rPr>
        <w:t>14</w:t>
      </w:r>
      <w:r>
        <w:rPr>
          <w:rFonts w:ascii="Arial" w:cs="Arial" w:eastAsia="Arial" w:hAnsi="Arial"/>
          <w:sz w:val="16"/>
          <w:szCs w:val="16"/>
          <w:color w:val="auto"/>
        </w:rPr>
        <w:t xml:space="preserve"> Capitalized terms used but not defined herein shall have the meanings given to them in the Credit Agreement identified below (as amended,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218"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 [each]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1.</w:t>
            </w:r>
          </w:p>
        </w:tc>
        <w:tc>
          <w:tcPr>
            <w:tcW w:w="1380" w:type="dxa"/>
            <w:vAlign w:val="bottom"/>
            <w:gridSpan w:val="3"/>
          </w:tcPr>
          <w:p>
            <w:pPr>
              <w:ind w:left="400"/>
              <w:spacing w:after="0"/>
              <w:rPr>
                <w:sz w:val="20"/>
                <w:szCs w:val="20"/>
                <w:color w:val="auto"/>
              </w:rPr>
            </w:pPr>
            <w:r>
              <w:rPr>
                <w:rFonts w:ascii="Arial" w:cs="Arial" w:eastAsia="Arial" w:hAnsi="Arial"/>
                <w:sz w:val="18"/>
                <w:szCs w:val="18"/>
                <w:color w:val="auto"/>
              </w:rPr>
              <w:t>Assignor[s]: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8"/>
          </w:tcPr>
          <w:p>
            <w:pPr>
              <w:ind w:left="100"/>
              <w:spacing w:after="0"/>
              <w:rPr>
                <w:sz w:val="20"/>
                <w:szCs w:val="20"/>
                <w:color w:val="auto"/>
              </w:rPr>
            </w:pPr>
            <w:r>
              <w:rPr>
                <w:rFonts w:ascii="Arial" w:cs="Arial" w:eastAsia="Arial" w:hAnsi="Arial"/>
                <w:sz w:val="18"/>
                <w:szCs w:val="18"/>
                <w:color w:val="auto"/>
              </w:rPr>
              <w:t>________________________________</w:t>
            </w: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gridSpan w:val="8"/>
          </w:tcPr>
          <w:p>
            <w:pPr>
              <w:ind w:left="400"/>
              <w:spacing w:after="0"/>
              <w:rPr>
                <w:sz w:val="20"/>
                <w:szCs w:val="20"/>
                <w:color w:val="auto"/>
              </w:rPr>
            </w:pPr>
            <w:r>
              <w:rPr>
                <w:rFonts w:ascii="Arial" w:cs="Arial" w:eastAsia="Arial" w:hAnsi="Arial"/>
                <w:sz w:val="18"/>
                <w:szCs w:val="18"/>
                <w:color w:val="auto"/>
                <w:w w:val="99"/>
              </w:rPr>
              <w:t>______________________________</w:t>
            </w: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60" w:type="dxa"/>
            <w:vAlign w:val="bottom"/>
            <w:gridSpan w:val="9"/>
          </w:tcPr>
          <w:p>
            <w:pPr>
              <w:ind w:left="400"/>
              <w:spacing w:after="0"/>
              <w:rPr>
                <w:sz w:val="20"/>
                <w:szCs w:val="20"/>
                <w:color w:val="auto"/>
              </w:rPr>
            </w:pPr>
            <w:r>
              <w:rPr>
                <w:rFonts w:ascii="Arial" w:cs="Arial" w:eastAsia="Arial" w:hAnsi="Arial"/>
                <w:sz w:val="18"/>
                <w:szCs w:val="18"/>
                <w:color w:val="auto"/>
              </w:rPr>
              <w:t>[Assignor [is] [is not] a Defaulting Lender]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2.</w:t>
            </w:r>
          </w:p>
        </w:tc>
        <w:tc>
          <w:tcPr>
            <w:tcW w:w="1440" w:type="dxa"/>
            <w:vAlign w:val="bottom"/>
            <w:gridSpan w:val="4"/>
          </w:tcPr>
          <w:p>
            <w:pPr>
              <w:ind w:left="400"/>
              <w:spacing w:after="0"/>
              <w:rPr>
                <w:sz w:val="20"/>
                <w:szCs w:val="20"/>
                <w:color w:val="auto"/>
              </w:rPr>
            </w:pPr>
            <w:r>
              <w:rPr>
                <w:rFonts w:ascii="Arial" w:cs="Arial" w:eastAsia="Arial" w:hAnsi="Arial"/>
                <w:sz w:val="18"/>
                <w:szCs w:val="18"/>
                <w:color w:val="auto"/>
              </w:rPr>
              <w:t>Assignee[s]:</w:t>
            </w:r>
          </w:p>
        </w:tc>
        <w:tc>
          <w:tcPr>
            <w:tcW w:w="3820" w:type="dxa"/>
            <w:vAlign w:val="bottom"/>
            <w:gridSpan w:val="5"/>
          </w:tcPr>
          <w:p>
            <w:pPr>
              <w:ind w:left="880"/>
              <w:spacing w:after="0"/>
              <w:rPr>
                <w:sz w:val="20"/>
                <w:szCs w:val="20"/>
                <w:color w:val="auto"/>
              </w:rPr>
            </w:pPr>
            <w:r>
              <w:rPr>
                <w:rFonts w:ascii="Arial" w:cs="Arial" w:eastAsia="Arial" w:hAnsi="Arial"/>
                <w:sz w:val="18"/>
                <w:szCs w:val="18"/>
                <w:color w:val="auto"/>
                <w:w w:val="97"/>
              </w:rPr>
              <w:t>______________________________</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gridSpan w:val="8"/>
          </w:tcPr>
          <w:p>
            <w:pPr>
              <w:ind w:left="400"/>
              <w:spacing w:after="0"/>
              <w:rPr>
                <w:sz w:val="20"/>
                <w:szCs w:val="20"/>
                <w:color w:val="auto"/>
              </w:rPr>
            </w:pPr>
            <w:r>
              <w:rPr>
                <w:rFonts w:ascii="Arial" w:cs="Arial" w:eastAsia="Arial" w:hAnsi="Arial"/>
                <w:sz w:val="18"/>
                <w:szCs w:val="18"/>
                <w:color w:val="auto"/>
                <w:w w:val="99"/>
              </w:rPr>
              <w:t>______________________________</w:t>
            </w: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gridSpan w:val="12"/>
          </w:tcPr>
          <w:p>
            <w:pPr>
              <w:ind w:left="400"/>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20" w:type="dxa"/>
            <w:vAlign w:val="bottom"/>
          </w:tcPr>
          <w:p>
            <w:pPr>
              <w:spacing w:after="0"/>
              <w:rPr>
                <w:sz w:val="20"/>
                <w:szCs w:val="20"/>
                <w:color w:val="auto"/>
              </w:rPr>
            </w:pPr>
            <w:r>
              <w:rPr>
                <w:rFonts w:ascii="Arial" w:cs="Arial" w:eastAsia="Arial" w:hAnsi="Arial"/>
                <w:sz w:val="18"/>
                <w:szCs w:val="18"/>
                <w:color w:val="auto"/>
              </w:rPr>
              <w:t>3.</w:t>
            </w:r>
          </w:p>
        </w:tc>
        <w:tc>
          <w:tcPr>
            <w:tcW w:w="138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Borrower(s):</w:t>
            </w:r>
          </w:p>
        </w:tc>
        <w:tc>
          <w:tcPr>
            <w:tcW w:w="880" w:type="dxa"/>
            <w:vAlign w:val="bottom"/>
          </w:tcPr>
          <w:p>
            <w:pPr>
              <w:spacing w:after="0"/>
              <w:rPr>
                <w:sz w:val="24"/>
                <w:szCs w:val="24"/>
                <w:color w:val="auto"/>
              </w:rPr>
            </w:pPr>
          </w:p>
        </w:tc>
        <w:tc>
          <w:tcPr>
            <w:tcW w:w="1620" w:type="dxa"/>
            <w:vAlign w:val="bottom"/>
            <w:gridSpan w:val="5"/>
          </w:tcPr>
          <w:p>
            <w:pPr>
              <w:ind w:left="100"/>
              <w:spacing w:after="0"/>
              <w:rPr>
                <w:sz w:val="20"/>
                <w:szCs w:val="20"/>
                <w:color w:val="auto"/>
              </w:rPr>
            </w:pPr>
            <w:r>
              <w:rPr>
                <w:rFonts w:ascii="Arial" w:cs="Arial" w:eastAsia="Arial" w:hAnsi="Arial"/>
                <w:sz w:val="18"/>
                <w:szCs w:val="18"/>
                <w:color w:val="auto"/>
              </w:rPr>
              <w:t>Manpower Inc.</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800" w:type="dxa"/>
            <w:vAlign w:val="bottom"/>
            <w:gridSpan w:val="6"/>
          </w:tcPr>
          <w:p>
            <w:pPr>
              <w:ind w:left="100"/>
              <w:spacing w:after="0"/>
              <w:rPr>
                <w:sz w:val="20"/>
                <w:szCs w:val="20"/>
                <w:color w:val="auto"/>
              </w:rPr>
            </w:pPr>
            <w:r>
              <w:rPr>
                <w:rFonts w:ascii="Arial" w:cs="Arial" w:eastAsia="Arial" w:hAnsi="Arial"/>
                <w:sz w:val="18"/>
                <w:szCs w:val="18"/>
                <w:color w:val="auto"/>
                <w:w w:val="98"/>
              </w:rPr>
              <w:t>Administrative Agent:</w:t>
            </w:r>
          </w:p>
        </w:tc>
        <w:tc>
          <w:tcPr>
            <w:tcW w:w="120" w:type="dxa"/>
            <w:vAlign w:val="bottom"/>
          </w:tcPr>
          <w:p>
            <w:pPr>
              <w:spacing w:after="0"/>
              <w:rPr>
                <w:sz w:val="24"/>
                <w:szCs w:val="24"/>
                <w:color w:val="auto"/>
              </w:rPr>
            </w:pPr>
          </w:p>
        </w:tc>
        <w:tc>
          <w:tcPr>
            <w:tcW w:w="7020" w:type="dxa"/>
            <w:vAlign w:val="bottom"/>
            <w:gridSpan w:val="8"/>
          </w:tcPr>
          <w:p>
            <w:pPr>
              <w:ind w:left="760"/>
              <w:spacing w:after="0"/>
              <w:rPr>
                <w:sz w:val="20"/>
                <w:szCs w:val="20"/>
                <w:color w:val="auto"/>
              </w:rPr>
            </w:pPr>
            <w:r>
              <w:rPr>
                <w:rFonts w:ascii="Arial" w:cs="Arial" w:eastAsia="Arial" w:hAnsi="Arial"/>
                <w:sz w:val="18"/>
                <w:szCs w:val="18"/>
                <w:color w:val="auto"/>
              </w:rPr>
              <w:t>Citibank, N.A., as the administrative agent under the Credit Agreement</w:t>
            </w:r>
          </w:p>
        </w:tc>
        <w:tc>
          <w:tcPr>
            <w:tcW w:w="0" w:type="dxa"/>
            <w:vAlign w:val="bottom"/>
          </w:tcPr>
          <w:p>
            <w:pPr>
              <w:spacing w:after="0"/>
              <w:rPr>
                <w:sz w:val="1"/>
                <w:szCs w:val="1"/>
                <w:color w:val="auto"/>
              </w:rPr>
            </w:pPr>
          </w:p>
        </w:tc>
      </w:tr>
      <w:tr>
        <w:trPr>
          <w:trHeight w:val="442"/>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620" w:type="dxa"/>
            <w:vAlign w:val="bottom"/>
            <w:gridSpan w:val="5"/>
          </w:tcPr>
          <w:p>
            <w:pPr>
              <w:ind w:left="100"/>
              <w:spacing w:after="0"/>
              <w:rPr>
                <w:sz w:val="20"/>
                <w:szCs w:val="20"/>
                <w:color w:val="auto"/>
              </w:rPr>
            </w:pPr>
            <w:r>
              <w:rPr>
                <w:rFonts w:ascii="Arial" w:cs="Arial" w:eastAsia="Arial" w:hAnsi="Arial"/>
                <w:sz w:val="18"/>
                <w:szCs w:val="18"/>
                <w:color w:val="auto"/>
              </w:rPr>
              <w:t>Credit Agreement: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20" w:type="dxa"/>
            <w:vAlign w:val="bottom"/>
            <w:gridSpan w:val="8"/>
          </w:tcPr>
          <w:p>
            <w:pPr>
              <w:ind w:left="120"/>
              <w:spacing w:after="0"/>
              <w:rPr>
                <w:sz w:val="20"/>
                <w:szCs w:val="20"/>
                <w:color w:val="auto"/>
              </w:rPr>
            </w:pPr>
            <w:r>
              <w:rPr>
                <w:rFonts w:ascii="Arial" w:cs="Arial" w:eastAsia="Arial" w:hAnsi="Arial"/>
                <w:sz w:val="18"/>
                <w:szCs w:val="18"/>
                <w:color w:val="auto"/>
                <w:w w:val="91"/>
              </w:rPr>
              <w:t>The $800,000,000 Five Year Credit Agreement dated as of October 5, 2011 among Manpower</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20" w:type="dxa"/>
            <w:vAlign w:val="bottom"/>
            <w:gridSpan w:val="8"/>
          </w:tcPr>
          <w:p>
            <w:pPr>
              <w:ind w:left="120"/>
              <w:spacing w:after="0"/>
              <w:rPr>
                <w:sz w:val="20"/>
                <w:szCs w:val="20"/>
                <w:color w:val="auto"/>
              </w:rPr>
            </w:pPr>
            <w:r>
              <w:rPr>
                <w:rFonts w:ascii="Arial" w:cs="Arial" w:eastAsia="Arial" w:hAnsi="Arial"/>
                <w:sz w:val="18"/>
                <w:szCs w:val="18"/>
                <w:color w:val="auto"/>
                <w:w w:val="91"/>
              </w:rPr>
              <w:t>Inc., the Lenders parties thereto, Citibank, N.A., as Administrative Agent, and the other agents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parties thereto]</w:t>
            </w: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620" w:type="dxa"/>
            <w:vAlign w:val="bottom"/>
            <w:gridSpan w:val="5"/>
          </w:tcPr>
          <w:p>
            <w:pPr>
              <w:ind w:left="100"/>
              <w:spacing w:after="0"/>
              <w:rPr>
                <w:sz w:val="20"/>
                <w:szCs w:val="20"/>
                <w:color w:val="auto"/>
              </w:rPr>
            </w:pPr>
            <w:r>
              <w:rPr>
                <w:rFonts w:ascii="Arial" w:cs="Arial" w:eastAsia="Arial" w:hAnsi="Arial"/>
                <w:sz w:val="18"/>
                <w:szCs w:val="18"/>
                <w:color w:val="auto"/>
                <w:w w:val="91"/>
              </w:rPr>
              <w:t>Assigned Interest[s]: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4"/>
          </w:tcPr>
          <w:p>
            <w:pPr>
              <w:jc w:val="center"/>
              <w:ind w:right="180"/>
              <w:spacing w:after="0" w:line="195" w:lineRule="exact"/>
              <w:rPr>
                <w:sz w:val="20"/>
                <w:szCs w:val="20"/>
                <w:color w:val="auto"/>
              </w:rPr>
            </w:pPr>
            <w:r>
              <w:rPr>
                <w:rFonts w:ascii="Arial" w:cs="Arial" w:eastAsia="Arial" w:hAnsi="Arial"/>
                <w:sz w:val="18"/>
                <w:szCs w:val="18"/>
                <w:color w:val="auto"/>
                <w:w w:val="91"/>
              </w:rPr>
              <w:t>Aggregate Amount of</w:t>
            </w:r>
          </w:p>
        </w:tc>
        <w:tc>
          <w:tcPr>
            <w:tcW w:w="1840" w:type="dxa"/>
            <w:vAlign w:val="bottom"/>
          </w:tcPr>
          <w:p>
            <w:pPr>
              <w:spacing w:after="0"/>
              <w:rPr>
                <w:sz w:val="16"/>
                <w:szCs w:val="16"/>
                <w:color w:val="auto"/>
              </w:rPr>
            </w:pPr>
          </w:p>
        </w:tc>
        <w:tc>
          <w:tcPr>
            <w:tcW w:w="192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auto"/>
                <w:w w:val="88"/>
              </w:rPr>
              <w:t>Percentage Assigned of</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Facility</w:t>
            </w:r>
          </w:p>
        </w:tc>
        <w:tc>
          <w:tcPr>
            <w:tcW w:w="2160" w:type="dxa"/>
            <w:vAlign w:val="bottom"/>
            <w:gridSpan w:val="5"/>
          </w:tcPr>
          <w:p>
            <w:pPr>
              <w:jc w:val="center"/>
              <w:spacing w:after="0"/>
              <w:rPr>
                <w:sz w:val="20"/>
                <w:szCs w:val="20"/>
                <w:color w:val="auto"/>
              </w:rPr>
            </w:pPr>
            <w:r>
              <w:rPr>
                <w:rFonts w:ascii="Arial" w:cs="Arial" w:eastAsia="Arial" w:hAnsi="Arial"/>
                <w:sz w:val="18"/>
                <w:szCs w:val="18"/>
                <w:color w:val="auto"/>
                <w:w w:val="92"/>
              </w:rPr>
              <w:t>Commitment /Advances for</w:t>
            </w:r>
          </w:p>
        </w:tc>
        <w:tc>
          <w:tcPr>
            <w:tcW w:w="1840" w:type="dxa"/>
            <w:vAlign w:val="bottom"/>
          </w:tcPr>
          <w:p>
            <w:pPr>
              <w:jc w:val="right"/>
              <w:spacing w:after="0"/>
              <w:rPr>
                <w:sz w:val="20"/>
                <w:szCs w:val="20"/>
                <w:color w:val="auto"/>
              </w:rPr>
            </w:pPr>
            <w:r>
              <w:rPr>
                <w:rFonts w:ascii="Arial" w:cs="Arial" w:eastAsia="Arial" w:hAnsi="Arial"/>
                <w:sz w:val="18"/>
                <w:szCs w:val="18"/>
                <w:color w:val="auto"/>
                <w:w w:val="95"/>
              </w:rPr>
              <w:t>Amount of Commitment</w:t>
            </w:r>
          </w:p>
        </w:tc>
        <w:tc>
          <w:tcPr>
            <w:tcW w:w="19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Commitment/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auto"/>
                <w:w w:val="89"/>
              </w:rPr>
              <w:t>Assignor[s]</w:t>
            </w:r>
          </w:p>
        </w:tc>
        <w:tc>
          <w:tcPr>
            <w:tcW w:w="140" w:type="dxa"/>
            <w:vAlign w:val="bottom"/>
            <w:tcBorders>
              <w:bottom w:val="single" w:sz="8" w:color="0000EE"/>
            </w:tcBorders>
          </w:tcPr>
          <w:p>
            <w:pPr>
              <w:jc w:val="center"/>
              <w:spacing w:after="0" w:line="116" w:lineRule="exact"/>
              <w:rPr>
                <w:rFonts w:ascii="Arial" w:cs="Arial" w:eastAsia="Arial" w:hAnsi="Arial"/>
                <w:sz w:val="13"/>
                <w:szCs w:val="13"/>
                <w:color w:val="0000EE"/>
                <w:w w:val="96"/>
              </w:rPr>
            </w:pPr>
            <w:hyperlink w:anchor="page48">
              <w:r>
                <w:rPr>
                  <w:rFonts w:ascii="Arial" w:cs="Arial" w:eastAsia="Arial" w:hAnsi="Arial"/>
                  <w:sz w:val="13"/>
                  <w:szCs w:val="13"/>
                  <w:color w:val="0000EE"/>
                  <w:w w:val="96"/>
                </w:rPr>
                <w:t>15</w:t>
              </w:r>
            </w:hyperlink>
          </w:p>
        </w:tc>
        <w:tc>
          <w:tcPr>
            <w:tcW w:w="400" w:type="dxa"/>
            <w:vAlign w:val="bottom"/>
            <w:vMerge w:val="restart"/>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2"/>
              </w:rPr>
              <w:t>Assignee[s]</w:t>
            </w:r>
          </w:p>
        </w:tc>
        <w:tc>
          <w:tcPr>
            <w:tcW w:w="140" w:type="dxa"/>
            <w:vAlign w:val="bottom"/>
            <w:tcBorders>
              <w:bottom w:val="single" w:sz="8" w:color="0000EE"/>
            </w:tcBorders>
          </w:tcPr>
          <w:p>
            <w:pPr>
              <w:spacing w:after="0" w:line="116" w:lineRule="exact"/>
              <w:rPr>
                <w:rFonts w:ascii="Arial" w:cs="Arial" w:eastAsia="Arial" w:hAnsi="Arial"/>
                <w:sz w:val="13"/>
                <w:szCs w:val="13"/>
                <w:color w:val="0000EE"/>
                <w:w w:val="82"/>
              </w:rPr>
            </w:pPr>
            <w:hyperlink w:anchor="page48">
              <w:r>
                <w:rPr>
                  <w:rFonts w:ascii="Arial" w:cs="Arial" w:eastAsia="Arial" w:hAnsi="Arial"/>
                  <w:sz w:val="13"/>
                  <w:szCs w:val="13"/>
                  <w:color w:val="0000EE"/>
                  <w:w w:val="82"/>
                </w:rPr>
                <w:t>16</w:t>
              </w:r>
            </w:hyperlink>
          </w:p>
        </w:tc>
        <w:tc>
          <w:tcPr>
            <w:tcW w:w="220" w:type="dxa"/>
            <w:vAlign w:val="bottom"/>
            <w:vMerge w:val="restart"/>
          </w:tcPr>
          <w:p>
            <w:pPr>
              <w:spacing w:after="0"/>
              <w:rPr>
                <w:sz w:val="11"/>
                <w:szCs w:val="11"/>
                <w:color w:val="auto"/>
              </w:rPr>
            </w:pPr>
          </w:p>
        </w:tc>
        <w:tc>
          <w:tcPr>
            <w:tcW w:w="900" w:type="dxa"/>
            <w:vAlign w:val="bottom"/>
            <w:vMerge w:val="restart"/>
          </w:tcPr>
          <w:p>
            <w:pPr>
              <w:ind w:left="240"/>
              <w:spacing w:after="0"/>
              <w:rPr>
                <w:sz w:val="20"/>
                <w:szCs w:val="20"/>
                <w:color w:val="auto"/>
              </w:rPr>
            </w:pPr>
            <w:r>
              <w:rPr>
                <w:rFonts w:ascii="Arial" w:cs="Arial" w:eastAsia="Arial" w:hAnsi="Arial"/>
                <w:sz w:val="18"/>
                <w:szCs w:val="18"/>
                <w:color w:val="auto"/>
                <w:w w:val="86"/>
              </w:rPr>
              <w:t>Assigned</w:t>
            </w:r>
          </w:p>
        </w:tc>
        <w:tc>
          <w:tcPr>
            <w:tcW w:w="120" w:type="dxa"/>
            <w:vAlign w:val="bottom"/>
            <w:tcBorders>
              <w:bottom w:val="single" w:sz="8" w:color="0000EE"/>
            </w:tcBorders>
          </w:tcPr>
          <w:p>
            <w:pPr>
              <w:jc w:val="right"/>
              <w:spacing w:after="0" w:line="115" w:lineRule="exact"/>
              <w:rPr>
                <w:rFonts w:ascii="Arial" w:cs="Arial" w:eastAsia="Arial" w:hAnsi="Arial"/>
                <w:sz w:val="11"/>
                <w:szCs w:val="11"/>
                <w:color w:val="0000EE"/>
                <w:w w:val="81"/>
              </w:rPr>
            </w:pPr>
            <w:hyperlink w:anchor="page48">
              <w:r>
                <w:rPr>
                  <w:rFonts w:ascii="Arial" w:cs="Arial" w:eastAsia="Arial" w:hAnsi="Arial"/>
                  <w:sz w:val="11"/>
                  <w:szCs w:val="11"/>
                  <w:color w:val="0000EE"/>
                  <w:w w:val="81"/>
                </w:rPr>
                <w:t>17</w:t>
              </w:r>
            </w:hyperlink>
          </w:p>
        </w:tc>
        <w:tc>
          <w:tcPr>
            <w:tcW w:w="24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vMerge w:val="restart"/>
          </w:tcPr>
          <w:p>
            <w:pPr>
              <w:spacing w:after="0"/>
              <w:rPr>
                <w:sz w:val="11"/>
                <w:szCs w:val="11"/>
                <w:color w:val="auto"/>
              </w:rPr>
            </w:pPr>
          </w:p>
        </w:tc>
        <w:tc>
          <w:tcPr>
            <w:tcW w:w="1120" w:type="dxa"/>
            <w:vAlign w:val="bottom"/>
            <w:vMerge w:val="restart"/>
          </w:tcPr>
          <w:p>
            <w:pPr>
              <w:ind w:left="320"/>
              <w:spacing w:after="0"/>
              <w:rPr>
                <w:sz w:val="20"/>
                <w:szCs w:val="20"/>
                <w:color w:val="auto"/>
              </w:rPr>
            </w:pPr>
            <w:r>
              <w:rPr>
                <w:rFonts w:ascii="Arial" w:cs="Arial" w:eastAsia="Arial" w:hAnsi="Arial"/>
                <w:sz w:val="18"/>
                <w:szCs w:val="18"/>
                <w:color w:val="auto"/>
                <w:w w:val="88"/>
              </w:rPr>
              <w:t>all Lenders</w:t>
            </w:r>
          </w:p>
        </w:tc>
        <w:tc>
          <w:tcPr>
            <w:tcW w:w="120" w:type="dxa"/>
            <w:vAlign w:val="bottom"/>
            <w:tcBorders>
              <w:bottom w:val="single" w:sz="8" w:color="0000EE"/>
            </w:tcBorders>
          </w:tcPr>
          <w:p>
            <w:pPr>
              <w:jc w:val="right"/>
              <w:spacing w:after="0" w:line="115" w:lineRule="exact"/>
              <w:rPr>
                <w:rFonts w:ascii="Arial" w:cs="Arial" w:eastAsia="Arial" w:hAnsi="Arial"/>
                <w:sz w:val="11"/>
                <w:szCs w:val="11"/>
                <w:color w:val="0000EE"/>
                <w:w w:val="81"/>
              </w:rPr>
            </w:pPr>
            <w:hyperlink w:anchor="page48">
              <w:r>
                <w:rPr>
                  <w:rFonts w:ascii="Arial" w:cs="Arial" w:eastAsia="Arial" w:hAnsi="Arial"/>
                  <w:sz w:val="11"/>
                  <w:szCs w:val="11"/>
                  <w:color w:val="0000EE"/>
                  <w:w w:val="81"/>
                </w:rPr>
                <w:t>18</w:t>
              </w:r>
            </w:hyperlink>
          </w:p>
        </w:tc>
        <w:tc>
          <w:tcPr>
            <w:tcW w:w="620" w:type="dxa"/>
            <w:vAlign w:val="bottom"/>
            <w:vMerge w:val="restart"/>
          </w:tcPr>
          <w:p>
            <w:pPr>
              <w:spacing w:after="0"/>
              <w:rPr>
                <w:sz w:val="11"/>
                <w:szCs w:val="11"/>
                <w:color w:val="auto"/>
              </w:rPr>
            </w:pPr>
          </w:p>
        </w:tc>
        <w:tc>
          <w:tcPr>
            <w:tcW w:w="1840" w:type="dxa"/>
            <w:vAlign w:val="bottom"/>
            <w:vMerge w:val="restart"/>
          </w:tcPr>
          <w:p>
            <w:pPr>
              <w:jc w:val="right"/>
              <w:ind w:right="60"/>
              <w:spacing w:after="0" w:line="229" w:lineRule="exact"/>
              <w:rPr>
                <w:sz w:val="20"/>
                <w:szCs w:val="20"/>
                <w:color w:val="auto"/>
              </w:rPr>
            </w:pPr>
            <w:r>
              <w:rPr>
                <w:rFonts w:ascii="Arial" w:cs="Arial" w:eastAsia="Arial" w:hAnsi="Arial"/>
                <w:sz w:val="18"/>
                <w:szCs w:val="18"/>
                <w:color w:val="auto"/>
                <w:w w:val="97"/>
              </w:rPr>
              <w:t>/Advances Assigned</w:t>
            </w:r>
            <w:r>
              <w:rPr>
                <w:rFonts w:ascii="Arial" w:cs="Arial" w:eastAsia="Arial" w:hAnsi="Arial"/>
                <w:sz w:val="25"/>
                <w:szCs w:val="25"/>
                <w:color w:val="auto"/>
                <w:w w:val="97"/>
                <w:vertAlign w:val="superscript"/>
              </w:rPr>
              <w:t>8</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Advances</w:t>
            </w:r>
          </w:p>
        </w:tc>
        <w:tc>
          <w:tcPr>
            <w:tcW w:w="120" w:type="dxa"/>
            <w:vAlign w:val="bottom"/>
            <w:tcBorders>
              <w:bottom w:val="single" w:sz="8" w:color="0000EE"/>
            </w:tcBorders>
          </w:tcPr>
          <w:p>
            <w:pPr>
              <w:jc w:val="right"/>
              <w:spacing w:after="0" w:line="115" w:lineRule="exact"/>
              <w:rPr>
                <w:rFonts w:ascii="Arial" w:cs="Arial" w:eastAsia="Arial" w:hAnsi="Arial"/>
                <w:sz w:val="11"/>
                <w:szCs w:val="11"/>
                <w:color w:val="0000EE"/>
                <w:w w:val="81"/>
              </w:rPr>
            </w:pPr>
            <w:hyperlink w:anchor="page48">
              <w:r>
                <w:rPr>
                  <w:rFonts w:ascii="Arial" w:cs="Arial" w:eastAsia="Arial" w:hAnsi="Arial"/>
                  <w:sz w:val="11"/>
                  <w:szCs w:val="11"/>
                  <w:color w:val="0000EE"/>
                  <w:w w:val="81"/>
                </w:rPr>
                <w:t>19</w:t>
              </w:r>
            </w:hyperlink>
          </w:p>
        </w:tc>
        <w:tc>
          <w:tcPr>
            <w:tcW w:w="560" w:type="dxa"/>
            <w:vAlign w:val="bottom"/>
            <w:vMerge w:val="restart"/>
          </w:tcPr>
          <w:p>
            <w:pPr>
              <w:spacing w:after="0"/>
              <w:rPr>
                <w:sz w:val="11"/>
                <w:szCs w:val="11"/>
                <w:color w:val="auto"/>
              </w:rPr>
            </w:pPr>
          </w:p>
        </w:tc>
        <w:tc>
          <w:tcPr>
            <w:tcW w:w="1400" w:type="dxa"/>
            <w:vAlign w:val="bottom"/>
            <w:vMerge w:val="restart"/>
          </w:tcPr>
          <w:p>
            <w:pPr>
              <w:ind w:left="12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81"/>
        </w:trPr>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840" w:type="dxa"/>
            <w:vAlign w:val="bottom"/>
            <w:tcBorders>
              <w:bottom w:val="single" w:sz="8" w:color="auto"/>
            </w:tcBorders>
            <w:vMerge w:val="continue"/>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68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68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68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20" w:type="dxa"/>
            <w:vAlign w:val="bottom"/>
            <w:vMerge w:val="restart"/>
          </w:tcPr>
          <w:p>
            <w:pPr>
              <w:spacing w:after="0"/>
              <w:rPr>
                <w:sz w:val="20"/>
                <w:szCs w:val="20"/>
                <w:color w:val="auto"/>
              </w:rPr>
            </w:pPr>
            <w:r>
              <w:rPr>
                <w:rFonts w:ascii="Arial" w:cs="Arial" w:eastAsia="Arial" w:hAnsi="Arial"/>
                <w:sz w:val="18"/>
                <w:szCs w:val="18"/>
                <w:color w:val="auto"/>
                <w:w w:val="99"/>
              </w:rPr>
              <w:t>[7.</w:t>
            </w:r>
          </w:p>
        </w:tc>
        <w:tc>
          <w:tcPr>
            <w:tcW w:w="1380" w:type="dxa"/>
            <w:vAlign w:val="bottom"/>
            <w:gridSpan w:val="3"/>
            <w:vMerge w:val="restart"/>
          </w:tcPr>
          <w:p>
            <w:pPr>
              <w:jc w:val="center"/>
              <w:ind w:left="330"/>
              <w:spacing w:after="0"/>
              <w:rPr>
                <w:sz w:val="20"/>
                <w:szCs w:val="20"/>
                <w:color w:val="auto"/>
              </w:rPr>
            </w:pPr>
            <w:r>
              <w:rPr>
                <w:rFonts w:ascii="Arial" w:cs="Arial" w:eastAsia="Arial" w:hAnsi="Arial"/>
                <w:sz w:val="18"/>
                <w:szCs w:val="18"/>
                <w:color w:val="auto"/>
                <w:w w:val="88"/>
              </w:rPr>
              <w:t>Trade Date:</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4"/>
            <w:vMerge w:val="restart"/>
          </w:tcPr>
          <w:p>
            <w:pPr>
              <w:ind w:left="120"/>
              <w:spacing w:after="0"/>
              <w:rPr>
                <w:sz w:val="20"/>
                <w:szCs w:val="20"/>
                <w:color w:val="auto"/>
              </w:rPr>
            </w:pPr>
            <w:r>
              <w:rPr>
                <w:rFonts w:ascii="Arial" w:cs="Arial" w:eastAsia="Arial" w:hAnsi="Arial"/>
                <w:sz w:val="18"/>
                <w:szCs w:val="18"/>
                <w:color w:val="auto"/>
                <w:w w:val="89"/>
              </w:rPr>
              <w:t>______________]</w:t>
            </w:r>
          </w:p>
        </w:tc>
        <w:tc>
          <w:tcPr>
            <w:tcW w:w="120" w:type="dxa"/>
            <w:vAlign w:val="bottom"/>
            <w:tcBorders>
              <w:bottom w:val="single" w:sz="8" w:color="0000EE"/>
            </w:tcBorders>
          </w:tcPr>
          <w:p>
            <w:pPr>
              <w:jc w:val="right"/>
              <w:spacing w:after="0"/>
              <w:rPr>
                <w:rFonts w:ascii="Arial" w:cs="Arial" w:eastAsia="Arial" w:hAnsi="Arial"/>
                <w:sz w:val="11"/>
                <w:szCs w:val="11"/>
                <w:color w:val="0000EE"/>
                <w:w w:val="81"/>
              </w:rPr>
            </w:pPr>
            <w:hyperlink w:anchor="page48">
              <w:r>
                <w:rPr>
                  <w:rFonts w:ascii="Arial" w:cs="Arial" w:eastAsia="Arial" w:hAnsi="Arial"/>
                  <w:sz w:val="11"/>
                  <w:szCs w:val="11"/>
                  <w:color w:val="0000EE"/>
                  <w:w w:val="81"/>
                </w:rPr>
                <w:t>20</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20" w:type="dxa"/>
            <w:vAlign w:val="bottom"/>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color w:val="auto"/>
                <w:w w:val="88"/>
              </w:rPr>
              <w:t>[Page break]</w:t>
            </w:r>
          </w:p>
        </w:tc>
        <w:tc>
          <w:tcPr>
            <w:tcW w:w="1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7"/>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3"/>
            <w:vMerge w:val="continue"/>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72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360" w:hanging="7"/>
        <w:spacing w:after="0" w:line="232" w:lineRule="auto"/>
        <w:tabs>
          <w:tab w:leader="none" w:pos="825" w:val="left"/>
        </w:tabs>
        <w:numPr>
          <w:ilvl w:val="0"/>
          <w:numId w:val="81"/>
        </w:numPr>
        <w:rPr>
          <w:rFonts w:ascii="Arial" w:cs="Arial" w:eastAsia="Arial" w:hAnsi="Arial"/>
          <w:sz w:val="23"/>
          <w:szCs w:val="23"/>
          <w:color w:val="auto"/>
          <w:vertAlign w:val="superscript"/>
        </w:rPr>
      </w:pPr>
      <w:r>
        <w:rPr>
          <w:rFonts w:ascii="Arial" w:cs="Arial" w:eastAsia="Arial" w:hAnsi="Arial"/>
          <w:sz w:val="17"/>
          <w:szCs w:val="17"/>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00" w:lineRule="exact"/>
        <w:rPr>
          <w:rFonts w:ascii="Arial" w:cs="Arial" w:eastAsia="Arial" w:hAnsi="Arial"/>
          <w:sz w:val="23"/>
          <w:szCs w:val="23"/>
          <w:color w:val="auto"/>
          <w:vertAlign w:val="superscript"/>
        </w:rPr>
      </w:pPr>
    </w:p>
    <w:p>
      <w:pPr>
        <w:spacing w:after="0" w:line="269" w:lineRule="exact"/>
        <w:rPr>
          <w:rFonts w:ascii="Arial" w:cs="Arial" w:eastAsia="Arial" w:hAnsi="Arial"/>
          <w:sz w:val="23"/>
          <w:szCs w:val="23"/>
          <w:color w:val="auto"/>
          <w:vertAlign w:val="superscript"/>
        </w:rPr>
      </w:pPr>
    </w:p>
    <w:p>
      <w:pPr>
        <w:ind w:left="660" w:right="540" w:hanging="7"/>
        <w:spacing w:after="0" w:line="232" w:lineRule="auto"/>
        <w:tabs>
          <w:tab w:leader="none" w:pos="830" w:val="left"/>
        </w:tabs>
        <w:numPr>
          <w:ilvl w:val="0"/>
          <w:numId w:val="81"/>
        </w:numPr>
        <w:rPr>
          <w:rFonts w:ascii="Arial" w:cs="Arial" w:eastAsia="Arial" w:hAnsi="Arial"/>
          <w:sz w:val="23"/>
          <w:szCs w:val="23"/>
          <w:color w:val="auto"/>
          <w:vertAlign w:val="superscript"/>
        </w:rPr>
      </w:pPr>
      <w:r>
        <w:rPr>
          <w:rFonts w:ascii="Arial" w:cs="Arial" w:eastAsia="Arial" w:hAnsi="Arial"/>
          <w:sz w:val="17"/>
          <w:szCs w:val="17"/>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ectPr>
          <w:pgSz w:w="11900" w:h="16838" w:orient="portrait"/>
          <w:cols w:equalWidth="0" w:num="1">
            <w:col w:w="11420"/>
          </w:cols>
          <w:pgMar w:left="240" w:top="757" w:right="239" w:bottom="0" w:gutter="0" w:footer="0" w:header="0"/>
        </w:sectPr>
      </w:pPr>
    </w:p>
    <w:bookmarkStart w:id="47" w:name="page48"/>
    <w:bookmarkEnd w:id="47"/>
    <w:p>
      <w:pPr>
        <w:ind w:left="812" w:hanging="167"/>
        <w:spacing w:after="0"/>
        <w:tabs>
          <w:tab w:leader="none" w:pos="812" w:val="left"/>
        </w:tabs>
        <w:numPr>
          <w:ilvl w:val="0"/>
          <w:numId w:val="82"/>
        </w:numPr>
        <w:rPr>
          <w:rFonts w:ascii="Arial" w:cs="Arial" w:eastAsia="Arial" w:hAnsi="Arial"/>
          <w:sz w:val="22"/>
          <w:szCs w:val="22"/>
          <w:color w:val="auto"/>
          <w:vertAlign w:val="superscript"/>
        </w:rPr>
      </w:pPr>
      <w:r>
        <w:rPr>
          <w:rFonts w:ascii="Arial" w:cs="Arial" w:eastAsia="Arial" w:hAnsi="Arial"/>
          <w:sz w:val="16"/>
          <w:szCs w:val="16"/>
          <w:color w:val="auto"/>
        </w:rPr>
        <w:t>Select as appropriate.</w:t>
      </w:r>
    </w:p>
    <w:p>
      <w:pPr>
        <w:spacing w:after="0" w:line="200" w:lineRule="exact"/>
        <w:rPr>
          <w:rFonts w:ascii="Arial" w:cs="Arial" w:eastAsia="Arial" w:hAnsi="Arial"/>
          <w:sz w:val="22"/>
          <w:szCs w:val="22"/>
          <w:color w:val="auto"/>
          <w:vertAlign w:val="superscript"/>
        </w:rPr>
      </w:pPr>
    </w:p>
    <w:p>
      <w:pPr>
        <w:spacing w:after="0" w:line="246" w:lineRule="exact"/>
        <w:rPr>
          <w:rFonts w:ascii="Arial" w:cs="Arial" w:eastAsia="Arial" w:hAnsi="Arial"/>
          <w:sz w:val="22"/>
          <w:szCs w:val="22"/>
          <w:color w:val="auto"/>
          <w:vertAlign w:val="superscript"/>
        </w:rPr>
      </w:pPr>
    </w:p>
    <w:p>
      <w:pPr>
        <w:ind w:left="812" w:hanging="167"/>
        <w:spacing w:after="0"/>
        <w:tabs>
          <w:tab w:leader="none" w:pos="812" w:val="left"/>
        </w:tabs>
        <w:numPr>
          <w:ilvl w:val="0"/>
          <w:numId w:val="82"/>
        </w:numPr>
        <w:rPr>
          <w:rFonts w:ascii="Arial" w:cs="Arial" w:eastAsia="Arial" w:hAnsi="Arial"/>
          <w:sz w:val="22"/>
          <w:szCs w:val="22"/>
          <w:color w:val="auto"/>
          <w:vertAlign w:val="superscript"/>
        </w:rPr>
      </w:pPr>
      <w:r>
        <w:rPr>
          <w:rFonts w:ascii="Arial" w:cs="Arial" w:eastAsia="Arial" w:hAnsi="Arial"/>
          <w:sz w:val="16"/>
          <w:szCs w:val="16"/>
          <w:color w:val="auto"/>
        </w:rPr>
        <w:t>Include bracketed language if there are either multiple Assignors or multiple Assignees.</w:t>
      </w:r>
    </w:p>
    <w:p>
      <w:pPr>
        <w:spacing w:after="0" w:line="200" w:lineRule="exact"/>
        <w:rPr>
          <w:sz w:val="20"/>
          <w:szCs w:val="20"/>
          <w:color w:val="auto"/>
        </w:rPr>
      </w:pPr>
    </w:p>
    <w:p>
      <w:pPr>
        <w:spacing w:after="0" w:line="235" w:lineRule="exact"/>
        <w:rPr>
          <w:sz w:val="20"/>
          <w:szCs w:val="20"/>
          <w:color w:val="auto"/>
        </w:rPr>
      </w:pPr>
    </w:p>
    <w:p>
      <w:pPr>
        <w:ind w:left="172" w:hanging="172"/>
        <w:spacing w:after="0"/>
        <w:tabs>
          <w:tab w:leader="none" w:pos="172" w:val="left"/>
        </w:tabs>
        <w:numPr>
          <w:ilvl w:val="0"/>
          <w:numId w:val="83"/>
        </w:numPr>
        <w:rPr>
          <w:rFonts w:ascii="Arial" w:cs="Arial" w:eastAsia="Arial" w:hAnsi="Arial"/>
          <w:sz w:val="23"/>
          <w:szCs w:val="23"/>
          <w:color w:val="auto"/>
          <w:vertAlign w:val="superscript"/>
        </w:rPr>
      </w:pPr>
      <w:r>
        <w:rPr>
          <w:rFonts w:ascii="Arial" w:cs="Arial" w:eastAsia="Arial" w:hAnsi="Arial"/>
          <w:sz w:val="17"/>
          <w:szCs w:val="17"/>
          <w:color w:val="auto"/>
        </w:rPr>
        <w:t>List each Assignor, as appropriate.</w:t>
      </w:r>
    </w:p>
    <w:p>
      <w:pPr>
        <w:spacing w:after="0" w:line="192"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83"/>
        </w:numPr>
        <w:rPr>
          <w:rFonts w:ascii="Arial" w:cs="Arial" w:eastAsia="Arial" w:hAnsi="Arial"/>
          <w:sz w:val="23"/>
          <w:szCs w:val="23"/>
          <w:color w:val="auto"/>
          <w:vertAlign w:val="superscript"/>
        </w:rPr>
      </w:pPr>
      <w:r>
        <w:rPr>
          <w:rFonts w:ascii="Arial" w:cs="Arial" w:eastAsia="Arial" w:hAnsi="Arial"/>
          <w:sz w:val="17"/>
          <w:szCs w:val="17"/>
          <w:color w:val="auto"/>
        </w:rPr>
        <w:t>List each Assignee, as appropriate.</w:t>
      </w:r>
    </w:p>
    <w:p>
      <w:pPr>
        <w:spacing w:after="0" w:line="227" w:lineRule="exact"/>
        <w:rPr>
          <w:rFonts w:ascii="Arial" w:cs="Arial" w:eastAsia="Arial" w:hAnsi="Arial"/>
          <w:sz w:val="23"/>
          <w:szCs w:val="23"/>
          <w:color w:val="auto"/>
          <w:vertAlign w:val="superscript"/>
        </w:rPr>
      </w:pPr>
    </w:p>
    <w:p>
      <w:pPr>
        <w:ind w:left="652" w:hanging="652"/>
        <w:spacing w:after="0" w:line="232" w:lineRule="auto"/>
        <w:tabs>
          <w:tab w:leader="none" w:pos="177" w:val="left"/>
        </w:tabs>
        <w:numPr>
          <w:ilvl w:val="0"/>
          <w:numId w:val="83"/>
        </w:numPr>
        <w:rPr>
          <w:rFonts w:ascii="Arial" w:cs="Arial" w:eastAsia="Arial" w:hAnsi="Arial"/>
          <w:sz w:val="23"/>
          <w:szCs w:val="23"/>
          <w:color w:val="auto"/>
          <w:vertAlign w:val="superscript"/>
        </w:rPr>
      </w:pPr>
      <w:r>
        <w:rPr>
          <w:rFonts w:ascii="Arial" w:cs="Arial" w:eastAsia="Arial" w:hAnsi="Arial"/>
          <w:sz w:val="17"/>
          <w:szCs w:val="17"/>
          <w:color w:val="auto"/>
        </w:rPr>
        <w:t>Fill in the appropriate terminology for the types of facilities under the Credit Agreement that are being assigned under this Assignment (e.g., “Revolving Credit Commitment,” “Term Loan Commitment,” etc.)</w:t>
      </w:r>
    </w:p>
    <w:p>
      <w:pPr>
        <w:spacing w:after="0" w:line="204"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83"/>
        </w:numPr>
        <w:rPr>
          <w:rFonts w:ascii="Arial" w:cs="Arial" w:eastAsia="Arial" w:hAnsi="Arial"/>
          <w:sz w:val="22"/>
          <w:szCs w:val="22"/>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192" w:lineRule="exact"/>
        <w:rPr>
          <w:rFonts w:ascii="Arial" w:cs="Arial" w:eastAsia="Arial" w:hAnsi="Arial"/>
          <w:sz w:val="22"/>
          <w:szCs w:val="22"/>
          <w:color w:val="auto"/>
          <w:vertAlign w:val="superscript"/>
        </w:rPr>
      </w:pPr>
    </w:p>
    <w:p>
      <w:pPr>
        <w:ind w:left="172" w:hanging="172"/>
        <w:spacing w:after="0"/>
        <w:tabs>
          <w:tab w:leader="none" w:pos="172" w:val="left"/>
        </w:tabs>
        <w:numPr>
          <w:ilvl w:val="0"/>
          <w:numId w:val="83"/>
        </w:numPr>
        <w:rPr>
          <w:rFonts w:ascii="Arial" w:cs="Arial" w:eastAsia="Arial" w:hAnsi="Arial"/>
          <w:sz w:val="23"/>
          <w:szCs w:val="23"/>
          <w:color w:val="auto"/>
          <w:vertAlign w:val="superscript"/>
        </w:rPr>
      </w:pPr>
      <w:r>
        <w:rPr>
          <w:rFonts w:ascii="Arial" w:cs="Arial" w:eastAsia="Arial" w:hAnsi="Arial"/>
          <w:sz w:val="17"/>
          <w:szCs w:val="17"/>
          <w:color w:val="auto"/>
        </w:rPr>
        <w:t>Set forth, to at least 9 decimals, as a percentage of the Commitment/Loans of all Lenders thereunder.</w:t>
      </w:r>
    </w:p>
    <w:p>
      <w:pPr>
        <w:spacing w:after="0" w:line="204" w:lineRule="exact"/>
        <w:rPr>
          <w:sz w:val="20"/>
          <w:szCs w:val="20"/>
          <w:color w:val="auto"/>
        </w:rPr>
      </w:pPr>
    </w:p>
    <w:p>
      <w:pPr>
        <w:ind w:left="812" w:hanging="167"/>
        <w:spacing w:after="0"/>
        <w:tabs>
          <w:tab w:leader="none" w:pos="812" w:val="left"/>
        </w:tabs>
        <w:numPr>
          <w:ilvl w:val="0"/>
          <w:numId w:val="84"/>
        </w:numPr>
        <w:rPr>
          <w:rFonts w:ascii="Arial" w:cs="Arial" w:eastAsia="Arial" w:hAnsi="Arial"/>
          <w:sz w:val="22"/>
          <w:szCs w:val="22"/>
          <w:color w:val="auto"/>
          <w:vertAlign w:val="superscript"/>
        </w:rPr>
      </w:pPr>
      <w:r>
        <w:rPr>
          <w:rFonts w:ascii="Arial" w:cs="Arial" w:eastAsia="Arial" w:hAnsi="Arial"/>
          <w:sz w:val="16"/>
          <w:szCs w:val="16"/>
          <w:color w:val="auto"/>
        </w:rPr>
        <w:t>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561340</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112"/>
          </w:cols>
          <w:pgMar w:left="248" w:top="344" w:right="539" w:bottom="1440" w:gutter="0" w:footer="0" w:header="0"/>
        </w:sectPr>
      </w:pPr>
    </w:p>
    <w:bookmarkStart w:id="48" w:name="page49"/>
    <w:bookmarkEnd w:id="48"/>
    <w:p>
      <w:pPr>
        <w:jc w:val="center"/>
        <w:ind w:righ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Effective Date:</w:t>
      </w:r>
      <w:r>
        <w:rPr>
          <w:sz w:val="20"/>
          <w:szCs w:val="20"/>
          <w:color w:val="auto"/>
        </w:rPr>
        <w:tab/>
      </w:r>
      <w:r>
        <w:rPr>
          <w:rFonts w:ascii="Arial" w:cs="Arial" w:eastAsia="Arial" w:hAnsi="Arial"/>
          <w:sz w:val="17"/>
          <w:szCs w:val="17"/>
          <w:color w:val="auto"/>
        </w:rPr>
        <w:t>_____________ ___, 20___ [TO BE INSERTED BY ADMINISTRATIVE AGENT AND WHICH SHALL BE THE EFFECTIVE DATE 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194" w:lineRule="exact"/>
        <w:rPr>
          <w:sz w:val="20"/>
          <w:szCs w:val="20"/>
          <w:color w:val="auto"/>
        </w:rPr>
      </w:pPr>
    </w:p>
    <w:p>
      <w:pPr>
        <w:ind w:left="4520"/>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ASSIGNOR[S]</w:t>
      </w:r>
      <w:hyperlink w:anchor="page49">
        <w:r>
          <w:rPr>
            <w:rFonts w:ascii="Arial" w:cs="Arial" w:eastAsia="Arial" w:hAnsi="Arial"/>
            <w:sz w:val="25"/>
            <w:szCs w:val="25"/>
            <w:u w:val="single" w:color="auto"/>
            <w:color w:val="0000EE"/>
            <w:vertAlign w:val="superscript"/>
          </w:rPr>
          <w:t>21</w:t>
        </w:r>
      </w:hyperlink>
    </w:p>
    <w:p>
      <w:pPr>
        <w:ind w:left="840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w:t>
      </w:r>
    </w:p>
    <w:p>
      <w:pPr>
        <w:spacing w:after="0" w:line="179" w:lineRule="exact"/>
        <w:rPr>
          <w:sz w:val="20"/>
          <w:szCs w:val="20"/>
          <w:color w:val="auto"/>
        </w:rPr>
      </w:pPr>
    </w:p>
    <w:p>
      <w:pPr>
        <w:ind w:left="4520"/>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ASSIGNEE[S]</w:t>
      </w:r>
      <w:hyperlink w:anchor="page49">
        <w:r>
          <w:rPr>
            <w:rFonts w:ascii="Arial" w:cs="Arial" w:eastAsia="Arial" w:hAnsi="Arial"/>
            <w:sz w:val="25"/>
            <w:szCs w:val="25"/>
            <w:u w:val="single" w:color="auto"/>
            <w:color w:val="0000EE"/>
            <w:vertAlign w:val="superscript"/>
          </w:rPr>
          <w:t>22</w:t>
        </w:r>
      </w:hyperlink>
    </w:p>
    <w:p>
      <w:pPr>
        <w:ind w:left="452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5"/>
          <w:szCs w:val="25"/>
          <w:u w:val="single" w:color="auto"/>
          <w:color w:val="0000EE"/>
          <w:vertAlign w:val="superscript"/>
        </w:rPr>
        <w:t>23</w:t>
      </w:r>
      <w:r>
        <w:rPr>
          <w:rFonts w:ascii="Arial" w:cs="Arial" w:eastAsia="Arial" w:hAnsi="Arial"/>
          <w:sz w:val="18"/>
          <w:szCs w:val="18"/>
          <w:color w:val="auto"/>
        </w:rPr>
        <w:t xml:space="preserve"> Accepted: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ADMINISTRATIVE AGENT], as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5"/>
          <w:szCs w:val="25"/>
          <w:u w:val="single" w:color="auto"/>
          <w:color w:val="0000EE"/>
          <w:vertAlign w:val="superscript"/>
        </w:rPr>
        <w:t>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hanging="167"/>
        <w:spacing w:after="0"/>
        <w:tabs>
          <w:tab w:leader="none" w:pos="820" w:val="left"/>
        </w:tabs>
        <w:numPr>
          <w:ilvl w:val="0"/>
          <w:numId w:val="85"/>
        </w:numPr>
        <w:rPr>
          <w:rFonts w:ascii="Arial" w:cs="Arial" w:eastAsia="Arial" w:hAnsi="Arial"/>
          <w:sz w:val="22"/>
          <w:szCs w:val="22"/>
          <w:color w:val="auto"/>
          <w:vertAlign w:val="superscript"/>
        </w:rPr>
      </w:pPr>
      <w:r>
        <w:rPr>
          <w:rFonts w:ascii="Arial" w:cs="Arial" w:eastAsia="Arial" w:hAnsi="Arial"/>
          <w:sz w:val="16"/>
          <w:szCs w:val="16"/>
          <w:color w:val="auto"/>
        </w:rPr>
        <w:t>Add additional signature blocks as needed. Include both Fund/Pension Plan and manager making the trade (if applicable).</w:t>
      </w:r>
    </w:p>
    <w:p>
      <w:pPr>
        <w:spacing w:after="0" w:line="200" w:lineRule="exact"/>
        <w:rPr>
          <w:rFonts w:ascii="Arial" w:cs="Arial" w:eastAsia="Arial" w:hAnsi="Arial"/>
          <w:sz w:val="22"/>
          <w:szCs w:val="22"/>
          <w:color w:val="auto"/>
          <w:vertAlign w:val="superscript"/>
        </w:rPr>
      </w:pPr>
    </w:p>
    <w:p>
      <w:pPr>
        <w:spacing w:after="0" w:line="246" w:lineRule="exact"/>
        <w:rPr>
          <w:rFonts w:ascii="Arial" w:cs="Arial" w:eastAsia="Arial" w:hAnsi="Arial"/>
          <w:sz w:val="22"/>
          <w:szCs w:val="22"/>
          <w:color w:val="auto"/>
          <w:vertAlign w:val="superscript"/>
        </w:rPr>
      </w:pPr>
    </w:p>
    <w:p>
      <w:pPr>
        <w:ind w:left="820" w:hanging="167"/>
        <w:spacing w:after="0"/>
        <w:tabs>
          <w:tab w:leader="none" w:pos="820" w:val="left"/>
        </w:tabs>
        <w:numPr>
          <w:ilvl w:val="0"/>
          <w:numId w:val="85"/>
        </w:numPr>
        <w:rPr>
          <w:rFonts w:ascii="Arial" w:cs="Arial" w:eastAsia="Arial" w:hAnsi="Arial"/>
          <w:sz w:val="22"/>
          <w:szCs w:val="22"/>
          <w:color w:val="auto"/>
          <w:vertAlign w:val="superscript"/>
        </w:rPr>
      </w:pPr>
      <w:r>
        <w:rPr>
          <w:rFonts w:ascii="Arial" w:cs="Arial" w:eastAsia="Arial" w:hAnsi="Arial"/>
          <w:sz w:val="16"/>
          <w:szCs w:val="16"/>
          <w:color w:val="auto"/>
        </w:rPr>
        <w:t>Add additional signature blocks as needed. Include both Fund/Pension Plan and manager making the trade (if applicable).</w:t>
      </w:r>
    </w:p>
    <w:p>
      <w:pPr>
        <w:spacing w:after="0" w:line="200" w:lineRule="exact"/>
        <w:rPr>
          <w:rFonts w:ascii="Arial" w:cs="Arial" w:eastAsia="Arial" w:hAnsi="Arial"/>
          <w:sz w:val="22"/>
          <w:szCs w:val="22"/>
          <w:color w:val="auto"/>
          <w:vertAlign w:val="superscript"/>
        </w:rPr>
      </w:pPr>
    </w:p>
    <w:p>
      <w:pPr>
        <w:spacing w:after="0" w:line="246" w:lineRule="exact"/>
        <w:rPr>
          <w:rFonts w:ascii="Arial" w:cs="Arial" w:eastAsia="Arial" w:hAnsi="Arial"/>
          <w:sz w:val="22"/>
          <w:szCs w:val="22"/>
          <w:color w:val="auto"/>
          <w:vertAlign w:val="superscript"/>
        </w:rPr>
      </w:pPr>
    </w:p>
    <w:p>
      <w:pPr>
        <w:ind w:left="820" w:hanging="167"/>
        <w:spacing w:after="0"/>
        <w:tabs>
          <w:tab w:leader="none" w:pos="820" w:val="left"/>
        </w:tabs>
        <w:numPr>
          <w:ilvl w:val="0"/>
          <w:numId w:val="85"/>
        </w:numPr>
        <w:rPr>
          <w:rFonts w:ascii="Arial" w:cs="Arial" w:eastAsia="Arial" w:hAnsi="Arial"/>
          <w:sz w:val="22"/>
          <w:szCs w:val="22"/>
          <w:color w:val="auto"/>
          <w:vertAlign w:val="superscript"/>
        </w:rPr>
      </w:pPr>
      <w:r>
        <w:rPr>
          <w:rFonts w:ascii="Arial" w:cs="Arial" w:eastAsia="Arial" w:hAnsi="Arial"/>
          <w:sz w:val="16"/>
          <w:szCs w:val="16"/>
          <w:color w:val="auto"/>
        </w:rPr>
        <w:t>To be added only if the consent of the Administrative Agent is required by the terms of the Credit Agreement.</w:t>
      </w:r>
    </w:p>
    <w:p>
      <w:pPr>
        <w:spacing w:after="0" w:line="200" w:lineRule="exact"/>
        <w:rPr>
          <w:rFonts w:ascii="Arial" w:cs="Arial" w:eastAsia="Arial" w:hAnsi="Arial"/>
          <w:sz w:val="22"/>
          <w:szCs w:val="22"/>
          <w:color w:val="auto"/>
          <w:vertAlign w:val="superscript"/>
        </w:rPr>
      </w:pPr>
    </w:p>
    <w:p>
      <w:pPr>
        <w:spacing w:after="0" w:line="246" w:lineRule="exact"/>
        <w:rPr>
          <w:rFonts w:ascii="Arial" w:cs="Arial" w:eastAsia="Arial" w:hAnsi="Arial"/>
          <w:sz w:val="22"/>
          <w:szCs w:val="22"/>
          <w:color w:val="auto"/>
          <w:vertAlign w:val="superscript"/>
        </w:rPr>
      </w:pPr>
    </w:p>
    <w:p>
      <w:pPr>
        <w:ind w:left="820" w:hanging="167"/>
        <w:spacing w:after="0"/>
        <w:tabs>
          <w:tab w:leader="none" w:pos="820" w:val="left"/>
        </w:tabs>
        <w:numPr>
          <w:ilvl w:val="0"/>
          <w:numId w:val="85"/>
        </w:numPr>
        <w:rPr>
          <w:rFonts w:ascii="Arial" w:cs="Arial" w:eastAsia="Arial" w:hAnsi="Arial"/>
          <w:sz w:val="22"/>
          <w:szCs w:val="22"/>
          <w:color w:val="auto"/>
          <w:vertAlign w:val="superscript"/>
        </w:rPr>
      </w:pPr>
      <w:r>
        <w:rPr>
          <w:rFonts w:ascii="Arial" w:cs="Arial" w:eastAsia="Arial" w:hAnsi="Arial"/>
          <w:sz w:val="16"/>
          <w:szCs w:val="16"/>
          <w:color w:val="auto"/>
        </w:rPr>
        <w:t>To be added only if the consent of the Borrower and/or other parties (e.g. Issuing Bank)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561340</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80"/>
          </w:cols>
          <w:pgMar w:left="240" w:top="273" w:right="179" w:bottom="607"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 Five Year Credit Agreement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35" w:lineRule="exact"/>
        <w:rPr>
          <w:sz w:val="20"/>
          <w:szCs w:val="20"/>
          <w:color w:val="auto"/>
        </w:rPr>
      </w:pPr>
    </w:p>
    <w:p>
      <w:pPr>
        <w:ind w:left="1620" w:hanging="627"/>
        <w:spacing w:after="0"/>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50" w:lineRule="exact"/>
        <w:rPr>
          <w:sz w:val="20"/>
          <w:szCs w:val="20"/>
          <w:color w:val="auto"/>
        </w:rPr>
      </w:pPr>
    </w:p>
    <w:p>
      <w:pPr>
        <w:jc w:val="both"/>
        <w:ind w:firstLine="1245"/>
        <w:spacing w:after="0" w:line="28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Assignor[s]</w:t>
      </w:r>
      <w:r>
        <w:rPr>
          <w:rFonts w:ascii="Arial" w:cs="Arial" w:eastAsia="Arial" w:hAnsi="Arial"/>
          <w:sz w:val="16"/>
          <w:szCs w:val="16"/>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w:t>
      </w:r>
    </w:p>
    <w:p>
      <w:pPr>
        <w:spacing w:after="0" w:line="1" w:lineRule="exact"/>
        <w:rPr>
          <w:sz w:val="20"/>
          <w:szCs w:val="20"/>
          <w:color w:val="auto"/>
        </w:rPr>
      </w:pPr>
    </w:p>
    <w:p>
      <w:pPr>
        <w:jc w:val="both"/>
        <w:ind w:firstLine="8"/>
        <w:spacing w:after="0" w:line="254" w:lineRule="auto"/>
        <w:tabs>
          <w:tab w:leader="none" w:pos="32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financial condition of the Borrower, any of its Subsidiaries or Affiliates or any other Person obligated in respect of the Credit Agreement, or (iv) the performance or observance by the Borrower, any of its Subsidiaries or Affiliates or any other Person of any of their respective obligations under the Credit Agreement.</w:t>
      </w:r>
    </w:p>
    <w:p>
      <w:pPr>
        <w:spacing w:after="0" w:line="215" w:lineRule="exact"/>
        <w:rPr>
          <w:sz w:val="20"/>
          <w:szCs w:val="20"/>
          <w:color w:val="auto"/>
        </w:rPr>
      </w:pPr>
    </w:p>
    <w:p>
      <w:pPr>
        <w:jc w:val="both"/>
        <w:ind w:firstLine="1245"/>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Assignee[s]</w:t>
      </w:r>
      <w:r>
        <w:rPr>
          <w:rFonts w:ascii="Arial" w:cs="Arial" w:eastAsia="Arial" w:hAnsi="Arial"/>
          <w:sz w:val="16"/>
          <w:szCs w:val="16"/>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8.07(b)(iii), (v) and (vi) of the Credit Agreement (subject to such consents, if any, as may be required under Section 8.07(b)(iii)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5.01(h)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organized under the laws of a jurisdiction outside of the United States,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pacing w:after="0" w:line="197" w:lineRule="exact"/>
        <w:rPr>
          <w:sz w:val="20"/>
          <w:szCs w:val="20"/>
          <w:color w:val="auto"/>
        </w:rPr>
      </w:pPr>
    </w:p>
    <w:p>
      <w:pPr>
        <w:jc w:val="both"/>
        <w:ind w:firstLine="1163"/>
        <w:spacing w:after="0" w:line="295" w:lineRule="auto"/>
        <w:tabs>
          <w:tab w:leader="none" w:pos="1868"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From and after the Effective Date, the Administrative Agent shall make all payments in respect of [the][each] Assigned Interest (including payments of principal, interest, fees and other amounts) to [the][the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 Notwithstanding the foregoing, the Administrative Agent shall make all payments of interest, fees or other amounts paid or payable in kind from and after the Effective Date to [the][the relevant] Assignee.</w:t>
      </w:r>
    </w:p>
    <w:p>
      <w:pPr>
        <w:spacing w:after="0" w:line="186" w:lineRule="exact"/>
        <w:rPr>
          <w:rFonts w:ascii="Arial" w:cs="Arial" w:eastAsia="Arial" w:hAnsi="Arial"/>
          <w:sz w:val="16"/>
          <w:szCs w:val="16"/>
          <w:color w:val="auto"/>
        </w:rPr>
      </w:pPr>
    </w:p>
    <w:p>
      <w:pPr>
        <w:jc w:val="both"/>
        <w:ind w:firstLine="1118"/>
        <w:spacing w:after="0" w:line="255" w:lineRule="auto"/>
        <w:tabs>
          <w:tab w:leader="none" w:pos="180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401320</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E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[Effective Date]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Lender Parties party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Credit Agreement dated</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of October 5, 2011</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among Manpower Inc.,</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said Lenders and Citibank, N.A.,</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Agent for said Lenders, and</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Citibank, N.A., as Agent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Manpower Inc.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575310</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7"/>
          <w:szCs w:val="17"/>
          <w:color w:val="auto"/>
        </w:rPr>
        <w:t>--</w:t>
      </w:r>
    </w:p>
    <w:sectPr>
      <w:pgSz w:w="11900" w:h="16838" w:orient="portrait"/>
      <w:cols w:equalWidth="0" w:num="1">
        <w:col w:w="9019"/>
      </w:cols>
      <w:pgMar w:left="1440" w:top="2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lowerLetter"/>
      <w:start w:val="1"/>
    </w:lvl>
  </w:abstractNum>
  <w:abstractNum w:abstractNumId="1">
    <w:nsid w:val="7A6D8D3C"/>
    <w:multiLevelType w:val="hybridMultilevel"/>
    <w:lvl w:ilvl="0">
      <w:lvlJc w:val="left"/>
      <w:lvlText w:val="(%1)"/>
      <w:numFmt w:val="lowerRoman"/>
      <w:start w:val="3"/>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1)"/>
      <w:numFmt w:val="lowerLetter"/>
      <w:start w:val="1"/>
    </w:lvl>
  </w:abstractNum>
  <w:abstractNum w:abstractNumId="4">
    <w:nsid w:val="6DE91B18"/>
    <w:multiLevelType w:val="hybridMultilevel"/>
    <w:lvl w:ilvl="0">
      <w:lvlJc w:val="left"/>
      <w:lvlText w:val="(%1)"/>
      <w:numFmt w:val="lowerLetter"/>
      <w:start w:val="3"/>
    </w:lvl>
  </w:abstractNum>
  <w:abstractNum w:abstractNumId="5">
    <w:nsid w:val="38437FDB"/>
    <w:multiLevelType w:val="hybridMultilevel"/>
    <w:lvl w:ilvl="0">
      <w:lvlJc w:val="left"/>
      <w:lvlText w:val="(%1)"/>
      <w:numFmt w:val="lowerLetter"/>
      <w:start w:val="4"/>
    </w:lvl>
  </w:abstractNum>
  <w:abstractNum w:abstractNumId="6">
    <w:nsid w:val="7644A45C"/>
    <w:multiLevelType w:val="hybridMultilevel"/>
    <w:lvl w:ilvl="0">
      <w:lvlJc w:val="left"/>
      <w:lvlText w:val="(%1)"/>
      <w:numFmt w:val="lowerLetter"/>
      <w:start w:val="2"/>
    </w:lvl>
  </w:abstractNum>
  <w:abstractNum w:abstractNumId="7">
    <w:nsid w:val="32FFF902"/>
    <w:multiLevelType w:val="hybridMultilevel"/>
    <w:lvl w:ilvl="0">
      <w:lvlJc w:val="left"/>
      <w:lvlText w:val="%1"/>
      <w:numFmt w:val="lowerLetter"/>
      <w:start w:val="1"/>
    </w:lvl>
    <w:lvl w:ilvl="1">
      <w:lvlJc w:val="left"/>
      <w:lvlText w:val="(%2)"/>
      <w:numFmt w:val="lowerLetter"/>
      <w:start w:val="2"/>
    </w:lvl>
  </w:abstractNum>
  <w:abstractNum w:abstractNumId="8">
    <w:nsid w:val="684A481A"/>
    <w:multiLevelType w:val="hybridMultilevel"/>
    <w:lvl w:ilvl="0">
      <w:lvlJc w:val="left"/>
      <w:lvlText w:val="(%1)"/>
      <w:numFmt w:val="lowerLetter"/>
      <w:start w:val="25"/>
    </w:lvl>
    <w:lvl w:ilvl="1">
      <w:lvlJc w:val="left"/>
      <w:lvlText w:val="%2"/>
      <w:numFmt w:val="lowerLetter"/>
      <w:start w:val="1"/>
    </w:lvl>
  </w:abstractNum>
  <w:abstractNum w:abstractNumId="9">
    <w:nsid w:val="579478FE"/>
    <w:multiLevelType w:val="hybridMultilevel"/>
    <w:lvl w:ilvl="0">
      <w:lvlJc w:val="left"/>
      <w:lvlText w:val="(%1)"/>
      <w:numFmt w:val="lowerLetter"/>
      <w:start w:val="2"/>
    </w:lvl>
  </w:abstractNum>
  <w:abstractNum w:abstractNumId="10">
    <w:nsid w:val="749ABB43"/>
    <w:multiLevelType w:val="hybridMultilevel"/>
    <w:lvl w:ilvl="0">
      <w:lvlJc w:val="left"/>
      <w:lvlText w:val="(%1)"/>
      <w:numFmt w:val="lowerLetter"/>
      <w:start w:val="1"/>
    </w:lvl>
  </w:abstractNum>
  <w:abstractNum w:abstractNumId="11">
    <w:nsid w:val="3DC240FB"/>
    <w:multiLevelType w:val="hybridMultilevel"/>
    <w:lvl w:ilvl="0">
      <w:lvlJc w:val="left"/>
      <w:lvlText w:val="(%1)"/>
      <w:numFmt w:val="lowerLetter"/>
      <w:start w:val="4"/>
    </w:lvl>
  </w:abstractNum>
  <w:abstractNum w:abstractNumId="12">
    <w:nsid w:val="1BA026FA"/>
    <w:multiLevelType w:val="hybridMultilevel"/>
    <w:lvl w:ilvl="0">
      <w:lvlJc w:val="left"/>
      <w:lvlText w:val="(%1)"/>
      <w:numFmt w:val="lowerLetter"/>
      <w:start w:val="2"/>
    </w:lvl>
  </w:abstractNum>
  <w:abstractNum w:abstractNumId="13">
    <w:nsid w:val="79A1DEAA"/>
    <w:multiLevelType w:val="hybridMultilevel"/>
    <w:lvl w:ilvl="0">
      <w:lvlJc w:val="left"/>
      <w:lvlText w:val="(%1)"/>
      <w:numFmt w:val="lowerRoman"/>
      <w:start w:val="2"/>
    </w:lvl>
  </w:abstractNum>
  <w:abstractNum w:abstractNumId="14">
    <w:nsid w:val="75C6C33A"/>
    <w:multiLevelType w:val="hybridMultilevel"/>
    <w:lvl w:ilvl="0">
      <w:lvlJc w:val="left"/>
      <w:lvlText w:val="(%1)"/>
      <w:numFmt w:val="lowerLetter"/>
      <w:start w:val="3"/>
    </w:lvl>
  </w:abstractNum>
  <w:abstractNum w:abstractNumId="15">
    <w:nsid w:val="12E685FB"/>
    <w:multiLevelType w:val="hybridMultilevel"/>
    <w:lvl w:ilvl="0">
      <w:lvlJc w:val="left"/>
      <w:lvlText w:val="(%1)"/>
      <w:numFmt w:val="lowerLetter"/>
      <w:start w:val="2"/>
    </w:lvl>
  </w:abstractNum>
  <w:abstractNum w:abstractNumId="16">
    <w:nsid w:val="70C6A529"/>
    <w:multiLevelType w:val="hybridMultilevel"/>
    <w:lvl w:ilvl="0">
      <w:lvlJc w:val="left"/>
      <w:lvlText w:val="(%1)"/>
      <w:numFmt w:val="lowerRoman"/>
      <w:start w:val="2"/>
    </w:lvl>
  </w:abstractNum>
  <w:abstractNum w:abstractNumId="17">
    <w:nsid w:val="520EEDD1"/>
    <w:multiLevelType w:val="hybridMultilevel"/>
    <w:lvl w:ilvl="0">
      <w:lvlJc w:val="left"/>
      <w:lvlText w:val="(%1)"/>
      <w:numFmt w:val="upperLetter"/>
      <w:start w:val="1"/>
    </w:lvl>
  </w:abstractNum>
  <w:abstractNum w:abstractNumId="18">
    <w:nsid w:val="374A3FE6"/>
    <w:multiLevelType w:val="hybridMultilevel"/>
    <w:lvl w:ilvl="0">
      <w:lvlJc w:val="left"/>
      <w:lvlText w:val="(%1)"/>
      <w:numFmt w:val="lowerRoman"/>
      <w:start w:val="1"/>
    </w:lvl>
  </w:abstractNum>
  <w:abstractNum w:abstractNumId="19">
    <w:nsid w:val="4F4EF005"/>
    <w:multiLevelType w:val="hybridMultilevel"/>
    <w:lvl w:ilvl="0">
      <w:lvlJc w:val="left"/>
      <w:lvlText w:val="(%1)"/>
      <w:numFmt w:val="lowerLetter"/>
      <w:start w:val="2"/>
    </w:lvl>
  </w:abstractNum>
  <w:abstractNum w:abstractNumId="20">
    <w:nsid w:val="23F9C13C"/>
    <w:multiLevelType w:val="hybridMultilevel"/>
    <w:lvl w:ilvl="0">
      <w:lvlJc w:val="left"/>
      <w:lvlText w:val="%1"/>
      <w:numFmt w:val="lowerLetter"/>
      <w:start w:val="1"/>
    </w:lvl>
    <w:lvl w:ilvl="1">
      <w:lvlJc w:val="left"/>
      <w:lvlText w:val="(%2)"/>
      <w:numFmt w:val="lowerLetter"/>
      <w:start w:val="2"/>
    </w:lvl>
  </w:abstractNum>
  <w:abstractNum w:abstractNumId="21">
    <w:nsid w:val="649BB77C"/>
    <w:multiLevelType w:val="hybridMultilevel"/>
    <w:lvl w:ilvl="0">
      <w:lvlJc w:val="left"/>
      <w:lvlText w:val="(%1)"/>
      <w:numFmt w:val="lowerLetter"/>
      <w:start w:val="24"/>
    </w:lvl>
    <w:lvl w:ilvl="1">
      <w:lvlJc w:val="left"/>
      <w:lvlText w:val="%2"/>
      <w:numFmt w:val="lowerLetter"/>
      <w:start w:val="1"/>
    </w:lvl>
  </w:abstractNum>
  <w:abstractNum w:abstractNumId="22">
    <w:nsid w:val="275AC794"/>
    <w:multiLevelType w:val="hybridMultilevel"/>
    <w:lvl w:ilvl="0">
      <w:lvlJc w:val="left"/>
      <w:lvlText w:val="(%1)"/>
      <w:numFmt w:val="lowerLetter"/>
      <w:start w:val="3"/>
    </w:lvl>
  </w:abstractNum>
  <w:abstractNum w:abstractNumId="23">
    <w:nsid w:val="39386575"/>
    <w:multiLevelType w:val="hybridMultilevel"/>
    <w:lvl w:ilvl="0">
      <w:lvlJc w:val="left"/>
      <w:lvlText w:val="(%1)"/>
      <w:numFmt w:val="lowerRoman"/>
      <w:start w:val="1"/>
    </w:lvl>
  </w:abstractNum>
  <w:abstractNum w:abstractNumId="24">
    <w:nsid w:val="1CF10FD8"/>
    <w:multiLevelType w:val="hybridMultilevel"/>
    <w:lvl w:ilvl="0">
      <w:lvlJc w:val="left"/>
      <w:lvlText w:val="(%1)"/>
      <w:numFmt w:val="lowerLetter"/>
      <w:start w:val="2"/>
    </w:lvl>
  </w:abstractNum>
  <w:abstractNum w:abstractNumId="25">
    <w:nsid w:val="180115BE"/>
    <w:multiLevelType w:val="hybridMultilevel"/>
    <w:lvl w:ilvl="0">
      <w:lvlJc w:val="left"/>
      <w:lvlText w:val="(%1)"/>
      <w:numFmt w:val="lowerRoman"/>
      <w:start w:val="2"/>
    </w:lvl>
  </w:abstractNum>
  <w:abstractNum w:abstractNumId="26">
    <w:nsid w:val="235BA861"/>
    <w:multiLevelType w:val="hybridMultilevel"/>
    <w:lvl w:ilvl="0">
      <w:lvlJc w:val="left"/>
      <w:lvlText w:val="(%1)"/>
      <w:numFmt w:val="lowerLetter"/>
      <w:start w:val="2"/>
    </w:lvl>
  </w:abstractNum>
  <w:abstractNum w:abstractNumId="27">
    <w:nsid w:val="47398C89"/>
    <w:multiLevelType w:val="hybridMultilevel"/>
    <w:lvl w:ilvl="0">
      <w:lvlJc w:val="left"/>
      <w:lvlText w:val="(%1)"/>
      <w:numFmt w:val="lowerLetter"/>
      <w:start w:val="2"/>
    </w:lvl>
  </w:abstractNum>
  <w:abstractNum w:abstractNumId="28">
    <w:nsid w:val="354FE9F9"/>
    <w:multiLevelType w:val="hybridMultilevel"/>
    <w:lvl w:ilvl="0">
      <w:lvlJc w:val="left"/>
      <w:lvlText w:val="(%1)"/>
      <w:numFmt w:val="lowerLetter"/>
      <w:start w:val="4"/>
    </w:lvl>
  </w:abstractNum>
  <w:abstractNum w:abstractNumId="29">
    <w:nsid w:val="15B5AF5C"/>
    <w:multiLevelType w:val="hybridMultilevel"/>
    <w:lvl w:ilvl="0">
      <w:lvlJc w:val="left"/>
      <w:lvlText w:val="%1"/>
      <w:numFmt w:val="lowerLetter"/>
      <w:start w:val="1"/>
    </w:lvl>
    <w:lvl w:ilvl="1">
      <w:lvlJc w:val="left"/>
      <w:lvlText w:val="(%2)"/>
      <w:numFmt w:val="lowerLetter"/>
      <w:start w:val="2"/>
    </w:lvl>
  </w:abstractNum>
  <w:abstractNum w:abstractNumId="30">
    <w:nsid w:val="741226BB"/>
    <w:multiLevelType w:val="hybridMultilevel"/>
    <w:lvl w:ilvl="0">
      <w:lvlJc w:val="left"/>
      <w:lvlText w:val="(%1)"/>
      <w:numFmt w:val="lowerLetter"/>
      <w:start w:val="4"/>
    </w:lvl>
    <w:lvl w:ilvl="1">
      <w:lvlJc w:val="left"/>
      <w:lvlText w:val="(%2)"/>
      <w:numFmt w:val="lowerLetter"/>
      <w:start w:val="5"/>
    </w:lvl>
  </w:abstractNum>
  <w:abstractNum w:abstractNumId="31">
    <w:nsid w:val="D34B6A8"/>
    <w:multiLevelType w:val="hybridMultilevel"/>
    <w:lvl w:ilvl="0">
      <w:lvlJc w:val="left"/>
      <w:lvlText w:val="(%1)"/>
      <w:numFmt w:val="lowerRoman"/>
      <w:start w:val="2"/>
    </w:lvl>
  </w:abstractNum>
  <w:abstractNum w:abstractNumId="32">
    <w:nsid w:val="10233C99"/>
    <w:multiLevelType w:val="hybridMultilevel"/>
    <w:lvl w:ilvl="0">
      <w:lvlJc w:val="left"/>
      <w:lvlText w:val="(%1)"/>
      <w:numFmt w:val="lowerLetter"/>
      <w:start w:val="6"/>
    </w:lvl>
  </w:abstractNum>
  <w:abstractNum w:abstractNumId="33">
    <w:nsid w:val="3F6AB60F"/>
    <w:multiLevelType w:val="hybridMultilevel"/>
    <w:lvl w:ilvl="0">
      <w:lvlJc w:val="left"/>
      <w:lvlText w:val="(%1)"/>
      <w:numFmt w:val="lowerRoman"/>
      <w:start w:val="1"/>
    </w:lvl>
  </w:abstractNum>
  <w:abstractNum w:abstractNumId="34">
    <w:nsid w:val="61574095"/>
    <w:multiLevelType w:val="hybridMultilevel"/>
    <w:lvl w:ilvl="0">
      <w:lvlJc w:val="left"/>
      <w:lvlText w:val="(%1)"/>
      <w:numFmt w:val="lowerLetter"/>
      <w:start w:val="2"/>
    </w:lvl>
  </w:abstractNum>
  <w:abstractNum w:abstractNumId="35">
    <w:nsid w:val="7E0C57B1"/>
    <w:multiLevelType w:val="hybridMultilevel"/>
    <w:lvl w:ilvl="0">
      <w:lvlJc w:val="left"/>
      <w:lvlText w:val="(%1)"/>
      <w:numFmt w:val="lowerLetter"/>
      <w:start w:val="2"/>
    </w:lvl>
  </w:abstractNum>
  <w:abstractNum w:abstractNumId="36">
    <w:nsid w:val="77AE35EB"/>
    <w:multiLevelType w:val="hybridMultilevel"/>
    <w:lvl w:ilvl="0">
      <w:lvlJc w:val="left"/>
      <w:lvlText w:val="(%1)"/>
      <w:numFmt w:val="lowerRoman"/>
      <w:start w:val="1"/>
    </w:lvl>
  </w:abstractNum>
  <w:abstractNum w:abstractNumId="37">
    <w:nsid w:val="579BE4F1"/>
    <w:multiLevelType w:val="hybridMultilevel"/>
    <w:lvl w:ilvl="0">
      <w:lvlJc w:val="left"/>
      <w:lvlText w:val="(%1)"/>
      <w:numFmt w:val="lowerRoman"/>
      <w:start w:val="1"/>
    </w:lvl>
  </w:abstractNum>
  <w:abstractNum w:abstractNumId="38">
    <w:nsid w:val="310C50B3"/>
    <w:multiLevelType w:val="hybridMultilevel"/>
    <w:lvl w:ilvl="0">
      <w:lvlJc w:val="left"/>
      <w:lvlText w:val="(%1)"/>
      <w:numFmt w:val="lowerLetter"/>
      <w:start w:val="2"/>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1)"/>
      <w:numFmt w:val="lowerLetter"/>
      <w:start w:val="7"/>
    </w:lvl>
    <w:lvl w:ilvl="1">
      <w:lvlJc w:val="left"/>
      <w:lvlText w:val="(%2)"/>
      <w:numFmt w:val="lowerRoman"/>
      <w:start w:val="1"/>
    </w:lvl>
  </w:abstractNum>
  <w:abstractNum w:abstractNumId="42">
    <w:nsid w:val="1DBABF00"/>
    <w:multiLevelType w:val="hybridMultilevel"/>
    <w:lvl w:ilvl="0">
      <w:lvlJc w:val="left"/>
      <w:lvlText w:val="(%1)"/>
      <w:numFmt w:val="lowerRoman"/>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3"/>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4"/>
    </w:lvl>
    <w:lvl w:ilvl="1">
      <w:lvlJc w:val="left"/>
      <w:lvlText w:val="(%2)"/>
      <w:numFmt w:val="lowerRoman"/>
      <w:start w:val="1"/>
    </w:lvl>
  </w:abstractNum>
  <w:abstractNum w:abstractNumId="47">
    <w:nsid w:val="100F8FCA"/>
    <w:multiLevelType w:val="hybridMultilevel"/>
    <w:lvl w:ilvl="0">
      <w:lvlJc w:val="left"/>
      <w:lvlText w:val="(%1)"/>
      <w:numFmt w:val="lowerLetter"/>
      <w:start w:val="1"/>
    </w:lvl>
    <w:lvl w:ilvl="1">
      <w:lvlJc w:val="left"/>
      <w:lvlText w:val="(%2)"/>
      <w:numFmt w:val="lowerLetter"/>
      <w:start w:val="9"/>
    </w:lvl>
  </w:abstractNum>
  <w:abstractNum w:abstractNumId="48">
    <w:nsid w:val="6590700B"/>
    <w:multiLevelType w:val="hybridMultilevel"/>
    <w:lvl w:ilvl="0">
      <w:lvlJc w:val="left"/>
      <w:lvlText w:val="%1"/>
      <w:numFmt w:val="lowerLetter"/>
      <w:start w:val="1"/>
    </w:lvl>
    <w:lvl w:ilvl="1">
      <w:lvlJc w:val="left"/>
      <w:lvlText w:val="(%2)"/>
      <w:numFmt w:val="lowerRoman"/>
      <w:start w:val="2"/>
    </w:lvl>
  </w:abstractNum>
  <w:abstractNum w:abstractNumId="49">
    <w:nsid w:val="15014ACB"/>
    <w:multiLevelType w:val="hybridMultilevel"/>
    <w:lvl w:ilvl="0">
      <w:lvlJc w:val="left"/>
      <w:lvlText w:val="(%1)"/>
      <w:numFmt w:val="lowerLetter"/>
      <w:start w:val="2"/>
    </w:lvl>
    <w:lvl w:ilvl="1">
      <w:lvlJc w:val="left"/>
      <w:lvlText w:val="(%2)"/>
      <w:numFmt w:val="lowerRoman"/>
      <w:start w:val="1"/>
    </w:lvl>
  </w:abstractNum>
  <w:abstractNum w:abstractNumId="50">
    <w:nsid w:val="5F5E7FD0"/>
    <w:multiLevelType w:val="hybridMultilevel"/>
    <w:lvl w:ilvl="0">
      <w:lvlJc w:val="left"/>
      <w:lvlText w:val="(%1)"/>
      <w:numFmt w:val="lowerRoman"/>
      <w:start w:val="2"/>
    </w:lvl>
  </w:abstractNum>
  <w:abstractNum w:abstractNumId="51">
    <w:nsid w:val="98A3148"/>
    <w:multiLevelType w:val="hybridMultilevel"/>
    <w:lvl w:ilvl="0">
      <w:lvlJc w:val="left"/>
      <w:lvlText w:val="(%1)"/>
      <w:numFmt w:val="lowerLetter"/>
      <w:start w:val="7"/>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lowerLetter"/>
      <w:start w:val="1"/>
    </w:lvl>
    <w:lvl w:ilvl="1">
      <w:lvlJc w:val="left"/>
      <w:lvlText w:val="(%2)"/>
      <w:numFmt w:val="lowerLetter"/>
      <w:start w:val="8"/>
    </w:lvl>
  </w:abstractNum>
  <w:abstractNum w:abstractNumId="55">
    <w:nsid w:val="168E121F"/>
    <w:multiLevelType w:val="hybridMultilevel"/>
    <w:lvl w:ilvl="0">
      <w:lvlJc w:val="left"/>
      <w:lvlText w:val="(%1)"/>
      <w:numFmt w:val="lowerLetter"/>
      <w:start w:val="35"/>
    </w:lvl>
    <w:lvl w:ilvl="1">
      <w:lvlJc w:val="left"/>
      <w:lvlText w:val="(%2)"/>
      <w:numFmt w:val="lowerLetter"/>
      <w:start w:val="9"/>
    </w:lvl>
  </w:abstractNum>
  <w:abstractNum w:abstractNumId="56">
    <w:nsid w:val="1EBA5D23"/>
    <w:multiLevelType w:val="hybridMultilevel"/>
    <w:lvl w:ilvl="0">
      <w:lvlJc w:val="left"/>
      <w:lvlText w:val="(%1)"/>
      <w:numFmt w:val="lowerRoman"/>
      <w:start w:val="1"/>
    </w:lvl>
  </w:abstractNum>
  <w:abstractNum w:abstractNumId="57">
    <w:nsid w:val="661E3F1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58">
    <w:nsid w:val="5DC79EA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59">
    <w:nsid w:val="540A471C"/>
    <w:multiLevelType w:val="hybridMultilevel"/>
    <w:lvl w:ilvl="0">
      <w:lvlJc w:val="left"/>
      <w:lvlText w:val="(%1)"/>
      <w:numFmt w:val="lowerLetter"/>
      <w:start w:val="22"/>
    </w:lvl>
    <w:lvl w:ilvl="1">
      <w:lvlJc w:val="left"/>
      <w:lvlText w:val="%2"/>
      <w:numFmt w:val="lowerLetter"/>
      <w:start w:val="1"/>
    </w:lvl>
    <w:lvl w:ilvl="2">
      <w:lvlJc w:val="left"/>
      <w:lvlText w:val="%3"/>
      <w:numFmt w:val="lowerLetter"/>
      <w:start w:val="1"/>
    </w:lvl>
  </w:abstractNum>
  <w:abstractNum w:abstractNumId="60">
    <w:nsid w:val="7BD3EE7B"/>
    <w:multiLevelType w:val="hybridMultilevel"/>
    <w:lvl w:ilvl="0">
      <w:lvlJc w:val="left"/>
      <w:lvlText w:val="(%1)"/>
      <w:numFmt w:val="lowerLetter"/>
      <w:start w:val="2"/>
    </w:lvl>
  </w:abstractNum>
  <w:abstractNum w:abstractNumId="61">
    <w:nsid w:val="51D9C564"/>
    <w:multiLevelType w:val="hybridMultilevel"/>
    <w:lvl w:ilvl="0">
      <w:lvlJc w:val="left"/>
      <w:lvlText w:val="(%1)"/>
      <w:numFmt w:val="lowerLetter"/>
      <w:start w:val="2"/>
    </w:lvl>
  </w:abstractNum>
  <w:abstractNum w:abstractNumId="62">
    <w:nsid w:val="613EFDC5"/>
    <w:multiLevelType w:val="hybridMultilevel"/>
    <w:lvl w:ilvl="0">
      <w:lvlJc w:val="left"/>
      <w:lvlText w:val="(%1)"/>
      <w:numFmt w:val="lowerRoman"/>
      <w:start w:val="1"/>
    </w:lvl>
  </w:abstractNum>
  <w:abstractNum w:abstractNumId="63">
    <w:nsid w:val="BF72B14"/>
    <w:multiLevelType w:val="hybridMultilevel"/>
    <w:lvl w:ilvl="0">
      <w:lvlJc w:val="left"/>
      <w:lvlText w:val="(%1)"/>
      <w:numFmt w:val="lowerLetter"/>
      <w:start w:val="2"/>
    </w:lvl>
  </w:abstractNum>
  <w:abstractNum w:abstractNumId="64">
    <w:nsid w:val="11447B73"/>
    <w:multiLevelType w:val="hybridMultilevel"/>
    <w:lvl w:ilvl="0">
      <w:lvlJc w:val="left"/>
      <w:lvlText w:val="(%1)"/>
      <w:numFmt w:val="lowerLetter"/>
      <w:start w:val="3"/>
    </w:lvl>
    <w:lvl w:ilvl="1">
      <w:lvlJc w:val="left"/>
      <w:lvlText w:val="(%2)"/>
      <w:numFmt w:val="lowerRoman"/>
      <w:start w:val="1"/>
    </w:lvl>
  </w:abstractNum>
  <w:abstractNum w:abstractNumId="65">
    <w:nsid w:val="42963E5A"/>
    <w:multiLevelType w:val="hybridMultilevel"/>
    <w:lvl w:ilvl="0">
      <w:lvlJc w:val="left"/>
      <w:lvlText w:val="(%1)"/>
      <w:numFmt w:val="lowerLetter"/>
      <w:start w:val="2"/>
    </w:lvl>
  </w:abstractNum>
  <w:abstractNum w:abstractNumId="66">
    <w:nsid w:val="A0382C5"/>
    <w:multiLevelType w:val="hybridMultilevel"/>
    <w:lvl w:ilvl="0">
      <w:lvlJc w:val="left"/>
      <w:lvlText w:val="(%1)"/>
      <w:numFmt w:val="lowerLetter"/>
      <w:start w:val="4"/>
    </w:lvl>
  </w:abstractNum>
  <w:abstractNum w:abstractNumId="67">
    <w:nsid w:val="8F2B15E"/>
    <w:multiLevelType w:val="hybridMultilevel"/>
    <w:lvl w:ilvl="0">
      <w:lvlJc w:val="left"/>
      <w:lvlText w:val="(%1)"/>
      <w:numFmt w:val="lowerLetter"/>
      <w:start w:val="2"/>
    </w:lvl>
  </w:abstractNum>
  <w:abstractNum w:abstractNumId="68">
    <w:nsid w:val="1A32234B"/>
    <w:multiLevelType w:val="hybridMultilevel"/>
    <w:lvl w:ilvl="0">
      <w:lvlJc w:val="left"/>
      <w:lvlText w:val="(%1)"/>
      <w:numFmt w:val="lowerRoman"/>
      <w:start w:val="1"/>
    </w:lvl>
    <w:lvl w:ilvl="1">
      <w:lvlJc w:val="left"/>
      <w:lvlText w:val="(%2)"/>
      <w:numFmt w:val="upperLetter"/>
      <w:start w:val="1"/>
    </w:lvl>
  </w:abstractNum>
  <w:abstractNum w:abstractNumId="69">
    <w:nsid w:val="3B0FD379"/>
    <w:multiLevelType w:val="hybridMultilevel"/>
    <w:lvl w:ilvl="0">
      <w:lvlJc w:val="left"/>
      <w:lvlText w:val="(%1)"/>
      <w:numFmt w:val="lowerRoman"/>
      <w:start w:val="4"/>
    </w:lvl>
  </w:abstractNum>
  <w:abstractNum w:abstractNumId="70">
    <w:nsid w:val="68EB2F63"/>
    <w:multiLevelType w:val="hybridMultilevel"/>
    <w:lvl w:ilvl="0">
      <w:lvlJc w:val="left"/>
      <w:lvlText w:val="(%1)"/>
      <w:numFmt w:val="lowerLetter"/>
      <w:start w:val="3"/>
    </w:lvl>
  </w:abstractNum>
  <w:abstractNum w:abstractNumId="71">
    <w:nsid w:val="4962813B"/>
    <w:multiLevelType w:val="hybridMultilevel"/>
    <w:lvl w:ilvl="0">
      <w:lvlJc w:val="left"/>
      <w:lvlText w:val="(%1)"/>
      <w:numFmt w:val="lowerLetter"/>
      <w:start w:val="1"/>
    </w:lvl>
    <w:lvl w:ilvl="1">
      <w:lvlJc w:val="left"/>
      <w:lvlText w:val="(%2)"/>
      <w:numFmt w:val="lowerLetter"/>
      <w:start w:val="5"/>
    </w:lvl>
  </w:abstractNum>
  <w:abstractNum w:abstractNumId="72">
    <w:nsid w:val="60B6DF70"/>
    <w:multiLevelType w:val="hybridMultilevel"/>
    <w:lvl w:ilvl="0">
      <w:lvlJc w:val="left"/>
      <w:lvlText w:val="(%1)"/>
      <w:numFmt w:val="lowerLetter"/>
      <w:start w:val="10"/>
    </w:lvl>
  </w:abstractNum>
  <w:abstractNum w:abstractNumId="73">
    <w:nsid w:val="6A5EE64"/>
    <w:multiLevelType w:val="hybridMultilevel"/>
    <w:lvl w:ilvl="0">
      <w:lvlJc w:val="left"/>
      <w:lvlText w:val="(%1)"/>
      <w:numFmt w:val="lowerLetter"/>
      <w:start w:val="11"/>
    </w:lvl>
  </w:abstractNum>
  <w:abstractNum w:abstractNumId="74">
    <w:nsid w:val="14330624"/>
    <w:multiLevelType w:val="hybridMultilevel"/>
    <w:lvl w:ilvl="0">
      <w:lvlJc w:val="left"/>
      <w:lvlText w:val="(%1)"/>
      <w:numFmt w:val="lowerLetter"/>
      <w:start w:val="2"/>
    </w:lvl>
  </w:abstractNum>
  <w:abstractNum w:abstractNumId="75">
    <w:nsid w:val="7FFFCA11"/>
    <w:multiLevelType w:val="hybridMultilevel"/>
    <w:lvl w:ilvl="0">
      <w:lvlJc w:val="left"/>
      <w:lvlText w:val="(%1)"/>
      <w:numFmt w:val="lowerLetter"/>
      <w:start w:val="2"/>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1)"/>
      <w:numFmt w:val="lowerRoman"/>
      <w:start w:val="1"/>
    </w:lvl>
  </w:abstractNum>
  <w:abstractNum w:abstractNumId="78">
    <w:nsid w:val="100F59DC"/>
    <w:multiLevelType w:val="hybridMultilevel"/>
    <w:lvl w:ilvl="0">
      <w:lvlJc w:val="left"/>
      <w:lvlText w:val="-"/>
      <w:numFmt w:val="bullet"/>
      <w:start w:val="1"/>
    </w:lvl>
    <w:lvl w:ilvl="1">
      <w:lvlJc w:val="left"/>
      <w:lvlText w:val="(%2)"/>
      <w:numFmt w:val="upperLetter"/>
      <w:start w:val="1"/>
    </w:lvl>
  </w:abstractNum>
  <w:abstractNum w:abstractNumId="79">
    <w:nsid w:val="7FB7E0AA"/>
    <w:multiLevelType w:val="hybridMultilevel"/>
    <w:lvl w:ilvl="0">
      <w:lvlJc w:val="left"/>
      <w:lvlText w:val="(%1)"/>
      <w:numFmt w:val="upperLetter"/>
      <w:start w:val="2"/>
    </w:lvl>
  </w:abstractNum>
  <w:abstractNum w:abstractNumId="80">
    <w:nsid w:val="6EB5BD4"/>
    <w:multiLevelType w:val="hybridMultilevel"/>
    <w:lvl w:ilvl="0">
      <w:lvlJc w:val="left"/>
      <w:lvlText w:val="%1"/>
      <w:numFmt w:val="decimal"/>
      <w:start w:val="11"/>
    </w:lvl>
  </w:abstractNum>
  <w:abstractNum w:abstractNumId="81">
    <w:nsid w:val="6F6DD9AC"/>
    <w:multiLevelType w:val="hybridMultilevel"/>
    <w:lvl w:ilvl="0">
      <w:lvlJc w:val="left"/>
      <w:lvlText w:val="%1"/>
      <w:numFmt w:val="decimal"/>
      <w:start w:val="13"/>
    </w:lvl>
  </w:abstractNum>
  <w:abstractNum w:abstractNumId="82">
    <w:nsid w:val="94211F2"/>
    <w:multiLevelType w:val="hybridMultilevel"/>
    <w:lvl w:ilvl="0">
      <w:lvlJc w:val="left"/>
      <w:lvlText w:val="%1"/>
      <w:numFmt w:val="decimal"/>
      <w:start w:val="15"/>
    </w:lvl>
  </w:abstractNum>
  <w:abstractNum w:abstractNumId="83">
    <w:nsid w:val="885E1B"/>
    <w:multiLevelType w:val="hybridMultilevel"/>
    <w:lvl w:ilvl="0">
      <w:lvlJc w:val="left"/>
      <w:lvlText w:val="%1"/>
      <w:numFmt w:val="decimal"/>
      <w:start w:val="20"/>
    </w:lvl>
  </w:abstractNum>
  <w:abstractNum w:abstractNumId="84">
    <w:nsid w:val="76272110"/>
    <w:multiLevelType w:val="hybridMultilevel"/>
    <w:lvl w:ilvl="0">
      <w:lvlJc w:val="left"/>
      <w:lvlText w:val="%1"/>
      <w:numFmt w:val="decimal"/>
      <w:start w:val="2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lowerRoman"/>
      <w:start w:val="3"/>
    </w:lvl>
  </w:abstractNum>
  <w:abstractNum w:abstractNumId="87">
    <w:nsid w:val="14E17E33"/>
    <w:multiLevelType w:val="hybridMultilevel"/>
    <w:lvl w:ilvl="0">
      <w:lvlJc w:val="left"/>
      <w:lvlText w:val="%1"/>
      <w:numFmt w:val="decimal"/>
      <w:start w:val="1"/>
    </w:lvl>
    <w:lvl w:ilvl="1">
      <w:lvlJc w:val="left"/>
      <w:lvlText w:val="%2."/>
      <w:numFmt w:val="decimal"/>
      <w:start w:val="2"/>
    </w:lvl>
  </w:abstractNum>
  <w:abstractNum w:abstractNumId="88">
    <w:nsid w:val="3222E7CD"/>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2019-12-10T09:31:36Z</dcterms:created>
  <dcterms:modified xsi:type="dcterms:W3CDTF">2019-12-10T09:31:36Z</dcterms:modified>
</cp:coreProperties>
</file>