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July 19, 2013</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MANPOWERGROUP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87"/>
              </w:rPr>
              <w:t>Wisconsin</w:t>
            </w:r>
          </w:p>
        </w:tc>
        <w:tc>
          <w:tcPr>
            <w:tcW w:w="2920" w:type="dxa"/>
            <w:vAlign w:val="bottom"/>
            <w:tcBorders>
              <w:bottom w:val="single" w:sz="8" w:color="auto"/>
            </w:tcBorders>
          </w:tcPr>
          <w:p>
            <w:pPr>
              <w:jc w:val="right"/>
              <w:ind w:right="1220"/>
              <w:spacing w:after="0"/>
              <w:rPr>
                <w:sz w:val="20"/>
                <w:szCs w:val="20"/>
                <w:color w:val="auto"/>
              </w:rPr>
            </w:pPr>
            <w:r>
              <w:rPr>
                <w:rFonts w:ascii="Arial" w:cs="Arial" w:eastAsia="Arial" w:hAnsi="Arial"/>
                <w:sz w:val="16"/>
                <w:szCs w:val="16"/>
                <w:b w:val="1"/>
                <w:bCs w:val="1"/>
                <w:color w:val="auto"/>
              </w:rPr>
              <w:t>1-10686</w:t>
            </w:r>
          </w:p>
        </w:tc>
        <w:tc>
          <w:tcPr>
            <w:tcW w:w="3700" w:type="dxa"/>
            <w:vAlign w:val="bottom"/>
            <w:tcBorders>
              <w:bottom w:val="single" w:sz="8" w:color="auto"/>
            </w:tcBorders>
          </w:tcPr>
          <w:p>
            <w:pPr>
              <w:jc w:val="right"/>
              <w:ind w:right="1400"/>
              <w:spacing w:after="0"/>
              <w:rPr>
                <w:sz w:val="20"/>
                <w:szCs w:val="20"/>
                <w:color w:val="auto"/>
              </w:rPr>
            </w:pPr>
            <w:r>
              <w:rPr>
                <w:rFonts w:ascii="Arial" w:cs="Arial" w:eastAsia="Arial" w:hAnsi="Arial"/>
                <w:sz w:val="16"/>
                <w:szCs w:val="16"/>
                <w:b w:val="1"/>
                <w:bCs w:val="1"/>
                <w:color w:val="auto"/>
              </w:rPr>
              <w:t>39-1672779</w:t>
            </w:r>
          </w:p>
        </w:tc>
      </w:tr>
      <w:tr>
        <w:trPr>
          <w:trHeight w:val="209"/>
        </w:trPr>
        <w:tc>
          <w:tcPr>
            <w:tcW w:w="4820" w:type="dxa"/>
            <w:vAlign w:val="bottom"/>
          </w:tcPr>
          <w:p>
            <w:pPr>
              <w:jc w:val="center"/>
              <w:ind w:right="120"/>
              <w:spacing w:after="0"/>
              <w:rPr>
                <w:sz w:val="20"/>
                <w:szCs w:val="20"/>
                <w:color w:val="auto"/>
              </w:rPr>
            </w:pPr>
            <w:r>
              <w:rPr>
                <w:rFonts w:ascii="Arial" w:cs="Arial" w:eastAsia="Arial" w:hAnsi="Arial"/>
                <w:sz w:val="16"/>
                <w:szCs w:val="16"/>
                <w:b w:val="1"/>
                <w:bCs w:val="1"/>
                <w:color w:val="auto"/>
                <w:w w:val="90"/>
              </w:rPr>
              <w:t>(State or other jurisdiction of incorporation)</w:t>
            </w:r>
          </w:p>
        </w:tc>
        <w:tc>
          <w:tcPr>
            <w:tcW w:w="2920" w:type="dxa"/>
            <w:vAlign w:val="bottom"/>
          </w:tcPr>
          <w:p>
            <w:pPr>
              <w:jc w:val="center"/>
              <w:ind w:right="140"/>
              <w:spacing w:after="0"/>
              <w:rPr>
                <w:sz w:val="20"/>
                <w:szCs w:val="20"/>
                <w:color w:val="auto"/>
              </w:rPr>
            </w:pPr>
            <w:r>
              <w:rPr>
                <w:rFonts w:ascii="Arial" w:cs="Arial" w:eastAsia="Arial" w:hAnsi="Arial"/>
                <w:sz w:val="16"/>
                <w:szCs w:val="16"/>
                <w:b w:val="1"/>
                <w:bCs w:val="1"/>
                <w:color w:val="auto"/>
                <w:w w:val="91"/>
              </w:rPr>
              <w:t>(Commission File Number)</w:t>
            </w:r>
          </w:p>
        </w:tc>
        <w:tc>
          <w:tcPr>
            <w:tcW w:w="3700" w:type="dxa"/>
            <w:vAlign w:val="bottom"/>
          </w:tcPr>
          <w:p>
            <w:pPr>
              <w:ind w:left="660"/>
              <w:spacing w:after="0"/>
              <w:rPr>
                <w:sz w:val="20"/>
                <w:szCs w:val="20"/>
                <w:color w:val="auto"/>
              </w:rPr>
            </w:pPr>
            <w:r>
              <w:rPr>
                <w:rFonts w:ascii="Arial" w:cs="Arial" w:eastAsia="Arial" w:hAnsi="Arial"/>
                <w:sz w:val="16"/>
                <w:szCs w:val="16"/>
                <w:b w:val="1"/>
                <w:bCs w:val="1"/>
                <w:color w:val="auto"/>
              </w:rPr>
              <w:t>(IRS Employer Identification No.)</w:t>
            </w:r>
          </w:p>
        </w:tc>
      </w:tr>
      <w:tr>
        <w:trPr>
          <w:trHeight w:val="592"/>
        </w:trPr>
        <w:tc>
          <w:tcPr>
            <w:tcW w:w="4820" w:type="dxa"/>
            <w:vAlign w:val="bottom"/>
          </w:tcPr>
          <w:p>
            <w:pPr>
              <w:jc w:val="center"/>
              <w:ind w:left="1220"/>
              <w:spacing w:after="0"/>
              <w:rPr>
                <w:sz w:val="20"/>
                <w:szCs w:val="20"/>
                <w:color w:val="auto"/>
              </w:rPr>
            </w:pPr>
            <w:r>
              <w:rPr>
                <w:rFonts w:ascii="Arial" w:cs="Arial" w:eastAsia="Arial" w:hAnsi="Arial"/>
                <w:sz w:val="16"/>
                <w:szCs w:val="16"/>
                <w:b w:val="1"/>
                <w:bCs w:val="1"/>
                <w:color w:val="auto"/>
                <w:w w:val="91"/>
              </w:rPr>
              <w:t>100 Manpower Place</w:t>
            </w:r>
          </w:p>
        </w:tc>
        <w:tc>
          <w:tcPr>
            <w:tcW w:w="29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13"/>
        </w:trPr>
        <w:tc>
          <w:tcPr>
            <w:tcW w:w="4820" w:type="dxa"/>
            <w:vAlign w:val="bottom"/>
            <w:tcBorders>
              <w:bottom w:val="single" w:sz="8" w:color="auto"/>
            </w:tcBorders>
          </w:tcPr>
          <w:p>
            <w:pPr>
              <w:jc w:val="center"/>
              <w:ind w:left="1240"/>
              <w:spacing w:after="0"/>
              <w:rPr>
                <w:sz w:val="20"/>
                <w:szCs w:val="20"/>
                <w:color w:val="auto"/>
              </w:rPr>
            </w:pPr>
            <w:r>
              <w:rPr>
                <w:rFonts w:ascii="Arial" w:cs="Arial" w:eastAsia="Arial" w:hAnsi="Arial"/>
                <w:sz w:val="16"/>
                <w:szCs w:val="16"/>
                <w:b w:val="1"/>
                <w:bCs w:val="1"/>
                <w:color w:val="auto"/>
                <w:w w:val="91"/>
              </w:rPr>
              <w:t>Milwaukee, Wisconsin</w:t>
            </w:r>
          </w:p>
        </w:tc>
        <w:tc>
          <w:tcPr>
            <w:tcW w:w="2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right"/>
              <w:ind w:right="2380"/>
              <w:spacing w:after="0"/>
              <w:rPr>
                <w:sz w:val="20"/>
                <w:szCs w:val="20"/>
                <w:color w:val="auto"/>
              </w:rPr>
            </w:pPr>
            <w:r>
              <w:rPr>
                <w:rFonts w:ascii="Arial" w:cs="Arial" w:eastAsia="Arial" w:hAnsi="Arial"/>
                <w:sz w:val="16"/>
                <w:szCs w:val="16"/>
                <w:b w:val="1"/>
                <w:bCs w:val="1"/>
                <w:color w:val="auto"/>
              </w:rPr>
              <w:t>53212</w:t>
            </w:r>
          </w:p>
        </w:tc>
      </w:tr>
      <w:tr>
        <w:trPr>
          <w:trHeight w:val="209"/>
        </w:trPr>
        <w:tc>
          <w:tcPr>
            <w:tcW w:w="4820" w:type="dxa"/>
            <w:vAlign w:val="bottom"/>
          </w:tcPr>
          <w:p>
            <w:pPr>
              <w:jc w:val="center"/>
              <w:ind w:left="1220"/>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2920" w:type="dxa"/>
            <w:vAlign w:val="bottom"/>
          </w:tcPr>
          <w:p>
            <w:pPr>
              <w:spacing w:after="0"/>
              <w:rPr>
                <w:sz w:val="18"/>
                <w:szCs w:val="18"/>
                <w:color w:val="auto"/>
              </w:rPr>
            </w:pPr>
          </w:p>
        </w:tc>
        <w:tc>
          <w:tcPr>
            <w:tcW w:w="3700" w:type="dxa"/>
            <w:vAlign w:val="bottom"/>
          </w:tcPr>
          <w:p>
            <w:pPr>
              <w:ind w:left="680"/>
              <w:spacing w:after="0"/>
              <w:rPr>
                <w:sz w:val="20"/>
                <w:szCs w:val="20"/>
                <w:color w:val="auto"/>
              </w:rPr>
            </w:pPr>
            <w:r>
              <w:rPr>
                <w:rFonts w:ascii="Arial" w:cs="Arial" w:eastAsia="Arial" w:hAnsi="Arial"/>
                <w:sz w:val="16"/>
                <w:szCs w:val="16"/>
                <w:b w:val="1"/>
                <w:bCs w:val="1"/>
                <w:color w:val="auto"/>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2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420"/>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Soliciting material pursuant to Rule 14a-12 under the Securities Act (17 CFR 240.14a-12)</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514350</wp:posOffset>
            </wp:positionV>
            <wp:extent cx="726694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99"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8" w:lineRule="exact"/>
        <w:rPr>
          <w:sz w:val="20"/>
          <w:szCs w:val="20"/>
          <w:color w:val="auto"/>
        </w:rPr>
      </w:pPr>
    </w:p>
    <w:p>
      <w:pPr>
        <w:ind w:right="300" w:firstLine="577"/>
        <w:spacing w:after="0" w:line="277" w:lineRule="auto"/>
        <w:rPr>
          <w:sz w:val="20"/>
          <w:szCs w:val="20"/>
          <w:color w:val="auto"/>
        </w:rPr>
      </w:pPr>
      <w:r>
        <w:rPr>
          <w:rFonts w:ascii="Arial" w:cs="Arial" w:eastAsia="Arial" w:hAnsi="Arial"/>
          <w:sz w:val="16"/>
          <w:szCs w:val="16"/>
          <w:color w:val="auto"/>
        </w:rPr>
        <w:t>On July 19, 2013, we issued a press release announcing our results of operations for the three month and six month periods ended June 30, 2013. A copy of the press release is attached hereto as Exhibit 99.1 and is incorporated herein by reference.</w:t>
      </w:r>
    </w:p>
    <w:p>
      <w:pPr>
        <w:spacing w:after="0" w:line="176" w:lineRule="exact"/>
        <w:rPr>
          <w:sz w:val="20"/>
          <w:szCs w:val="20"/>
          <w:color w:val="auto"/>
        </w:rPr>
      </w:pPr>
    </w:p>
    <w:p>
      <w:pPr>
        <w:ind w:right="20" w:firstLine="577"/>
        <w:spacing w:after="0" w:line="255" w:lineRule="auto"/>
        <w:rPr>
          <w:sz w:val="20"/>
          <w:szCs w:val="20"/>
          <w:color w:val="auto"/>
        </w:rPr>
      </w:pPr>
      <w:r>
        <w:rPr>
          <w:rFonts w:ascii="Arial" w:cs="Arial" w:eastAsia="Arial" w:hAnsi="Arial"/>
          <w:sz w:val="16"/>
          <w:szCs w:val="16"/>
          <w:color w:val="auto"/>
        </w:rPr>
        <w:t>On a consolidated basis, the French business tax is reported in provision for income taxes, in accordance with the current accounting guidance on income taxes. Prior to the second quarter of 2013, we internally reviewed the financial results of our French operations including the French business tax within Operating Unit Profit (“OUP”) given the operational nature of these taxes. While we continue to view this tax as operational, during the second quarter of 2013 we changed our internal reporting to exclude the French business tax from the OUP of our France reportable segment. Therefore our France reportable segment OUP now excludes the business tax and we no longer need to show the business tax amount separately to reconcile to the consolidated results. All previously reported segment results have been restated to conform to the current year presentation. This change in segment reporting has no impact on our reporting of consolidated results. Attached hereto as Exhibit 99.3 is our Operating Unit Results since January 1, 2010, revised to conform to the current year presentation.</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60" w:type="dxa"/>
            <w:vAlign w:val="bottom"/>
          </w:tcPr>
          <w:p>
            <w:pPr>
              <w:spacing w:after="0"/>
              <w:rPr>
                <w:sz w:val="20"/>
                <w:szCs w:val="20"/>
                <w:color w:val="auto"/>
              </w:rPr>
            </w:pPr>
            <w:r>
              <w:rPr>
                <w:rFonts w:ascii="Arial" w:cs="Arial" w:eastAsia="Arial" w:hAnsi="Arial"/>
                <w:sz w:val="16"/>
                <w:szCs w:val="16"/>
                <w:b w:val="1"/>
                <w:bCs w:val="1"/>
                <w:color w:val="auto"/>
              </w:rPr>
              <w:t>Item 9.01.</w:t>
            </w:r>
          </w:p>
        </w:tc>
        <w:tc>
          <w:tcPr>
            <w:tcW w:w="10280" w:type="dxa"/>
            <w:vAlign w:val="bottom"/>
          </w:tcPr>
          <w:p>
            <w:pPr>
              <w:ind w:left="400"/>
              <w:spacing w:after="0"/>
              <w:rPr>
                <w:sz w:val="20"/>
                <w:szCs w:val="20"/>
                <w:color w:val="auto"/>
              </w:rPr>
            </w:pPr>
            <w:r>
              <w:rPr>
                <w:rFonts w:ascii="Arial" w:cs="Arial" w:eastAsia="Arial" w:hAnsi="Arial"/>
                <w:sz w:val="16"/>
                <w:szCs w:val="16"/>
                <w:b w:val="1"/>
                <w:bCs w:val="1"/>
                <w:color w:val="auto"/>
              </w:rPr>
              <w:t>Exhibits</w:t>
            </w:r>
            <w:r>
              <w:rPr>
                <w:rFonts w:ascii="Arial" w:cs="Arial" w:eastAsia="Arial" w:hAnsi="Arial"/>
                <w:sz w:val="16"/>
                <w:szCs w:val="16"/>
                <w:color w:val="auto"/>
              </w:rPr>
              <w:t>.</w:t>
            </w:r>
          </w:p>
        </w:tc>
      </w:tr>
      <w:tr>
        <w:trPr>
          <w:trHeight w:val="412"/>
        </w:trPr>
        <w:tc>
          <w:tcPr>
            <w:tcW w:w="1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028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Description</w:t>
            </w:r>
          </w:p>
        </w:tc>
      </w:tr>
      <w:tr>
        <w:trPr>
          <w:trHeight w:val="180"/>
        </w:trPr>
        <w:tc>
          <w:tcPr>
            <w:tcW w:w="1160" w:type="dxa"/>
            <w:vAlign w:val="bottom"/>
          </w:tcPr>
          <w:p>
            <w:pPr>
              <w:spacing w:after="0" w:line="180" w:lineRule="exact"/>
              <w:rPr>
                <w:sz w:val="20"/>
                <w:szCs w:val="20"/>
                <w:color w:val="auto"/>
              </w:rPr>
            </w:pPr>
            <w:r>
              <w:rPr>
                <w:rFonts w:ascii="Arial" w:cs="Arial" w:eastAsia="Arial" w:hAnsi="Arial"/>
                <w:sz w:val="16"/>
                <w:szCs w:val="16"/>
                <w:color w:val="auto"/>
              </w:rPr>
              <w:t>99.1</w:t>
            </w:r>
          </w:p>
        </w:tc>
        <w:tc>
          <w:tcPr>
            <w:tcW w:w="10280" w:type="dxa"/>
            <w:vAlign w:val="bottom"/>
          </w:tcPr>
          <w:p>
            <w:pPr>
              <w:ind w:left="1040"/>
              <w:spacing w:after="0" w:line="180" w:lineRule="exact"/>
              <w:rPr>
                <w:sz w:val="20"/>
                <w:szCs w:val="20"/>
                <w:color w:val="auto"/>
              </w:rPr>
            </w:pPr>
            <w:r>
              <w:rPr>
                <w:rFonts w:ascii="Arial" w:cs="Arial" w:eastAsia="Arial" w:hAnsi="Arial"/>
                <w:sz w:val="16"/>
                <w:szCs w:val="16"/>
                <w:color w:val="auto"/>
              </w:rPr>
              <w:t>Press Release dated July 19, 2013</w:t>
            </w:r>
          </w:p>
        </w:tc>
      </w:tr>
      <w:tr>
        <w:trPr>
          <w:trHeight w:val="192"/>
        </w:trPr>
        <w:tc>
          <w:tcPr>
            <w:tcW w:w="1160" w:type="dxa"/>
            <w:vAlign w:val="bottom"/>
          </w:tcPr>
          <w:p>
            <w:pPr>
              <w:spacing w:after="0"/>
              <w:rPr>
                <w:sz w:val="20"/>
                <w:szCs w:val="20"/>
                <w:color w:val="auto"/>
              </w:rPr>
            </w:pPr>
            <w:r>
              <w:rPr>
                <w:rFonts w:ascii="Arial" w:cs="Arial" w:eastAsia="Arial" w:hAnsi="Arial"/>
                <w:sz w:val="16"/>
                <w:szCs w:val="16"/>
                <w:color w:val="auto"/>
              </w:rPr>
              <w:t>99.2</w:t>
            </w:r>
          </w:p>
        </w:tc>
        <w:tc>
          <w:tcPr>
            <w:tcW w:w="10280" w:type="dxa"/>
            <w:vAlign w:val="bottom"/>
          </w:tcPr>
          <w:p>
            <w:pPr>
              <w:ind w:left="1040"/>
              <w:spacing w:after="0"/>
              <w:rPr>
                <w:sz w:val="20"/>
                <w:szCs w:val="20"/>
                <w:color w:val="auto"/>
              </w:rPr>
            </w:pPr>
            <w:r>
              <w:rPr>
                <w:rFonts w:ascii="Arial" w:cs="Arial" w:eastAsia="Arial" w:hAnsi="Arial"/>
                <w:sz w:val="16"/>
                <w:szCs w:val="16"/>
                <w:color w:val="auto"/>
              </w:rPr>
              <w:t>Presentation materials for July 19, 2013 conference call</w:t>
            </w: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99.3</w:t>
            </w:r>
          </w:p>
        </w:tc>
        <w:tc>
          <w:tcPr>
            <w:tcW w:w="10280" w:type="dxa"/>
            <w:vAlign w:val="bottom"/>
          </w:tcPr>
          <w:p>
            <w:pPr>
              <w:ind w:left="1040"/>
              <w:spacing w:after="0"/>
              <w:rPr>
                <w:sz w:val="20"/>
                <w:szCs w:val="20"/>
                <w:color w:val="auto"/>
              </w:rPr>
            </w:pPr>
            <w:r>
              <w:rPr>
                <w:rFonts w:ascii="Arial" w:cs="Arial" w:eastAsia="Arial" w:hAnsi="Arial"/>
                <w:sz w:val="16"/>
                <w:szCs w:val="16"/>
                <w:color w:val="auto"/>
              </w:rPr>
              <w:t>Operating Unit Results reflecting the restatement of segment results</w:t>
            </w:r>
          </w:p>
        </w:tc>
      </w:tr>
      <w:tr>
        <w:trPr>
          <w:trHeight w:val="801"/>
        </w:trPr>
        <w:tc>
          <w:tcPr>
            <w:tcW w:w="1160" w:type="dxa"/>
            <w:vAlign w:val="bottom"/>
            <w:tcBorders>
              <w:bottom w:val="single" w:sz="8" w:color="808080"/>
            </w:tcBorders>
          </w:tcPr>
          <w:p>
            <w:pPr>
              <w:spacing w:after="0"/>
              <w:rPr>
                <w:sz w:val="24"/>
                <w:szCs w:val="24"/>
                <w:color w:val="auto"/>
              </w:rPr>
            </w:pPr>
          </w:p>
        </w:tc>
        <w:tc>
          <w:tcPr>
            <w:tcW w:w="10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MANPOWERGROUP INC.</w:t>
      </w:r>
    </w:p>
    <w:p>
      <w:pPr>
        <w:spacing w:after="0" w:line="200"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6"/>
          <w:szCs w:val="16"/>
          <w:color w:val="auto"/>
        </w:rPr>
        <w:t>Dated: July 19,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13335</wp:posOffset>
            </wp:positionV>
            <wp:extent cx="203644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6445" cy="15240"/>
                    </a:xfrm>
                    <a:prstGeom prst="rect">
                      <a:avLst/>
                    </a:prstGeom>
                    <a:noFill/>
                  </pic:spPr>
                </pic:pic>
              </a:graphicData>
            </a:graphic>
          </wp:anchor>
        </w:drawing>
      </w:r>
    </w:p>
    <w:p>
      <w:pPr>
        <w:spacing w:after="0" w:line="1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Michael J. Van Handel</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Executive Vice President and</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918210</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40"/>
          </w:cols>
          <w:pgMar w:left="240" w:top="471"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1500" w:type="dxa"/>
            <w:vAlign w:val="bottom"/>
          </w:tcPr>
          <w:p>
            <w:pPr>
              <w:spacing w:after="0"/>
              <w:rPr>
                <w:sz w:val="18"/>
                <w:szCs w:val="18"/>
                <w:color w:val="auto"/>
              </w:rPr>
            </w:pPr>
          </w:p>
        </w:tc>
        <w:tc>
          <w:tcPr>
            <w:tcW w:w="9940" w:type="dxa"/>
            <w:vAlign w:val="bottom"/>
          </w:tcPr>
          <w:p>
            <w:pPr>
              <w:ind w:left="3600"/>
              <w:spacing w:after="0"/>
              <w:rPr>
                <w:sz w:val="20"/>
                <w:szCs w:val="20"/>
                <w:color w:val="auto"/>
              </w:rPr>
            </w:pPr>
            <w:r>
              <w:rPr>
                <w:rFonts w:ascii="Arial" w:cs="Arial" w:eastAsia="Arial" w:hAnsi="Arial"/>
                <w:sz w:val="16"/>
                <w:szCs w:val="16"/>
                <w:b w:val="1"/>
                <w:bCs w:val="1"/>
                <w:color w:val="auto"/>
              </w:rPr>
              <w:t>EXHIBIT INDEX</w:t>
            </w:r>
          </w:p>
        </w:tc>
      </w:tr>
      <w:tr>
        <w:trPr>
          <w:trHeight w:val="412"/>
        </w:trPr>
        <w:tc>
          <w:tcPr>
            <w:tcW w:w="1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994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Description</w:t>
            </w:r>
          </w:p>
        </w:tc>
      </w:tr>
      <w:tr>
        <w:trPr>
          <w:trHeight w:val="180"/>
        </w:trPr>
        <w:tc>
          <w:tcPr>
            <w:tcW w:w="1500" w:type="dxa"/>
            <w:vAlign w:val="bottom"/>
          </w:tcPr>
          <w:p>
            <w:pPr>
              <w:spacing w:after="0" w:line="180" w:lineRule="exact"/>
              <w:rPr>
                <w:sz w:val="20"/>
                <w:szCs w:val="20"/>
                <w:color w:val="auto"/>
              </w:rPr>
            </w:pPr>
            <w:r>
              <w:rPr>
                <w:rFonts w:ascii="Arial" w:cs="Arial" w:eastAsia="Arial" w:hAnsi="Arial"/>
                <w:sz w:val="16"/>
                <w:szCs w:val="16"/>
                <w:color w:val="auto"/>
              </w:rPr>
              <w:t>99.1</w:t>
            </w:r>
          </w:p>
        </w:tc>
        <w:tc>
          <w:tcPr>
            <w:tcW w:w="9940" w:type="dxa"/>
            <w:vAlign w:val="bottom"/>
          </w:tcPr>
          <w:p>
            <w:pPr>
              <w:ind w:left="700"/>
              <w:spacing w:after="0" w:line="180" w:lineRule="exact"/>
              <w:rPr>
                <w:sz w:val="20"/>
                <w:szCs w:val="20"/>
                <w:color w:val="auto"/>
              </w:rPr>
            </w:pPr>
            <w:r>
              <w:rPr>
                <w:rFonts w:ascii="Arial" w:cs="Arial" w:eastAsia="Arial" w:hAnsi="Arial"/>
                <w:sz w:val="16"/>
                <w:szCs w:val="16"/>
                <w:color w:val="auto"/>
              </w:rPr>
              <w:t>Press Release dated July 19, 2013</w:t>
            </w:r>
          </w:p>
        </w:tc>
      </w:tr>
      <w:tr>
        <w:trPr>
          <w:trHeight w:val="192"/>
        </w:trPr>
        <w:tc>
          <w:tcPr>
            <w:tcW w:w="1500" w:type="dxa"/>
            <w:vAlign w:val="bottom"/>
          </w:tcPr>
          <w:p>
            <w:pPr>
              <w:spacing w:after="0"/>
              <w:rPr>
                <w:sz w:val="20"/>
                <w:szCs w:val="20"/>
                <w:color w:val="auto"/>
              </w:rPr>
            </w:pPr>
            <w:r>
              <w:rPr>
                <w:rFonts w:ascii="Arial" w:cs="Arial" w:eastAsia="Arial" w:hAnsi="Arial"/>
                <w:sz w:val="16"/>
                <w:szCs w:val="16"/>
                <w:color w:val="auto"/>
              </w:rPr>
              <w:t>99.2</w:t>
            </w:r>
          </w:p>
        </w:tc>
        <w:tc>
          <w:tcPr>
            <w:tcW w:w="9940" w:type="dxa"/>
            <w:vAlign w:val="bottom"/>
          </w:tcPr>
          <w:p>
            <w:pPr>
              <w:ind w:left="700"/>
              <w:spacing w:after="0"/>
              <w:rPr>
                <w:sz w:val="20"/>
                <w:szCs w:val="20"/>
                <w:color w:val="auto"/>
              </w:rPr>
            </w:pPr>
            <w:r>
              <w:rPr>
                <w:rFonts w:ascii="Arial" w:cs="Arial" w:eastAsia="Arial" w:hAnsi="Arial"/>
                <w:sz w:val="16"/>
                <w:szCs w:val="16"/>
                <w:color w:val="auto"/>
              </w:rPr>
              <w:t>Presentation materials for July 19, 2013 conference call</w:t>
            </w:r>
          </w:p>
        </w:tc>
      </w:tr>
      <w:tr>
        <w:trPr>
          <w:trHeight w:val="205"/>
        </w:trPr>
        <w:tc>
          <w:tcPr>
            <w:tcW w:w="1500" w:type="dxa"/>
            <w:vAlign w:val="bottom"/>
          </w:tcPr>
          <w:p>
            <w:pPr>
              <w:spacing w:after="0"/>
              <w:rPr>
                <w:sz w:val="20"/>
                <w:szCs w:val="20"/>
                <w:color w:val="auto"/>
              </w:rPr>
            </w:pPr>
            <w:r>
              <w:rPr>
                <w:rFonts w:ascii="Arial" w:cs="Arial" w:eastAsia="Arial" w:hAnsi="Arial"/>
                <w:sz w:val="16"/>
                <w:szCs w:val="16"/>
                <w:color w:val="auto"/>
              </w:rPr>
              <w:t>99.3</w:t>
            </w:r>
          </w:p>
        </w:tc>
        <w:tc>
          <w:tcPr>
            <w:tcW w:w="9940" w:type="dxa"/>
            <w:vAlign w:val="bottom"/>
          </w:tcPr>
          <w:p>
            <w:pPr>
              <w:ind w:left="700"/>
              <w:spacing w:after="0"/>
              <w:rPr>
                <w:sz w:val="20"/>
                <w:szCs w:val="20"/>
                <w:color w:val="auto"/>
              </w:rPr>
            </w:pPr>
            <w:r>
              <w:rPr>
                <w:rFonts w:ascii="Arial" w:cs="Arial" w:eastAsia="Arial" w:hAnsi="Arial"/>
                <w:sz w:val="16"/>
                <w:szCs w:val="16"/>
                <w:color w:val="auto"/>
              </w:rPr>
              <w:t>Operating Unit Results reflecting the restatement of segment results</w:t>
            </w:r>
          </w:p>
        </w:tc>
      </w:tr>
    </w:tbl>
    <w:p>
      <w:pPr>
        <w:sectPr>
          <w:pgSz w:w="11900" w:h="16838" w:orient="portrait"/>
          <w:cols w:equalWidth="0" w:num="1">
            <w:col w:w="11440"/>
          </w:cols>
          <w:pgMar w:left="240" w:top="688"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93115" cy="434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3115" cy="434975"/>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Mike Van Handel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+1.414.906.6305</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michael.vanhandel@manpowergroup.com</w:t>
      </w:r>
    </w:p>
    <w:p>
      <w:pPr>
        <w:spacing w:after="0" w:line="200" w:lineRule="exact"/>
        <w:rPr>
          <w:sz w:val="20"/>
          <w:szCs w:val="20"/>
          <w:color w:val="auto"/>
        </w:rPr>
      </w:pPr>
    </w:p>
    <w:p>
      <w:pPr>
        <w:sectPr>
          <w:pgSz w:w="11900" w:h="16838" w:orient="portrait"/>
          <w:cols w:equalWidth="0" w:num="2">
            <w:col w:w="7900" w:space="720"/>
            <w:col w:w="2820"/>
          </w:cols>
          <w:pgMar w:left="240" w:top="116" w:right="219" w:bottom="1440" w:gutter="0" w:footer="0" w:header="0"/>
          <w:type w:val="continuous"/>
        </w:sectPr>
      </w:pP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ManpowerGroup Reports 2</w:t>
      </w:r>
      <w:r>
        <w:rPr>
          <w:rFonts w:ascii="Arial" w:cs="Arial" w:eastAsia="Arial" w:hAnsi="Arial"/>
          <w:sz w:val="10"/>
          <w:szCs w:val="10"/>
          <w:b w:val="1"/>
          <w:bCs w:val="1"/>
          <w:color w:val="auto"/>
        </w:rPr>
        <w:t>nd</w:t>
      </w:r>
      <w:r>
        <w:rPr>
          <w:rFonts w:ascii="Arial" w:cs="Arial" w:eastAsia="Arial" w:hAnsi="Arial"/>
          <w:sz w:val="14"/>
          <w:szCs w:val="14"/>
          <w:b w:val="1"/>
          <w:bCs w:val="1"/>
          <w:color w:val="auto"/>
        </w:rPr>
        <w:t xml:space="preserve"> Quarter and First Half 2013 Results</w:t>
      </w:r>
    </w:p>
    <w:p>
      <w:pPr>
        <w:sectPr>
          <w:pgSz w:w="11900" w:h="16838" w:orient="portrait"/>
          <w:cols w:equalWidth="0" w:num="1">
            <w:col w:w="11440"/>
          </w:cols>
          <w:pgMar w:left="240" w:top="116" w:right="219" w:bottom="1440" w:gutter="0" w:footer="0" w:header="0"/>
          <w:type w:val="continuous"/>
        </w:sectPr>
      </w:pPr>
    </w:p>
    <w:p>
      <w:pPr>
        <w:spacing w:after="0" w:line="247" w:lineRule="exact"/>
        <w:rPr>
          <w:sz w:val="20"/>
          <w:szCs w:val="20"/>
          <w:color w:val="auto"/>
        </w:rPr>
      </w:pPr>
    </w:p>
    <w:p>
      <w:pPr>
        <w:ind w:right="360"/>
        <w:spacing w:after="0" w:line="257" w:lineRule="auto"/>
        <w:rPr>
          <w:sz w:val="20"/>
          <w:szCs w:val="20"/>
          <w:color w:val="auto"/>
        </w:rPr>
      </w:pPr>
      <w:r>
        <w:rPr>
          <w:rFonts w:ascii="Arial" w:cs="Arial" w:eastAsia="Arial" w:hAnsi="Arial"/>
          <w:sz w:val="16"/>
          <w:szCs w:val="16"/>
          <w:b w:val="1"/>
          <w:bCs w:val="1"/>
          <w:color w:val="auto"/>
        </w:rPr>
        <w:t xml:space="preserve">MILWAUKEE, July 19, 2013 -- </w:t>
      </w:r>
      <w:r>
        <w:rPr>
          <w:rFonts w:ascii="Arial" w:cs="Arial" w:eastAsia="Arial" w:hAnsi="Arial"/>
          <w:sz w:val="16"/>
          <w:szCs w:val="16"/>
          <w:color w:val="auto"/>
        </w:rPr>
        <w:t>ManpowerGroup (NYSE: MAN) today reported that net earnings per diluted share for the three months ended June 30, 2013 were 87 cents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51 cents in the prior year period. Net earnings in the second quarter were $68.2 million compared to $41.0 million a year earlier. Revenues for the second quarter were $5.0 billion, a decrease of 3 percent from the year earlier period in U.S. dollars and in constant currency.</w:t>
      </w:r>
    </w:p>
    <w:p>
      <w:pPr>
        <w:spacing w:after="0" w:line="2" w:lineRule="exact"/>
        <w:rPr>
          <w:sz w:val="20"/>
          <w:szCs w:val="20"/>
          <w:color w:val="auto"/>
        </w:rPr>
      </w:pPr>
    </w:p>
    <w:p>
      <w:pPr>
        <w:jc w:val="both"/>
        <w:ind w:right="560"/>
        <w:spacing w:after="0" w:line="267" w:lineRule="auto"/>
        <w:rPr>
          <w:sz w:val="20"/>
          <w:szCs w:val="20"/>
          <w:color w:val="auto"/>
        </w:rPr>
      </w:pPr>
      <w:r>
        <w:rPr>
          <w:rFonts w:ascii="Arial" w:cs="Arial" w:eastAsia="Arial" w:hAnsi="Arial"/>
          <w:sz w:val="15"/>
          <w:szCs w:val="15"/>
          <w:color w:val="auto"/>
        </w:rPr>
        <w:t>Included in the current year second quarter results is a restructuring charge, primarily related to office consolidations and severance costs, of $20.0 million ($14.4 million after tax or 18 cents per diluted share). Excluding these charges, earnings per diluted share in the quarter were $1.05. Net earnings in the second quarter were unfavorably impacted by 1 cent per diluted share, as foreign currencies were relatively weaker compared to the prior year period.</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6"/>
          <w:szCs w:val="16"/>
          <w:color w:val="auto"/>
        </w:rPr>
        <w:t>ManpowerGroup Chairman and CEO Jeffrey A. Joerres, said, “The second quarter results are solid evidence of our team’s strong execution of our recalibration efforts and a stabilizing global economy. We continue to make progress on improving our business mix with our ManpowerGroup Solutions, led by Recruitment Process Outsourcing growing at 19%.</w:t>
      </w:r>
    </w:p>
    <w:p>
      <w:pPr>
        <w:spacing w:after="0" w:line="2" w:lineRule="exact"/>
        <w:rPr>
          <w:sz w:val="20"/>
          <w:szCs w:val="20"/>
          <w:color w:val="auto"/>
        </w:rPr>
      </w:pPr>
    </w:p>
    <w:p>
      <w:pPr>
        <w:ind w:right="480"/>
        <w:spacing w:after="0" w:line="250" w:lineRule="auto"/>
        <w:rPr>
          <w:sz w:val="20"/>
          <w:szCs w:val="20"/>
          <w:color w:val="auto"/>
        </w:rPr>
      </w:pPr>
      <w:r>
        <w:rPr>
          <w:rFonts w:ascii="Arial" w:cs="Arial" w:eastAsia="Arial" w:hAnsi="Arial"/>
          <w:sz w:val="16"/>
          <w:szCs w:val="16"/>
          <w:color w:val="auto"/>
        </w:rPr>
        <w:t>“We are anticipating the third quarter of 2013 diluted earnings per share to be in the range of $1.02 to $1.10, which includes an estimated unfavorable currency impact of 1 cent,” Joerres stated.</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Earnings per diluted share for the six months ended June 30, 2013 were $1.17 compared to $1.01 per diluted share in 2012. Net earnings for the period were $92.1 million compared to $81.2 million in the prior year. Revenues for the six-month period were $9.8 billion, a decrease of 5 percent from the prior year or a decrease of 4 percent in constant currency. Earnings per diluted share for the current year six month period include restructuring charges of 51 cents per diluted share. Foreign currency exchange rates had an unfavorable impact of 2 cents for the six-month period.</w:t>
      </w:r>
    </w:p>
    <w:p>
      <w:pPr>
        <w:spacing w:after="0" w:line="2" w:lineRule="exact"/>
        <w:rPr>
          <w:sz w:val="20"/>
          <w:szCs w:val="20"/>
          <w:color w:val="auto"/>
        </w:rPr>
      </w:pPr>
    </w:p>
    <w:p>
      <w:pPr>
        <w:ind w:right="600"/>
        <w:spacing w:after="0" w:line="281" w:lineRule="auto"/>
        <w:rPr>
          <w:sz w:val="20"/>
          <w:szCs w:val="20"/>
          <w:color w:val="auto"/>
        </w:rPr>
      </w:pPr>
      <w:r>
        <w:rPr>
          <w:rFonts w:ascii="Arial" w:cs="Arial" w:eastAsia="Arial" w:hAnsi="Arial"/>
          <w:sz w:val="15"/>
          <w:szCs w:val="15"/>
          <w:color w:val="auto"/>
        </w:rPr>
        <w:t xml:space="preserve">In conjunction with its second quarter earnings release, ManpowerGroup will broadcast its conference call live over the Internet on July 19, 2013 at 7:30 a.m. CDT (8:30 a.m. EDT). Interested parties are invited to listen to the webcast and view the presentation by logging on to </w:t>
      </w:r>
      <w:r>
        <w:rPr>
          <w:rFonts w:ascii="Arial" w:cs="Arial" w:eastAsia="Arial" w:hAnsi="Arial"/>
          <w:sz w:val="15"/>
          <w:szCs w:val="15"/>
          <w:u w:val="single" w:color="auto"/>
          <w:color w:val="auto"/>
        </w:rPr>
        <w:t>http://www.manpowergroup.com/investors</w:t>
      </w:r>
      <w:r>
        <w:rPr>
          <w:rFonts w:ascii="Arial" w:cs="Arial" w:eastAsia="Arial" w:hAnsi="Arial"/>
          <w:sz w:val="15"/>
          <w:szCs w:val="15"/>
          <w:color w:val="auto"/>
        </w:rPr>
        <w:t xml:space="preserve">. Supplemental financial information referenced in the conference call can be found at </w:t>
      </w:r>
      <w:r>
        <w:rPr>
          <w:rFonts w:ascii="Arial" w:cs="Arial" w:eastAsia="Arial" w:hAnsi="Arial"/>
          <w:sz w:val="15"/>
          <w:szCs w:val="15"/>
          <w:u w:val="single" w:color="auto"/>
          <w:color w:val="auto"/>
        </w:rPr>
        <w:t>http://www.manpowergroup.com/investors</w:t>
      </w:r>
      <w:r>
        <w:rPr>
          <w:rFonts w:ascii="Arial" w:cs="Arial" w:eastAsia="Arial" w:hAnsi="Arial"/>
          <w:sz w:val="15"/>
          <w:szCs w:val="15"/>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r>
        <w:rPr>
          <w:rFonts w:ascii="Arial" w:cs="Arial" w:eastAsia="Arial" w:hAnsi="Arial"/>
          <w:sz w:val="16"/>
          <w:szCs w:val="16"/>
          <w:color w:val="auto"/>
        </w:rPr>
        <w:t>™</w:t>
      </w:r>
    </w:p>
    <w:p>
      <w:pPr>
        <w:spacing w:after="0" w:line="25" w:lineRule="exact"/>
        <w:rPr>
          <w:sz w:val="20"/>
          <w:szCs w:val="20"/>
          <w:color w:val="auto"/>
        </w:rPr>
      </w:pPr>
    </w:p>
    <w:p>
      <w:pPr>
        <w:ind w:right="80"/>
        <w:spacing w:after="0" w:line="292" w:lineRule="auto"/>
        <w:rPr>
          <w:sz w:val="20"/>
          <w:szCs w:val="20"/>
          <w:color w:val="auto"/>
        </w:rPr>
      </w:pPr>
      <w:r>
        <w:rPr>
          <w:rFonts w:ascii="Arial" w:cs="Arial" w:eastAsia="Arial" w:hAnsi="Arial"/>
          <w:sz w:val="14"/>
          <w:szCs w:val="14"/>
          <w:color w:val="auto"/>
        </w:rPr>
        <w:t>ManpowerGroup™ (NYSE: MAN) is the world leader in innovative workforce solutions that ensure the talent sustainability of the world's workforce for the good of companies, communities, countries, and individuals themselves. Specializing in solutions that help organizations achieve business agility and workforce flexibility, ManpowerGroup leverages its 65 years of world of work expertise to create the work models, design the people practices and access the talent sources its clients need for the future. From staffing, recruitment, workforce consulting, outsourcing and career management to assessment, training and development, ManpowerGroup delivers the talent to drive the innovation and productivity of organizations in a world where talentism is the dominant economic system. Every day, ManpowerGroup connects more than 630,000 people to work and builds their experience and employability through its relationships with 400,000 clients across 80 countries and territories. ManpowerGroup's suite of solutions is offered through ManpowerGroup™ Solutions, Manpower®, Experis™ and Right Management®. ManpowerGroup was named one of the World's Most Ethical Companies for the third consecutive year in 2013, confirming our position as the most trusted brand in the industry. See how ManpowerGroup makes powering the world of work humanly possible at www.manpowergroup.com. Follow ManpowerGroup Chairman and CEO Jeff Joerres on Twitter: Twitter.com/manpowergroupjj.</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color w:val="auto"/>
        </w:rPr>
        <w:t>This news release contains statements, including earnings projections, that are forward-looking in nature. These statements are based on management’s current expectations or beliefs, and are subject to known and unknown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2012, which information is incorporated herein by reference. Any forward-looking statement in this release speaks only as of the date on which it is made. The company assumes no obligation to update or revise any forward-looking statements.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type w:val="continuous"/>
        </w:sectPr>
      </w:pPr>
    </w:p>
    <w:bookmarkStart w:id="5" w:name="page6"/>
    <w:bookmarkEnd w:id="5"/>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6"/>
                <w:szCs w:val="16"/>
                <w:b w:val="1"/>
                <w:bCs w:val="1"/>
                <w:color w:val="auto"/>
                <w:w w:val="93"/>
              </w:rPr>
              <w:t>Three Months Ended June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5,040.7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5,206.7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4,204.3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4,345.0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836.4</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861.7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708.3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767.3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11.3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-9.1%</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42.1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17.7%</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0.88</w:t>
            </w:r>
          </w:p>
        </w:tc>
        <w:tc>
          <w:tcPr>
            <w:tcW w:w="220" w:type="dxa"/>
            <w:vAlign w:val="bottom"/>
          </w:tcPr>
          <w:p>
            <w:pPr>
              <w:spacing w:after="0"/>
              <w:rPr>
                <w:sz w:val="15"/>
                <w:szCs w:val="15"/>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0.51</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72.5%</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0.87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0.51</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70.6%</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77.4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80.1</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-3.3%</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78.6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80.4</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-2.3%</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320" w:hanging="4"/>
        <w:spacing w:after="0" w:line="351" w:lineRule="auto"/>
        <w:tabs>
          <w:tab w:leader="none" w:pos="222" w:val="left"/>
        </w:tabs>
        <w:numPr>
          <w:ilvl w:val="0"/>
          <w:numId w:val="1"/>
        </w:numPr>
        <w:rPr>
          <w:rFonts w:ascii="Arial" w:cs="Arial" w:eastAsia="Arial" w:hAnsi="Arial"/>
          <w:sz w:val="14"/>
          <w:szCs w:val="14"/>
          <w:color w:val="auto"/>
        </w:rPr>
      </w:pPr>
      <w:r>
        <w:rPr>
          <w:rFonts w:ascii="Arial" w:cs="Arial" w:eastAsia="Arial" w:hAnsi="Arial"/>
          <w:sz w:val="14"/>
          <w:szCs w:val="14"/>
          <w:color w:val="auto"/>
        </w:rPr>
        <w:t>Revenues from services include fees received from our franchise offices of $6.1 million for both the three months ended June 30, 2013 and 2012. These fees are primarily based on revenues generated by the franchise offices, which were $272.3 million and $270.0 million for the three months ended June 30, 2013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316865</wp:posOffset>
            </wp:positionV>
            <wp:extent cx="72669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69" w:right="219" w:bottom="1440" w:gutter="0" w:footer="0" w:header="0"/>
        </w:sectPr>
      </w:pPr>
    </w:p>
    <w:bookmarkStart w:id="6" w:name="page7"/>
    <w:bookmarkEnd w:id="6"/>
    <w:p>
      <w:pPr>
        <w:jc w:val="center"/>
        <w:ind w:right="156"/>
        <w:spacing w:after="0"/>
        <w:rPr>
          <w:sz w:val="20"/>
          <w:szCs w:val="20"/>
          <w:color w:val="auto"/>
        </w:rPr>
      </w:pPr>
      <w:r>
        <w:rPr>
          <w:rFonts w:ascii="Arial" w:cs="Arial" w:eastAsia="Arial" w:hAnsi="Arial"/>
          <w:sz w:val="19"/>
          <w:szCs w:val="19"/>
          <w:color w:val="auto"/>
        </w:rPr>
        <w:t>ManpowerGroup</w:t>
      </w:r>
    </w:p>
    <w:p>
      <w:pPr>
        <w:spacing w:after="0" w:line="13"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780" w:type="dxa"/>
            <w:vAlign w:val="bottom"/>
            <w:gridSpan w:val="2"/>
          </w:tcPr>
          <w:p>
            <w:pPr>
              <w:jc w:val="right"/>
              <w:ind w:right="60"/>
              <w:spacing w:after="0"/>
              <w:rPr>
                <w:sz w:val="20"/>
                <w:szCs w:val="20"/>
                <w:color w:val="auto"/>
              </w:rPr>
            </w:pPr>
            <w:r>
              <w:rPr>
                <w:rFonts w:ascii="Arial" w:cs="Arial" w:eastAsia="Arial" w:hAnsi="Arial"/>
                <w:sz w:val="16"/>
                <w:szCs w:val="16"/>
                <w:color w:val="auto"/>
              </w:rPr>
              <w:t>Operating Unit Results</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780" w:type="dxa"/>
            <w:vAlign w:val="bottom"/>
            <w:gridSpan w:val="2"/>
          </w:tcPr>
          <w:p>
            <w:pPr>
              <w:jc w:val="right"/>
              <w:ind w:right="400"/>
              <w:spacing w:after="0"/>
              <w:rPr>
                <w:sz w:val="20"/>
                <w:szCs w:val="20"/>
                <w:color w:val="auto"/>
              </w:rPr>
            </w:pPr>
            <w:r>
              <w:rPr>
                <w:rFonts w:ascii="Arial" w:cs="Arial" w:eastAsia="Arial" w:hAnsi="Arial"/>
                <w:sz w:val="16"/>
                <w:szCs w:val="16"/>
                <w:color w:val="auto"/>
              </w:rPr>
              <w:t>(In millions)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4"/>
            <w:vMerge w:val="restart"/>
          </w:tcPr>
          <w:p>
            <w:pPr>
              <w:jc w:val="right"/>
              <w:ind w:right="460"/>
              <w:spacing w:after="0"/>
              <w:rPr>
                <w:sz w:val="20"/>
                <w:szCs w:val="20"/>
                <w:color w:val="auto"/>
              </w:rPr>
            </w:pPr>
            <w:r>
              <w:rPr>
                <w:rFonts w:ascii="Arial" w:cs="Arial" w:eastAsia="Arial" w:hAnsi="Arial"/>
                <w:sz w:val="16"/>
                <w:szCs w:val="16"/>
                <w:b w:val="1"/>
                <w:bCs w:val="1"/>
                <w:color w:val="auto"/>
                <w:w w:val="93"/>
              </w:rPr>
              <w:t>Three Months Ended June 30</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vMerge w:val="continue"/>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2"/>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w w:val="95"/>
              </w:rPr>
              <w:t>2013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40"/>
              <w:spacing w:after="0"/>
              <w:rPr>
                <w:sz w:val="20"/>
                <w:szCs w:val="20"/>
                <w:color w:val="auto"/>
              </w:rPr>
            </w:pPr>
            <w:r>
              <w:rPr>
                <w:rFonts w:ascii="Arial" w:cs="Arial" w:eastAsia="Arial" w:hAnsi="Arial"/>
                <w:sz w:val="16"/>
                <w:szCs w:val="16"/>
                <w:color w:val="auto"/>
              </w:rPr>
              <w:t>Americas:</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 (b)</w:t>
            </w: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748.5</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763.2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387.2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389.2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-0.5%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1,152.4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Borders>
              <w:top w:val="single" w:sz="8" w:color="CCEEFF"/>
            </w:tcBorders>
          </w:tcPr>
          <w:p>
            <w:pPr>
              <w:ind w:left="60"/>
              <w:spacing w:after="0"/>
              <w:rPr>
                <w:sz w:val="20"/>
                <w:szCs w:val="20"/>
                <w:color w:val="auto"/>
              </w:rPr>
            </w:pPr>
            <w:r>
              <w:rPr>
                <w:rFonts w:ascii="Arial" w:cs="Arial" w:eastAsia="Arial" w:hAnsi="Arial"/>
                <w:sz w:val="16"/>
                <w:szCs w:val="16"/>
                <w:color w:val="auto"/>
              </w:rPr>
              <w:t>Southern Europe:</w:t>
            </w:r>
          </w:p>
        </w:tc>
        <w:tc>
          <w:tcPr>
            <w:tcW w:w="242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1,427.6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220"/>
              <w:spacing w:after="0"/>
              <w:rPr>
                <w:sz w:val="20"/>
                <w:szCs w:val="20"/>
                <w:color w:val="auto"/>
              </w:rPr>
            </w:pPr>
            <w:r>
              <w:rPr>
                <w:rFonts w:ascii="Arial" w:cs="Arial" w:eastAsia="Arial" w:hAnsi="Arial"/>
                <w:sz w:val="16"/>
                <w:szCs w:val="16"/>
                <w:color w:val="auto"/>
              </w:rPr>
              <w:t>Italy</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278.4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274.0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Southern Europe</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190.1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1,802.0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1,891.7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Northern Europe</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1,415.8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40"/>
              <w:spacing w:after="0"/>
              <w:rPr>
                <w:sz w:val="20"/>
                <w:szCs w:val="20"/>
                <w:color w:val="auto"/>
              </w:rPr>
            </w:pPr>
            <w:r>
              <w:rPr>
                <w:rFonts w:ascii="Arial" w:cs="Arial" w:eastAsia="Arial" w:hAnsi="Arial"/>
                <w:sz w:val="16"/>
                <w:szCs w:val="16"/>
                <w:color w:val="auto"/>
              </w:rPr>
              <w:t>APME</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623.3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662.9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Right Management</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5,040.7</w:t>
            </w:r>
          </w:p>
        </w:tc>
        <w:tc>
          <w:tcPr>
            <w:tcW w:w="22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5,206.7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Operating Unit Profit (Loss): (a)</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Americas:</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30.6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296.3%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296.3%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Americas</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18.2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133.3%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60"/>
              <w:spacing w:after="0"/>
              <w:rPr>
                <w:sz w:val="20"/>
                <w:szCs w:val="20"/>
                <w:color w:val="auto"/>
              </w:rPr>
            </w:pPr>
            <w:r>
              <w:rPr>
                <w:rFonts w:ascii="Arial" w:cs="Arial" w:eastAsia="Arial" w:hAnsi="Arial"/>
                <w:sz w:val="16"/>
                <w:szCs w:val="16"/>
                <w:color w:val="auto"/>
              </w:rPr>
              <w:t>Southern Europe:</w:t>
            </w:r>
          </w:p>
        </w:tc>
        <w:tc>
          <w:tcPr>
            <w:tcW w:w="242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220"/>
              <w:spacing w:after="0"/>
              <w:rPr>
                <w:sz w:val="20"/>
                <w:szCs w:val="20"/>
                <w:color w:val="auto"/>
              </w:rPr>
            </w:pPr>
            <w:r>
              <w:rPr>
                <w:rFonts w:ascii="Arial" w:cs="Arial" w:eastAsia="Arial" w:hAnsi="Arial"/>
                <w:sz w:val="16"/>
                <w:szCs w:val="16"/>
                <w:color w:val="auto"/>
              </w:rPr>
              <w:t>France</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40.9</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34.6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17.6%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Italy</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220"/>
              <w:spacing w:after="0"/>
              <w:rPr>
                <w:sz w:val="20"/>
                <w:szCs w:val="20"/>
                <w:color w:val="auto"/>
              </w:rPr>
            </w:pPr>
            <w:r>
              <w:rPr>
                <w:rFonts w:ascii="Arial" w:cs="Arial" w:eastAsia="Arial" w:hAnsi="Arial"/>
                <w:sz w:val="16"/>
                <w:szCs w:val="16"/>
                <w:color w:val="auto"/>
              </w:rPr>
              <w:t>Other Southern Europe</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-59.7%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39.2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-15.4%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APME</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Right Management</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(2.9)</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126.5</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Corporate expenses</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(23.6)</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(22.9)</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amortization expense</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(8.4)</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220"/>
              <w:spacing w:after="0"/>
              <w:rPr>
                <w:sz w:val="20"/>
                <w:szCs w:val="20"/>
                <w:color w:val="auto"/>
              </w:rPr>
            </w:pPr>
            <w:r>
              <w:rPr>
                <w:rFonts w:ascii="Arial" w:cs="Arial" w:eastAsia="Arial" w:hAnsi="Arial"/>
                <w:sz w:val="16"/>
                <w:szCs w:val="16"/>
                <w:color w:val="auto"/>
              </w:rPr>
              <w:t>Operating profit</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94.4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35.6%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Interest and other expenses (c)</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(10.3)</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(11.3)</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220"/>
              <w:spacing w:after="0"/>
              <w:rPr>
                <w:sz w:val="20"/>
                <w:szCs w:val="20"/>
                <w:color w:val="auto"/>
              </w:rPr>
            </w:pPr>
            <w:r>
              <w:rPr>
                <w:rFonts w:ascii="Arial" w:cs="Arial" w:eastAsia="Arial" w:hAnsi="Arial"/>
                <w:sz w:val="16"/>
                <w:szCs w:val="16"/>
                <w:color w:val="auto"/>
              </w:rPr>
              <w:t>Earnings before income taxes</w:t>
            </w:r>
          </w:p>
        </w:tc>
        <w:tc>
          <w:tcPr>
            <w:tcW w:w="2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117.8</w:t>
            </w:r>
          </w:p>
        </w:tc>
        <w:tc>
          <w:tcPr>
            <w:tcW w:w="22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83.1</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220" w:hanging="4"/>
        <w:spacing w:after="0" w:line="276" w:lineRule="auto"/>
        <w:tabs>
          <w:tab w:leader="none" w:pos="222" w:val="left"/>
        </w:tabs>
        <w:numPr>
          <w:ilvl w:val="0"/>
          <w:numId w:val="2"/>
        </w:numPr>
        <w:rPr>
          <w:rFonts w:ascii="Arial" w:cs="Arial" w:eastAsia="Arial" w:hAnsi="Arial"/>
          <w:sz w:val="15"/>
          <w:szCs w:val="15"/>
          <w:color w:val="auto"/>
        </w:rPr>
      </w:pPr>
      <w:r>
        <w:rPr>
          <w:rFonts w:ascii="Arial" w:cs="Arial" w:eastAsia="Arial" w:hAnsi="Arial"/>
          <w:sz w:val="15"/>
          <w:szCs w:val="15"/>
          <w:color w:val="auto"/>
        </w:rPr>
        <w:t>On a consolidated basis, the French business tax is reported in provision for income taxes, in accordance with the current accounting guidance on income taxes. Prior to the second quarter of 2013, we internally reviewed the financial results of our French operations including the French business tax within OUP given the operational nature of these taxes. While we continue to view this tax as operational, during the second quarter of 2013 we changed our internal reporting to exclude the French business tax from the OUP of our France reportable segment. Therefore our France reportable segment OUP now excludes the business tax and we no longer need to show the business tax amount separately to reconcile to the consolidated results. All previously reported segment results have been restated to conform to the current year presentation. This change in segment reporting has no impact on our reporting of consolidated results.</w:t>
      </w:r>
    </w:p>
    <w:p>
      <w:pPr>
        <w:spacing w:after="0" w:line="155" w:lineRule="exact"/>
        <w:rPr>
          <w:rFonts w:ascii="Arial" w:cs="Arial" w:eastAsia="Arial" w:hAnsi="Arial"/>
          <w:sz w:val="15"/>
          <w:szCs w:val="15"/>
          <w:color w:val="auto"/>
        </w:rPr>
      </w:pPr>
    </w:p>
    <w:p>
      <w:pPr>
        <w:jc w:val="both"/>
        <w:ind w:left="4" w:right="160" w:hanging="4"/>
        <w:spacing w:after="0" w:line="351" w:lineRule="auto"/>
        <w:tabs>
          <w:tab w:leader="none" w:pos="231"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the United States, revenues from services include fees received from our franchise offices of $3.8 for both the three months ended June 30, 2013 and 2012. These fees are primarily based on revenues generated by the franchise offices, which were $175.3 million and $180.6 million for the three months ended June 30, 2013 and 2012, respectively.</w:t>
      </w:r>
    </w:p>
    <w:p>
      <w:pPr>
        <w:spacing w:after="0" w:line="129" w:lineRule="exact"/>
        <w:rPr>
          <w:rFonts w:ascii="Arial" w:cs="Arial" w:eastAsia="Arial" w:hAnsi="Arial"/>
          <w:sz w:val="14"/>
          <w:szCs w:val="14"/>
          <w:color w:val="auto"/>
        </w:rPr>
      </w:pPr>
    </w:p>
    <w:p>
      <w:pPr>
        <w:ind w:left="224" w:hanging="224"/>
        <w:spacing w:after="0"/>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9"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60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Interest expense</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10.3</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3540" w:type="dxa"/>
            <w:vAlign w:val="bottom"/>
            <w:gridSpan w:val="2"/>
            <w:shd w:val="clear" w:color="auto" w:fill="CCEEFF"/>
          </w:tcPr>
          <w:p>
            <w:pPr>
              <w:jc w:val="right"/>
              <w:ind w:right="2860"/>
              <w:spacing w:after="0"/>
              <w:rPr>
                <w:sz w:val="20"/>
                <w:szCs w:val="20"/>
                <w:color w:val="auto"/>
              </w:rPr>
            </w:pPr>
            <w:r>
              <w:rPr>
                <w:rFonts w:ascii="Arial" w:cs="Arial" w:eastAsia="Arial" w:hAnsi="Arial"/>
                <w:sz w:val="16"/>
                <w:szCs w:val="16"/>
                <w:color w:val="auto"/>
              </w:rPr>
              <w:t>10.2</w:t>
            </w:r>
          </w:p>
        </w:tc>
      </w:tr>
      <w:tr>
        <w:trPr>
          <w:trHeight w:val="192"/>
        </w:trPr>
        <w:tc>
          <w:tcPr>
            <w:tcW w:w="6080" w:type="dxa"/>
            <w:vAlign w:val="bottom"/>
          </w:tcPr>
          <w:p>
            <w:pPr>
              <w:ind w:left="900"/>
              <w:spacing w:after="0"/>
              <w:rPr>
                <w:sz w:val="20"/>
                <w:szCs w:val="20"/>
                <w:color w:val="auto"/>
              </w:rPr>
            </w:pPr>
            <w:r>
              <w:rPr>
                <w:rFonts w:ascii="Arial" w:cs="Arial" w:eastAsia="Arial" w:hAnsi="Arial"/>
                <w:sz w:val="16"/>
                <w:szCs w:val="16"/>
                <w:color w:val="auto"/>
              </w:rPr>
              <w:t>Interest income</w:t>
            </w:r>
          </w:p>
        </w:tc>
        <w:tc>
          <w:tcPr>
            <w:tcW w:w="4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(0.9)</w:t>
            </w:r>
          </w:p>
        </w:tc>
        <w:tc>
          <w:tcPr>
            <w:tcW w:w="460" w:type="dxa"/>
            <w:vAlign w:val="bottom"/>
          </w:tcPr>
          <w:p>
            <w:pPr>
              <w:spacing w:after="0"/>
              <w:rPr>
                <w:sz w:val="16"/>
                <w:szCs w:val="16"/>
                <w:color w:val="auto"/>
              </w:rPr>
            </w:pPr>
          </w:p>
        </w:tc>
        <w:tc>
          <w:tcPr>
            <w:tcW w:w="3540" w:type="dxa"/>
            <w:vAlign w:val="bottom"/>
            <w:gridSpan w:val="2"/>
          </w:tcPr>
          <w:p>
            <w:pPr>
              <w:jc w:val="right"/>
              <w:ind w:right="2820"/>
              <w:spacing w:after="0"/>
              <w:rPr>
                <w:sz w:val="20"/>
                <w:szCs w:val="20"/>
                <w:color w:val="auto"/>
              </w:rPr>
            </w:pPr>
            <w:r>
              <w:rPr>
                <w:rFonts w:ascii="Arial" w:cs="Arial" w:eastAsia="Arial" w:hAnsi="Arial"/>
                <w:sz w:val="16"/>
                <w:szCs w:val="16"/>
                <w:color w:val="auto"/>
              </w:rPr>
              <w:t>(1.4)</w:t>
            </w:r>
          </w:p>
        </w:tc>
      </w:tr>
      <w:tr>
        <w:trPr>
          <w:trHeight w:val="192"/>
        </w:trPr>
        <w:tc>
          <w:tcPr>
            <w:tcW w:w="60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Foreign exchange loss</w:t>
            </w:r>
          </w:p>
        </w:tc>
        <w:tc>
          <w:tcPr>
            <w:tcW w:w="4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w:t>
            </w:r>
          </w:p>
        </w:tc>
        <w:tc>
          <w:tcPr>
            <w:tcW w:w="46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jc w:val="right"/>
              <w:ind w:right="2860"/>
              <w:spacing w:after="0"/>
              <w:rPr>
                <w:sz w:val="20"/>
                <w:szCs w:val="20"/>
                <w:color w:val="auto"/>
              </w:rPr>
            </w:pPr>
            <w:r>
              <w:rPr>
                <w:rFonts w:ascii="Arial" w:cs="Arial" w:eastAsia="Arial" w:hAnsi="Arial"/>
                <w:sz w:val="16"/>
                <w:szCs w:val="16"/>
                <w:color w:val="auto"/>
              </w:rPr>
              <w:t>0.5</w:t>
            </w:r>
          </w:p>
        </w:tc>
      </w:tr>
      <w:tr>
        <w:trPr>
          <w:trHeight w:val="192"/>
        </w:trPr>
        <w:tc>
          <w:tcPr>
            <w:tcW w:w="6080" w:type="dxa"/>
            <w:vAlign w:val="bottom"/>
          </w:tcPr>
          <w:p>
            <w:pPr>
              <w:ind w:left="900"/>
              <w:spacing w:after="0"/>
              <w:rPr>
                <w:sz w:val="20"/>
                <w:szCs w:val="20"/>
                <w:color w:val="auto"/>
              </w:rPr>
            </w:pPr>
            <w:r>
              <w:rPr>
                <w:rFonts w:ascii="Arial" w:cs="Arial" w:eastAsia="Arial" w:hAnsi="Arial"/>
                <w:sz w:val="16"/>
                <w:szCs w:val="16"/>
                <w:color w:val="auto"/>
              </w:rPr>
              <w:t>Miscellaneous (income) expense, net</w:t>
            </w:r>
          </w:p>
        </w:tc>
        <w:tc>
          <w:tcPr>
            <w:tcW w:w="4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(0.5)</w:t>
            </w:r>
          </w:p>
        </w:tc>
        <w:tc>
          <w:tcPr>
            <w:tcW w:w="460" w:type="dxa"/>
            <w:vAlign w:val="bottom"/>
          </w:tcPr>
          <w:p>
            <w:pPr>
              <w:spacing w:after="0"/>
              <w:rPr>
                <w:sz w:val="16"/>
                <w:szCs w:val="16"/>
                <w:color w:val="auto"/>
              </w:rPr>
            </w:pPr>
          </w:p>
        </w:tc>
        <w:tc>
          <w:tcPr>
            <w:tcW w:w="3540" w:type="dxa"/>
            <w:vAlign w:val="bottom"/>
            <w:gridSpan w:val="2"/>
          </w:tcPr>
          <w:p>
            <w:pPr>
              <w:jc w:val="right"/>
              <w:ind w:right="2860"/>
              <w:spacing w:after="0"/>
              <w:rPr>
                <w:sz w:val="20"/>
                <w:szCs w:val="20"/>
                <w:color w:val="auto"/>
              </w:rPr>
            </w:pPr>
            <w:r>
              <w:rPr>
                <w:rFonts w:ascii="Arial" w:cs="Arial" w:eastAsia="Arial" w:hAnsi="Arial"/>
                <w:sz w:val="16"/>
                <w:szCs w:val="16"/>
                <w:color w:val="auto"/>
              </w:rPr>
              <w:t>2.0</w:t>
            </w:r>
          </w:p>
        </w:tc>
      </w:tr>
      <w:tr>
        <w:trPr>
          <w:trHeight w:val="24"/>
        </w:trPr>
        <w:tc>
          <w:tcPr>
            <w:tcW w:w="60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6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10.3</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3540" w:type="dxa"/>
            <w:vAlign w:val="bottom"/>
            <w:gridSpan w:val="2"/>
            <w:shd w:val="clear" w:color="auto" w:fill="CCEEFF"/>
          </w:tcPr>
          <w:p>
            <w:pPr>
              <w:jc w:val="right"/>
              <w:ind w:right="2860"/>
              <w:spacing w:after="0"/>
              <w:rPr>
                <w:sz w:val="20"/>
                <w:szCs w:val="20"/>
                <w:color w:val="auto"/>
              </w:rPr>
            </w:pPr>
            <w:r>
              <w:rPr>
                <w:rFonts w:ascii="Arial" w:cs="Arial" w:eastAsia="Arial" w:hAnsi="Arial"/>
                <w:sz w:val="16"/>
                <w:szCs w:val="16"/>
                <w:color w:val="auto"/>
              </w:rPr>
              <w:t>11.3</w:t>
            </w:r>
          </w:p>
        </w:tc>
      </w:tr>
      <w:tr>
        <w:trPr>
          <w:trHeight w:val="525"/>
        </w:trPr>
        <w:tc>
          <w:tcPr>
            <w:tcW w:w="6080" w:type="dxa"/>
            <w:vAlign w:val="bottom"/>
            <w:tcBorders>
              <w:top w:val="single" w:sz="8" w:color="CCEEFF"/>
              <w:bottom w:val="single" w:sz="8" w:color="808080"/>
            </w:tcBorders>
          </w:tcPr>
          <w:p>
            <w:pPr>
              <w:spacing w:after="0"/>
              <w:rPr>
                <w:sz w:val="24"/>
                <w:szCs w:val="24"/>
                <w:color w:val="auto"/>
              </w:rPr>
            </w:pPr>
          </w:p>
        </w:tc>
        <w:tc>
          <w:tcPr>
            <w:tcW w:w="480" w:type="dxa"/>
            <w:vAlign w:val="bottom"/>
            <w:tcBorders>
              <w:top w:val="single" w:sz="8" w:color="auto"/>
              <w:bottom w:val="single" w:sz="8" w:color="808080"/>
            </w:tcBorders>
          </w:tcPr>
          <w:p>
            <w:pPr>
              <w:spacing w:after="0"/>
              <w:rPr>
                <w:sz w:val="24"/>
                <w:szCs w:val="24"/>
                <w:color w:val="auto"/>
              </w:rPr>
            </w:pPr>
          </w:p>
        </w:tc>
        <w:tc>
          <w:tcPr>
            <w:tcW w:w="66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6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337" w:right="219" w:bottom="1440" w:gutter="0" w:footer="0" w:header="0"/>
        </w:sectPr>
      </w:pPr>
    </w:p>
    <w:bookmarkStart w:id="7" w:name="page8"/>
    <w:bookmarkEnd w:id="7"/>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6"/>
                <w:szCs w:val="16"/>
                <w:b w:val="1"/>
                <w:bCs w:val="1"/>
                <w:color w:val="auto"/>
                <w:w w:val="95"/>
              </w:rPr>
              <w:t>Six Months Ended June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9,809.6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10,303.1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8,183.1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8,594.0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1,626.5</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1,709.1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1,444.0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1,520.9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23.1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165.1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83.9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-18.3%</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81.2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1.19</w:t>
            </w:r>
          </w:p>
        </w:tc>
        <w:tc>
          <w:tcPr>
            <w:tcW w:w="220" w:type="dxa"/>
            <w:vAlign w:val="bottom"/>
          </w:tcPr>
          <w:p>
            <w:pPr>
              <w:spacing w:after="0"/>
              <w:rPr>
                <w:sz w:val="15"/>
                <w:szCs w:val="15"/>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1.01</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17.8%</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1.01</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15.8%</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77.3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80.1</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-3.6%</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78.6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80.8</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-2.7%</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200" w:hanging="4"/>
        <w:spacing w:after="0" w:line="264" w:lineRule="auto"/>
        <w:tabs>
          <w:tab w:leader="none" w:pos="222"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$11.4 million and $11.5 million for the six months ended June 30, 2013 and 2012, respectively. These fees are primarily based on revenues generated by the franchise offices, which were $507.0 million and $523.9 million for the six months ended June 30, 2013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352425</wp:posOffset>
            </wp:positionV>
            <wp:extent cx="72669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69" w:right="219" w:bottom="1440" w:gutter="0" w:footer="0" w:header="0"/>
        </w:sectPr>
      </w:pPr>
    </w:p>
    <w:bookmarkStart w:id="8" w:name="page9"/>
    <w:bookmarkEnd w:id="8"/>
    <w:p>
      <w:pPr>
        <w:jc w:val="center"/>
        <w:ind w:right="156"/>
        <w:spacing w:after="0"/>
        <w:rPr>
          <w:sz w:val="20"/>
          <w:szCs w:val="20"/>
          <w:color w:val="auto"/>
        </w:rPr>
      </w:pPr>
      <w:r>
        <w:rPr>
          <w:rFonts w:ascii="Arial" w:cs="Arial" w:eastAsia="Arial" w:hAnsi="Arial"/>
          <w:sz w:val="19"/>
          <w:szCs w:val="19"/>
          <w:color w:val="auto"/>
        </w:rPr>
        <w:t>ManpowerGroup</w:t>
      </w:r>
    </w:p>
    <w:p>
      <w:pPr>
        <w:spacing w:after="0" w:line="13"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780" w:type="dxa"/>
            <w:vAlign w:val="bottom"/>
            <w:gridSpan w:val="2"/>
          </w:tcPr>
          <w:p>
            <w:pPr>
              <w:jc w:val="right"/>
              <w:ind w:right="60"/>
              <w:spacing w:after="0"/>
              <w:rPr>
                <w:sz w:val="20"/>
                <w:szCs w:val="20"/>
                <w:color w:val="auto"/>
              </w:rPr>
            </w:pPr>
            <w:r>
              <w:rPr>
                <w:rFonts w:ascii="Arial" w:cs="Arial" w:eastAsia="Arial" w:hAnsi="Arial"/>
                <w:sz w:val="16"/>
                <w:szCs w:val="16"/>
                <w:color w:val="auto"/>
              </w:rPr>
              <w:t>Operating Unit Results</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780" w:type="dxa"/>
            <w:vAlign w:val="bottom"/>
            <w:gridSpan w:val="2"/>
          </w:tcPr>
          <w:p>
            <w:pPr>
              <w:jc w:val="right"/>
              <w:ind w:right="400"/>
              <w:spacing w:after="0"/>
              <w:rPr>
                <w:sz w:val="20"/>
                <w:szCs w:val="20"/>
                <w:color w:val="auto"/>
              </w:rPr>
            </w:pPr>
            <w:r>
              <w:rPr>
                <w:rFonts w:ascii="Arial" w:cs="Arial" w:eastAsia="Arial" w:hAnsi="Arial"/>
                <w:sz w:val="16"/>
                <w:szCs w:val="16"/>
                <w:color w:val="auto"/>
              </w:rPr>
              <w:t>(In millions)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gridSpan w:val="4"/>
            <w:vMerge w:val="restart"/>
          </w:tcPr>
          <w:p>
            <w:pPr>
              <w:jc w:val="right"/>
              <w:ind w:right="560"/>
              <w:spacing w:after="0"/>
              <w:rPr>
                <w:sz w:val="20"/>
                <w:szCs w:val="20"/>
                <w:color w:val="auto"/>
              </w:rPr>
            </w:pPr>
            <w:r>
              <w:rPr>
                <w:rFonts w:ascii="Arial" w:cs="Arial" w:eastAsia="Arial" w:hAnsi="Arial"/>
                <w:sz w:val="16"/>
                <w:szCs w:val="16"/>
                <w:b w:val="1"/>
                <w:bCs w:val="1"/>
                <w:color w:val="auto"/>
                <w:w w:val="95"/>
              </w:rPr>
              <w:t>Six Months Ended June 30</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vMerge w:val="continue"/>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2"/>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w w:val="95"/>
              </w:rPr>
              <w:t>2013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40"/>
              <w:spacing w:after="0"/>
              <w:rPr>
                <w:sz w:val="20"/>
                <w:szCs w:val="20"/>
                <w:color w:val="auto"/>
              </w:rPr>
            </w:pPr>
            <w:r>
              <w:rPr>
                <w:rFonts w:ascii="Arial" w:cs="Arial" w:eastAsia="Arial" w:hAnsi="Arial"/>
                <w:sz w:val="16"/>
                <w:szCs w:val="16"/>
                <w:color w:val="auto"/>
              </w:rPr>
              <w:t>Americas:</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 (b)</w:t>
            </w:r>
          </w:p>
        </w:tc>
        <w:tc>
          <w:tcPr>
            <w:tcW w:w="2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1,454.6</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1,499.0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774.1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791.7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2,290.7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Borders>
              <w:top w:val="single" w:sz="8" w:color="CCEEFF"/>
            </w:tcBorders>
          </w:tcPr>
          <w:p>
            <w:pPr>
              <w:ind w:left="60"/>
              <w:spacing w:after="0"/>
              <w:rPr>
                <w:sz w:val="20"/>
                <w:szCs w:val="20"/>
                <w:color w:val="auto"/>
              </w:rPr>
            </w:pPr>
            <w:r>
              <w:rPr>
                <w:rFonts w:ascii="Arial" w:cs="Arial" w:eastAsia="Arial" w:hAnsi="Arial"/>
                <w:sz w:val="16"/>
                <w:szCs w:val="16"/>
                <w:color w:val="auto"/>
              </w:rPr>
              <w:t>Southern Europe:</w:t>
            </w:r>
          </w:p>
        </w:tc>
        <w:tc>
          <w:tcPr>
            <w:tcW w:w="242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2,465.8</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2,719.4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220"/>
              <w:spacing w:after="0"/>
              <w:rPr>
                <w:sz w:val="20"/>
                <w:szCs w:val="20"/>
                <w:color w:val="auto"/>
              </w:rPr>
            </w:pPr>
            <w:r>
              <w:rPr>
                <w:rFonts w:ascii="Arial" w:cs="Arial" w:eastAsia="Arial" w:hAnsi="Arial"/>
                <w:sz w:val="16"/>
                <w:szCs w:val="16"/>
                <w:color w:val="auto"/>
              </w:rPr>
              <w:t>Italy</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536.3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541.5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Southern Europe</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385.3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3,398.5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3,646.2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Northern Europe</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2,769.1</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2,859.8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40"/>
              <w:spacing w:after="0"/>
              <w:rPr>
                <w:sz w:val="20"/>
                <w:szCs w:val="20"/>
                <w:color w:val="auto"/>
              </w:rPr>
            </w:pPr>
            <w:r>
              <w:rPr>
                <w:rFonts w:ascii="Arial" w:cs="Arial" w:eastAsia="Arial" w:hAnsi="Arial"/>
                <w:sz w:val="16"/>
                <w:szCs w:val="16"/>
                <w:color w:val="auto"/>
              </w:rPr>
              <w:t>APME</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1,255.8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1,342.9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Right Management</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163.5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9,809.6</w:t>
            </w:r>
          </w:p>
        </w:tc>
        <w:tc>
          <w:tcPr>
            <w:tcW w:w="2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10,303.1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Operating Unit Profit (Loss): (a)</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Americas:</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38.0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14.6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160.6%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Americas</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40.4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45.0%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60"/>
              <w:spacing w:after="0"/>
              <w:rPr>
                <w:sz w:val="20"/>
                <w:szCs w:val="20"/>
                <w:color w:val="auto"/>
              </w:rPr>
            </w:pPr>
            <w:r>
              <w:rPr>
                <w:rFonts w:ascii="Arial" w:cs="Arial" w:eastAsia="Arial" w:hAnsi="Arial"/>
                <w:sz w:val="16"/>
                <w:szCs w:val="16"/>
                <w:color w:val="auto"/>
              </w:rPr>
              <w:t>Southern Europe:</w:t>
            </w:r>
          </w:p>
        </w:tc>
        <w:tc>
          <w:tcPr>
            <w:tcW w:w="242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220"/>
              <w:spacing w:after="0"/>
              <w:rPr>
                <w:sz w:val="20"/>
                <w:szCs w:val="20"/>
                <w:color w:val="auto"/>
              </w:rPr>
            </w:pPr>
            <w:r>
              <w:rPr>
                <w:rFonts w:ascii="Arial" w:cs="Arial" w:eastAsia="Arial" w:hAnsi="Arial"/>
                <w:sz w:val="16"/>
                <w:szCs w:val="16"/>
                <w:color w:val="auto"/>
              </w:rPr>
              <w:t>France</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70.6</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57.5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22.7%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Italy</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26.4</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220"/>
              <w:spacing w:after="0"/>
              <w:rPr>
                <w:sz w:val="20"/>
                <w:szCs w:val="20"/>
                <w:color w:val="auto"/>
              </w:rPr>
            </w:pPr>
            <w:r>
              <w:rPr>
                <w:rFonts w:ascii="Arial" w:cs="Arial" w:eastAsia="Arial" w:hAnsi="Arial"/>
                <w:sz w:val="16"/>
                <w:szCs w:val="16"/>
                <w:color w:val="auto"/>
              </w:rPr>
              <w:t>Other Southern Europe</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6.5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-45.7%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91.1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83.1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-47.3%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APME</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35.0</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6"/>
                <w:szCs w:val="16"/>
                <w:color w:val="auto"/>
              </w:rPr>
              <w:t>Right Management</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(0.4)</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255.6</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Corporate expenses</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(48.0)</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(49.2)</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amortization expense</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(16.8)</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(18.2)</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220"/>
              <w:spacing w:after="0"/>
              <w:rPr>
                <w:sz w:val="20"/>
                <w:szCs w:val="20"/>
                <w:color w:val="auto"/>
              </w:rPr>
            </w:pPr>
            <w:r>
              <w:rPr>
                <w:rFonts w:ascii="Arial" w:cs="Arial" w:eastAsia="Arial" w:hAnsi="Arial"/>
                <w:sz w:val="16"/>
                <w:szCs w:val="16"/>
                <w:color w:val="auto"/>
              </w:rPr>
              <w:t>Operating profit</w:t>
            </w: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182.5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188.2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Interest and other expenses (c)</w:t>
            </w:r>
          </w:p>
        </w:tc>
        <w:tc>
          <w:tcPr>
            <w:tcW w:w="2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(21.8)</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(23.1)</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Pr>
          <w:p>
            <w:pPr>
              <w:ind w:left="220"/>
              <w:spacing w:after="0"/>
              <w:rPr>
                <w:sz w:val="20"/>
                <w:szCs w:val="20"/>
                <w:color w:val="auto"/>
              </w:rPr>
            </w:pPr>
            <w:r>
              <w:rPr>
                <w:rFonts w:ascii="Arial" w:cs="Arial" w:eastAsia="Arial" w:hAnsi="Arial"/>
                <w:sz w:val="16"/>
                <w:szCs w:val="16"/>
                <w:color w:val="auto"/>
              </w:rPr>
              <w:t>Earnings before income taxes</w:t>
            </w:r>
          </w:p>
        </w:tc>
        <w:tc>
          <w:tcPr>
            <w:tcW w:w="2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160.7</w:t>
            </w:r>
          </w:p>
        </w:tc>
        <w:tc>
          <w:tcPr>
            <w:tcW w:w="2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165.1</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220" w:hanging="4"/>
        <w:spacing w:after="0" w:line="276" w:lineRule="auto"/>
        <w:tabs>
          <w:tab w:leader="none" w:pos="222" w:val="left"/>
        </w:tabs>
        <w:numPr>
          <w:ilvl w:val="0"/>
          <w:numId w:val="4"/>
        </w:numPr>
        <w:rPr>
          <w:rFonts w:ascii="Arial" w:cs="Arial" w:eastAsia="Arial" w:hAnsi="Arial"/>
          <w:sz w:val="15"/>
          <w:szCs w:val="15"/>
          <w:color w:val="auto"/>
        </w:rPr>
      </w:pPr>
      <w:r>
        <w:rPr>
          <w:rFonts w:ascii="Arial" w:cs="Arial" w:eastAsia="Arial" w:hAnsi="Arial"/>
          <w:sz w:val="15"/>
          <w:szCs w:val="15"/>
          <w:color w:val="auto"/>
        </w:rPr>
        <w:t>On a consolidated basis, the French business tax is reported in provision for income taxes, in accordance with the current accounting guidance on income taxes. Prior to the second quarter of 2013, we internally reviewed the financial results of our French operations including the French business tax within OUP given the operational nature of these taxes. While we continue to view this tax as operational, during the second quarter of 2013 we changed our internal reporting to exclude the French business tax from the OUP of our France reportable segment. Therefore our France reportable segment OUP now excludes the business tax and we no longer need to show the business tax amount separately to reconcile to the consolidated results. All previously reported segment results have been restated to conform to the current year presentation. This change in segment reporting has no impact on our reporting of consolidated results.</w:t>
      </w:r>
    </w:p>
    <w:p>
      <w:pPr>
        <w:spacing w:after="0" w:line="155" w:lineRule="exact"/>
        <w:rPr>
          <w:rFonts w:ascii="Arial" w:cs="Arial" w:eastAsia="Arial" w:hAnsi="Arial"/>
          <w:sz w:val="15"/>
          <w:szCs w:val="15"/>
          <w:color w:val="auto"/>
        </w:rPr>
      </w:pPr>
    </w:p>
    <w:p>
      <w:pPr>
        <w:ind w:left="4" w:right="320" w:hanging="4"/>
        <w:spacing w:after="0" w:line="264" w:lineRule="auto"/>
        <w:tabs>
          <w:tab w:leader="none" w:pos="231"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$7.0 million for both the six months ended June 30, 2013 and 2012. These fees are primarily based on revenues generated by the franchise offices, which were $330.4 million and $345.0 million for the six months ended June 30, 2013 and 2012, respectively.</w:t>
      </w:r>
    </w:p>
    <w:p>
      <w:pPr>
        <w:spacing w:after="0" w:line="185" w:lineRule="exact"/>
        <w:rPr>
          <w:rFonts w:ascii="Arial" w:cs="Arial" w:eastAsia="Arial" w:hAnsi="Arial"/>
          <w:sz w:val="16"/>
          <w:szCs w:val="16"/>
          <w:color w:val="auto"/>
        </w:rPr>
      </w:pPr>
    </w:p>
    <w:p>
      <w:pPr>
        <w:ind w:left="224" w:hanging="224"/>
        <w:spacing w:after="0"/>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9"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21.0</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3540" w:type="dxa"/>
            <w:vAlign w:val="bottom"/>
            <w:gridSpan w:val="2"/>
            <w:shd w:val="clear" w:color="auto" w:fill="CCEEFF"/>
          </w:tcPr>
          <w:p>
            <w:pPr>
              <w:jc w:val="right"/>
              <w:ind w:right="2860"/>
              <w:spacing w:after="0"/>
              <w:rPr>
                <w:sz w:val="20"/>
                <w:szCs w:val="20"/>
                <w:color w:val="auto"/>
              </w:rPr>
            </w:pPr>
            <w:r>
              <w:rPr>
                <w:rFonts w:ascii="Arial" w:cs="Arial" w:eastAsia="Arial" w:hAnsi="Arial"/>
                <w:sz w:val="16"/>
                <w:szCs w:val="16"/>
                <w:color w:val="auto"/>
              </w:rPr>
              <w:t>20.8</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4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(1.8)</w:t>
            </w:r>
          </w:p>
        </w:tc>
        <w:tc>
          <w:tcPr>
            <w:tcW w:w="460" w:type="dxa"/>
            <w:vAlign w:val="bottom"/>
          </w:tcPr>
          <w:p>
            <w:pPr>
              <w:spacing w:after="0"/>
              <w:rPr>
                <w:sz w:val="16"/>
                <w:szCs w:val="16"/>
                <w:color w:val="auto"/>
              </w:rPr>
            </w:pPr>
          </w:p>
        </w:tc>
        <w:tc>
          <w:tcPr>
            <w:tcW w:w="3540" w:type="dxa"/>
            <w:vAlign w:val="bottom"/>
            <w:gridSpan w:val="2"/>
          </w:tcPr>
          <w:p>
            <w:pPr>
              <w:jc w:val="right"/>
              <w:ind w:right="2820"/>
              <w:spacing w:after="0"/>
              <w:rPr>
                <w:sz w:val="20"/>
                <w:szCs w:val="20"/>
                <w:color w:val="auto"/>
              </w:rPr>
            </w:pPr>
            <w:r>
              <w:rPr>
                <w:rFonts w:ascii="Arial" w:cs="Arial" w:eastAsia="Arial" w:hAnsi="Arial"/>
                <w:sz w:val="16"/>
                <w:szCs w:val="16"/>
                <w:color w:val="auto"/>
              </w:rPr>
              <w:t>(3.2)</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losses</w:t>
            </w:r>
          </w:p>
        </w:tc>
        <w:tc>
          <w:tcPr>
            <w:tcW w:w="4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w:t>
            </w:r>
          </w:p>
        </w:tc>
        <w:tc>
          <w:tcPr>
            <w:tcW w:w="46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jc w:val="right"/>
              <w:ind w:right="2860"/>
              <w:spacing w:after="0"/>
              <w:rPr>
                <w:sz w:val="20"/>
                <w:szCs w:val="20"/>
                <w:color w:val="auto"/>
              </w:rPr>
            </w:pPr>
            <w:r>
              <w:rPr>
                <w:rFonts w:ascii="Arial" w:cs="Arial" w:eastAsia="Arial" w:hAnsi="Arial"/>
                <w:sz w:val="16"/>
                <w:szCs w:val="16"/>
                <w:color w:val="auto"/>
              </w:rPr>
              <w:t>0.3</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expenses, net</w:t>
            </w:r>
          </w:p>
        </w:tc>
        <w:tc>
          <w:tcPr>
            <w:tcW w:w="4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0.8</w:t>
            </w:r>
          </w:p>
        </w:tc>
        <w:tc>
          <w:tcPr>
            <w:tcW w:w="460" w:type="dxa"/>
            <w:vAlign w:val="bottom"/>
          </w:tcPr>
          <w:p>
            <w:pPr>
              <w:spacing w:after="0"/>
              <w:rPr>
                <w:sz w:val="16"/>
                <w:szCs w:val="16"/>
                <w:color w:val="auto"/>
              </w:rPr>
            </w:pPr>
          </w:p>
        </w:tc>
        <w:tc>
          <w:tcPr>
            <w:tcW w:w="3540" w:type="dxa"/>
            <w:vAlign w:val="bottom"/>
            <w:gridSpan w:val="2"/>
          </w:tcPr>
          <w:p>
            <w:pPr>
              <w:jc w:val="right"/>
              <w:ind w:right="2860"/>
              <w:spacing w:after="0"/>
              <w:rPr>
                <w:sz w:val="20"/>
                <w:szCs w:val="20"/>
                <w:color w:val="auto"/>
              </w:rPr>
            </w:pPr>
            <w:r>
              <w:rPr>
                <w:rFonts w:ascii="Arial" w:cs="Arial" w:eastAsia="Arial" w:hAnsi="Arial"/>
                <w:sz w:val="16"/>
                <w:szCs w:val="16"/>
                <w:color w:val="auto"/>
              </w:rPr>
              <w:t>5.2</w:t>
            </w:r>
          </w:p>
        </w:tc>
      </w:tr>
      <w:tr>
        <w:trPr>
          <w:trHeight w:val="24"/>
        </w:trPr>
        <w:tc>
          <w:tcPr>
            <w:tcW w:w="60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6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21.8</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3540" w:type="dxa"/>
            <w:vAlign w:val="bottom"/>
            <w:gridSpan w:val="2"/>
            <w:shd w:val="clear" w:color="auto" w:fill="CCEEFF"/>
          </w:tcPr>
          <w:p>
            <w:pPr>
              <w:jc w:val="right"/>
              <w:ind w:right="2860"/>
              <w:spacing w:after="0"/>
              <w:rPr>
                <w:sz w:val="20"/>
                <w:szCs w:val="20"/>
                <w:color w:val="auto"/>
              </w:rPr>
            </w:pPr>
            <w:r>
              <w:rPr>
                <w:rFonts w:ascii="Arial" w:cs="Arial" w:eastAsia="Arial" w:hAnsi="Arial"/>
                <w:sz w:val="16"/>
                <w:szCs w:val="16"/>
                <w:color w:val="auto"/>
              </w:rPr>
              <w:t>23.1</w:t>
            </w:r>
          </w:p>
        </w:tc>
      </w:tr>
      <w:tr>
        <w:trPr>
          <w:trHeight w:val="525"/>
        </w:trPr>
        <w:tc>
          <w:tcPr>
            <w:tcW w:w="6080" w:type="dxa"/>
            <w:vAlign w:val="bottom"/>
            <w:tcBorders>
              <w:top w:val="single" w:sz="8" w:color="CCEEFF"/>
              <w:bottom w:val="single" w:sz="8" w:color="808080"/>
            </w:tcBorders>
          </w:tcPr>
          <w:p>
            <w:pPr>
              <w:spacing w:after="0"/>
              <w:rPr>
                <w:sz w:val="24"/>
                <w:szCs w:val="24"/>
                <w:color w:val="auto"/>
              </w:rPr>
            </w:pPr>
          </w:p>
        </w:tc>
        <w:tc>
          <w:tcPr>
            <w:tcW w:w="480" w:type="dxa"/>
            <w:vAlign w:val="bottom"/>
            <w:tcBorders>
              <w:top w:val="single" w:sz="8" w:color="auto"/>
              <w:bottom w:val="single" w:sz="8" w:color="808080"/>
            </w:tcBorders>
          </w:tcPr>
          <w:p>
            <w:pPr>
              <w:spacing w:after="0"/>
              <w:rPr>
                <w:sz w:val="24"/>
                <w:szCs w:val="24"/>
                <w:color w:val="auto"/>
              </w:rPr>
            </w:pPr>
          </w:p>
        </w:tc>
        <w:tc>
          <w:tcPr>
            <w:tcW w:w="66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6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337" w:right="21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 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Dec. 31</w:t>
            </w:r>
          </w:p>
        </w:tc>
      </w:tr>
      <w:tr>
        <w:trPr>
          <w:trHeight w:val="213"/>
        </w:trPr>
        <w:tc>
          <w:tcPr>
            <w:tcW w:w="8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5"/>
              </w:rPr>
              <w:t>2013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r>
      <w:tr>
        <w:trPr>
          <w:trHeight w:val="192"/>
        </w:trPr>
        <w:tc>
          <w:tcPr>
            <w:tcW w:w="8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Arial" w:cs="Arial" w:eastAsia="Arial" w:hAnsi="Arial"/>
                <w:sz w:val="16"/>
                <w:szCs w:val="16"/>
                <w:color w:val="auto"/>
                <w:w w:val="93"/>
              </w:rPr>
              <w:t>(Unaudited)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280.9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648.1</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4,172.0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4,179.0</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158.6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172.9</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Future income tax benefits</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60.6</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4,687.7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5,060.6</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Goodwill and other intangible assets, net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1,360.3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1,371.9</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451.0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395.3</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1,811.3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1,767.2</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Property and equipment:</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Land, buildings, leasehold improvements and equipment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704.1</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Less: accumulated depreciation and amortization</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520.0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519.3</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property and equipment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184.8</w:t>
            </w:r>
          </w:p>
        </w:tc>
      </w:tr>
      <w:tr>
        <w:trPr>
          <w:trHeight w:val="24"/>
        </w:trPr>
        <w:tc>
          <w:tcPr>
            <w:tcW w:w="8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882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6,673.3</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7,012.6</w:t>
            </w:r>
          </w:p>
        </w:tc>
      </w:tr>
      <w:tr>
        <w:trPr>
          <w:trHeight w:val="20"/>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88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1,505.0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1,466.5</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Employee compensation payable</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178.9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210.7</w:t>
            </w:r>
          </w:p>
        </w:tc>
      </w:tr>
      <w:tr>
        <w:trPr>
          <w:trHeight w:val="192"/>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Accrued liabilities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533.8</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Accrued payroll taxes and insurance</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629.2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685.7</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455.6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472.5</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Short-term borrowings and current maturities of long-term debt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308.0</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3,321.1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3,677.2</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Long-term debt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462.1</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Other long-term liabilities</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364.2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372.5</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819.7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834.6</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Common stock</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Capital in excess of par value</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2,903.1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2,873.2</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1,101.5</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Accumulated other comprehensive (loss) income</w:t>
            </w:r>
          </w:p>
        </w:tc>
        <w:tc>
          <w:tcPr>
            <w:tcW w:w="1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34.4</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Treasury stock, at cost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(1,506.9)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(1,509.4)</w:t>
            </w:r>
          </w:p>
        </w:tc>
      </w:tr>
      <w:tr>
        <w:trPr>
          <w:trHeight w:val="24"/>
        </w:trPr>
        <w:tc>
          <w:tcPr>
            <w:tcW w:w="8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8820" w:type="dxa"/>
            <w:vAlign w:val="bottom"/>
          </w:tcPr>
          <w:p>
            <w:pPr>
              <w:ind w:left="240"/>
              <w:spacing w:after="0"/>
              <w:rPr>
                <w:sz w:val="20"/>
                <w:szCs w:val="20"/>
                <w:color w:val="auto"/>
              </w:rPr>
            </w:pPr>
            <w:r>
              <w:rPr>
                <w:rFonts w:ascii="Arial" w:cs="Arial" w:eastAsia="Arial" w:hAnsi="Arial"/>
                <w:sz w:val="16"/>
                <w:szCs w:val="16"/>
                <w:color w:val="auto"/>
              </w:rPr>
              <w:t>Total shareholders' equity</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2,532.5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2,500.8</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2"/>
        </w:trPr>
        <w:tc>
          <w:tcPr>
            <w:tcW w:w="8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6,673.3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7,012.6</w:t>
            </w:r>
          </w:p>
        </w:tc>
      </w:tr>
      <w:tr>
        <w:trPr>
          <w:trHeight w:val="573"/>
        </w:trPr>
        <w:tc>
          <w:tcPr>
            <w:tcW w:w="882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102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92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253" w:right="219" w:bottom="1440" w:gutter="0" w:footer="0" w:header="0"/>
        </w:sectPr>
      </w:pPr>
    </w:p>
    <w:bookmarkStart w:id="10" w:name="page11"/>
    <w:bookmarkEnd w:id="10"/>
    <w:p>
      <w:pPr>
        <w:jc w:val="center"/>
        <w:ind w:right="14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Consolidated Statements of Cash Flows</w:t>
      </w:r>
    </w:p>
    <w:p>
      <w:pPr>
        <w:spacing w:after="0" w:line="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62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90"/>
              </w:rPr>
              <w:t>Six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gridSpan w:val="4"/>
          </w:tcPr>
          <w:p>
            <w:pPr>
              <w:jc w:val="center"/>
              <w:spacing w:after="0"/>
              <w:rPr>
                <w:sz w:val="20"/>
                <w:szCs w:val="20"/>
                <w:color w:val="auto"/>
              </w:rPr>
            </w:pPr>
            <w:r>
              <w:rPr>
                <w:rFonts w:ascii="Arial" w:cs="Arial" w:eastAsia="Arial" w:hAnsi="Arial"/>
                <w:sz w:val="16"/>
                <w:szCs w:val="16"/>
                <w:color w:val="auto"/>
                <w:w w:val="93"/>
              </w:rPr>
              <w:t>(Unaudited)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740" w:type="dxa"/>
            <w:vAlign w:val="bottom"/>
          </w:tcPr>
          <w:p>
            <w:pPr>
              <w:jc w:val="right"/>
              <w:ind w:right="582"/>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92.1</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81.2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40"/>
              <w:spacing w:after="0"/>
              <w:rPr>
                <w:sz w:val="20"/>
                <w:szCs w:val="20"/>
                <w:color w:val="auto"/>
              </w:rPr>
            </w:pPr>
            <w:r>
              <w:rPr>
                <w:rFonts w:ascii="Arial" w:cs="Arial" w:eastAsia="Arial" w:hAnsi="Arial"/>
                <w:sz w:val="16"/>
                <w:szCs w:val="16"/>
                <w:color w:val="auto"/>
              </w:rPr>
              <w:t>cash used in operating activities:</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doubtful accounts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Excess tax benefit on exercise of share-based awards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Changes in operating assets and liabilities, excluding</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 impact of acquisitions: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w w:val="86"/>
              </w:rPr>
              <w:t>(119.0)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(127.7)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Other liabilities</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used in operating activities</w:t>
            </w:r>
          </w:p>
        </w:tc>
        <w:tc>
          <w:tcPr>
            <w:tcW w:w="7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Capital expenditures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sales of property and equipment</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ind w:left="460"/>
              <w:spacing w:after="0"/>
              <w:rPr>
                <w:sz w:val="20"/>
                <w:szCs w:val="20"/>
                <w:color w:val="auto"/>
              </w:rPr>
            </w:pPr>
            <w:r>
              <w:rPr>
                <w:rFonts w:ascii="Arial" w:cs="Arial" w:eastAsia="Arial" w:hAnsi="Arial"/>
                <w:sz w:val="16"/>
                <w:szCs w:val="16"/>
                <w:color w:val="auto"/>
              </w:rPr>
              <w:t>Cash used in investing activities</w:t>
            </w:r>
          </w:p>
        </w:tc>
        <w:tc>
          <w:tcPr>
            <w:tcW w:w="74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change in short-term borrowings</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long-term debt</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Repayments of long-term debt</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w w:val="86"/>
              </w:rPr>
              <w:t>(267.5)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(700.6)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share-based awards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Other share-based award transactions, net</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Repurchases of common stock</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Dividends paid</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used in financing activities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6"/>
              </w:rPr>
              <w:t>(247.3)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Change in cash and cash equivalents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6"/>
              </w:rPr>
              <w:t>(367.2)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648.1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580.5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280.9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Borders>
              <w:top w:val="single" w:sz="8" w:color="CCEEFF"/>
              <w:bottom w:val="single" w:sz="8" w:color="808080"/>
            </w:tcBorders>
          </w:tcPr>
          <w:p>
            <w:pPr>
              <w:spacing w:after="0"/>
              <w:rPr>
                <w:sz w:val="24"/>
                <w:szCs w:val="24"/>
                <w:color w:val="auto"/>
              </w:rPr>
            </w:pPr>
          </w:p>
        </w:tc>
        <w:tc>
          <w:tcPr>
            <w:tcW w:w="740" w:type="dxa"/>
            <w:vAlign w:val="bottom"/>
            <w:tcBorders>
              <w:top w:val="single" w:sz="8" w:color="auto"/>
              <w:bottom w:val="single" w:sz="8" w:color="808080"/>
            </w:tcBorders>
          </w:tcPr>
          <w:p>
            <w:pPr>
              <w:spacing w:after="0"/>
              <w:rPr>
                <w:sz w:val="24"/>
                <w:szCs w:val="24"/>
                <w:color w:val="auto"/>
              </w:rPr>
            </w:pPr>
          </w:p>
        </w:tc>
        <w:tc>
          <w:tcPr>
            <w:tcW w:w="40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320" w:type="dxa"/>
            <w:vAlign w:val="bottom"/>
            <w:tcBorders>
              <w:top w:val="single" w:sz="8" w:color="auto"/>
              <w:bottom w:val="single" w:sz="8" w:color="808080"/>
            </w:tcBorders>
          </w:tcPr>
          <w:p>
            <w:pPr>
              <w:spacing w:after="0"/>
              <w:rPr>
                <w:sz w:val="24"/>
                <w:szCs w:val="24"/>
                <w:color w:val="auto"/>
              </w:rPr>
            </w:pPr>
          </w:p>
        </w:tc>
        <w:tc>
          <w:tcPr>
            <w:tcW w:w="80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469" w:right="199" w:bottom="1440" w:gutter="0" w:footer="0" w:header="0"/>
        </w:sectPr>
      </w:pPr>
    </w:p>
    <w:bookmarkStart w:id="11" w:name="page12"/>
    <w:bookmarkEnd w:id="11"/>
    <w:p>
      <w:pPr>
        <w:ind w:left="9080"/>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35560</wp:posOffset>
            </wp:positionV>
            <wp:extent cx="7320280" cy="5883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0" w:num="1">
            <w:col w:w="10240"/>
          </w:cols>
          <w:pgMar w:left="1440" w:top="118" w:right="2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6036310</wp:posOffset>
            </wp:positionV>
            <wp:extent cx="726694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ind w:left="10340"/>
        <w:spacing w:after="0"/>
        <w:rPr>
          <w:sz w:val="20"/>
          <w:szCs w:val="20"/>
          <w:color w:val="auto"/>
        </w:rPr>
      </w:pPr>
      <w:r>
        <w:rPr>
          <w:rFonts w:ascii="Arial" w:cs="Arial" w:eastAsia="Arial" w:hAnsi="Arial"/>
          <w:sz w:val="17"/>
          <w:szCs w:val="17"/>
          <w:b w:val="1"/>
          <w:bCs w:val="1"/>
          <w:color w:val="auto"/>
        </w:rPr>
        <w:t>Exbhibit 99.3</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ManpowerGroup</w:t>
      </w:r>
    </w:p>
    <w:p>
      <w:pPr>
        <w:jc w:val="center"/>
        <w:spacing w:after="0"/>
        <w:rPr>
          <w:sz w:val="20"/>
          <w:szCs w:val="20"/>
          <w:color w:val="auto"/>
        </w:rPr>
      </w:pPr>
      <w:r>
        <w:rPr>
          <w:rFonts w:ascii="Arial" w:cs="Arial" w:eastAsia="Arial" w:hAnsi="Arial"/>
          <w:sz w:val="19"/>
          <w:szCs w:val="19"/>
          <w:color w:val="auto"/>
        </w:rPr>
        <w:t>Restated Operating Unit Results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millions)</w:t>
      </w:r>
    </w:p>
    <w:p>
      <w:pPr>
        <w:spacing w:after="0" w:line="197" w:lineRule="exact"/>
        <w:rPr>
          <w:sz w:val="20"/>
          <w:szCs w:val="20"/>
          <w:color w:val="auto"/>
        </w:rPr>
      </w:pPr>
    </w:p>
    <w:p>
      <w:pPr>
        <w:ind w:right="240"/>
        <w:spacing w:after="0" w:line="276" w:lineRule="auto"/>
        <w:rPr>
          <w:sz w:val="20"/>
          <w:szCs w:val="20"/>
          <w:color w:val="auto"/>
        </w:rPr>
      </w:pPr>
      <w:r>
        <w:rPr>
          <w:rFonts w:ascii="Arial" w:cs="Arial" w:eastAsia="Arial" w:hAnsi="Arial"/>
          <w:sz w:val="15"/>
          <w:szCs w:val="15"/>
          <w:color w:val="auto"/>
        </w:rPr>
        <w:t>On a consolidated basis, the French business tax is reported in provision for income taxes, in accordance with the current accounting guidance on income taxes. Prior to the second quarter of 2013, we internally reviewed the financial results of our French operations including the French business tax within Operating Unit Profit ("OUP") given the operational nature of these taxes. While we continue to view this tax as operational, during the second quarter of 2013 we changed our internal reporting to exclude the French business tax from the OUP of our France reportable segment. Therefore our France reportable segment OUP now excludes the business tax and we no longer need to show the business tax amount separately to reconcile to the consolidated results. All previously reported segment results have been restated to conform to the current year presentation. This change in segment reporting has no impact on our reporting of consolidated results.</w:t>
      </w:r>
    </w:p>
    <w:p>
      <w:pPr>
        <w:spacing w:after="0" w:line="15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15875</wp:posOffset>
            </wp:positionV>
            <wp:extent cx="284543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45435" cy="15240"/>
                    </a:xfrm>
                    <a:prstGeom prst="rect">
                      <a:avLst/>
                    </a:prstGeom>
                    <a:noFill/>
                  </pic:spPr>
                </pic:pic>
              </a:graphicData>
            </a:graphic>
          </wp:anchor>
        </w:drawing>
      </w:r>
    </w:p>
    <w:p>
      <w:pPr>
        <w:spacing w:after="0" w:line="12" w:lineRule="exact"/>
        <w:rPr>
          <w:sz w:val="20"/>
          <w:szCs w:val="20"/>
          <w:color w:val="auto"/>
        </w:rPr>
      </w:pPr>
    </w:p>
    <w:p>
      <w:pPr>
        <w:ind w:left="5580" w:hanging="192"/>
        <w:spacing w:after="0"/>
        <w:tabs>
          <w:tab w:leader="none" w:pos="55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Variance</w:t>
      </w:r>
    </w:p>
    <w:p>
      <w:pPr>
        <w:spacing w:after="0" w:line="32" w:lineRule="exact"/>
        <w:rPr>
          <w:rFonts w:ascii="Arial" w:cs="Arial" w:eastAsia="Arial" w:hAnsi="Arial"/>
          <w:sz w:val="16"/>
          <w:szCs w:val="16"/>
          <w:b w:val="1"/>
          <w:bCs w:val="1"/>
          <w:color w:val="auto"/>
        </w:rPr>
      </w:pPr>
    </w:p>
    <w:p>
      <w:pPr>
        <w:ind w:left="48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Amount</w:t>
      </w:r>
      <w:r>
        <w:rPr>
          <w:rFonts w:ascii="Arial" w:cs="Arial" w:eastAsia="Arial" w:hAnsi="Arial"/>
          <w:sz w:val="14"/>
          <w:szCs w:val="14"/>
          <w:b w:val="1"/>
          <w:bCs w:val="1"/>
          <w:color w:val="auto"/>
        </w:rPr>
        <w:t>Constant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-120650</wp:posOffset>
            </wp:positionV>
            <wp:extent cx="139573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95730" cy="1524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40" w:type="dxa"/>
            <w:vAlign w:val="bottom"/>
          </w:tcPr>
          <w:p>
            <w:pPr>
              <w:spacing w:after="0"/>
              <w:rPr>
                <w:sz w:val="17"/>
                <w:szCs w:val="17"/>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Currency</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2"/>
        </w:trPr>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tcPr>
          <w:p>
            <w:pPr>
              <w:jc w:val="right"/>
              <w:ind w:right="8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Americas: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706.1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735.8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6"/>
        </w:trPr>
        <w:tc>
          <w:tcPr>
            <w:tcW w:w="242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402.5</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-3.9%</w:t>
            </w: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1,093.0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1,138.3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2"/>
        </w:trPr>
        <w:tc>
          <w:tcPr>
            <w:tcW w:w="242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1,145.2</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1,291.8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420" w:type="dxa"/>
            <w:vAlign w:val="bottom"/>
          </w:tcPr>
          <w:p>
            <w:pPr>
              <w:ind w:left="240"/>
              <w:spacing w:after="0"/>
              <w:rPr>
                <w:sz w:val="20"/>
                <w:szCs w:val="20"/>
                <w:color w:val="auto"/>
              </w:rPr>
            </w:pPr>
            <w:r>
              <w:rPr>
                <w:rFonts w:ascii="Arial" w:cs="Arial" w:eastAsia="Arial" w:hAnsi="Arial"/>
                <w:sz w:val="16"/>
                <w:szCs w:val="16"/>
                <w:color w:val="auto"/>
              </w:rPr>
              <w:t>Italy</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257.9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267.5</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-3.6%</w:t>
            </w:r>
          </w:p>
        </w:tc>
        <w:tc>
          <w:tcPr>
            <w:tcW w:w="10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2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195.2</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196"/>
        </w:trPr>
        <w:tc>
          <w:tcPr>
            <w:tcW w:w="2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1,754.5</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-9.0%</w:t>
            </w:r>
          </w:p>
        </w:tc>
        <w:tc>
          <w:tcPr>
            <w:tcW w:w="106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2"/>
        </w:trPr>
        <w:tc>
          <w:tcPr>
            <w:tcW w:w="2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Northern Europe</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1,370.3</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1,444.0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420" w:type="dxa"/>
            <w:vAlign w:val="bottom"/>
          </w:tcPr>
          <w:p>
            <w:pPr>
              <w:ind w:left="120"/>
              <w:spacing w:after="0"/>
              <w:rPr>
                <w:sz w:val="20"/>
                <w:szCs w:val="20"/>
                <w:color w:val="auto"/>
              </w:rPr>
            </w:pPr>
            <w:r>
              <w:rPr>
                <w:rFonts w:ascii="Arial" w:cs="Arial" w:eastAsia="Arial" w:hAnsi="Arial"/>
                <w:sz w:val="16"/>
                <w:szCs w:val="16"/>
                <w:color w:val="auto"/>
              </w:rPr>
              <w:t>APME</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632.5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680.0</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-7.0%</w:t>
            </w: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Right Management</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192"/>
        </w:trPr>
        <w:tc>
          <w:tcPr>
            <w:tcW w:w="242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4,768.9</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5,096.4</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-6.4%</w:t>
            </w:r>
          </w:p>
        </w:tc>
        <w:tc>
          <w:tcPr>
            <w:tcW w:w="10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24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Unit Profit: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Americas: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6"/>
        </w:trPr>
        <w:tc>
          <w:tcPr>
            <w:tcW w:w="242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-43.1%</w:t>
            </w:r>
          </w:p>
        </w:tc>
        <w:tc>
          <w:tcPr>
            <w:tcW w:w="106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-27.4%</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2"/>
        </w:trPr>
        <w:tc>
          <w:tcPr>
            <w:tcW w:w="242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29.7</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420" w:type="dxa"/>
            <w:vAlign w:val="bottom"/>
          </w:tcPr>
          <w:p>
            <w:pPr>
              <w:ind w:left="240"/>
              <w:spacing w:after="0"/>
              <w:rPr>
                <w:sz w:val="20"/>
                <w:szCs w:val="20"/>
                <w:color w:val="auto"/>
              </w:rPr>
            </w:pPr>
            <w:r>
              <w:rPr>
                <w:rFonts w:ascii="Arial" w:cs="Arial" w:eastAsia="Arial" w:hAnsi="Arial"/>
                <w:sz w:val="16"/>
                <w:szCs w:val="16"/>
                <w:color w:val="auto"/>
              </w:rPr>
              <w:t>Italy</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14.5</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-19.5%</w:t>
            </w:r>
          </w:p>
        </w:tc>
        <w:tc>
          <w:tcPr>
            <w:tcW w:w="106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2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196"/>
        </w:trPr>
        <w:tc>
          <w:tcPr>
            <w:tcW w:w="2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7.1%</w:t>
            </w:r>
          </w:p>
        </w:tc>
        <w:tc>
          <w:tcPr>
            <w:tcW w:w="106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APME</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14.8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19.6</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-25.2%</w:t>
            </w:r>
          </w:p>
        </w:tc>
        <w:tc>
          <w:tcPr>
            <w:tcW w:w="106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2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192"/>
        </w:trPr>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87.2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129.1</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Corporate expenses</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(24.4)</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(26.3)</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0"/>
        </w:trPr>
        <w:tc>
          <w:tcPr>
            <w:tcW w:w="2420" w:type="dxa"/>
            <w:vAlign w:val="bottom"/>
          </w:tcPr>
          <w:p>
            <w:pPr>
              <w:spacing w:after="0" w:line="180" w:lineRule="exact"/>
              <w:rPr>
                <w:sz w:val="20"/>
                <w:szCs w:val="20"/>
                <w:color w:val="auto"/>
              </w:rPr>
            </w:pPr>
            <w:r>
              <w:rPr>
                <w:rFonts w:ascii="Arial" w:cs="Arial" w:eastAsia="Arial" w:hAnsi="Arial"/>
                <w:sz w:val="16"/>
                <w:szCs w:val="16"/>
                <w:color w:val="auto"/>
              </w:rPr>
              <w:t>Intangible asset amortization</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9"/>
        </w:trPr>
        <w:tc>
          <w:tcPr>
            <w:tcW w:w="2420" w:type="dxa"/>
            <w:vAlign w:val="bottom"/>
          </w:tcPr>
          <w:p>
            <w:pPr>
              <w:spacing w:after="0"/>
              <w:rPr>
                <w:sz w:val="20"/>
                <w:szCs w:val="20"/>
                <w:color w:val="auto"/>
              </w:rPr>
            </w:pPr>
            <w:r>
              <w:rPr>
                <w:rFonts w:ascii="Arial" w:cs="Arial" w:eastAsia="Arial" w:hAnsi="Arial"/>
                <w:sz w:val="16"/>
                <w:szCs w:val="16"/>
                <w:color w:val="auto"/>
              </w:rPr>
              <w:t>expense</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(9.0)</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2"/>
        </w:trPr>
        <w:tc>
          <w:tcPr>
            <w:tcW w:w="2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profit</w:t>
            </w: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42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1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(11.5)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(11.8)</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2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2"/>
        </w:trPr>
        <w:tc>
          <w:tcPr>
            <w:tcW w:w="2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Earnings before income taxes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82.0</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376"/>
        </w:trPr>
        <w:tc>
          <w:tcPr>
            <w:tcW w:w="2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6"/>
                <w:szCs w:val="16"/>
                <w:b w:val="1"/>
                <w:bCs w:val="1"/>
                <w:color w:val="auto"/>
                <w:w w:val="94"/>
              </w:rPr>
              <w:t>Three Months Ended March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9"/>
              </w:rPr>
              <w:t>Three Months Ended June 30</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 Variance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r>
      <w:tr>
        <w:trPr>
          <w:trHeight w:val="176"/>
        </w:trPr>
        <w:tc>
          <w:tcPr>
            <w:tcW w:w="2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2"/>
              </w:rPr>
              <w:t>Amount</w:t>
            </w:r>
          </w:p>
        </w:tc>
        <w:tc>
          <w:tcPr>
            <w:tcW w:w="1060" w:type="dxa"/>
            <w:vAlign w:val="bottom"/>
          </w:tcPr>
          <w:p>
            <w:pPr>
              <w:ind w:left="220"/>
              <w:spacing w:after="0" w:line="176" w:lineRule="exact"/>
              <w:rPr>
                <w:sz w:val="20"/>
                <w:szCs w:val="20"/>
                <w:color w:val="auto"/>
              </w:rPr>
            </w:pPr>
            <w:r>
              <w:rPr>
                <w:rFonts w:ascii="Arial" w:cs="Arial" w:eastAsia="Arial" w:hAnsi="Arial"/>
                <w:sz w:val="16"/>
                <w:szCs w:val="16"/>
                <w:b w:val="1"/>
                <w:bCs w:val="1"/>
                <w:color w:val="auto"/>
              </w:rPr>
              <w:t>Constant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420"/>
              <w:spacing w:after="0" w:line="176" w:lineRule="exact"/>
              <w:rPr>
                <w:sz w:val="20"/>
                <w:szCs w:val="20"/>
                <w:color w:val="auto"/>
              </w:rPr>
            </w:pPr>
            <w:r>
              <w:rPr>
                <w:rFonts w:ascii="Arial" w:cs="Arial" w:eastAsia="Arial" w:hAnsi="Arial"/>
                <w:sz w:val="16"/>
                <w:szCs w:val="16"/>
                <w:b w:val="1"/>
                <w:bCs w:val="1"/>
                <w:color w:val="auto"/>
              </w:rPr>
              <w:t>Amount</w:t>
            </w:r>
          </w:p>
        </w:tc>
        <w:tc>
          <w:tcPr>
            <w:tcW w:w="900" w:type="dxa"/>
            <w:vAlign w:val="bottom"/>
          </w:tcPr>
          <w:p>
            <w:pPr>
              <w:ind w:left="14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r>
      <w:tr>
        <w:trPr>
          <w:trHeight w:val="213"/>
        </w:trPr>
        <w:tc>
          <w:tcPr>
            <w:tcW w:w="2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40" w:type="dxa"/>
            <w:vAlign w:val="bottom"/>
          </w:tcPr>
          <w:p>
            <w:pPr>
              <w:spacing w:after="0"/>
              <w:rPr>
                <w:sz w:val="18"/>
                <w:szCs w:val="18"/>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Currency</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Reported</w:t>
            </w:r>
          </w:p>
        </w:tc>
        <w:tc>
          <w:tcPr>
            <w:tcW w:w="240" w:type="dxa"/>
            <w:vAlign w:val="bottom"/>
          </w:tcPr>
          <w:p>
            <w:pPr>
              <w:spacing w:after="0"/>
              <w:rPr>
                <w:sz w:val="18"/>
                <w:szCs w:val="18"/>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r>
      <w:tr>
        <w:trPr>
          <w:trHeight w:val="192"/>
        </w:trPr>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tcPr>
          <w:p>
            <w:pPr>
              <w:jc w:val="right"/>
              <w:ind w:right="8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4"/>
          </w:tcPr>
          <w:p>
            <w:pPr>
              <w:jc w:val="right"/>
              <w:ind w:right="840"/>
              <w:spacing w:after="0"/>
              <w:rPr>
                <w:sz w:val="20"/>
                <w:szCs w:val="20"/>
                <w:color w:val="auto"/>
              </w:rPr>
            </w:pPr>
            <w:r>
              <w:rPr>
                <w:rFonts w:ascii="Arial" w:cs="Arial" w:eastAsia="Arial" w:hAnsi="Arial"/>
                <w:sz w:val="16"/>
                <w:szCs w:val="16"/>
                <w:color w:val="auto"/>
              </w:rPr>
              <w:t>(Unaudited)</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Americas: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735.8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750.9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763.2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r>
      <w:tr>
        <w:trPr>
          <w:trHeight w:val="196"/>
        </w:trPr>
        <w:tc>
          <w:tcPr>
            <w:tcW w:w="242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361.8</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11.3%</w:t>
            </w:r>
          </w:p>
        </w:tc>
        <w:tc>
          <w:tcPr>
            <w:tcW w:w="106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389.2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379.4</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12.0%</w:t>
            </w:r>
          </w:p>
        </w:tc>
      </w:tr>
      <w:tr>
        <w:trPr>
          <w:trHeight w:val="196"/>
        </w:trPr>
        <w:tc>
          <w:tcPr>
            <w:tcW w:w="2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1,112.7</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1,171.0</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192"/>
        </w:trPr>
        <w:tc>
          <w:tcPr>
            <w:tcW w:w="2420" w:type="dxa"/>
            <w:vAlign w:val="bottom"/>
          </w:tcPr>
          <w:p>
            <w:pPr>
              <w:ind w:left="80"/>
              <w:spacing w:after="0"/>
              <w:rPr>
                <w:sz w:val="20"/>
                <w:szCs w:val="20"/>
                <w:color w:val="auto"/>
              </w:rPr>
            </w:pPr>
            <w:r>
              <w:rPr>
                <w:rFonts w:ascii="Arial" w:cs="Arial" w:eastAsia="Arial" w:hAnsi="Arial"/>
                <w:sz w:val="16"/>
                <w:szCs w:val="16"/>
                <w:color w:val="auto"/>
              </w:rPr>
              <w:t>Southern Europe:</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1,291.8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1,353.8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1,644.0</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192"/>
        </w:trPr>
        <w:tc>
          <w:tcPr>
            <w:tcW w:w="2420" w:type="dxa"/>
            <w:vAlign w:val="bottom"/>
          </w:tcPr>
          <w:p>
            <w:pPr>
              <w:ind w:left="240"/>
              <w:spacing w:after="0"/>
              <w:rPr>
                <w:sz w:val="20"/>
                <w:szCs w:val="20"/>
                <w:color w:val="auto"/>
              </w:rPr>
            </w:pPr>
            <w:r>
              <w:rPr>
                <w:rFonts w:ascii="Arial" w:cs="Arial" w:eastAsia="Arial" w:hAnsi="Arial"/>
                <w:sz w:val="16"/>
                <w:szCs w:val="16"/>
                <w:color w:val="auto"/>
              </w:rPr>
              <w:t>Italy</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267.5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284.6</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-6.0%</w:t>
            </w: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274.0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344.9</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-20.6%</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-10.8%</w:t>
            </w:r>
          </w:p>
        </w:tc>
      </w:tr>
      <w:tr>
        <w:trPr>
          <w:trHeight w:val="196"/>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r>
      <w:tr>
        <w:trPr>
          <w:trHeight w:val="196"/>
        </w:trPr>
        <w:tc>
          <w:tcPr>
            <w:tcW w:w="24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1,754.5</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1,818.4</w:t>
            </w: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-3.5%</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1,891.7</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2,182.6</w:t>
            </w: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-13.3%</w:t>
            </w:r>
          </w:p>
        </w:tc>
        <w:tc>
          <w:tcPr>
            <w:tcW w:w="10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-2.7%</w:t>
            </w: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1,444.0</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1,456.6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1,566.3</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APME</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680.0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602.9</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12.8%</w:t>
            </w:r>
          </w:p>
        </w:tc>
        <w:tc>
          <w:tcPr>
            <w:tcW w:w="10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662.9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662.8</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0.0%</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r>
      <w:tr>
        <w:trPr>
          <w:trHeight w:val="24"/>
        </w:trPr>
        <w:tc>
          <w:tcPr>
            <w:tcW w:w="2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42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5,096.4</w:t>
            </w:r>
          </w:p>
        </w:tc>
        <w:tc>
          <w:tcPr>
            <w:tcW w:w="100" w:type="dxa"/>
            <w:vAlign w:val="bottom"/>
          </w:tcPr>
          <w:p>
            <w:pPr>
              <w:spacing w:after="0"/>
              <w:rPr>
                <w:sz w:val="16"/>
                <w:szCs w:val="16"/>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5,072.4</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0.5%</w:t>
            </w: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5,206.7</w:t>
            </w:r>
          </w:p>
        </w:tc>
        <w:tc>
          <w:tcPr>
            <w:tcW w:w="100" w:type="dxa"/>
            <w:vAlign w:val="bottom"/>
          </w:tcPr>
          <w:p>
            <w:pPr>
              <w:spacing w:after="0"/>
              <w:rPr>
                <w:sz w:val="16"/>
                <w:szCs w:val="16"/>
                <w:color w:val="auto"/>
              </w:rPr>
            </w:pP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5,667.3</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-8.1%</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r>
      <w:tr>
        <w:trPr>
          <w:trHeight w:val="20"/>
        </w:trPr>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24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Unit Profit (Loss):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Americas: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-71.6%</w:t>
            </w:r>
          </w:p>
        </w:tc>
      </w:tr>
      <w:tr>
        <w:trPr>
          <w:trHeight w:val="192"/>
        </w:trPr>
        <w:tc>
          <w:tcPr>
            <w:tcW w:w="242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19.7%</w:t>
            </w:r>
          </w:p>
        </w:tc>
        <w:tc>
          <w:tcPr>
            <w:tcW w:w="106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12.3</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-15.0%</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-8.3%</w:t>
            </w:r>
          </w:p>
        </w:tc>
      </w:tr>
      <w:tr>
        <w:trPr>
          <w:trHeight w:val="24"/>
        </w:trPr>
        <w:tc>
          <w:tcPr>
            <w:tcW w:w="2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-51.9%</w:t>
            </w:r>
          </w:p>
        </w:tc>
      </w:tr>
      <w:tr>
        <w:trPr>
          <w:trHeight w:val="192"/>
        </w:trPr>
        <w:tc>
          <w:tcPr>
            <w:tcW w:w="242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22.9</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-19.1%</w:t>
            </w:r>
          </w:p>
        </w:tc>
      </w:tr>
      <w:tr>
        <w:trPr>
          <w:trHeight w:val="192"/>
        </w:trPr>
        <w:tc>
          <w:tcPr>
            <w:tcW w:w="2420" w:type="dxa"/>
            <w:vAlign w:val="bottom"/>
          </w:tcPr>
          <w:p>
            <w:pPr>
              <w:ind w:left="240"/>
              <w:spacing w:after="0"/>
              <w:rPr>
                <w:sz w:val="20"/>
                <w:szCs w:val="20"/>
                <w:color w:val="auto"/>
              </w:rPr>
            </w:pPr>
            <w:r>
              <w:rPr>
                <w:rFonts w:ascii="Arial" w:cs="Arial" w:eastAsia="Arial" w:hAnsi="Arial"/>
                <w:sz w:val="16"/>
                <w:szCs w:val="16"/>
                <w:color w:val="auto"/>
              </w:rPr>
              <w:t>Italy</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14.5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12.9</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12.7%</w:t>
            </w:r>
          </w:p>
        </w:tc>
        <w:tc>
          <w:tcPr>
            <w:tcW w:w="106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22.4</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-43.6%</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-36.6%</w:t>
            </w: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26.3%</w:t>
            </w:r>
          </w:p>
        </w:tc>
      </w:tr>
      <w:tr>
        <w:trPr>
          <w:trHeight w:val="24"/>
        </w:trPr>
        <w:tc>
          <w:tcPr>
            <w:tcW w:w="2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ectPr>
          <w:pgSz w:w="11900" w:h="16838" w:orient="portrait"/>
          <w:cols w:equalWidth="0" w:num="1">
            <w:col w:w="11440"/>
          </w:cols>
          <w:pgMar w:left="240" w:top="331" w:right="219" w:bottom="0" w:gutter="0" w:footer="0" w:header="0"/>
        </w:sectPr>
      </w:pPr>
    </w:p>
    <w:bookmarkStart w:id="37" w:name="page38"/>
    <w:bookmarkEnd w:id="3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44.0</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-7.2%</w:t>
            </w: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50.2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73.4</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-31.3%</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-22.8%</w:t>
            </w:r>
          </w:p>
        </w:tc>
      </w:tr>
      <w:tr>
        <w:trPr>
          <w:trHeight w:val="24"/>
        </w:trPr>
        <w:tc>
          <w:tcPr>
            <w:tcW w:w="2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APME</w:t>
            </w: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19.6</w:t>
            </w:r>
          </w:p>
        </w:tc>
        <w:tc>
          <w:tcPr>
            <w:tcW w:w="2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16.5</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18.5%</w:t>
            </w:r>
          </w:p>
        </w:tc>
        <w:tc>
          <w:tcPr>
            <w:tcW w:w="106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18.9</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16.0%</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17.6%</w:t>
            </w: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N/A</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r>
      <w:tr>
        <w:trPr>
          <w:trHeight w:val="24"/>
        </w:trPr>
        <w:tc>
          <w:tcPr>
            <w:tcW w:w="24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129.1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127.2</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126.5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190.7</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Corporate expenses</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(26.3)</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(32.0)</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(30.5)</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0"/>
        </w:trPr>
        <w:tc>
          <w:tcPr>
            <w:tcW w:w="2420" w:type="dxa"/>
            <w:vAlign w:val="bottom"/>
          </w:tcPr>
          <w:p>
            <w:pPr>
              <w:spacing w:after="0" w:line="180" w:lineRule="exact"/>
              <w:rPr>
                <w:sz w:val="20"/>
                <w:szCs w:val="20"/>
                <w:color w:val="auto"/>
              </w:rPr>
            </w:pPr>
            <w:r>
              <w:rPr>
                <w:rFonts w:ascii="Arial" w:cs="Arial" w:eastAsia="Arial" w:hAnsi="Arial"/>
                <w:sz w:val="16"/>
                <w:szCs w:val="16"/>
                <w:color w:val="auto"/>
              </w:rPr>
              <w:t>Intangible asset amortization</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5"/>
        </w:trPr>
        <w:tc>
          <w:tcPr>
            <w:tcW w:w="2420" w:type="dxa"/>
            <w:vAlign w:val="bottom"/>
          </w:tcPr>
          <w:p>
            <w:pPr>
              <w:spacing w:after="0"/>
              <w:rPr>
                <w:sz w:val="20"/>
                <w:szCs w:val="20"/>
                <w:color w:val="auto"/>
              </w:rPr>
            </w:pPr>
            <w:r>
              <w:rPr>
                <w:rFonts w:ascii="Arial" w:cs="Arial" w:eastAsia="Arial" w:hAnsi="Arial"/>
                <w:sz w:val="16"/>
                <w:szCs w:val="16"/>
                <w:color w:val="auto"/>
              </w:rPr>
              <w:t>expense</w:t>
            </w: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(9.6)</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(9.4)</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
        </w:trPr>
        <w:tc>
          <w:tcPr>
            <w:tcW w:w="2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2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-30.5%</w:t>
            </w:r>
          </w:p>
        </w:tc>
      </w:tr>
      <w:tr>
        <w:trPr>
          <w:trHeight w:val="192"/>
        </w:trPr>
        <w:tc>
          <w:tcPr>
            <w:tcW w:w="242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(11.1)</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(11.8)</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2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2"/>
        </w:trPr>
        <w:tc>
          <w:tcPr>
            <w:tcW w:w="2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Earnings before income taxes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376"/>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6"/>
                <w:szCs w:val="16"/>
                <w:b w:val="1"/>
                <w:bCs w:val="1"/>
                <w:color w:val="auto"/>
                <w:w w:val="90"/>
              </w:rPr>
              <w:t>Six Months Ended June 30</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r>
      <w:tr>
        <w:trPr>
          <w:trHeight w:val="176"/>
        </w:trPr>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2"/>
              </w:rPr>
              <w:t>Amount</w:t>
            </w:r>
          </w:p>
        </w:tc>
        <w:tc>
          <w:tcPr>
            <w:tcW w:w="900" w:type="dxa"/>
            <w:vAlign w:val="bottom"/>
          </w:tcPr>
          <w:p>
            <w:pPr>
              <w:ind w:left="14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r>
      <w:tr>
        <w:trPr>
          <w:trHeight w:val="213"/>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40" w:type="dxa"/>
            <w:vAlign w:val="bottom"/>
          </w:tcPr>
          <w:p>
            <w:pPr>
              <w:spacing w:after="0"/>
              <w:rPr>
                <w:sz w:val="18"/>
                <w:szCs w:val="18"/>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r>
      <w:tr>
        <w:trPr>
          <w:trHeight w:val="192"/>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tcPr>
          <w:p>
            <w:pPr>
              <w:jc w:val="center"/>
              <w:ind w:right="300"/>
              <w:spacing w:after="0"/>
              <w:rPr>
                <w:sz w:val="20"/>
                <w:szCs w:val="20"/>
                <w:color w:val="auto"/>
              </w:rPr>
            </w:pPr>
            <w:r>
              <w:rPr>
                <w:rFonts w:ascii="Arial" w:cs="Arial" w:eastAsia="Arial" w:hAnsi="Arial"/>
                <w:sz w:val="16"/>
                <w:szCs w:val="16"/>
                <w:color w:val="auto"/>
                <w:w w:val="93"/>
              </w:rPr>
              <w:t>(Unaudited)</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Americas: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1,499.0</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1,542.5</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r>
      <w:tr>
        <w:trPr>
          <w:trHeight w:val="196"/>
        </w:trPr>
        <w:tc>
          <w:tcPr>
            <w:tcW w:w="242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791.7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741.2</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6.8%</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14.0%</w:t>
            </w:r>
          </w:p>
        </w:tc>
      </w:tr>
      <w:tr>
        <w:trPr>
          <w:trHeight w:val="196"/>
        </w:trPr>
        <w:tc>
          <w:tcPr>
            <w:tcW w:w="2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2,290.7</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2,283.7</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0.3%</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r>
      <w:tr>
        <w:trPr>
          <w:trHeight w:val="192"/>
        </w:trPr>
        <w:tc>
          <w:tcPr>
            <w:tcW w:w="2420" w:type="dxa"/>
            <w:vAlign w:val="bottom"/>
          </w:tcPr>
          <w:p>
            <w:pPr>
              <w:ind w:left="80"/>
              <w:spacing w:after="0"/>
              <w:rPr>
                <w:sz w:val="20"/>
                <w:szCs w:val="20"/>
                <w:color w:val="auto"/>
              </w:rPr>
            </w:pPr>
            <w:r>
              <w:rPr>
                <w:rFonts w:ascii="Arial" w:cs="Arial" w:eastAsia="Arial" w:hAnsi="Arial"/>
                <w:sz w:val="16"/>
                <w:szCs w:val="16"/>
                <w:color w:val="auto"/>
              </w:rPr>
              <w:t>Southern Europe:</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2,997.8</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192"/>
        </w:trPr>
        <w:tc>
          <w:tcPr>
            <w:tcW w:w="2420" w:type="dxa"/>
            <w:vAlign w:val="bottom"/>
          </w:tcPr>
          <w:p>
            <w:pPr>
              <w:ind w:left="240"/>
              <w:spacing w:after="0"/>
              <w:rPr>
                <w:sz w:val="20"/>
                <w:szCs w:val="20"/>
                <w:color w:val="auto"/>
              </w:rPr>
            </w:pPr>
            <w:r>
              <w:rPr>
                <w:rFonts w:ascii="Arial" w:cs="Arial" w:eastAsia="Arial" w:hAnsi="Arial"/>
                <w:sz w:val="16"/>
                <w:szCs w:val="16"/>
                <w:color w:val="auto"/>
              </w:rPr>
              <w:t>Italy</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541.5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629.5</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-14.0%</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-6.8%</w:t>
            </w:r>
          </w:p>
        </w:tc>
      </w:tr>
      <w:tr>
        <w:trPr>
          <w:trHeight w:val="196"/>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373.7</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r>
      <w:tr>
        <w:trPr>
          <w:trHeight w:val="196"/>
        </w:trPr>
        <w:tc>
          <w:tcPr>
            <w:tcW w:w="24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3,646.2</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4,001.0</w:t>
            </w: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-8.9%</w:t>
            </w:r>
          </w:p>
        </w:tc>
        <w:tc>
          <w:tcPr>
            <w:tcW w:w="10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-1.2%</w:t>
            </w: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3,022.9</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APME</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1,342.9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1,265.7</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6.1%</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5.6%</w:t>
            </w: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163.5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r>
      <w:tr>
        <w:trPr>
          <w:trHeight w:val="24"/>
        </w:trPr>
        <w:tc>
          <w:tcPr>
            <w:tcW w:w="2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10,303.1</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10,739.7</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-4.1%</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r>
      <w:tr>
        <w:trPr>
          <w:trHeight w:val="20"/>
        </w:trPr>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24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Unit Profit (Loss):</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Americas: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-59.3%</w:t>
            </w:r>
          </w:p>
        </w:tc>
      </w:tr>
      <w:tr>
        <w:trPr>
          <w:trHeight w:val="192"/>
        </w:trPr>
        <w:tc>
          <w:tcPr>
            <w:tcW w:w="242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25.1</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9.3%</w:t>
            </w:r>
          </w:p>
        </w:tc>
      </w:tr>
      <w:tr>
        <w:trPr>
          <w:trHeight w:val="24"/>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2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-31.1%</w:t>
            </w:r>
          </w:p>
        </w:tc>
      </w:tr>
      <w:tr>
        <w:trPr>
          <w:trHeight w:val="192"/>
        </w:trPr>
        <w:tc>
          <w:tcPr>
            <w:tcW w:w="242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r>
      <w:tr>
        <w:trPr>
          <w:trHeight w:val="192"/>
        </w:trPr>
        <w:tc>
          <w:tcPr>
            <w:tcW w:w="2420" w:type="dxa"/>
            <w:vAlign w:val="bottom"/>
          </w:tcPr>
          <w:p>
            <w:pPr>
              <w:ind w:left="240"/>
              <w:spacing w:after="0"/>
              <w:rPr>
                <w:sz w:val="20"/>
                <w:szCs w:val="20"/>
                <w:color w:val="auto"/>
              </w:rPr>
            </w:pPr>
            <w:r>
              <w:rPr>
                <w:rFonts w:ascii="Arial" w:cs="Arial" w:eastAsia="Arial" w:hAnsi="Arial"/>
                <w:sz w:val="16"/>
                <w:szCs w:val="16"/>
                <w:color w:val="auto"/>
              </w:rPr>
              <w:t>Italy</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35.3</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-23.1%</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-16.7%</w:t>
            </w: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44.0%</w:t>
            </w:r>
          </w:p>
        </w:tc>
      </w:tr>
      <w:tr>
        <w:trPr>
          <w:trHeight w:val="24"/>
        </w:trPr>
        <w:tc>
          <w:tcPr>
            <w:tcW w:w="2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91.1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117.4</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-22.3%</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-15.3%</w:t>
            </w:r>
          </w:p>
        </w:tc>
      </w:tr>
      <w:tr>
        <w:trPr>
          <w:trHeight w:val="24"/>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APME</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35.4</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17.2%</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16.9%</w:t>
            </w: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N/A</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r>
      <w:tr>
        <w:trPr>
          <w:trHeight w:val="24"/>
        </w:trPr>
        <w:tc>
          <w:tcPr>
            <w:tcW w:w="2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255.6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317.9</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Corporate expenses</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(62.5)</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0"/>
        </w:trPr>
        <w:tc>
          <w:tcPr>
            <w:tcW w:w="2420" w:type="dxa"/>
            <w:vAlign w:val="bottom"/>
          </w:tcPr>
          <w:p>
            <w:pPr>
              <w:spacing w:after="0" w:line="180" w:lineRule="exact"/>
              <w:rPr>
                <w:sz w:val="20"/>
                <w:szCs w:val="20"/>
                <w:color w:val="auto"/>
              </w:rPr>
            </w:pPr>
            <w:r>
              <w:rPr>
                <w:rFonts w:ascii="Arial" w:cs="Arial" w:eastAsia="Arial" w:hAnsi="Arial"/>
                <w:sz w:val="16"/>
                <w:szCs w:val="16"/>
                <w:color w:val="auto"/>
              </w:rPr>
              <w:t>Intangible asset amortization</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5"/>
        </w:trPr>
        <w:tc>
          <w:tcPr>
            <w:tcW w:w="2420" w:type="dxa"/>
            <w:vAlign w:val="bottom"/>
          </w:tcPr>
          <w:p>
            <w:pPr>
              <w:spacing w:after="0"/>
              <w:rPr>
                <w:sz w:val="20"/>
                <w:szCs w:val="20"/>
                <w:color w:val="auto"/>
              </w:rPr>
            </w:pPr>
            <w:r>
              <w:rPr>
                <w:rFonts w:ascii="Arial" w:cs="Arial" w:eastAsia="Arial" w:hAnsi="Arial"/>
                <w:sz w:val="16"/>
                <w:szCs w:val="16"/>
                <w:color w:val="auto"/>
              </w:rPr>
              <w:t>expense</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(19.0)</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r>
      <w:tr>
        <w:trPr>
          <w:trHeight w:val="192"/>
        </w:trPr>
        <w:tc>
          <w:tcPr>
            <w:tcW w:w="242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(22.9)</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2"/>
        </w:trPr>
        <w:tc>
          <w:tcPr>
            <w:tcW w:w="2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Earnings before income taxes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165.1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376"/>
        </w:trPr>
        <w:tc>
          <w:tcPr>
            <w:tcW w:w="2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6"/>
                <w:szCs w:val="16"/>
                <w:b w:val="1"/>
                <w:bCs w:val="1"/>
                <w:color w:val="auto"/>
                <w:w w:val="91"/>
              </w:rPr>
              <w:t>Three Months Ended September 30</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1"/>
              </w:rPr>
              <w:t>Three Months Ended December 31</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 Variance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r>
      <w:tr>
        <w:trPr>
          <w:trHeight w:val="176"/>
        </w:trPr>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420"/>
              <w:spacing w:after="0" w:line="176" w:lineRule="exact"/>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140"/>
              <w:spacing w:after="0" w:line="176" w:lineRule="exact"/>
              <w:rPr>
                <w:sz w:val="20"/>
                <w:szCs w:val="20"/>
                <w:color w:val="auto"/>
              </w:rPr>
            </w:pPr>
            <w:r>
              <w:rPr>
                <w:rFonts w:ascii="Arial" w:cs="Arial" w:eastAsia="Arial" w:hAnsi="Arial"/>
                <w:sz w:val="16"/>
                <w:szCs w:val="16"/>
                <w:b w:val="1"/>
                <w:bCs w:val="1"/>
                <w:color w:val="auto"/>
              </w:rPr>
              <w:t>Constant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2"/>
              </w:rPr>
              <w:t>Amount</w:t>
            </w:r>
          </w:p>
        </w:tc>
        <w:tc>
          <w:tcPr>
            <w:tcW w:w="900" w:type="dxa"/>
            <w:vAlign w:val="bottom"/>
          </w:tcPr>
          <w:p>
            <w:pPr>
              <w:ind w:left="14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r>
      <w:tr>
        <w:trPr>
          <w:trHeight w:val="213"/>
        </w:trPr>
        <w:tc>
          <w:tcPr>
            <w:tcW w:w="2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Reported</w:t>
            </w:r>
          </w:p>
        </w:tc>
        <w:tc>
          <w:tcPr>
            <w:tcW w:w="240" w:type="dxa"/>
            <w:vAlign w:val="bottom"/>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Currency</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40" w:type="dxa"/>
            <w:vAlign w:val="bottom"/>
          </w:tcPr>
          <w:p>
            <w:pPr>
              <w:spacing w:after="0"/>
              <w:rPr>
                <w:sz w:val="18"/>
                <w:szCs w:val="18"/>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r>
      <w:tr>
        <w:trPr>
          <w:trHeight w:val="192"/>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4"/>
          </w:tcPr>
          <w:p>
            <w:pPr>
              <w:jc w:val="right"/>
              <w:ind w:right="8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tcPr>
          <w:p>
            <w:pPr>
              <w:jc w:val="center"/>
              <w:ind w:right="300"/>
              <w:spacing w:after="0"/>
              <w:rPr>
                <w:sz w:val="20"/>
                <w:szCs w:val="20"/>
                <w:color w:val="auto"/>
              </w:rPr>
            </w:pPr>
            <w:r>
              <w:rPr>
                <w:rFonts w:ascii="Arial" w:cs="Arial" w:eastAsia="Arial" w:hAnsi="Arial"/>
                <w:sz w:val="16"/>
                <w:szCs w:val="16"/>
                <w:color w:val="auto"/>
                <w:w w:val="93"/>
              </w:rPr>
              <w:t>(Unaudited)</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Americas: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760.8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828.9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765.9</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r>
      <w:tr>
        <w:trPr>
          <w:trHeight w:val="196"/>
        </w:trPr>
        <w:tc>
          <w:tcPr>
            <w:tcW w:w="242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388.3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381.1</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10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405.4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389.8</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r>
      <w:tr>
        <w:trPr>
          <w:trHeight w:val="196"/>
        </w:trPr>
        <w:tc>
          <w:tcPr>
            <w:tcW w:w="2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1,149.1</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1,210.0</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1,155.7</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r>
      <w:tr>
        <w:trPr>
          <w:trHeight w:val="192"/>
        </w:trPr>
        <w:tc>
          <w:tcPr>
            <w:tcW w:w="2420" w:type="dxa"/>
            <w:vAlign w:val="bottom"/>
          </w:tcPr>
          <w:p>
            <w:pPr>
              <w:ind w:left="80"/>
              <w:spacing w:after="0"/>
              <w:rPr>
                <w:sz w:val="20"/>
                <w:szCs w:val="20"/>
                <w:color w:val="auto"/>
              </w:rPr>
            </w:pPr>
            <w:r>
              <w:rPr>
                <w:rFonts w:ascii="Arial" w:cs="Arial" w:eastAsia="Arial" w:hAnsi="Arial"/>
                <w:sz w:val="16"/>
                <w:szCs w:val="16"/>
                <w:color w:val="auto"/>
              </w:rPr>
              <w:t>Southern Europe:</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1,392.0</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1,670.3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1,511.0</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w:t>
            </w:r>
          </w:p>
        </w:tc>
      </w:tr>
      <w:tr>
        <w:trPr>
          <w:trHeight w:val="192"/>
        </w:trPr>
        <w:tc>
          <w:tcPr>
            <w:tcW w:w="2420" w:type="dxa"/>
            <w:vAlign w:val="bottom"/>
          </w:tcPr>
          <w:p>
            <w:pPr>
              <w:ind w:left="240"/>
              <w:spacing w:after="0"/>
              <w:rPr>
                <w:sz w:val="20"/>
                <w:szCs w:val="20"/>
                <w:color w:val="auto"/>
              </w:rPr>
            </w:pPr>
            <w:r>
              <w:rPr>
                <w:rFonts w:ascii="Arial" w:cs="Arial" w:eastAsia="Arial" w:hAnsi="Arial"/>
                <w:sz w:val="16"/>
                <w:szCs w:val="16"/>
                <w:color w:val="auto"/>
              </w:rPr>
              <w:t>Italy</w:t>
            </w: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246.8</w:t>
            </w:r>
          </w:p>
        </w:tc>
        <w:tc>
          <w:tcPr>
            <w:tcW w:w="2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321.0</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-23.1%</w:t>
            </w:r>
          </w:p>
        </w:tc>
        <w:tc>
          <w:tcPr>
            <w:tcW w:w="106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268.5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305.3</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-12.0%</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-8.5%</w:t>
            </w:r>
          </w:p>
        </w:tc>
      </w:tr>
      <w:tr>
        <w:trPr>
          <w:trHeight w:val="196"/>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r>
      <w:tr>
        <w:trPr>
          <w:trHeight w:val="196"/>
        </w:trPr>
        <w:tc>
          <w:tcPr>
            <w:tcW w:w="242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1,828.0</w:t>
            </w: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2,198.2</w:t>
            </w: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-16.8%</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1,776.7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2,012.6</w:t>
            </w: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-11.7%</w:t>
            </w:r>
          </w:p>
        </w:tc>
        <w:tc>
          <w:tcPr>
            <w:tcW w:w="10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-8.2%</w:t>
            </w: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1,426.9</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1,595.6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1,540.9</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APME</w:t>
            </w: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688.2</w:t>
            </w:r>
          </w:p>
        </w:tc>
        <w:tc>
          <w:tcPr>
            <w:tcW w:w="2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701.0</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10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697.7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695.0</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0.4%</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84.9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r>
      <w:tr>
        <w:trPr>
          <w:trHeight w:val="24"/>
        </w:trPr>
        <w:tc>
          <w:tcPr>
            <w:tcW w:w="24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42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5,172.3</w:t>
            </w:r>
          </w:p>
        </w:tc>
        <w:tc>
          <w:tcPr>
            <w:tcW w:w="24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5,782.3</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-10.5%</w:t>
            </w:r>
          </w:p>
        </w:tc>
        <w:tc>
          <w:tcPr>
            <w:tcW w:w="10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5,202.6</w:t>
            </w:r>
          </w:p>
        </w:tc>
        <w:tc>
          <w:tcPr>
            <w:tcW w:w="140" w:type="dxa"/>
            <w:vAlign w:val="bottom"/>
          </w:tcPr>
          <w:p>
            <w:pPr>
              <w:spacing w:after="0"/>
              <w:rPr>
                <w:sz w:val="16"/>
                <w:szCs w:val="16"/>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5,484.0</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-5.1%</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-3.5%</w:t>
            </w:r>
          </w:p>
        </w:tc>
      </w:tr>
      <w:tr>
        <w:trPr>
          <w:trHeight w:val="20"/>
        </w:trPr>
        <w:tc>
          <w:tcPr>
            <w:tcW w:w="2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24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Unit Profit (Loss):</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Americas: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-23.7%</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r>
      <w:tr>
        <w:trPr>
          <w:trHeight w:val="192"/>
        </w:trPr>
        <w:tc>
          <w:tcPr>
            <w:tcW w:w="242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c>
          <w:tcPr>
            <w:tcW w:w="10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12.1</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13.9%</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11.1%</w:t>
            </w:r>
          </w:p>
        </w:tc>
      </w:tr>
      <w:tr>
        <w:trPr>
          <w:trHeight w:val="24"/>
        </w:trPr>
        <w:tc>
          <w:tcPr>
            <w:tcW w:w="2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2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r>
      <w:tr>
        <w:trPr>
          <w:trHeight w:val="192"/>
        </w:trPr>
        <w:tc>
          <w:tcPr>
            <w:tcW w:w="242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36.4</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-10.6%</w:t>
            </w:r>
          </w:p>
        </w:tc>
      </w:tr>
      <w:tr>
        <w:trPr>
          <w:trHeight w:val="192"/>
        </w:trPr>
        <w:tc>
          <w:tcPr>
            <w:tcW w:w="2420" w:type="dxa"/>
            <w:vAlign w:val="bottom"/>
          </w:tcPr>
          <w:p>
            <w:pPr>
              <w:ind w:left="240"/>
              <w:spacing w:after="0"/>
              <w:rPr>
                <w:sz w:val="20"/>
                <w:szCs w:val="20"/>
                <w:color w:val="auto"/>
              </w:rPr>
            </w:pPr>
            <w:r>
              <w:rPr>
                <w:rFonts w:ascii="Arial" w:cs="Arial" w:eastAsia="Arial" w:hAnsi="Arial"/>
                <w:sz w:val="16"/>
                <w:szCs w:val="16"/>
                <w:color w:val="auto"/>
              </w:rPr>
              <w:t>Italy</w:t>
            </w:r>
          </w:p>
        </w:tc>
        <w:tc>
          <w:tcPr>
            <w:tcW w:w="2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9.4</w:t>
            </w:r>
          </w:p>
        </w:tc>
        <w:tc>
          <w:tcPr>
            <w:tcW w:w="2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19.1</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-51.0%</w:t>
            </w:r>
          </w:p>
        </w:tc>
        <w:tc>
          <w:tcPr>
            <w:tcW w:w="106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19.7</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-54.9%</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-52.0%</w:t>
            </w: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-49.1%</w:t>
            </w:r>
          </w:p>
        </w:tc>
      </w:tr>
      <w:tr>
        <w:trPr>
          <w:trHeight w:val="24"/>
        </w:trPr>
        <w:tc>
          <w:tcPr>
            <w:tcW w:w="24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6"/>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72.5</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-34.0%</w:t>
            </w:r>
          </w:p>
        </w:tc>
        <w:tc>
          <w:tcPr>
            <w:tcW w:w="106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64.4</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-28.4%</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-25.0%</w:t>
            </w:r>
          </w:p>
        </w:tc>
      </w:tr>
      <w:tr>
        <w:trPr>
          <w:trHeight w:val="31"/>
        </w:trPr>
        <w:tc>
          <w:tcPr>
            <w:tcW w:w="2420" w:type="dxa"/>
            <w:vAlign w:val="bottom"/>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700" w:type="dxa"/>
            <w:vAlign w:val="bottom"/>
            <w:tcBorders>
              <w:top w:val="single" w:sz="8" w:color="auto"/>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700" w:type="dxa"/>
            <w:vAlign w:val="bottom"/>
            <w:tcBorders>
              <w:top w:val="single" w:sz="8" w:color="auto"/>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800" w:type="dxa"/>
            <w:vAlign w:val="bottom"/>
            <w:tcBorders>
              <w:top w:val="single" w:sz="8" w:color="auto"/>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ectPr>
          <w:pgSz w:w="11900" w:h="16900" w:orient="portrait"/>
          <w:cols w:equalWidth="0" w:num="1">
            <w:col w:w="11440"/>
          </w:cols>
          <w:pgMar w:left="240" w:top="127" w:right="219" w:bottom="0" w:gutter="0" w:footer="0" w:header="0"/>
        </w:sectPr>
      </w:pPr>
    </w:p>
    <w:bookmarkStart w:id="38" w:name="page39"/>
    <w:bookmarkEnd w:id="38"/>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24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-33.6%</w:t>
            </w: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APME</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21.7</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21.7</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31.2%</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33.0%</w:t>
            </w: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4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N/A</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(5.6)</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N/A</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r>
      <w:tr>
        <w:trPr>
          <w:trHeight w:val="24"/>
        </w:trPr>
        <w:tc>
          <w:tcPr>
            <w:tcW w:w="24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152.3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197.8</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152.5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170.5</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Corporate expenses</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24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(29.9)</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(30.7)</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0"/>
        </w:trPr>
        <w:tc>
          <w:tcPr>
            <w:tcW w:w="2420" w:type="dxa"/>
            <w:vAlign w:val="bottom"/>
          </w:tcPr>
          <w:p>
            <w:pPr>
              <w:spacing w:after="0" w:line="180" w:lineRule="exact"/>
              <w:rPr>
                <w:sz w:val="20"/>
                <w:szCs w:val="20"/>
                <w:color w:val="auto"/>
              </w:rPr>
            </w:pPr>
            <w:r>
              <w:rPr>
                <w:rFonts w:ascii="Arial" w:cs="Arial" w:eastAsia="Arial" w:hAnsi="Arial"/>
                <w:sz w:val="16"/>
                <w:szCs w:val="16"/>
                <w:color w:val="auto"/>
              </w:rPr>
              <w:t>Intangible asset amortization</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5"/>
        </w:trPr>
        <w:tc>
          <w:tcPr>
            <w:tcW w:w="2420" w:type="dxa"/>
            <w:vAlign w:val="bottom"/>
          </w:tcPr>
          <w:p>
            <w:pPr>
              <w:spacing w:after="0"/>
              <w:rPr>
                <w:sz w:val="20"/>
                <w:szCs w:val="20"/>
                <w:color w:val="auto"/>
              </w:rPr>
            </w:pPr>
            <w:r>
              <w:rPr>
                <w:rFonts w:ascii="Arial" w:cs="Arial" w:eastAsia="Arial" w:hAnsi="Arial"/>
                <w:sz w:val="16"/>
                <w:szCs w:val="16"/>
                <w:color w:val="auto"/>
              </w:rPr>
              <w:t>expense</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(9.9)</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(10.0)</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
        </w:trPr>
        <w:tc>
          <w:tcPr>
            <w:tcW w:w="2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2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24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104.9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r>
      <w:tr>
        <w:trPr>
          <w:trHeight w:val="192"/>
        </w:trPr>
        <w:tc>
          <w:tcPr>
            <w:tcW w:w="242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(11.0)</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(10.4)</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2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2"/>
        </w:trPr>
        <w:tc>
          <w:tcPr>
            <w:tcW w:w="2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Earnings before income taxes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44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147.0</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94.8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119.4</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376"/>
        </w:trPr>
        <w:tc>
          <w:tcPr>
            <w:tcW w:w="2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w w:val="92"/>
              </w:rPr>
              <w:t>Nine Months Ended September 30</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w w:val="91"/>
              </w:rPr>
              <w:t>Year Ended December 31</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 Variance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r>
      <w:tr>
        <w:trPr>
          <w:trHeight w:val="176"/>
        </w:trPr>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2"/>
              </w:rPr>
              <w:t>Amount</w:t>
            </w:r>
          </w:p>
        </w:tc>
        <w:tc>
          <w:tcPr>
            <w:tcW w:w="1060" w:type="dxa"/>
            <w:vAlign w:val="bottom"/>
          </w:tcPr>
          <w:p>
            <w:pPr>
              <w:jc w:val="right"/>
              <w:ind w:right="140"/>
              <w:spacing w:after="0" w:line="176" w:lineRule="exact"/>
              <w:rPr>
                <w:sz w:val="20"/>
                <w:szCs w:val="20"/>
                <w:color w:val="auto"/>
              </w:rPr>
            </w:pPr>
            <w:r>
              <w:rPr>
                <w:rFonts w:ascii="Arial" w:cs="Arial" w:eastAsia="Arial" w:hAnsi="Arial"/>
                <w:sz w:val="16"/>
                <w:szCs w:val="16"/>
                <w:b w:val="1"/>
                <w:bCs w:val="1"/>
                <w:color w:val="auto"/>
              </w:rPr>
              <w:t>Constant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420"/>
              <w:spacing w:after="0" w:line="176" w:lineRule="exact"/>
              <w:rPr>
                <w:sz w:val="20"/>
                <w:szCs w:val="20"/>
                <w:color w:val="auto"/>
              </w:rPr>
            </w:pPr>
            <w:r>
              <w:rPr>
                <w:rFonts w:ascii="Arial" w:cs="Arial" w:eastAsia="Arial" w:hAnsi="Arial"/>
                <w:sz w:val="16"/>
                <w:szCs w:val="16"/>
                <w:b w:val="1"/>
                <w:bCs w:val="1"/>
                <w:color w:val="auto"/>
              </w:rPr>
              <w:t>Amount</w:t>
            </w:r>
          </w:p>
        </w:tc>
        <w:tc>
          <w:tcPr>
            <w:tcW w:w="900" w:type="dxa"/>
            <w:vAlign w:val="bottom"/>
          </w:tcPr>
          <w:p>
            <w:pPr>
              <w:ind w:left="14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r>
      <w:tr>
        <w:trPr>
          <w:trHeight w:val="213"/>
        </w:trPr>
        <w:tc>
          <w:tcPr>
            <w:tcW w:w="2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40" w:type="dxa"/>
            <w:vAlign w:val="bottom"/>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Currency</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Reported</w:t>
            </w:r>
          </w:p>
        </w:tc>
        <w:tc>
          <w:tcPr>
            <w:tcW w:w="240" w:type="dxa"/>
            <w:vAlign w:val="bottom"/>
          </w:tcPr>
          <w:p>
            <w:pPr>
              <w:spacing w:after="0"/>
              <w:rPr>
                <w:sz w:val="18"/>
                <w:szCs w:val="18"/>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r>
      <w:tr>
        <w:trPr>
          <w:trHeight w:val="192"/>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4"/>
          </w:tcPr>
          <w:p>
            <w:pPr>
              <w:jc w:val="right"/>
              <w:ind w:right="8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4"/>
          </w:tcPr>
          <w:p>
            <w:pPr>
              <w:jc w:val="right"/>
              <w:ind w:right="840"/>
              <w:spacing w:after="0"/>
              <w:rPr>
                <w:sz w:val="20"/>
                <w:szCs w:val="20"/>
                <w:color w:val="auto"/>
              </w:rPr>
            </w:pPr>
            <w:r>
              <w:rPr>
                <w:rFonts w:ascii="Arial" w:cs="Arial" w:eastAsia="Arial" w:hAnsi="Arial"/>
                <w:sz w:val="16"/>
                <w:szCs w:val="16"/>
                <w:color w:val="auto"/>
              </w:rPr>
              <w:t>(Unaudited)</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Americas: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2,259.8</w:t>
            </w:r>
          </w:p>
        </w:tc>
        <w:tc>
          <w:tcPr>
            <w:tcW w:w="44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2,371.4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3,010.5</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3,137.3</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r>
      <w:tr>
        <w:trPr>
          <w:trHeight w:val="196"/>
        </w:trPr>
        <w:tc>
          <w:tcPr>
            <w:tcW w:w="242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1,180.0</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1,122.3</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5.1%</w:t>
            </w:r>
          </w:p>
        </w:tc>
        <w:tc>
          <w:tcPr>
            <w:tcW w:w="106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1,512.1</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4.8%</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9.9%</w:t>
            </w:r>
          </w:p>
        </w:tc>
      </w:tr>
      <w:tr>
        <w:trPr>
          <w:trHeight w:val="196"/>
        </w:trPr>
        <w:tc>
          <w:tcPr>
            <w:tcW w:w="2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3,439.8</w:t>
            </w:r>
          </w:p>
        </w:tc>
        <w:tc>
          <w:tcPr>
            <w:tcW w:w="24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3,493.7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4,649.4</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r>
      <w:tr>
        <w:trPr>
          <w:trHeight w:val="192"/>
        </w:trPr>
        <w:tc>
          <w:tcPr>
            <w:tcW w:w="242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4,111.4</w:t>
            </w:r>
          </w:p>
        </w:tc>
        <w:tc>
          <w:tcPr>
            <w:tcW w:w="24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4,668.1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5,425.6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6,179.1</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r>
      <w:tr>
        <w:trPr>
          <w:trHeight w:val="192"/>
        </w:trPr>
        <w:tc>
          <w:tcPr>
            <w:tcW w:w="2420" w:type="dxa"/>
            <w:vAlign w:val="bottom"/>
          </w:tcPr>
          <w:p>
            <w:pPr>
              <w:ind w:left="240"/>
              <w:spacing w:after="0"/>
              <w:rPr>
                <w:sz w:val="20"/>
                <w:szCs w:val="20"/>
                <w:color w:val="auto"/>
              </w:rPr>
            </w:pPr>
            <w:r>
              <w:rPr>
                <w:rFonts w:ascii="Arial" w:cs="Arial" w:eastAsia="Arial" w:hAnsi="Arial"/>
                <w:sz w:val="16"/>
                <w:szCs w:val="16"/>
                <w:color w:val="auto"/>
              </w:rPr>
              <w:t>Italy</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788.3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950.5</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-17.1%</w:t>
            </w:r>
          </w:p>
        </w:tc>
        <w:tc>
          <w:tcPr>
            <w:tcW w:w="10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1,056.8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1,255.8</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-15.8%</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-8.9%</w:t>
            </w:r>
          </w:p>
        </w:tc>
      </w:tr>
      <w:tr>
        <w:trPr>
          <w:trHeight w:val="196"/>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574.5</w:t>
            </w:r>
          </w:p>
        </w:tc>
        <w:tc>
          <w:tcPr>
            <w:tcW w:w="24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580.6</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768.5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776.9</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r>
      <w:tr>
        <w:trPr>
          <w:trHeight w:val="196"/>
        </w:trPr>
        <w:tc>
          <w:tcPr>
            <w:tcW w:w="242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5,474.2</w:t>
            </w: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6,199.2</w:t>
            </w: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-11.7%</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7,250.9</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8,211.8</w:t>
            </w: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-11.7%</w:t>
            </w:r>
          </w:p>
        </w:tc>
        <w:tc>
          <w:tcPr>
            <w:tcW w:w="10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-4.2%</w:t>
            </w: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4,286.7</w:t>
            </w:r>
          </w:p>
        </w:tc>
        <w:tc>
          <w:tcPr>
            <w:tcW w:w="24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4,618.5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5,773.9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6,159.4</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APME</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2,031.1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1,966.7</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2,728.8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2,661.7</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3.1%</w:t>
            </w: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w:t>
            </w:r>
          </w:p>
        </w:tc>
        <w:tc>
          <w:tcPr>
            <w:tcW w:w="24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243.9</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328.5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r>
      <w:tr>
        <w:trPr>
          <w:trHeight w:val="24"/>
        </w:trPr>
        <w:tc>
          <w:tcPr>
            <w:tcW w:w="24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42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15,475.4</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16,522.0</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c>
          <w:tcPr>
            <w:tcW w:w="10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20,678.0</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22,006.0</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-6.0%</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r>
      <w:tr>
        <w:trPr>
          <w:trHeight w:val="20"/>
        </w:trPr>
        <w:tc>
          <w:tcPr>
            <w:tcW w:w="2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24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Unit Profit (Loss):</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Americas: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44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-35.4%</w:t>
            </w:r>
          </w:p>
        </w:tc>
      </w:tr>
      <w:tr>
        <w:trPr>
          <w:trHeight w:val="192"/>
        </w:trPr>
        <w:tc>
          <w:tcPr>
            <w:tcW w:w="242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35.7</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106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50.6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47.8</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9.1%</w:t>
            </w:r>
          </w:p>
        </w:tc>
      </w:tr>
      <w:tr>
        <w:trPr>
          <w:trHeight w:val="24"/>
        </w:trPr>
        <w:tc>
          <w:tcPr>
            <w:tcW w:w="2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2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24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-20.4%</w:t>
            </w:r>
          </w:p>
        </w:tc>
      </w:tr>
      <w:tr>
        <w:trPr>
          <w:trHeight w:val="192"/>
        </w:trPr>
        <w:tc>
          <w:tcPr>
            <w:tcW w:w="242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24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127.6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-26.4%</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129.6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r>
      <w:tr>
        <w:trPr>
          <w:trHeight w:val="192"/>
        </w:trPr>
        <w:tc>
          <w:tcPr>
            <w:tcW w:w="2420" w:type="dxa"/>
            <w:vAlign w:val="bottom"/>
          </w:tcPr>
          <w:p>
            <w:pPr>
              <w:ind w:left="240"/>
              <w:spacing w:after="0"/>
              <w:rPr>
                <w:sz w:val="20"/>
                <w:szCs w:val="20"/>
                <w:color w:val="auto"/>
              </w:rPr>
            </w:pPr>
            <w:r>
              <w:rPr>
                <w:rFonts w:ascii="Arial" w:cs="Arial" w:eastAsia="Arial" w:hAnsi="Arial"/>
                <w:sz w:val="16"/>
                <w:szCs w:val="16"/>
                <w:color w:val="auto"/>
              </w:rPr>
              <w:t>Italy</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54.4</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-32.9%</w:t>
            </w:r>
          </w:p>
        </w:tc>
        <w:tc>
          <w:tcPr>
            <w:tcW w:w="106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45.4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74.1</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-38.7%</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-33.4%</w:t>
            </w: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4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r>
      <w:tr>
        <w:trPr>
          <w:trHeight w:val="24"/>
        </w:trPr>
        <w:tc>
          <w:tcPr>
            <w:tcW w:w="24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139.1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189.9</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-26.8%</w:t>
            </w:r>
          </w:p>
        </w:tc>
        <w:tc>
          <w:tcPr>
            <w:tcW w:w="106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185.1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254.3</w:t>
            </w: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-27.2%</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-20.6%</w:t>
            </w:r>
          </w:p>
        </w:tc>
      </w:tr>
      <w:tr>
        <w:trPr>
          <w:trHeight w:val="24"/>
        </w:trPr>
        <w:tc>
          <w:tcPr>
            <w:tcW w:w="2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24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159.8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APME</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57.1</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9.1%</w:t>
            </w:r>
          </w:p>
        </w:tc>
        <w:tc>
          <w:tcPr>
            <w:tcW w:w="106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90.7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78.8</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15.2%</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16.2%</w:t>
            </w: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4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23.2%</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N/A</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r>
      <w:tr>
        <w:trPr>
          <w:trHeight w:val="24"/>
        </w:trPr>
        <w:tc>
          <w:tcPr>
            <w:tcW w:w="24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407.9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515.7</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560.4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686.2</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Corporate expenses</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24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(92.4)</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(112.0)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(123.1)</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0"/>
        </w:trPr>
        <w:tc>
          <w:tcPr>
            <w:tcW w:w="2420" w:type="dxa"/>
            <w:vAlign w:val="bottom"/>
          </w:tcPr>
          <w:p>
            <w:pPr>
              <w:spacing w:after="0" w:line="180" w:lineRule="exact"/>
              <w:rPr>
                <w:sz w:val="20"/>
                <w:szCs w:val="20"/>
                <w:color w:val="auto"/>
              </w:rPr>
            </w:pPr>
            <w:r>
              <w:rPr>
                <w:rFonts w:ascii="Arial" w:cs="Arial" w:eastAsia="Arial" w:hAnsi="Arial"/>
                <w:sz w:val="16"/>
                <w:szCs w:val="16"/>
                <w:color w:val="auto"/>
              </w:rPr>
              <w:t>Intangible asset amortization</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5"/>
        </w:trPr>
        <w:tc>
          <w:tcPr>
            <w:tcW w:w="2420" w:type="dxa"/>
            <w:vAlign w:val="bottom"/>
          </w:tcPr>
          <w:p>
            <w:pPr>
              <w:spacing w:after="0"/>
              <w:rPr>
                <w:sz w:val="20"/>
                <w:szCs w:val="20"/>
                <w:color w:val="auto"/>
              </w:rPr>
            </w:pPr>
            <w:r>
              <w:rPr>
                <w:rFonts w:ascii="Arial" w:cs="Arial" w:eastAsia="Arial" w:hAnsi="Arial"/>
                <w:sz w:val="16"/>
                <w:szCs w:val="16"/>
                <w:color w:val="auto"/>
              </w:rPr>
              <w:t>expense</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(28.9)</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(38.9)</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
        </w:trPr>
        <w:tc>
          <w:tcPr>
            <w:tcW w:w="2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w:t>
            </w: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r>
      <w:tr>
        <w:trPr>
          <w:trHeight w:val="192"/>
        </w:trPr>
        <w:tc>
          <w:tcPr>
            <w:tcW w:w="242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(33.9)</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(43.3)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(44.3)</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2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2"/>
        </w:trPr>
        <w:tc>
          <w:tcPr>
            <w:tcW w:w="2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Earnings before income taxes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w:t>
            </w:r>
          </w:p>
        </w:tc>
        <w:tc>
          <w:tcPr>
            <w:tcW w:w="44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360.5</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368.4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76"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15875</wp:posOffset>
            </wp:positionV>
            <wp:extent cx="284543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45435" cy="15240"/>
                    </a:xfrm>
                    <a:prstGeom prst="rect">
                      <a:avLst/>
                    </a:prstGeom>
                    <a:noFill/>
                  </pic:spPr>
                </pic:pic>
              </a:graphicData>
            </a:graphic>
          </wp:anchor>
        </w:drawing>
      </w:r>
    </w:p>
    <w:p>
      <w:pPr>
        <w:spacing w:after="0" w:line="12" w:lineRule="exact"/>
        <w:rPr>
          <w:sz w:val="20"/>
          <w:szCs w:val="20"/>
          <w:color w:val="auto"/>
        </w:rPr>
      </w:pPr>
    </w:p>
    <w:p>
      <w:pPr>
        <w:ind w:left="5520" w:hanging="204"/>
        <w:spacing w:after="0"/>
        <w:tabs>
          <w:tab w:leader="none" w:pos="55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Variance</w:t>
      </w:r>
    </w:p>
    <w:p>
      <w:pPr>
        <w:spacing w:after="0" w:line="32" w:lineRule="exact"/>
        <w:rPr>
          <w:rFonts w:ascii="Arial" w:cs="Arial" w:eastAsia="Arial" w:hAnsi="Arial"/>
          <w:sz w:val="16"/>
          <w:szCs w:val="16"/>
          <w:b w:val="1"/>
          <w:bCs w:val="1"/>
          <w:color w:val="auto"/>
        </w:rPr>
      </w:pPr>
    </w:p>
    <w:p>
      <w:pPr>
        <w:ind w:left="48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Amount</w:t>
      </w:r>
      <w:r>
        <w:rPr>
          <w:rFonts w:ascii="Arial" w:cs="Arial" w:eastAsia="Arial" w:hAnsi="Arial"/>
          <w:sz w:val="14"/>
          <w:szCs w:val="14"/>
          <w:b w:val="1"/>
          <w:bCs w:val="1"/>
          <w:color w:val="auto"/>
        </w:rPr>
        <w:t>Constant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-120650</wp:posOffset>
            </wp:positionV>
            <wp:extent cx="139573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95730" cy="1524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2011</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Reported</w:t>
            </w:r>
          </w:p>
        </w:tc>
        <w:tc>
          <w:tcPr>
            <w:tcW w:w="240" w:type="dxa"/>
            <w:vAlign w:val="bottom"/>
          </w:tcPr>
          <w:p>
            <w:pPr>
              <w:spacing w:after="0"/>
              <w:rPr>
                <w:sz w:val="17"/>
                <w:szCs w:val="17"/>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Currency</w:t>
            </w:r>
          </w:p>
        </w:tc>
        <w:tc>
          <w:tcPr>
            <w:tcW w:w="4540" w:type="dxa"/>
            <w:vAlign w:val="bottom"/>
          </w:tcPr>
          <w:p>
            <w:pPr>
              <w:spacing w:after="0"/>
              <w:rPr>
                <w:sz w:val="17"/>
                <w:szCs w:val="17"/>
                <w:color w:val="auto"/>
              </w:rPr>
            </w:pPr>
          </w:p>
        </w:tc>
      </w:tr>
      <w:tr>
        <w:trPr>
          <w:trHeight w:val="192"/>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4"/>
          </w:tcPr>
          <w:p>
            <w:pPr>
              <w:jc w:val="right"/>
              <w:ind w:right="8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6"/>
                <w:szCs w:val="16"/>
                <w:color w:val="auto"/>
              </w:rPr>
            </w:pPr>
          </w:p>
        </w:tc>
        <w:tc>
          <w:tcPr>
            <w:tcW w:w="4540" w:type="dxa"/>
            <w:vAlign w:val="bottom"/>
          </w:tcPr>
          <w:p>
            <w:pPr>
              <w:spacing w:after="0"/>
              <w:rPr>
                <w:sz w:val="16"/>
                <w:szCs w:val="16"/>
                <w:color w:val="auto"/>
              </w:rPr>
            </w:pPr>
          </w:p>
        </w:tc>
      </w:tr>
      <w:tr>
        <w:trPr>
          <w:trHeight w:val="192"/>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540" w:type="dxa"/>
            <w:vAlign w:val="bottom"/>
            <w:shd w:val="clear" w:color="auto" w:fill="CCEEFF"/>
          </w:tcPr>
          <w:p>
            <w:pPr>
              <w:spacing w:after="0"/>
              <w:rPr>
                <w:sz w:val="16"/>
                <w:szCs w:val="16"/>
                <w:color w:val="auto"/>
              </w:rPr>
            </w:pP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Americas: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540" w:type="dxa"/>
            <w:vAlign w:val="bottom"/>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3,137.3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2,783.4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12.7%</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4540" w:type="dxa"/>
            <w:vAlign w:val="bottom"/>
            <w:shd w:val="clear" w:color="auto" w:fill="CCEEFF"/>
          </w:tcPr>
          <w:p>
            <w:pPr>
              <w:spacing w:after="0"/>
              <w:rPr>
                <w:sz w:val="16"/>
                <w:szCs w:val="16"/>
                <w:color w:val="auto"/>
              </w:rPr>
            </w:pPr>
          </w:p>
        </w:tc>
      </w:tr>
      <w:tr>
        <w:trPr>
          <w:trHeight w:val="196"/>
        </w:trPr>
        <w:tc>
          <w:tcPr>
            <w:tcW w:w="242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1,512.1</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1,265.5</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19.5%</w:t>
            </w:r>
          </w:p>
        </w:tc>
        <w:tc>
          <w:tcPr>
            <w:tcW w:w="1060" w:type="dxa"/>
            <w:vAlign w:val="bottom"/>
          </w:tcPr>
          <w:p>
            <w:pPr>
              <w:jc w:val="right"/>
              <w:spacing w:after="0"/>
              <w:rPr>
                <w:sz w:val="20"/>
                <w:szCs w:val="20"/>
                <w:color w:val="auto"/>
              </w:rPr>
            </w:pPr>
            <w:r>
              <w:rPr>
                <w:rFonts w:ascii="Arial" w:cs="Arial" w:eastAsia="Arial" w:hAnsi="Arial"/>
                <w:sz w:val="16"/>
                <w:szCs w:val="16"/>
                <w:color w:val="auto"/>
              </w:rPr>
              <w:t>18.4%</w:t>
            </w:r>
          </w:p>
        </w:tc>
        <w:tc>
          <w:tcPr>
            <w:tcW w:w="4540" w:type="dxa"/>
            <w:vAlign w:val="bottom"/>
          </w:tcPr>
          <w:p>
            <w:pPr>
              <w:spacing w:after="0"/>
              <w:rPr>
                <w:sz w:val="17"/>
                <w:szCs w:val="17"/>
                <w:color w:val="auto"/>
              </w:rPr>
            </w:pPr>
          </w:p>
        </w:tc>
      </w:tr>
      <w:tr>
        <w:trPr>
          <w:trHeight w:val="196"/>
        </w:trPr>
        <w:tc>
          <w:tcPr>
            <w:tcW w:w="2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4,649.4</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4,048.9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4540" w:type="dxa"/>
            <w:vAlign w:val="bottom"/>
            <w:shd w:val="clear" w:color="auto" w:fill="CCEEFF"/>
          </w:tcPr>
          <w:p>
            <w:pPr>
              <w:spacing w:after="0"/>
              <w:rPr>
                <w:sz w:val="17"/>
                <w:szCs w:val="17"/>
                <w:color w:val="auto"/>
              </w:rPr>
            </w:pPr>
          </w:p>
        </w:tc>
      </w:tr>
      <w:tr>
        <w:trPr>
          <w:trHeight w:val="192"/>
        </w:trPr>
        <w:tc>
          <w:tcPr>
            <w:tcW w:w="242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4540" w:type="dxa"/>
            <w:vAlign w:val="bottom"/>
            <w:tcBorders>
              <w:top w:val="single" w:sz="8" w:color="CCEEFF"/>
            </w:tcBorders>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6,179.1</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5,208.6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4540" w:type="dxa"/>
            <w:vAlign w:val="bottom"/>
            <w:shd w:val="clear" w:color="auto" w:fill="CCEEFF"/>
          </w:tcPr>
          <w:p>
            <w:pPr>
              <w:spacing w:after="0"/>
              <w:rPr>
                <w:sz w:val="16"/>
                <w:szCs w:val="16"/>
                <w:color w:val="auto"/>
              </w:rPr>
            </w:pPr>
          </w:p>
        </w:tc>
      </w:tr>
      <w:tr>
        <w:trPr>
          <w:trHeight w:val="192"/>
        </w:trPr>
        <w:tc>
          <w:tcPr>
            <w:tcW w:w="2420" w:type="dxa"/>
            <w:vAlign w:val="bottom"/>
          </w:tcPr>
          <w:p>
            <w:pPr>
              <w:ind w:left="240"/>
              <w:spacing w:after="0"/>
              <w:rPr>
                <w:sz w:val="20"/>
                <w:szCs w:val="20"/>
                <w:color w:val="auto"/>
              </w:rPr>
            </w:pPr>
            <w:r>
              <w:rPr>
                <w:rFonts w:ascii="Arial" w:cs="Arial" w:eastAsia="Arial" w:hAnsi="Arial"/>
                <w:sz w:val="16"/>
                <w:szCs w:val="16"/>
                <w:color w:val="auto"/>
              </w:rPr>
              <w:t>Italy</w:t>
            </w:r>
          </w:p>
        </w:tc>
        <w:tc>
          <w:tcPr>
            <w:tcW w:w="2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1,255.8</w:t>
            </w: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1,044.2</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20.3%</w:t>
            </w:r>
          </w:p>
        </w:tc>
        <w:tc>
          <w:tcPr>
            <w:tcW w:w="1060" w:type="dxa"/>
            <w:vAlign w:val="bottom"/>
          </w:tcPr>
          <w:p>
            <w:pPr>
              <w:jc w:val="right"/>
              <w:spacing w:after="0"/>
              <w:rPr>
                <w:sz w:val="20"/>
                <w:szCs w:val="20"/>
                <w:color w:val="auto"/>
              </w:rPr>
            </w:pPr>
            <w:r>
              <w:rPr>
                <w:rFonts w:ascii="Arial" w:cs="Arial" w:eastAsia="Arial" w:hAnsi="Arial"/>
                <w:sz w:val="16"/>
                <w:szCs w:val="16"/>
                <w:color w:val="auto"/>
              </w:rPr>
              <w:t>14.2%</w:t>
            </w:r>
          </w:p>
        </w:tc>
        <w:tc>
          <w:tcPr>
            <w:tcW w:w="4540" w:type="dxa"/>
            <w:vAlign w:val="bottom"/>
          </w:tcPr>
          <w:p>
            <w:pPr>
              <w:spacing w:after="0"/>
              <w:rPr>
                <w:sz w:val="16"/>
                <w:szCs w:val="16"/>
                <w:color w:val="auto"/>
              </w:rPr>
            </w:pPr>
          </w:p>
        </w:tc>
      </w:tr>
      <w:tr>
        <w:trPr>
          <w:trHeight w:val="196"/>
        </w:trPr>
        <w:tc>
          <w:tcPr>
            <w:tcW w:w="2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776.9</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698.9</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4540" w:type="dxa"/>
            <w:vAlign w:val="bottom"/>
            <w:tcBorders>
              <w:bottom w:val="single" w:sz="8" w:color="CCEEFF"/>
            </w:tcBorders>
            <w:shd w:val="clear" w:color="auto" w:fill="CCEEFF"/>
          </w:tcPr>
          <w:p>
            <w:pPr>
              <w:spacing w:after="0"/>
              <w:rPr>
                <w:sz w:val="17"/>
                <w:szCs w:val="17"/>
                <w:color w:val="auto"/>
              </w:rPr>
            </w:pPr>
          </w:p>
        </w:tc>
      </w:tr>
      <w:tr>
        <w:trPr>
          <w:trHeight w:val="196"/>
        </w:trPr>
        <w:tc>
          <w:tcPr>
            <w:tcW w:w="2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8,211.8</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6,951.7</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18.1%</w:t>
            </w:r>
          </w:p>
        </w:tc>
        <w:tc>
          <w:tcPr>
            <w:tcW w:w="1060" w:type="dxa"/>
            <w:vAlign w:val="bottom"/>
          </w:tcPr>
          <w:p>
            <w:pPr>
              <w:jc w:val="right"/>
              <w:spacing w:after="0"/>
              <w:rPr>
                <w:sz w:val="20"/>
                <w:szCs w:val="20"/>
                <w:color w:val="auto"/>
              </w:rPr>
            </w:pPr>
            <w:r>
              <w:rPr>
                <w:rFonts w:ascii="Arial" w:cs="Arial" w:eastAsia="Arial" w:hAnsi="Arial"/>
                <w:sz w:val="16"/>
                <w:szCs w:val="16"/>
                <w:color w:val="auto"/>
              </w:rPr>
              <w:t>12.3%</w:t>
            </w:r>
          </w:p>
        </w:tc>
        <w:tc>
          <w:tcPr>
            <w:tcW w:w="4540" w:type="dxa"/>
            <w:vAlign w:val="bottom"/>
          </w:tcPr>
          <w:p>
            <w:pPr>
              <w:spacing w:after="0"/>
              <w:rPr>
                <w:sz w:val="17"/>
                <w:szCs w:val="17"/>
                <w:color w:val="auto"/>
              </w:rPr>
            </w:pP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6,159.4</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5,344.1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4540" w:type="dxa"/>
            <w:vAlign w:val="bottom"/>
            <w:shd w:val="clear" w:color="auto" w:fill="CCEEFF"/>
          </w:tcPr>
          <w:p>
            <w:pPr>
              <w:spacing w:after="0"/>
              <w:rPr>
                <w:sz w:val="16"/>
                <w:szCs w:val="16"/>
                <w:color w:val="auto"/>
              </w:rPr>
            </w:pP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APME</w:t>
            </w:r>
          </w:p>
        </w:tc>
        <w:tc>
          <w:tcPr>
            <w:tcW w:w="2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2,661.7</w:t>
            </w: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2,147.2</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24.0%</w:t>
            </w:r>
          </w:p>
        </w:tc>
        <w:tc>
          <w:tcPr>
            <w:tcW w:w="1060" w:type="dxa"/>
            <w:vAlign w:val="bottom"/>
          </w:tcPr>
          <w:p>
            <w:pPr>
              <w:jc w:val="right"/>
              <w:spacing w:after="0"/>
              <w:rPr>
                <w:sz w:val="20"/>
                <w:szCs w:val="20"/>
                <w:color w:val="auto"/>
              </w:rPr>
            </w:pPr>
            <w:r>
              <w:rPr>
                <w:rFonts w:ascii="Arial" w:cs="Arial" w:eastAsia="Arial" w:hAnsi="Arial"/>
                <w:sz w:val="16"/>
                <w:szCs w:val="16"/>
                <w:color w:val="auto"/>
              </w:rPr>
              <w:t>14.2%</w:t>
            </w:r>
          </w:p>
        </w:tc>
        <w:tc>
          <w:tcPr>
            <w:tcW w:w="4540" w:type="dxa"/>
            <w:vAlign w:val="bottom"/>
          </w:tcPr>
          <w:p>
            <w:pPr>
              <w:spacing w:after="0"/>
              <w:rPr>
                <w:sz w:val="16"/>
                <w:szCs w:val="16"/>
                <w:color w:val="auto"/>
              </w:rPr>
            </w:pPr>
          </w:p>
        </w:tc>
      </w:tr>
      <w:tr>
        <w:trPr>
          <w:trHeight w:val="196"/>
        </w:trPr>
        <w:tc>
          <w:tcPr>
            <w:tcW w:w="2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374.6</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4540" w:type="dxa"/>
            <w:vAlign w:val="bottom"/>
            <w:tcBorders>
              <w:bottom w:val="single" w:sz="8" w:color="CCEEFF"/>
            </w:tcBorders>
            <w:shd w:val="clear" w:color="auto" w:fill="CCEEFF"/>
          </w:tcPr>
          <w:p>
            <w:pPr>
              <w:spacing w:after="0"/>
              <w:rPr>
                <w:sz w:val="17"/>
                <w:szCs w:val="17"/>
                <w:color w:val="auto"/>
              </w:rPr>
            </w:pPr>
          </w:p>
        </w:tc>
      </w:tr>
      <w:tr>
        <w:trPr>
          <w:trHeight w:val="192"/>
        </w:trPr>
        <w:tc>
          <w:tcPr>
            <w:tcW w:w="242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22,006.0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18,866.5</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16.6%</w:t>
            </w:r>
          </w:p>
        </w:tc>
        <w:tc>
          <w:tcPr>
            <w:tcW w:w="1060" w:type="dxa"/>
            <w:vAlign w:val="bottom"/>
          </w:tcPr>
          <w:p>
            <w:pPr>
              <w:jc w:val="right"/>
              <w:spacing w:after="0"/>
              <w:rPr>
                <w:sz w:val="20"/>
                <w:szCs w:val="20"/>
                <w:color w:val="auto"/>
              </w:rPr>
            </w:pPr>
            <w:r>
              <w:rPr>
                <w:rFonts w:ascii="Arial" w:cs="Arial" w:eastAsia="Arial" w:hAnsi="Arial"/>
                <w:sz w:val="16"/>
                <w:szCs w:val="16"/>
                <w:color w:val="auto"/>
              </w:rPr>
              <w:t>11.6%</w:t>
            </w:r>
          </w:p>
        </w:tc>
        <w:tc>
          <w:tcPr>
            <w:tcW w:w="4540" w:type="dxa"/>
            <w:vAlign w:val="bottom"/>
          </w:tcPr>
          <w:p>
            <w:pPr>
              <w:spacing w:after="0"/>
              <w:rPr>
                <w:sz w:val="16"/>
                <w:szCs w:val="16"/>
                <w:color w:val="auto"/>
              </w:rPr>
            </w:pPr>
          </w:p>
        </w:tc>
      </w:tr>
      <w:tr>
        <w:trPr>
          <w:trHeight w:val="20"/>
        </w:trPr>
        <w:tc>
          <w:tcPr>
            <w:tcW w:w="2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180"/>
        </w:trPr>
        <w:tc>
          <w:tcPr>
            <w:tcW w:w="24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Unit Profit (Loss):</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540" w:type="dxa"/>
            <w:vAlign w:val="bottom"/>
            <w:shd w:val="clear" w:color="auto" w:fill="CCEEFF"/>
          </w:tcPr>
          <w:p>
            <w:pPr>
              <w:spacing w:after="0"/>
              <w:rPr>
                <w:sz w:val="15"/>
                <w:szCs w:val="15"/>
                <w:color w:val="auto"/>
              </w:rPr>
            </w:pPr>
          </w:p>
        </w:tc>
      </w:tr>
      <w:tr>
        <w:trPr>
          <w:trHeight w:val="192"/>
        </w:trPr>
        <w:tc>
          <w:tcPr>
            <w:tcW w:w="2420" w:type="dxa"/>
            <w:vAlign w:val="bottom"/>
          </w:tcPr>
          <w:p>
            <w:pPr>
              <w:ind w:left="60"/>
              <w:spacing w:after="0"/>
              <w:rPr>
                <w:sz w:val="20"/>
                <w:szCs w:val="20"/>
                <w:color w:val="auto"/>
              </w:rPr>
            </w:pPr>
            <w:r>
              <w:rPr>
                <w:rFonts w:ascii="Arial" w:cs="Arial" w:eastAsia="Arial" w:hAnsi="Arial"/>
                <w:sz w:val="16"/>
                <w:szCs w:val="16"/>
                <w:color w:val="auto"/>
              </w:rPr>
              <w:t>Americas: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540" w:type="dxa"/>
            <w:vAlign w:val="bottom"/>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94.1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4540" w:type="dxa"/>
            <w:vAlign w:val="bottom"/>
            <w:shd w:val="clear" w:color="auto" w:fill="CCEEFF"/>
          </w:tcPr>
          <w:p>
            <w:pPr>
              <w:spacing w:after="0"/>
              <w:rPr>
                <w:sz w:val="16"/>
                <w:szCs w:val="16"/>
                <w:color w:val="auto"/>
              </w:rPr>
            </w:pPr>
          </w:p>
        </w:tc>
      </w:tr>
      <w:tr>
        <w:trPr>
          <w:trHeight w:val="196"/>
        </w:trPr>
        <w:tc>
          <w:tcPr>
            <w:tcW w:w="242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31.2%</w:t>
            </w:r>
          </w:p>
        </w:tc>
        <w:tc>
          <w:tcPr>
            <w:tcW w:w="1060" w:type="dxa"/>
            <w:vAlign w:val="bottom"/>
          </w:tcPr>
          <w:p>
            <w:pPr>
              <w:jc w:val="right"/>
              <w:spacing w:after="0"/>
              <w:rPr>
                <w:sz w:val="20"/>
                <w:szCs w:val="20"/>
                <w:color w:val="auto"/>
              </w:rPr>
            </w:pPr>
            <w:r>
              <w:rPr>
                <w:rFonts w:ascii="Arial" w:cs="Arial" w:eastAsia="Arial" w:hAnsi="Arial"/>
                <w:sz w:val="16"/>
                <w:szCs w:val="16"/>
                <w:color w:val="auto"/>
              </w:rPr>
              <w:t>30.7%</w:t>
            </w:r>
          </w:p>
        </w:tc>
        <w:tc>
          <w:tcPr>
            <w:tcW w:w="4540" w:type="dxa"/>
            <w:vAlign w:val="bottom"/>
          </w:tcPr>
          <w:p>
            <w:pPr>
              <w:spacing w:after="0"/>
              <w:rPr>
                <w:sz w:val="17"/>
                <w:szCs w:val="17"/>
                <w:color w:val="auto"/>
              </w:rPr>
            </w:pPr>
          </w:p>
        </w:tc>
      </w:tr>
      <w:tr>
        <w:trPr>
          <w:trHeight w:val="196"/>
        </w:trPr>
        <w:tc>
          <w:tcPr>
            <w:tcW w:w="2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141.9</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4540" w:type="dxa"/>
            <w:vAlign w:val="bottom"/>
            <w:shd w:val="clear" w:color="auto" w:fill="CCEEFF"/>
          </w:tcPr>
          <w:p>
            <w:pPr>
              <w:spacing w:after="0"/>
              <w:rPr>
                <w:sz w:val="17"/>
                <w:szCs w:val="17"/>
                <w:color w:val="auto"/>
              </w:rPr>
            </w:pPr>
          </w:p>
        </w:tc>
      </w:tr>
      <w:tr>
        <w:trPr>
          <w:trHeight w:val="192"/>
        </w:trPr>
        <w:tc>
          <w:tcPr>
            <w:tcW w:w="242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4540" w:type="dxa"/>
            <w:vAlign w:val="bottom"/>
            <w:tcBorders>
              <w:top w:val="single" w:sz="8" w:color="CCEEFF"/>
            </w:tcBorders>
          </w:tcPr>
          <w:p>
            <w:pPr>
              <w:spacing w:after="0"/>
              <w:rPr>
                <w:sz w:val="16"/>
                <w:szCs w:val="16"/>
                <w:color w:val="auto"/>
              </w:rPr>
            </w:pPr>
          </w:p>
        </w:tc>
      </w:tr>
      <w:tr>
        <w:trPr>
          <w:trHeight w:val="192"/>
        </w:trPr>
        <w:tc>
          <w:tcPr>
            <w:tcW w:w="2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169.4</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112.4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50.7%</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4540" w:type="dxa"/>
            <w:vAlign w:val="bottom"/>
            <w:shd w:val="clear" w:color="auto" w:fill="CCEEFF"/>
          </w:tcPr>
          <w:p>
            <w:pPr>
              <w:spacing w:after="0"/>
              <w:rPr>
                <w:sz w:val="16"/>
                <w:szCs w:val="16"/>
                <w:color w:val="auto"/>
              </w:rPr>
            </w:pPr>
          </w:p>
        </w:tc>
      </w:tr>
      <w:tr>
        <w:trPr>
          <w:trHeight w:val="192"/>
        </w:trPr>
        <w:tc>
          <w:tcPr>
            <w:tcW w:w="2420" w:type="dxa"/>
            <w:vAlign w:val="bottom"/>
          </w:tcPr>
          <w:p>
            <w:pPr>
              <w:ind w:left="240"/>
              <w:spacing w:after="0"/>
              <w:rPr>
                <w:sz w:val="20"/>
                <w:szCs w:val="20"/>
                <w:color w:val="auto"/>
              </w:rPr>
            </w:pPr>
            <w:r>
              <w:rPr>
                <w:rFonts w:ascii="Arial" w:cs="Arial" w:eastAsia="Arial" w:hAnsi="Arial"/>
                <w:sz w:val="16"/>
                <w:szCs w:val="16"/>
                <w:color w:val="auto"/>
              </w:rPr>
              <w:t>Italy</w:t>
            </w:r>
          </w:p>
        </w:tc>
        <w:tc>
          <w:tcPr>
            <w:tcW w:w="2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74.1</w:t>
            </w:r>
          </w:p>
        </w:tc>
        <w:tc>
          <w:tcPr>
            <w:tcW w:w="2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47.5</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55.9%</w:t>
            </w:r>
          </w:p>
        </w:tc>
        <w:tc>
          <w:tcPr>
            <w:tcW w:w="1060" w:type="dxa"/>
            <w:vAlign w:val="bottom"/>
          </w:tcPr>
          <w:p>
            <w:pPr>
              <w:jc w:val="right"/>
              <w:spacing w:after="0"/>
              <w:rPr>
                <w:sz w:val="20"/>
                <w:szCs w:val="20"/>
                <w:color w:val="auto"/>
              </w:rPr>
            </w:pPr>
            <w:r>
              <w:rPr>
                <w:rFonts w:ascii="Arial" w:cs="Arial" w:eastAsia="Arial" w:hAnsi="Arial"/>
                <w:sz w:val="16"/>
                <w:szCs w:val="16"/>
                <w:color w:val="auto"/>
              </w:rPr>
              <w:t>47.2%</w:t>
            </w:r>
          </w:p>
        </w:tc>
        <w:tc>
          <w:tcPr>
            <w:tcW w:w="4540" w:type="dxa"/>
            <w:vAlign w:val="bottom"/>
          </w:tcPr>
          <w:p>
            <w:pPr>
              <w:spacing w:after="0"/>
              <w:rPr>
                <w:sz w:val="16"/>
                <w:szCs w:val="16"/>
                <w:color w:val="auto"/>
              </w:rPr>
            </w:pPr>
          </w:p>
        </w:tc>
      </w:tr>
      <w:tr>
        <w:trPr>
          <w:trHeight w:val="196"/>
        </w:trPr>
        <w:tc>
          <w:tcPr>
            <w:tcW w:w="2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4540" w:type="dxa"/>
            <w:vAlign w:val="bottom"/>
            <w:tcBorders>
              <w:bottom w:val="single" w:sz="8" w:color="CCEEFF"/>
            </w:tcBorders>
            <w:shd w:val="clear" w:color="auto" w:fill="CCEEFF"/>
          </w:tcPr>
          <w:p>
            <w:pPr>
              <w:spacing w:after="0"/>
              <w:rPr>
                <w:sz w:val="17"/>
                <w:szCs w:val="17"/>
                <w:color w:val="auto"/>
              </w:rPr>
            </w:pPr>
          </w:p>
        </w:tc>
      </w:tr>
      <w:tr>
        <w:trPr>
          <w:trHeight w:val="196"/>
        </w:trPr>
        <w:tc>
          <w:tcPr>
            <w:tcW w:w="2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254.3</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w:t>
            </w: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52.2%</w:t>
            </w:r>
          </w:p>
        </w:tc>
        <w:tc>
          <w:tcPr>
            <w:tcW w:w="1060" w:type="dxa"/>
            <w:vAlign w:val="bottom"/>
          </w:tcPr>
          <w:p>
            <w:pPr>
              <w:jc w:val="right"/>
              <w:spacing w:after="0"/>
              <w:rPr>
                <w:sz w:val="20"/>
                <w:szCs w:val="20"/>
                <w:color w:val="auto"/>
              </w:rPr>
            </w:pPr>
            <w:r>
              <w:rPr>
                <w:rFonts w:ascii="Arial" w:cs="Arial" w:eastAsia="Arial" w:hAnsi="Arial"/>
                <w:sz w:val="16"/>
                <w:szCs w:val="16"/>
                <w:color w:val="auto"/>
              </w:rPr>
              <w:t>43.7%</w:t>
            </w:r>
          </w:p>
        </w:tc>
        <w:tc>
          <w:tcPr>
            <w:tcW w:w="4540" w:type="dxa"/>
            <w:vAlign w:val="bottom"/>
          </w:tcPr>
          <w:p>
            <w:pPr>
              <w:spacing w:after="0"/>
              <w:rPr>
                <w:sz w:val="17"/>
                <w:szCs w:val="17"/>
                <w:color w:val="auto"/>
              </w:rPr>
            </w:pPr>
          </w:p>
        </w:tc>
      </w:tr>
      <w:tr>
        <w:trPr>
          <w:trHeight w:val="192"/>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212.6</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150.2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4540" w:type="dxa"/>
            <w:vAlign w:val="bottom"/>
            <w:shd w:val="clear" w:color="auto" w:fill="CCEEFF"/>
          </w:tcPr>
          <w:p>
            <w:pPr>
              <w:spacing w:after="0"/>
              <w:rPr>
                <w:sz w:val="16"/>
                <w:szCs w:val="16"/>
                <w:color w:val="auto"/>
              </w:rPr>
            </w:pPr>
          </w:p>
        </w:tc>
      </w:tr>
    </w:tbl>
    <w:p>
      <w:pPr>
        <w:sectPr>
          <w:pgSz w:w="11900" w:h="16845" w:orient="portrait"/>
          <w:cols w:equalWidth="0" w:num="1">
            <w:col w:w="11440"/>
          </w:cols>
          <w:pgMar w:left="240" w:top="140" w:right="21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20" w:type="dxa"/>
            <w:vAlign w:val="bottom"/>
          </w:tcPr>
          <w:p>
            <w:pPr>
              <w:ind w:left="60"/>
              <w:spacing w:after="0"/>
              <w:rPr>
                <w:sz w:val="20"/>
                <w:szCs w:val="20"/>
                <w:color w:val="auto"/>
              </w:rPr>
            </w:pPr>
            <w:r>
              <w:rPr>
                <w:rFonts w:ascii="Arial" w:cs="Arial" w:eastAsia="Arial" w:hAnsi="Arial"/>
                <w:sz w:val="16"/>
                <w:szCs w:val="16"/>
                <w:color w:val="auto"/>
              </w:rPr>
              <w:t>APME</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6"/>
                <w:szCs w:val="16"/>
                <w:color w:val="auto"/>
              </w:rPr>
              <w:t>47.2</w:t>
            </w:r>
          </w:p>
        </w:tc>
        <w:tc>
          <w:tcPr>
            <w:tcW w:w="1180" w:type="dxa"/>
            <w:vAlign w:val="bottom"/>
          </w:tcPr>
          <w:p>
            <w:pPr>
              <w:ind w:left="400"/>
              <w:spacing w:after="0"/>
              <w:rPr>
                <w:sz w:val="20"/>
                <w:szCs w:val="20"/>
                <w:color w:val="auto"/>
              </w:rPr>
            </w:pPr>
            <w:r>
              <w:rPr>
                <w:rFonts w:ascii="Arial" w:cs="Arial" w:eastAsia="Arial" w:hAnsi="Arial"/>
                <w:sz w:val="16"/>
                <w:szCs w:val="16"/>
                <w:color w:val="auto"/>
              </w:rPr>
              <w:t>66.7%</w:t>
            </w:r>
          </w:p>
        </w:tc>
        <w:tc>
          <w:tcPr>
            <w:tcW w:w="5340" w:type="dxa"/>
            <w:vAlign w:val="bottom"/>
          </w:tcPr>
          <w:p>
            <w:pPr>
              <w:ind w:left="360"/>
              <w:spacing w:after="0"/>
              <w:rPr>
                <w:sz w:val="20"/>
                <w:szCs w:val="20"/>
                <w:color w:val="auto"/>
              </w:rPr>
            </w:pPr>
            <w:r>
              <w:rPr>
                <w:rFonts w:ascii="Arial" w:cs="Arial" w:eastAsia="Arial" w:hAnsi="Arial"/>
                <w:sz w:val="16"/>
                <w:szCs w:val="16"/>
                <w:color w:val="auto"/>
              </w:rPr>
              <w:t>54.8%</w:t>
            </w:r>
          </w:p>
        </w:tc>
        <w:tc>
          <w:tcPr>
            <w:tcW w:w="20" w:type="dxa"/>
            <w:vAlign w:val="bottom"/>
          </w:tcPr>
          <w:p>
            <w:pPr>
              <w:spacing w:after="0"/>
              <w:rPr>
                <w:sz w:val="17"/>
                <w:szCs w:val="17"/>
                <w:color w:val="auto"/>
              </w:rPr>
            </w:pPr>
          </w:p>
        </w:tc>
      </w:tr>
      <w:tr>
        <w:trPr>
          <w:trHeight w:val="196"/>
        </w:trPr>
        <w:tc>
          <w:tcPr>
            <w:tcW w:w="2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3.5</w:t>
            </w:r>
          </w:p>
        </w:tc>
        <w:tc>
          <w:tcPr>
            <w:tcW w:w="11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N/A</w:t>
            </w:r>
          </w:p>
        </w:tc>
        <w:tc>
          <w:tcPr>
            <w:tcW w:w="5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r>
      <w:tr>
        <w:trPr>
          <w:trHeight w:val="192"/>
        </w:trPr>
        <w:tc>
          <w:tcPr>
            <w:tcW w:w="24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686.2</w:t>
            </w:r>
          </w:p>
        </w:tc>
        <w:tc>
          <w:tcPr>
            <w:tcW w:w="24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447.3</w:t>
            </w:r>
          </w:p>
        </w:tc>
        <w:tc>
          <w:tcPr>
            <w:tcW w:w="44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53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Corporate expenses</w:t>
            </w:r>
          </w:p>
        </w:tc>
        <w:tc>
          <w:tcPr>
            <w:tcW w:w="2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(123.1)</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(101.2)</w:t>
            </w:r>
          </w:p>
        </w:tc>
        <w:tc>
          <w:tcPr>
            <w:tcW w:w="1180" w:type="dxa"/>
            <w:vAlign w:val="bottom"/>
            <w:shd w:val="clear" w:color="auto" w:fill="CCEEFF"/>
          </w:tcPr>
          <w:p>
            <w:pPr>
              <w:spacing w:after="0"/>
              <w:rPr>
                <w:sz w:val="16"/>
                <w:szCs w:val="16"/>
                <w:color w:val="auto"/>
              </w:rPr>
            </w:pPr>
          </w:p>
        </w:tc>
        <w:tc>
          <w:tcPr>
            <w:tcW w:w="53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2420" w:type="dxa"/>
            <w:vAlign w:val="bottom"/>
          </w:tcPr>
          <w:p>
            <w:pPr>
              <w:spacing w:after="0" w:line="180" w:lineRule="exact"/>
              <w:rPr>
                <w:sz w:val="20"/>
                <w:szCs w:val="20"/>
                <w:color w:val="auto"/>
              </w:rPr>
            </w:pPr>
            <w:r>
              <w:rPr>
                <w:rFonts w:ascii="Arial" w:cs="Arial" w:eastAsia="Arial" w:hAnsi="Arial"/>
                <w:sz w:val="16"/>
                <w:szCs w:val="16"/>
                <w:color w:val="auto"/>
              </w:rPr>
              <w:t>Goodwill and intangible asset</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5"/>
        </w:trPr>
        <w:tc>
          <w:tcPr>
            <w:tcW w:w="2420" w:type="dxa"/>
            <w:vAlign w:val="bottom"/>
          </w:tcPr>
          <w:p>
            <w:pPr>
              <w:spacing w:after="0"/>
              <w:rPr>
                <w:sz w:val="20"/>
                <w:szCs w:val="20"/>
                <w:color w:val="auto"/>
              </w:rPr>
            </w:pPr>
            <w:r>
              <w:rPr>
                <w:rFonts w:ascii="Arial" w:cs="Arial" w:eastAsia="Arial" w:hAnsi="Arial"/>
                <w:sz w:val="16"/>
                <w:szCs w:val="16"/>
                <w:color w:val="auto"/>
              </w:rPr>
              <w:t>impairment charges</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(428.8)</w:t>
            </w:r>
          </w:p>
        </w:tc>
        <w:tc>
          <w:tcPr>
            <w:tcW w:w="11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0"/>
        </w:trPr>
        <w:tc>
          <w:tcPr>
            <w:tcW w:w="24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Intangible asset amortization</w:t>
            </w: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3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5"/>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expense</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(38.9)</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(39.3)</w:t>
            </w:r>
          </w:p>
        </w:tc>
        <w:tc>
          <w:tcPr>
            <w:tcW w:w="1180" w:type="dxa"/>
            <w:vAlign w:val="bottom"/>
            <w:shd w:val="clear" w:color="auto" w:fill="CCEEFF"/>
          </w:tcPr>
          <w:p>
            <w:pPr>
              <w:spacing w:after="0"/>
              <w:rPr>
                <w:sz w:val="17"/>
                <w:szCs w:val="17"/>
                <w:color w:val="auto"/>
              </w:rPr>
            </w:pPr>
          </w:p>
        </w:tc>
        <w:tc>
          <w:tcPr>
            <w:tcW w:w="5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4"/>
        </w:trPr>
        <w:tc>
          <w:tcPr>
            <w:tcW w:w="24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92"/>
        </w:trPr>
        <w:tc>
          <w:tcPr>
            <w:tcW w:w="2420" w:type="dxa"/>
            <w:vAlign w:val="bottom"/>
          </w:tcPr>
          <w:p>
            <w:pPr>
              <w:ind w:left="160"/>
              <w:spacing w:after="0"/>
              <w:rPr>
                <w:sz w:val="20"/>
                <w:szCs w:val="20"/>
                <w:color w:val="auto"/>
              </w:rPr>
            </w:pPr>
            <w:r>
              <w:rPr>
                <w:rFonts w:ascii="Arial" w:cs="Arial" w:eastAsia="Arial" w:hAnsi="Arial"/>
                <w:sz w:val="16"/>
                <w:szCs w:val="16"/>
                <w:color w:val="auto"/>
              </w:rPr>
              <w:t>Operating profit (loss)</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524.2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(122.0)</w:t>
            </w:r>
          </w:p>
        </w:tc>
        <w:tc>
          <w:tcPr>
            <w:tcW w:w="1180" w:type="dxa"/>
            <w:vAlign w:val="bottom"/>
          </w:tcPr>
          <w:p>
            <w:pPr>
              <w:ind w:left="400"/>
              <w:spacing w:after="0"/>
              <w:rPr>
                <w:sz w:val="20"/>
                <w:szCs w:val="20"/>
                <w:color w:val="auto"/>
              </w:rPr>
            </w:pPr>
            <w:r>
              <w:rPr>
                <w:rFonts w:ascii="Arial" w:cs="Arial" w:eastAsia="Arial" w:hAnsi="Arial"/>
                <w:sz w:val="16"/>
                <w:szCs w:val="16"/>
                <w:color w:val="auto"/>
              </w:rPr>
              <w:t>N/A</w:t>
            </w:r>
          </w:p>
        </w:tc>
        <w:tc>
          <w:tcPr>
            <w:tcW w:w="5340" w:type="dxa"/>
            <w:vAlign w:val="bottom"/>
          </w:tcPr>
          <w:p>
            <w:pPr>
              <w:ind w:left="3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r>
      <w:tr>
        <w:trPr>
          <w:trHeight w:val="196"/>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Interest and other expenses</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(44.3)</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(43.2)</w:t>
            </w:r>
          </w:p>
        </w:tc>
        <w:tc>
          <w:tcPr>
            <w:tcW w:w="1180" w:type="dxa"/>
            <w:vAlign w:val="bottom"/>
            <w:shd w:val="clear" w:color="auto" w:fill="CCEEFF"/>
          </w:tcPr>
          <w:p>
            <w:pPr>
              <w:spacing w:after="0"/>
              <w:rPr>
                <w:sz w:val="17"/>
                <w:szCs w:val="17"/>
                <w:color w:val="auto"/>
              </w:rPr>
            </w:pPr>
          </w:p>
        </w:tc>
        <w:tc>
          <w:tcPr>
            <w:tcW w:w="53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0"/>
        </w:trPr>
        <w:tc>
          <w:tcPr>
            <w:tcW w:w="2420" w:type="dxa"/>
            <w:vAlign w:val="bottom"/>
            <w:tcBorders>
              <w:top w:val="single" w:sz="8" w:color="CCEEFF"/>
            </w:tcBorders>
          </w:tcPr>
          <w:p>
            <w:pPr>
              <w:ind w:left="160"/>
              <w:spacing w:after="0" w:line="180" w:lineRule="exact"/>
              <w:rPr>
                <w:sz w:val="20"/>
                <w:szCs w:val="20"/>
                <w:color w:val="auto"/>
              </w:rPr>
            </w:pPr>
            <w:r>
              <w:rPr>
                <w:rFonts w:ascii="Arial" w:cs="Arial" w:eastAsia="Arial" w:hAnsi="Arial"/>
                <w:sz w:val="16"/>
                <w:szCs w:val="16"/>
                <w:color w:val="auto"/>
              </w:rPr>
              <w:t>Earnings (loss) before income</w:t>
            </w:r>
          </w:p>
        </w:tc>
        <w:tc>
          <w:tcPr>
            <w:tcW w:w="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534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205"/>
        </w:trPr>
        <w:tc>
          <w:tcPr>
            <w:tcW w:w="2420" w:type="dxa"/>
            <w:vAlign w:val="bottom"/>
          </w:tcPr>
          <w:p>
            <w:pPr>
              <w:spacing w:after="0"/>
              <w:rPr>
                <w:sz w:val="20"/>
                <w:szCs w:val="20"/>
                <w:color w:val="auto"/>
              </w:rPr>
            </w:pPr>
            <w:r>
              <w:rPr>
                <w:rFonts w:ascii="Arial" w:cs="Arial" w:eastAsia="Arial" w:hAnsi="Arial"/>
                <w:sz w:val="16"/>
                <w:szCs w:val="16"/>
                <w:color w:val="auto"/>
              </w:rPr>
              <w:t>taxes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479.9</w:t>
            </w:r>
          </w:p>
        </w:tc>
        <w:tc>
          <w:tcPr>
            <w:tcW w:w="240" w:type="dxa"/>
            <w:vAlign w:val="bottom"/>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(165.2)</w:t>
            </w:r>
          </w:p>
        </w:tc>
        <w:tc>
          <w:tcPr>
            <w:tcW w:w="118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1"/>
        </w:trPr>
        <w:tc>
          <w:tcPr>
            <w:tcW w:w="24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-13335</wp:posOffset>
            </wp:positionV>
            <wp:extent cx="127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sectPr>
      <w:pgSz w:w="11900" w:h="16838" w:orient="portrait"/>
      <w:cols w:equalWidth="0" w:num="1">
        <w:col w:w="11460"/>
      </w:cols>
      <w:pgMar w:left="24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2019-12-06T04:36:16Z</dcterms:created>
  <dcterms:modified xsi:type="dcterms:W3CDTF">2019-12-06T04:36:16Z</dcterms:modified>
</cp:coreProperties>
</file>