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6040"/>
        <w:spacing w:after="0" w:line="226"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4273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4273550"/>
                    </a:xfrm>
                    <a:prstGeom prst="rect">
                      <a:avLst/>
                    </a:prstGeom>
                    <a:noFill/>
                  </pic:spPr>
                </pic:pic>
              </a:graphicData>
            </a:graphic>
          </wp:anchor>
        </w:drawing>
        <w:t>ManpowerGroup 2024 Year in Review Message from Jonas Prising, Chair &amp; CEO</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March 6, 2025</w:t>
      </w:r>
    </w:p>
    <w:p>
      <w:pPr>
        <w:spacing w:after="0" w:line="200" w:lineRule="exact"/>
        <w:rPr>
          <w:sz w:val="24"/>
          <w:szCs w:val="24"/>
          <w:color w:val="auto"/>
        </w:rPr>
      </w:pPr>
    </w:p>
    <w:p>
      <w:pPr>
        <w:spacing w:after="0" w:line="368" w:lineRule="exact"/>
        <w:rPr>
          <w:sz w:val="24"/>
          <w:szCs w:val="24"/>
          <w:color w:val="auto"/>
        </w:rPr>
      </w:pPr>
    </w:p>
    <w:p>
      <w:pPr>
        <w:ind w:left="2040"/>
        <w:spacing w:after="0"/>
        <w:rPr>
          <w:sz w:val="20"/>
          <w:szCs w:val="20"/>
          <w:color w:val="auto"/>
        </w:rPr>
      </w:pPr>
      <w:r>
        <w:rPr>
          <w:rFonts w:ascii="Arial" w:cs="Arial" w:eastAsia="Arial" w:hAnsi="Arial"/>
          <w:sz w:val="17"/>
          <w:szCs w:val="17"/>
          <w:b w:val="1"/>
          <w:bCs w:val="1"/>
          <w:color w:val="auto"/>
        </w:rPr>
        <w:t>2024 Revenues</w:t>
      </w:r>
    </w:p>
    <w:p>
      <w:pPr>
        <w:ind w:left="2060"/>
        <w:spacing w:after="0"/>
        <w:rPr>
          <w:sz w:val="20"/>
          <w:szCs w:val="20"/>
          <w:color w:val="auto"/>
        </w:rPr>
      </w:pPr>
      <w:r>
        <w:rPr>
          <w:rFonts w:ascii="Arial" w:cs="Arial" w:eastAsia="Arial" w:hAnsi="Arial"/>
          <w:sz w:val="40"/>
          <w:szCs w:val="40"/>
          <w:b w:val="1"/>
          <w:bCs w:val="1"/>
          <w:color w:val="auto"/>
        </w:rPr>
        <w:t>$17.9b</w:t>
      </w:r>
    </w:p>
    <w:p>
      <w:pPr>
        <w:spacing w:after="0" w:line="324" w:lineRule="exact"/>
        <w:rPr>
          <w:sz w:val="24"/>
          <w:szCs w:val="24"/>
          <w:color w:val="auto"/>
        </w:rPr>
      </w:pPr>
    </w:p>
    <w:p>
      <w:pPr>
        <w:jc w:val="center"/>
        <w:ind w:right="4700"/>
        <w:spacing w:after="0"/>
        <w:rPr>
          <w:sz w:val="20"/>
          <w:szCs w:val="20"/>
          <w:color w:val="auto"/>
        </w:rPr>
      </w:pPr>
      <w:r>
        <w:rPr>
          <w:rFonts w:ascii="Arial" w:cs="Arial" w:eastAsia="Arial" w:hAnsi="Arial"/>
          <w:sz w:val="17"/>
          <w:szCs w:val="17"/>
          <w:b w:val="1"/>
          <w:bCs w:val="1"/>
          <w:color w:val="auto"/>
        </w:rPr>
        <w:t>Gross Profit Margin</w:t>
      </w:r>
    </w:p>
    <w:p>
      <w:pPr>
        <w:ind w:left="2160"/>
        <w:spacing w:after="0"/>
        <w:rPr>
          <w:sz w:val="20"/>
          <w:szCs w:val="20"/>
          <w:color w:val="auto"/>
        </w:rPr>
      </w:pPr>
      <w:r>
        <w:rPr>
          <w:rFonts w:ascii="Arial" w:cs="Arial" w:eastAsia="Arial" w:hAnsi="Arial"/>
          <w:sz w:val="40"/>
          <w:szCs w:val="40"/>
          <w:b w:val="1"/>
          <w:bCs w:val="1"/>
          <w:color w:val="auto"/>
        </w:rPr>
        <w:t>17.3%</w:t>
      </w:r>
    </w:p>
    <w:p>
      <w:pPr>
        <w:spacing w:after="0" w:line="324" w:lineRule="exact"/>
        <w:rPr>
          <w:sz w:val="24"/>
          <w:szCs w:val="24"/>
          <w:color w:val="auto"/>
        </w:rPr>
      </w:pPr>
    </w:p>
    <w:p>
      <w:pPr>
        <w:jc w:val="center"/>
        <w:ind w:right="4700"/>
        <w:spacing w:after="0"/>
        <w:rPr>
          <w:sz w:val="20"/>
          <w:szCs w:val="20"/>
          <w:color w:val="auto"/>
        </w:rPr>
      </w:pPr>
      <w:r>
        <w:rPr>
          <w:rFonts w:ascii="Arial" w:cs="Arial" w:eastAsia="Arial" w:hAnsi="Arial"/>
          <w:sz w:val="17"/>
          <w:szCs w:val="17"/>
          <w:b w:val="1"/>
          <w:bCs w:val="1"/>
          <w:color w:val="auto"/>
        </w:rPr>
        <w:t>Diluted Earnings Per Share</w:t>
      </w:r>
    </w:p>
    <w:p>
      <w:pPr>
        <w:jc w:val="center"/>
        <w:ind w:right="4700"/>
        <w:spacing w:after="0" w:line="230" w:lineRule="auto"/>
        <w:rPr>
          <w:sz w:val="20"/>
          <w:szCs w:val="20"/>
          <w:color w:val="auto"/>
        </w:rPr>
      </w:pPr>
      <w:r>
        <w:rPr>
          <w:rFonts w:ascii="Arial" w:cs="Arial" w:eastAsia="Arial" w:hAnsi="Arial"/>
          <w:sz w:val="40"/>
          <w:szCs w:val="40"/>
          <w:b w:val="1"/>
          <w:bCs w:val="1"/>
          <w:color w:val="auto"/>
        </w:rPr>
        <w:t>$3.01</w:t>
      </w:r>
    </w:p>
    <w:p>
      <w:pPr>
        <w:ind w:left="1560"/>
        <w:spacing w:after="0"/>
        <w:rPr>
          <w:sz w:val="20"/>
          <w:szCs w:val="20"/>
          <w:color w:val="auto"/>
        </w:rPr>
      </w:pPr>
      <w:r>
        <w:rPr>
          <w:rFonts w:ascii="Arial" w:cs="Arial" w:eastAsia="Arial" w:hAnsi="Arial"/>
          <w:sz w:val="15"/>
          <w:szCs w:val="15"/>
          <w:b w:val="1"/>
          <w:bCs w:val="1"/>
          <w:color w:val="auto"/>
        </w:rPr>
        <w:t>ԻǸɒ˃ ͣʹɤɒڑɒʧ˓ ʹɤɒڑ_ŶƋڑ</w:t>
      </w:r>
      <w:r>
        <w:rPr>
          <w:rFonts w:ascii="Arial" w:cs="Arial" w:eastAsia="Arial" w:hAnsi="Arial"/>
          <w:sz w:val="15"/>
          <w:szCs w:val="15"/>
          <w:b w:val="1"/>
          <w:bCs w:val="1"/>
          <w:color w:val="auto"/>
        </w:rPr>
        <w:t>Ӯ</w:t>
      </w:r>
      <w:r>
        <w:rPr>
          <w:rFonts w:ascii="Arial" w:cs="Arial" w:eastAsia="Arial" w:hAnsi="Arial"/>
          <w:sz w:val="15"/>
          <w:szCs w:val="15"/>
          <w:b w:val="1"/>
          <w:bCs w:val="1"/>
          <w:color w:val="auto"/>
        </w:rPr>
        <w:t>ԓռԔԔՅ֭</w:t>
      </w:r>
    </w:p>
    <w:p>
      <w:pPr>
        <w:spacing w:after="0" w:line="370" w:lineRule="exact"/>
        <w:rPr>
          <w:sz w:val="24"/>
          <w:szCs w:val="24"/>
          <w:color w:val="auto"/>
        </w:rPr>
      </w:pPr>
    </w:p>
    <w:p>
      <w:pPr>
        <w:jc w:val="center"/>
        <w:ind w:right="4700"/>
        <w:spacing w:after="0"/>
        <w:rPr>
          <w:sz w:val="20"/>
          <w:szCs w:val="20"/>
          <w:color w:val="auto"/>
        </w:rPr>
      </w:pPr>
      <w:r>
        <w:rPr>
          <w:rFonts w:ascii="Arial" w:cs="Arial" w:eastAsia="Arial" w:hAnsi="Arial"/>
          <w:sz w:val="17"/>
          <w:szCs w:val="17"/>
          <w:b w:val="1"/>
          <w:bCs w:val="1"/>
          <w:color w:val="auto"/>
        </w:rPr>
        <w:t>EBITA</w:t>
      </w:r>
    </w:p>
    <w:p>
      <w:pPr>
        <w:jc w:val="center"/>
        <w:ind w:right="4700"/>
        <w:spacing w:after="0" w:line="230" w:lineRule="auto"/>
        <w:rPr>
          <w:sz w:val="20"/>
          <w:szCs w:val="20"/>
          <w:color w:val="auto"/>
        </w:rPr>
      </w:pPr>
      <w:r>
        <w:rPr>
          <w:rFonts w:ascii="Arial" w:cs="Arial" w:eastAsia="Arial" w:hAnsi="Arial"/>
          <w:sz w:val="40"/>
          <w:szCs w:val="40"/>
          <w:b w:val="1"/>
          <w:bCs w:val="1"/>
          <w:color w:val="auto"/>
        </w:rPr>
        <w:t>$339m</w:t>
      </w:r>
    </w:p>
    <w:p>
      <w:pPr>
        <w:ind w:left="1520"/>
        <w:spacing w:after="0"/>
        <w:rPr>
          <w:sz w:val="20"/>
          <w:szCs w:val="20"/>
          <w:color w:val="auto"/>
        </w:rPr>
      </w:pPr>
      <w:r>
        <w:rPr>
          <w:rFonts w:ascii="Arial" w:cs="Arial" w:eastAsia="Arial" w:hAnsi="Arial"/>
          <w:sz w:val="15"/>
          <w:szCs w:val="15"/>
          <w:b w:val="1"/>
          <w:bCs w:val="1"/>
          <w:color w:val="auto"/>
        </w:rPr>
        <w:t>ԻǸɒ˃ ͣʹɤɒڑ_AÅƙ ڑ</w:t>
      </w:r>
      <w:r>
        <w:rPr>
          <w:rFonts w:ascii="Arial" w:cs="Arial" w:eastAsia="Arial" w:hAnsi="Arial"/>
          <w:sz w:val="15"/>
          <w:szCs w:val="15"/>
          <w:b w:val="1"/>
          <w:bCs w:val="1"/>
          <w:color w:val="auto"/>
        </w:rPr>
        <w:t>Ӯ</w:t>
      </w:r>
      <w:r>
        <w:rPr>
          <w:rFonts w:ascii="Arial" w:cs="Arial" w:eastAsia="Arial" w:hAnsi="Arial"/>
          <w:sz w:val="15"/>
          <w:szCs w:val="15"/>
          <w:b w:val="1"/>
          <w:bCs w:val="1"/>
          <w:color w:val="auto"/>
        </w:rPr>
        <w:t>ԓԎԒڑ˰ʧ˓˓ʧ̇˷Լ֭</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1B357E"/>
        </w:rPr>
        <w:t>Dear Shareholders, Clients, Employees and Partners,</w:t>
      </w:r>
    </w:p>
    <w:p>
      <w:pPr>
        <w:spacing w:after="0" w:line="135" w:lineRule="exact"/>
        <w:rPr>
          <w:sz w:val="24"/>
          <w:szCs w:val="24"/>
          <w:color w:val="auto"/>
        </w:rPr>
      </w:pPr>
    </w:p>
    <w:p>
      <w:pPr>
        <w:ind w:left="720" w:right="160"/>
        <w:spacing w:after="0" w:line="306" w:lineRule="auto"/>
        <w:rPr>
          <w:sz w:val="20"/>
          <w:szCs w:val="20"/>
          <w:color w:val="auto"/>
        </w:rPr>
      </w:pPr>
      <w:r>
        <w:rPr>
          <w:rFonts w:ascii="Arial" w:cs="Arial" w:eastAsia="Arial" w:hAnsi="Arial"/>
          <w:sz w:val="17"/>
          <w:szCs w:val="17"/>
          <w:color w:val="auto"/>
        </w:rPr>
        <w:t>2024 was a year in which we managed headwinds in parts of our business while preparing for future opportunities we believe are just over the horizon. The effects of economic and geopolitical uncertainty are still being felt across the industry and our business in Europe and North America. Still, the global labor market has shown remarkable resilience in weathering the triple hit of a global pandemic, shifting geopolitics and slow economic growth, and we have continued optimism that the broad adoption of AI can generate significant growth opportunities for companies, including our own.</w:t>
      </w:r>
    </w:p>
    <w:p>
      <w:pPr>
        <w:spacing w:after="0" w:line="374" w:lineRule="exact"/>
        <w:rPr>
          <w:sz w:val="24"/>
          <w:szCs w:val="24"/>
          <w:color w:val="auto"/>
        </w:rPr>
      </w:pPr>
    </w:p>
    <w:p>
      <w:pPr>
        <w:ind w:left="720" w:right="100"/>
        <w:spacing w:after="0" w:line="305" w:lineRule="auto"/>
        <w:rPr>
          <w:sz w:val="20"/>
          <w:szCs w:val="20"/>
          <w:color w:val="auto"/>
        </w:rPr>
      </w:pPr>
      <w:r>
        <w:rPr>
          <w:rFonts w:ascii="Arial" w:cs="Arial" w:eastAsia="Arial" w:hAnsi="Arial"/>
          <w:sz w:val="17"/>
          <w:szCs w:val="17"/>
          <w:color w:val="auto"/>
        </w:rPr>
        <w:t>Over the past 12 months, we have maintained a relentless focus on what it will take to win in the market today and tomorrow. We made the tough business decisions that were required to address the difficult conditions in some of our key markets. At the same time, we maintained our investment in digitization and retained the talent we need for improved competitive performance. Now, with technology acceleration fueling a growing demand for employees with specialized skills, we are well positioned to capitalize on changing market conditions across all our global brands.</w:t>
      </w:r>
    </w:p>
    <w:p>
      <w:pPr>
        <w:spacing w:after="0" w:line="138" w:lineRule="exact"/>
        <w:rPr>
          <w:sz w:val="24"/>
          <w:szCs w:val="24"/>
          <w:color w:val="auto"/>
        </w:rPr>
      </w:pPr>
    </w:p>
    <w:p>
      <w:pPr>
        <w:ind w:left="720" w:right="100"/>
        <w:spacing w:after="0" w:line="305" w:lineRule="auto"/>
        <w:rPr>
          <w:sz w:val="20"/>
          <w:szCs w:val="20"/>
          <w:color w:val="auto"/>
        </w:rPr>
      </w:pPr>
      <w:r>
        <w:rPr>
          <w:rFonts w:ascii="Arial" w:cs="Arial" w:eastAsia="Arial" w:hAnsi="Arial"/>
          <w:sz w:val="17"/>
          <w:szCs w:val="17"/>
          <w:color w:val="auto"/>
        </w:rPr>
        <w:t xml:space="preserve">We continue to do the hard work of aligning and improving our day-to-day operations around the world. Our </w:t>
      </w:r>
      <w:r>
        <w:rPr>
          <w:rFonts w:ascii="Arial" w:cs="Arial" w:eastAsia="Arial" w:hAnsi="Arial"/>
          <w:sz w:val="17"/>
          <w:szCs w:val="17"/>
          <w:color w:val="auto"/>
        </w:rPr>
        <w:t xml:space="preserve">TʧΤɤͣͅʧʅʧɆǸʹʧ̇˷ջڑTʧʊʧʹʧύǸʹʧ̇˷ڑǸ˷ɒڑÅ˷˷̇ΤǸʹʧ̇˷ڑՄTTÅՅڑ̻˓Ǹ˷ڑɆ̇˷ʹʧ˷ ɤͣڑʹ̇ڑ̻̇ͅʊͅɤͣͣڑǸɆ̇ͣͣͅڑ̇ ͅڑɤ˷ʹɤ̻ͅͅʧͣɤռڑTʧΤɤͣͅʧʅζʧ˷ʊڑ̇ ͅڑ </w:t>
      </w:r>
      <w:r>
        <w:rPr>
          <w:rFonts w:ascii="Arial" w:cs="Arial" w:eastAsia="Arial" w:hAnsi="Arial"/>
          <w:sz w:val="17"/>
          <w:szCs w:val="17"/>
          <w:color w:val="auto"/>
        </w:rPr>
        <w:t>services to expand our higher margin offerings, leveraging global technology across our business to improve productivity at speed and scale, and accelerating innovation to improve recruiter productivity, enhance the candidate experience and capitalize on new opportunities are all core components of our strategy to win in the market.</w:t>
      </w:r>
    </w:p>
    <w:p>
      <w:pPr>
        <w:spacing w:after="0" w:line="138" w:lineRule="exact"/>
        <w:rPr>
          <w:sz w:val="24"/>
          <w:szCs w:val="24"/>
          <w:color w:val="auto"/>
        </w:rPr>
      </w:pPr>
    </w:p>
    <w:p>
      <w:pPr>
        <w:ind w:left="720" w:right="280"/>
        <w:spacing w:after="0" w:line="310" w:lineRule="auto"/>
        <w:rPr>
          <w:sz w:val="20"/>
          <w:szCs w:val="20"/>
          <w:color w:val="auto"/>
        </w:rPr>
      </w:pPr>
      <w:r>
        <w:rPr>
          <w:rFonts w:ascii="Arial" w:cs="Arial" w:eastAsia="Arial" w:hAnsi="Arial"/>
          <w:sz w:val="17"/>
          <w:szCs w:val="17"/>
          <w:color w:val="auto"/>
        </w:rPr>
        <w:t>We remain confident that traditional industry dynamics will play out over time and our singular goal – to connect more people to meaningful and sustainable work – remains unchanged. With our latest talent shortage data reporting that three in four companies continue to struggle to find the specialized talent they need, we are ready to find, train and welcome new people into the workforce, while also reskilling and retraining current workers eager for new opportunities.</w:t>
      </w:r>
    </w:p>
    <w:p>
      <w:pPr>
        <w:spacing w:after="0" w:line="370" w:lineRule="exact"/>
        <w:rPr>
          <w:sz w:val="24"/>
          <w:szCs w:val="24"/>
          <w:color w:val="auto"/>
        </w:rPr>
      </w:pPr>
    </w:p>
    <w:p>
      <w:pPr>
        <w:ind w:left="720" w:right="420"/>
        <w:spacing w:after="0" w:line="309" w:lineRule="auto"/>
        <w:rPr>
          <w:sz w:val="20"/>
          <w:szCs w:val="20"/>
          <w:color w:val="auto"/>
        </w:rPr>
      </w:pPr>
      <w:r>
        <w:rPr>
          <w:rFonts w:ascii="Arial" w:cs="Arial" w:eastAsia="Arial" w:hAnsi="Arial"/>
          <w:sz w:val="17"/>
          <w:szCs w:val="17"/>
          <w:color w:val="auto"/>
        </w:rPr>
        <w:t xml:space="preserve">Å˷ڑԐԎԐԔջڑΨɤڑΨʧ˓˓ڑȿ ʧ˓ɒڑ̇˷ڑ̇ ͅڑͣʹͅǸʹɤʊʧɆڑ̻̇ͅʊͅɤͣͣڑǸɆ̇ͣͣͅڑ̇ ͅڑȿ ͣʧ˷ɤͣͣռڑŀ ͅڑͣʹ̇ͅ˷ʊڑǸ˷ɒڑɒʧͣʹʧ˷ɆʹڑȿͅǸ˷ɒͣڑ՟ڑģǸ˷̻̇Ψɤͅջڑ </w:t>
      </w:r>
      <w:r>
        <w:rPr>
          <w:rFonts w:ascii="Arial" w:cs="Arial" w:eastAsia="Arial" w:hAnsi="Arial"/>
          <w:sz w:val="17"/>
          <w:szCs w:val="17"/>
          <w:color w:val="auto"/>
        </w:rPr>
        <w:t>Experis and Talent Solutions – each address critical needs in the marketplace and are becoming experts at scale within their respective segments. Together, they represent a continuum of services and solutions that help our clients through this fundamental reshaping of the world of work by putting people at the heart of transformation.</w:t>
      </w:r>
    </w:p>
    <w:p>
      <w:pPr>
        <w:sectPr>
          <w:pgSz w:w="12240" w:h="15840" w:orient="portrait"/>
          <w:cols w:equalWidth="0" w:num="1">
            <w:col w:w="10080"/>
          </w:cols>
          <w:pgMar w:left="720" w:top="716" w:right="1440" w:bottom="723" w:gutter="0" w:footer="0" w:header="0"/>
        </w:sectPr>
      </w:pPr>
    </w:p>
    <w:bookmarkStart w:id="1" w:name="page2"/>
    <w:bookmarkEnd w:id="1"/>
    <w:p>
      <w:pPr>
        <w:ind w:left="810"/>
        <w:spacing w:after="0"/>
        <w:rPr>
          <w:sz w:val="20"/>
          <w:szCs w:val="20"/>
          <w:color w:val="auto"/>
        </w:rPr>
      </w:pPr>
      <w:r>
        <w:rPr>
          <w:rFonts w:ascii="Arial" w:cs="Arial" w:eastAsia="Arial" w:hAnsi="Arial"/>
          <w:sz w:val="24"/>
          <w:szCs w:val="24"/>
          <w:b w:val="1"/>
          <w:bCs w:val="1"/>
          <w:color w:val="0C2A7B"/>
        </w:rPr>
        <w:drawing>
          <wp:anchor simplePos="0" relativeHeight="251657728" behindDoc="1" locked="0" layoutInCell="0" allowOverlap="1">
            <wp:simplePos x="0" y="0"/>
            <wp:positionH relativeFrom="page">
              <wp:posOffset>0</wp:posOffset>
            </wp:positionH>
            <wp:positionV relativeFrom="page">
              <wp:posOffset>0</wp:posOffset>
            </wp:positionV>
            <wp:extent cx="3319145"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9145" cy="10057765"/>
                    </a:xfrm>
                    <a:prstGeom prst="rect">
                      <a:avLst/>
                    </a:prstGeom>
                    <a:noFill/>
                  </pic:spPr>
                </pic:pic>
              </a:graphicData>
            </a:graphic>
          </wp:anchor>
        </w:drawing>
        <w:t>2024 Highlights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0" w:hanging="190"/>
        <w:spacing w:after="0"/>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Contributed 59% of consolidated</w:t>
      </w:r>
    </w:p>
    <w:p>
      <w:pPr>
        <w:spacing w:after="0" w:line="44"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7"/>
          <w:szCs w:val="17"/>
          <w:color w:val="auto"/>
        </w:rPr>
        <w:t>ģǸ˷̻̇Ψɤͅ  ̇ͅ ̻ڑʊ̇ͣͣͅڑ̻̇ͅʅʧʹռ</w:t>
      </w:r>
    </w:p>
    <w:p>
      <w:pPr>
        <w:spacing w:after="0" w:line="134" w:lineRule="exact"/>
        <w:rPr>
          <w:rFonts w:ascii="Arial" w:cs="Arial" w:eastAsia="Arial" w:hAnsi="Arial"/>
          <w:sz w:val="17"/>
          <w:szCs w:val="17"/>
          <w:color w:val="auto"/>
        </w:rPr>
      </w:pPr>
    </w:p>
    <w:p>
      <w:pPr>
        <w:ind w:left="190" w:right="1120" w:hanging="190"/>
        <w:spacing w:after="0" w:line="294"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ƋɆǸ˓ɤɒڑ̇ ͅڑģǸ˷̻̇Ψɤͅڑ̇˷ͣʧʹɤڑ̇ʅʅɤͅʧ˷ʊڑʧ˷ڑǸ˓˓ڑ </w:t>
      </w:r>
      <w:r>
        <w:rPr>
          <w:rFonts w:ascii="Arial" w:cs="Arial" w:eastAsia="Arial" w:hAnsi="Arial"/>
          <w:sz w:val="17"/>
          <w:szCs w:val="17"/>
          <w:color w:val="auto"/>
        </w:rPr>
        <w:t>priority markets and accelerated new ways of meeting candidates where they are with our</w:t>
      </w:r>
    </w:p>
    <w:p>
      <w:pPr>
        <w:spacing w:after="0" w:line="1"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7"/>
          <w:szCs w:val="17"/>
          <w:color w:val="auto"/>
        </w:rPr>
        <w:t>ģ̇ȿʧ˓ɤڑ  ̻̻ڑǸ˷ɒڑǈǸ˓˰Ǹͅʹڑĉ̇ȿڑ¡ ȿͣռ</w:t>
      </w:r>
    </w:p>
    <w:p>
      <w:pPr>
        <w:spacing w:after="0" w:line="134" w:lineRule="exact"/>
        <w:rPr>
          <w:rFonts w:ascii="Arial" w:cs="Arial" w:eastAsia="Arial" w:hAnsi="Arial"/>
          <w:sz w:val="17"/>
          <w:szCs w:val="17"/>
          <w:color w:val="auto"/>
        </w:rPr>
      </w:pPr>
    </w:p>
    <w:p>
      <w:pPr>
        <w:ind w:left="190" w:right="780" w:hanging="190"/>
        <w:spacing w:after="0" w:line="305"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_α̻Ǹ˷ɒɤɒڑ̇ ͅڑģǸ˷̻̇ΨɤͅڑģζŶǸʹʔ֯ڑ̻̇ͅʊͅǸ˰ڑ </w:t>
      </w:r>
      <w:r>
        <w:rPr>
          <w:rFonts w:ascii="Arial" w:cs="Arial" w:eastAsia="Arial" w:hAnsi="Arial"/>
          <w:sz w:val="17"/>
          <w:szCs w:val="17"/>
          <w:color w:val="auto"/>
        </w:rPr>
        <w:t xml:space="preserve">providing soft and technical skills to 270,000 people to date, filling growth roles for our clients and providing personalized, data-driven guidance to 30% of our associates in </w:t>
      </w:r>
      <w:r>
        <w:rPr>
          <w:rFonts w:ascii="Arial" w:cs="Arial" w:eastAsia="Arial" w:hAnsi="Arial"/>
          <w:sz w:val="17"/>
          <w:szCs w:val="17"/>
          <w:color w:val="auto"/>
        </w:rPr>
        <w:t>ģζŶǸʹʔ֯ڑɆ̇ ˷ʹͅʧɤͣռ</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1" w:lineRule="exact"/>
        <w:rPr>
          <w:rFonts w:ascii="Arial" w:cs="Arial" w:eastAsia="Arial" w:hAnsi="Arial"/>
          <w:sz w:val="17"/>
          <w:szCs w:val="17"/>
          <w:color w:val="auto"/>
        </w:rPr>
      </w:pPr>
    </w:p>
    <w:p>
      <w:pPr>
        <w:ind w:left="190" w:hanging="190"/>
        <w:spacing w:after="0"/>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Contributed 24% of consolidated</w:t>
      </w:r>
    </w:p>
    <w:p>
      <w:pPr>
        <w:spacing w:after="0" w:line="44"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7"/>
          <w:szCs w:val="17"/>
          <w:color w:val="auto"/>
        </w:rPr>
        <w:t>ģǸ˷̻̇Ψɤͅ  ̇ͅ ̻ڑʊ̇ͣͣͅڑ̻̇ͅʅʧʹռ</w:t>
      </w:r>
    </w:p>
    <w:p>
      <w:pPr>
        <w:spacing w:after="0" w:line="134" w:lineRule="exact"/>
        <w:rPr>
          <w:rFonts w:ascii="Arial" w:cs="Arial" w:eastAsia="Arial" w:hAnsi="Arial"/>
          <w:sz w:val="17"/>
          <w:szCs w:val="17"/>
          <w:color w:val="auto"/>
        </w:rPr>
      </w:pPr>
    </w:p>
    <w:p>
      <w:pPr>
        <w:ind w:left="190" w:right="1240" w:hanging="190"/>
        <w:spacing w:after="0" w:line="309"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_ͣʹǸȿ˓ʧͣʔɤɒڑ̇ʅʅͣʔ̇ͅɤڑÅƙڑƙǸ˓ɤ˷ʹڑ¡ ȿͣڑʧ˷ڑÅ˷ɒʧǸڑ </w:t>
      </w:r>
      <w:r>
        <w:rPr>
          <w:rFonts w:ascii="Arial" w:cs="Arial" w:eastAsia="Arial" w:hAnsi="Arial"/>
          <w:sz w:val="17"/>
          <w:szCs w:val="17"/>
          <w:color w:val="auto"/>
        </w:rPr>
        <w:t>and Latin America, trained more than 3,500 people in Europe in in-demand cloud computing skills through Experis Academy.</w:t>
      </w:r>
    </w:p>
    <w:p>
      <w:pPr>
        <w:spacing w:after="0" w:line="43" w:lineRule="exact"/>
        <w:rPr>
          <w:rFonts w:ascii="Arial" w:cs="Arial" w:eastAsia="Arial" w:hAnsi="Arial"/>
          <w:sz w:val="17"/>
          <w:szCs w:val="17"/>
          <w:color w:val="auto"/>
        </w:rPr>
      </w:pPr>
    </w:p>
    <w:p>
      <w:pPr>
        <w:jc w:val="both"/>
        <w:ind w:left="190" w:right="1560" w:hanging="190"/>
        <w:spacing w:after="0" w:line="294"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Named a Leader in IT Contingent Talent and Strategic Solutions in both the U.S.</w:t>
      </w:r>
    </w:p>
    <w:p>
      <w:pPr>
        <w:spacing w:after="0" w:line="1" w:lineRule="exact"/>
        <w:rPr>
          <w:rFonts w:ascii="Arial" w:cs="Arial" w:eastAsia="Arial" w:hAnsi="Arial"/>
          <w:sz w:val="17"/>
          <w:szCs w:val="17"/>
          <w:color w:val="auto"/>
        </w:rPr>
      </w:pPr>
    </w:p>
    <w:p>
      <w:pPr>
        <w:ind w:left="190" w:right="1600"/>
        <w:spacing w:after="0" w:line="339" w:lineRule="auto"/>
        <w:rPr>
          <w:rFonts w:ascii="Arial" w:cs="Arial" w:eastAsia="Arial" w:hAnsi="Arial"/>
          <w:sz w:val="17"/>
          <w:szCs w:val="17"/>
          <w:color w:val="auto"/>
        </w:rPr>
      </w:pPr>
      <w:r>
        <w:rPr>
          <w:rFonts w:ascii="Arial" w:cs="Arial" w:eastAsia="Arial" w:hAnsi="Arial"/>
          <w:sz w:val="17"/>
          <w:szCs w:val="17"/>
          <w:color w:val="auto"/>
        </w:rPr>
        <w:t>Ǹ˷ɒڑƥռĎռڑʧ˷ڑ_Τɤͅɤͣʹڑ ̇ͅ ̻ժͣڑԐԎԐԓڑŶ_ Ďڑ ģǸʹͅʧα֯ڑ ͣͣɤͣͣ˰ɤ˷ʹռ</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90" w:hanging="190"/>
        <w:spacing w:after="0"/>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Contributed 17% of consolidated</w:t>
      </w:r>
    </w:p>
    <w:p>
      <w:pPr>
        <w:spacing w:after="0" w:line="44"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7"/>
          <w:szCs w:val="17"/>
          <w:color w:val="auto"/>
        </w:rPr>
        <w:t>ģǸ˷̻̇Ψɤͅ  ̇ͅ ̻ڑʊ̇ͣͣͅڑ̻̇ͅʅʧʹռ</w:t>
      </w:r>
    </w:p>
    <w:p>
      <w:pPr>
        <w:spacing w:after="0" w:line="134" w:lineRule="exact"/>
        <w:rPr>
          <w:rFonts w:ascii="Arial" w:cs="Arial" w:eastAsia="Arial" w:hAnsi="Arial"/>
          <w:sz w:val="17"/>
          <w:szCs w:val="17"/>
          <w:color w:val="auto"/>
        </w:rPr>
      </w:pPr>
    </w:p>
    <w:p>
      <w:pPr>
        <w:ind w:left="190" w:right="1320" w:hanging="190"/>
        <w:spacing w:after="0" w:line="309"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īǸ˰ɤɒڑǸڑ ˓̇ȿǸ˓ڑĘɤǸɒɤͅڑʧ˷ڑİ˷ʹʧ˷ʊɤ˷ʹڑ ǈ̇ͅˋʅ̇ͅɆɤڑģǸ˷Ǹʊɤ˰ɤ˷ʹڑʅ̇ͅڑʹʔɤڑԏԏʹʔڑ Ɇ̇˷ͣɤɆ ʹʧΤɤڑζɤǸͅڑȿζڑ_Τɤͅɤͣʹڑ ̇ͅ ̻ժͣڑŶ_ Ďڑ ģǸʹͅʧα֯ڑ ͣͣɤͣͣ˰ɤ˷ʹռ</w:t>
      </w:r>
    </w:p>
    <w:p>
      <w:pPr>
        <w:spacing w:after="0" w:line="43" w:lineRule="exact"/>
        <w:rPr>
          <w:rFonts w:ascii="Arial" w:cs="Arial" w:eastAsia="Arial" w:hAnsi="Arial"/>
          <w:sz w:val="17"/>
          <w:szCs w:val="17"/>
          <w:color w:val="auto"/>
        </w:rPr>
      </w:pPr>
    </w:p>
    <w:p>
      <w:pPr>
        <w:ind w:left="190" w:hanging="190"/>
        <w:spacing w:after="0"/>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Launched specialist industry vertical</w:t>
      </w:r>
    </w:p>
    <w:p>
      <w:pPr>
        <w:spacing w:after="0" w:line="44" w:lineRule="exact"/>
        <w:rPr>
          <w:rFonts w:ascii="Arial" w:cs="Arial" w:eastAsia="Arial" w:hAnsi="Arial"/>
          <w:sz w:val="17"/>
          <w:szCs w:val="17"/>
          <w:color w:val="auto"/>
        </w:rPr>
      </w:pPr>
    </w:p>
    <w:p>
      <w:pPr>
        <w:ind w:left="190" w:right="1480"/>
        <w:spacing w:after="0" w:line="294" w:lineRule="auto"/>
        <w:rPr>
          <w:rFonts w:ascii="Arial" w:cs="Arial" w:eastAsia="Arial" w:hAnsi="Arial"/>
          <w:sz w:val="17"/>
          <w:szCs w:val="17"/>
          <w:color w:val="auto"/>
        </w:rPr>
      </w:pPr>
      <w:r>
        <w:rPr>
          <w:rFonts w:ascii="Arial" w:cs="Arial" w:eastAsia="Arial" w:hAnsi="Arial"/>
          <w:sz w:val="17"/>
          <w:szCs w:val="17"/>
          <w:color w:val="auto"/>
        </w:rPr>
        <w:t xml:space="preserve">̇ʅʅɤͅʧ˷ʊͣڑʧ˷ڑˋɤζڑ˰Ǹͅˋɤʹͣڑʅ̇ͅڑžŶŀڑǸ˷ɒڑ </w:t>
      </w:r>
      <w:r>
        <w:rPr>
          <w:rFonts w:ascii="Arial" w:cs="Arial" w:eastAsia="Arial" w:hAnsi="Arial"/>
          <w:sz w:val="17"/>
          <w:szCs w:val="17"/>
          <w:color w:val="auto"/>
        </w:rPr>
        <w:t>revised product portfolio with a focus on outplacement, coaching and assessment</w:t>
      </w:r>
    </w:p>
    <w:p>
      <w:pPr>
        <w:spacing w:after="0" w:line="1" w:lineRule="exact"/>
        <w:rPr>
          <w:rFonts w:ascii="Arial" w:cs="Arial" w:eastAsia="Arial" w:hAnsi="Arial"/>
          <w:sz w:val="17"/>
          <w:szCs w:val="17"/>
          <w:color w:val="auto"/>
        </w:rPr>
      </w:pPr>
    </w:p>
    <w:p>
      <w:pPr>
        <w:ind w:left="190"/>
        <w:spacing w:after="0"/>
        <w:rPr>
          <w:rFonts w:ascii="Arial" w:cs="Arial" w:eastAsia="Arial" w:hAnsi="Arial"/>
          <w:sz w:val="17"/>
          <w:szCs w:val="17"/>
          <w:color w:val="auto"/>
        </w:rPr>
      </w:pPr>
      <w:r>
        <w:rPr>
          <w:rFonts w:ascii="Arial" w:cs="Arial" w:eastAsia="Arial" w:hAnsi="Arial"/>
          <w:sz w:val="17"/>
          <w:szCs w:val="17"/>
          <w:color w:val="auto"/>
        </w:rPr>
        <w:t>ʧ˷ڑžʧʊʔʹڑģǸ˷Ǹʊɤ˰ɤ˷ʹռ</w:t>
      </w:r>
    </w:p>
    <w:p>
      <w:pPr>
        <w:spacing w:after="0" w:line="200" w:lineRule="exact"/>
        <w:rPr>
          <w:sz w:val="20"/>
          <w:szCs w:val="20"/>
          <w:color w:val="auto"/>
        </w:rPr>
      </w:pPr>
    </w:p>
    <w:p>
      <w:pPr>
        <w:spacing w:after="0" w:line="387" w:lineRule="exact"/>
        <w:rPr>
          <w:sz w:val="20"/>
          <w:szCs w:val="20"/>
          <w:color w:val="auto"/>
        </w:rPr>
      </w:pPr>
    </w:p>
    <w:p>
      <w:pPr>
        <w:ind w:left="550"/>
        <w:spacing w:after="0"/>
        <w:rPr>
          <w:sz w:val="20"/>
          <w:szCs w:val="20"/>
          <w:color w:val="auto"/>
        </w:rPr>
      </w:pPr>
      <w:r>
        <w:rPr>
          <w:rFonts w:ascii="Arial" w:cs="Arial" w:eastAsia="Arial" w:hAnsi="Arial"/>
          <w:sz w:val="17"/>
          <w:szCs w:val="17"/>
          <w:color w:val="auto"/>
        </w:rPr>
        <w:t>Sustainability</w:t>
      </w:r>
    </w:p>
    <w:p>
      <w:pPr>
        <w:spacing w:after="0" w:line="131" w:lineRule="exact"/>
        <w:rPr>
          <w:sz w:val="20"/>
          <w:szCs w:val="20"/>
          <w:color w:val="auto"/>
        </w:rPr>
      </w:pPr>
    </w:p>
    <w:p>
      <w:pPr>
        <w:ind w:left="190" w:hanging="190"/>
        <w:spacing w:after="0"/>
        <w:tabs>
          <w:tab w:leader="none" w:pos="190" w:val="left"/>
        </w:tabs>
        <w:numPr>
          <w:ilvl w:val="0"/>
          <w:numId w:val="2"/>
        </w:numPr>
        <w:rPr>
          <w:rFonts w:ascii="Arial" w:cs="Arial" w:eastAsia="Arial" w:hAnsi="Arial"/>
          <w:sz w:val="17"/>
          <w:szCs w:val="17"/>
          <w:color w:val="auto"/>
        </w:rPr>
      </w:pPr>
      <w:r>
        <w:rPr>
          <w:rFonts w:ascii="Arial" w:cs="Arial" w:eastAsia="Arial" w:hAnsi="Arial"/>
          <w:sz w:val="17"/>
          <w:szCs w:val="17"/>
          <w:color w:val="auto"/>
        </w:rPr>
        <w:t>īǸ˰ɤɒڑʹ̇ڑƙÅģ_ժͣڑ˓ʧͣʹڑ̇ʅڑʹʔɤڑǈ̇ͅ˓ɒժͣڑģ̇ͣʹڑ</w:t>
      </w:r>
    </w:p>
    <w:p>
      <w:pPr>
        <w:spacing w:after="0" w:line="44" w:lineRule="exact"/>
        <w:rPr>
          <w:rFonts w:ascii="Arial" w:cs="Arial" w:eastAsia="Arial" w:hAnsi="Arial"/>
          <w:sz w:val="17"/>
          <w:szCs w:val="17"/>
          <w:color w:val="auto"/>
        </w:rPr>
      </w:pPr>
    </w:p>
    <w:p>
      <w:pPr>
        <w:jc w:val="both"/>
        <w:ind w:left="190" w:right="1280"/>
        <w:spacing w:after="0" w:line="317" w:lineRule="auto"/>
        <w:rPr>
          <w:rFonts w:ascii="Arial" w:cs="Arial" w:eastAsia="Arial" w:hAnsi="Arial"/>
          <w:sz w:val="17"/>
          <w:szCs w:val="17"/>
          <w:color w:val="auto"/>
        </w:rPr>
      </w:pPr>
      <w:r>
        <w:rPr>
          <w:rFonts w:ascii="Arial" w:cs="Arial" w:eastAsia="Arial" w:hAnsi="Arial"/>
          <w:sz w:val="17"/>
          <w:szCs w:val="17"/>
          <w:color w:val="auto"/>
        </w:rPr>
        <w:t>Sustainable Companies for 2024, ranking in the top 100 among 500 companies and the leading performer in our industry.</w:t>
      </w:r>
    </w:p>
    <w:p>
      <w:pPr>
        <w:spacing w:after="0" w:line="35" w:lineRule="exact"/>
        <w:rPr>
          <w:rFonts w:ascii="Arial" w:cs="Arial" w:eastAsia="Arial" w:hAnsi="Arial"/>
          <w:sz w:val="17"/>
          <w:szCs w:val="17"/>
          <w:color w:val="auto"/>
        </w:rPr>
      </w:pPr>
    </w:p>
    <w:p>
      <w:pPr>
        <w:ind w:left="190" w:hanging="190"/>
        <w:spacing w:after="0"/>
        <w:tabs>
          <w:tab w:leader="none" w:pos="190" w:val="left"/>
        </w:tabs>
        <w:numPr>
          <w:ilvl w:val="0"/>
          <w:numId w:val="2"/>
        </w:numPr>
        <w:rPr>
          <w:rFonts w:ascii="Arial" w:cs="Arial" w:eastAsia="Arial" w:hAnsi="Arial"/>
          <w:sz w:val="17"/>
          <w:szCs w:val="17"/>
          <w:color w:val="auto"/>
        </w:rPr>
      </w:pPr>
      <w:r>
        <w:rPr>
          <w:rFonts w:ascii="Arial" w:cs="Arial" w:eastAsia="Arial" w:hAnsi="Arial"/>
          <w:sz w:val="17"/>
          <w:szCs w:val="17"/>
          <w:color w:val="auto"/>
        </w:rPr>
        <w:t>Tɤͣʧʊ˷ǸʹɤɒڑǸͣڑ̇˷ɤڑ̇ʅڑ  ˰ɤͅʧɆǸժͣڑģ̇ͣʹڑ</w:t>
      </w:r>
    </w:p>
    <w:p>
      <w:pPr>
        <w:spacing w:after="0" w:line="44" w:lineRule="exact"/>
        <w:rPr>
          <w:rFonts w:ascii="Arial" w:cs="Arial" w:eastAsia="Arial" w:hAnsi="Arial"/>
          <w:sz w:val="17"/>
          <w:szCs w:val="17"/>
          <w:color w:val="auto"/>
        </w:rPr>
      </w:pPr>
    </w:p>
    <w:p>
      <w:pPr>
        <w:ind w:left="190" w:right="1480"/>
        <w:spacing w:after="0" w:line="339" w:lineRule="auto"/>
        <w:rPr>
          <w:rFonts w:ascii="Arial" w:cs="Arial" w:eastAsia="Arial" w:hAnsi="Arial"/>
          <w:sz w:val="17"/>
          <w:szCs w:val="17"/>
          <w:color w:val="auto"/>
        </w:rPr>
      </w:pPr>
      <w:r>
        <w:rPr>
          <w:rFonts w:ascii="Arial" w:cs="Arial" w:eastAsia="Arial" w:hAnsi="Arial"/>
          <w:sz w:val="17"/>
          <w:szCs w:val="17"/>
          <w:color w:val="auto"/>
        </w:rPr>
        <w:t>Responsible Companies by Newsweek in 2023, 2024 and 2025.</w:t>
      </w:r>
    </w:p>
    <w:p>
      <w:pPr>
        <w:spacing w:after="0" w:line="17" w:lineRule="exact"/>
        <w:rPr>
          <w:rFonts w:ascii="Arial" w:cs="Arial" w:eastAsia="Arial" w:hAnsi="Arial"/>
          <w:sz w:val="17"/>
          <w:szCs w:val="17"/>
          <w:color w:val="auto"/>
        </w:rPr>
      </w:pPr>
    </w:p>
    <w:p>
      <w:pPr>
        <w:ind w:left="190" w:hanging="190"/>
        <w:spacing w:after="0"/>
        <w:tabs>
          <w:tab w:leader="none" w:pos="190" w:val="left"/>
        </w:tabs>
        <w:numPr>
          <w:ilvl w:val="0"/>
          <w:numId w:val="2"/>
        </w:numPr>
        <w:rPr>
          <w:rFonts w:ascii="Arial" w:cs="Arial" w:eastAsia="Arial" w:hAnsi="Arial"/>
          <w:sz w:val="17"/>
          <w:szCs w:val="17"/>
          <w:color w:val="auto"/>
        </w:rPr>
      </w:pPr>
      <w:r>
        <w:rPr>
          <w:rFonts w:ascii="Arial" w:cs="Arial" w:eastAsia="Arial" w:hAnsi="Arial"/>
          <w:sz w:val="17"/>
          <w:szCs w:val="17"/>
          <w:color w:val="auto"/>
        </w:rPr>
        <w:t>īǸ˰ɤɒڑ̇˷ɤڑ̇ʅڑʹʔɤڑǈ̇ͅ˓ɒժͣڑģ̇ͣʹڑ_ʹʔʧɆǸ˓ڑ</w:t>
      </w:r>
    </w:p>
    <w:p>
      <w:pPr>
        <w:spacing w:after="0" w:line="44" w:lineRule="exact"/>
        <w:rPr>
          <w:rFonts w:ascii="Arial" w:cs="Arial" w:eastAsia="Arial" w:hAnsi="Arial"/>
          <w:sz w:val="17"/>
          <w:szCs w:val="17"/>
          <w:color w:val="auto"/>
        </w:rPr>
      </w:pPr>
    </w:p>
    <w:p>
      <w:pPr>
        <w:ind w:left="190" w:right="1220"/>
        <w:spacing w:after="0" w:line="339" w:lineRule="auto"/>
        <w:rPr>
          <w:rFonts w:ascii="Arial" w:cs="Arial" w:eastAsia="Arial" w:hAnsi="Arial"/>
          <w:sz w:val="17"/>
          <w:szCs w:val="17"/>
          <w:color w:val="auto"/>
        </w:rPr>
      </w:pPr>
      <w:r>
        <w:rPr>
          <w:rFonts w:ascii="Arial" w:cs="Arial" w:eastAsia="Arial" w:hAnsi="Arial"/>
          <w:sz w:val="17"/>
          <w:szCs w:val="17"/>
          <w:color w:val="auto"/>
        </w:rPr>
        <w:t>Companies by Ethisphere for the 15th year – more than any organization in the industry.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0C2A7B"/>
        </w:rPr>
        <w:t>From Intention to Impact:</w:t>
      </w:r>
    </w:p>
    <w:p>
      <w:pPr>
        <w:spacing w:after="0" w:line="60" w:lineRule="exact"/>
        <w:rPr>
          <w:sz w:val="20"/>
          <w:szCs w:val="20"/>
          <w:color w:val="auto"/>
        </w:rPr>
      </w:pPr>
    </w:p>
    <w:p>
      <w:pPr>
        <w:spacing w:after="0"/>
        <w:rPr>
          <w:sz w:val="20"/>
          <w:szCs w:val="20"/>
          <w:color w:val="auto"/>
        </w:rPr>
      </w:pPr>
      <w:r>
        <w:rPr>
          <w:rFonts w:ascii="Arial" w:cs="Arial" w:eastAsia="Arial" w:hAnsi="Arial"/>
          <w:sz w:val="24"/>
          <w:szCs w:val="24"/>
          <w:b w:val="1"/>
          <w:bCs w:val="1"/>
          <w:color w:val="0C2A7B"/>
        </w:rPr>
        <w:t>Generative AI Makes its Mark</w:t>
      </w:r>
    </w:p>
    <w:p>
      <w:pPr>
        <w:spacing w:after="0" w:line="118"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 xml:space="preserve">The speed and scale at which generative AI has </w:t>
      </w:r>
      <w:r>
        <w:rPr>
          <w:rFonts w:ascii="Arial" w:cs="Arial" w:eastAsia="Arial" w:hAnsi="Arial"/>
          <w:sz w:val="17"/>
          <w:szCs w:val="17"/>
          <w:color w:val="auto"/>
        </w:rPr>
        <w:t xml:space="preserve">ȿɤɆ̇˰ɤڑ̻Ǹͅʹڑ̇ʅڑɤΤɤͅζ̇˷ɤժͣڑΤ̇ɆǸȿ ˓ǸͅζڑǸ˷ɒڑͣΨɤ̻ʹڑ </w:t>
      </w:r>
      <w:r>
        <w:rPr>
          <w:rFonts w:ascii="Arial" w:cs="Arial" w:eastAsia="Arial" w:hAnsi="Arial"/>
          <w:sz w:val="17"/>
          <w:szCs w:val="17"/>
          <w:color w:val="auto"/>
        </w:rPr>
        <w:t>across the global business landscape is unprecedented. Over the last 12 months, business leaders have moved past the point of consideration to embrace the potential of AI as an accelerant for insight, process optimization and business growth. The next frontier is deployment and measuring impact at scale.</w:t>
      </w:r>
    </w:p>
    <w:p>
      <w:pPr>
        <w:spacing w:after="0" w:line="139" w:lineRule="exact"/>
        <w:rPr>
          <w:sz w:val="20"/>
          <w:szCs w:val="20"/>
          <w:color w:val="auto"/>
        </w:rPr>
      </w:pPr>
    </w:p>
    <w:p>
      <w:pPr>
        <w:ind w:right="180"/>
        <w:spacing w:after="0" w:line="299" w:lineRule="auto"/>
        <w:rPr>
          <w:sz w:val="20"/>
          <w:szCs w:val="20"/>
          <w:color w:val="auto"/>
        </w:rPr>
      </w:pPr>
      <w:r>
        <w:rPr>
          <w:rFonts w:ascii="Arial" w:cs="Arial" w:eastAsia="Arial" w:hAnsi="Arial"/>
          <w:sz w:val="17"/>
          <w:szCs w:val="17"/>
          <w:color w:val="auto"/>
        </w:rPr>
        <w:t>Yet, the speed at which AI is infiltrating the world of work is creating a clear divide between employers and employees. Almost half of business leaders already believe AI will translate to business growth as early as this coming year, while our own research finds 50% of workers fear the impact of AI on their roles.</w:t>
      </w:r>
      <w:r>
        <w:rPr>
          <w:rFonts w:ascii="Arial" w:cs="Arial" w:eastAsia="Arial" w:hAnsi="Arial"/>
          <w:sz w:val="9"/>
          <w:szCs w:val="9"/>
          <w:color w:val="auto"/>
        </w:rPr>
        <w:t>1</w:t>
      </w:r>
      <w:r>
        <w:rPr>
          <w:rFonts w:ascii="Arial" w:cs="Arial" w:eastAsia="Arial" w:hAnsi="Arial"/>
          <w:sz w:val="17"/>
          <w:szCs w:val="17"/>
          <w:color w:val="auto"/>
        </w:rPr>
        <w:t xml:space="preserve"> This uncertainty around the eventual impact of AI for companies and employees highlights the fact that we are still in the early days of the adoption of this game-changing technology across organizations of all sizes.</w:t>
      </w:r>
    </w:p>
    <w:p>
      <w:pPr>
        <w:spacing w:after="0" w:line="145"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 xml:space="preserve">ģ̇Τʧ˷ʊڑʅ̇ͅΨǸͅɒջڑ̇ ͅڑʅ̇Ɇ ͣڑʧͣڑʹ̇ڑʔɤ˓̻ڑ˓ɤǸɒɤͣͅڑ ˷ɒɤͣͅʹǸ˷ɒڑ </w:t>
      </w:r>
      <w:r>
        <w:rPr>
          <w:rFonts w:ascii="Arial" w:cs="Arial" w:eastAsia="Arial" w:hAnsi="Arial"/>
          <w:sz w:val="17"/>
          <w:szCs w:val="17"/>
          <w:color w:val="auto"/>
        </w:rPr>
        <w:t>the full potential of AI and guide their workforce through this period of transition, while ensuring people have the skills to maximize the technology investments their companies are making. In our recent Experis Tech Talent Outlook study, seven in 10 employers reported that they plan to boost upskilling efforts to fill AI needs within their organization.</w:t>
      </w:r>
    </w:p>
    <w:p>
      <w:pPr>
        <w:spacing w:after="0" w:line="379" w:lineRule="exact"/>
        <w:rPr>
          <w:sz w:val="20"/>
          <w:szCs w:val="20"/>
          <w:color w:val="auto"/>
        </w:rPr>
      </w:pPr>
    </w:p>
    <w:p>
      <w:pPr>
        <w:ind w:right="240"/>
        <w:spacing w:after="0" w:line="298" w:lineRule="auto"/>
        <w:rPr>
          <w:sz w:val="20"/>
          <w:szCs w:val="20"/>
          <w:color w:val="auto"/>
        </w:rPr>
      </w:pPr>
      <w:r>
        <w:rPr>
          <w:rFonts w:ascii="Arial" w:cs="Arial" w:eastAsia="Arial" w:hAnsi="Arial"/>
          <w:sz w:val="17"/>
          <w:szCs w:val="17"/>
          <w:color w:val="auto"/>
        </w:rPr>
        <w:t xml:space="preserve">From our perspective, we believe the full impact of AI on the workforce will play to the strengths of human capabilities. AI will augment the human capacity to analyze, strategize, communicate and connect better with each other on issues that drive value for organizations. AI can also reduce repetitive and lower value-added tasks as part of any given job. Realizing this potential requires new skills applied to new ways of working. That is our focus as we deploy AI across </w:t>
      </w:r>
      <w:r>
        <w:rPr>
          <w:rFonts w:ascii="Arial" w:cs="Arial" w:eastAsia="Arial" w:hAnsi="Arial"/>
          <w:sz w:val="17"/>
          <w:szCs w:val="17"/>
          <w:color w:val="auto"/>
        </w:rPr>
        <w:t xml:space="preserve">ģǸ˷̻̇Ψɤͅ ̇ͅ ̻ڑʹ̇ڑȿ ʧ˓ɒڑ̇ ͅڑȿ ͣʧ˷ɤͣͣտڑɆ̇˷˷ɤɆʹʧ˷ʊڑ </w:t>
      </w:r>
      <w:r>
        <w:rPr>
          <w:rFonts w:ascii="Arial" w:cs="Arial" w:eastAsia="Arial" w:hAnsi="Arial"/>
          <w:sz w:val="17"/>
          <w:szCs w:val="17"/>
          <w:color w:val="auto"/>
        </w:rPr>
        <w:t>our people to deep insights and emerging trends – in real-time – and sharing that knowledge with our clients and candidates.</w:t>
      </w:r>
    </w:p>
    <w:p>
      <w:pPr>
        <w:spacing w:after="0" w:line="388" w:lineRule="exact"/>
        <w:rPr>
          <w:sz w:val="20"/>
          <w:szCs w:val="20"/>
          <w:color w:val="auto"/>
        </w:rPr>
      </w:pPr>
    </w:p>
    <w:p>
      <w:pPr>
        <w:ind w:right="60" w:firstLine="111"/>
        <w:spacing w:after="0" w:line="299" w:lineRule="auto"/>
        <w:rPr>
          <w:sz w:val="20"/>
          <w:szCs w:val="20"/>
          <w:color w:val="auto"/>
        </w:rPr>
      </w:pPr>
      <w:r>
        <w:rPr>
          <w:rFonts w:ascii="Arial" w:cs="Arial" w:eastAsia="Arial" w:hAnsi="Arial"/>
          <w:sz w:val="17"/>
          <w:szCs w:val="17"/>
          <w:color w:val="auto"/>
        </w:rPr>
        <w:t xml:space="preserve">ͣڑǸڑǈ̇ͅ˓ɒժͣڑģ̇ͣʹڑ_ʹʔʧɆǸ˓ڑɆ̇˰̻Ǹ˷ζջڑΨɤڑǸͅɤڑɆ̇˰˰ʧʹʹɤɒڑ </w:t>
      </w:r>
      <w:r>
        <w:rPr>
          <w:rFonts w:ascii="Arial" w:cs="Arial" w:eastAsia="Arial" w:hAnsi="Arial"/>
          <w:sz w:val="17"/>
          <w:szCs w:val="17"/>
          <w:color w:val="auto"/>
        </w:rPr>
        <w:t xml:space="preserve">to leveraging AI to grow our business while keeping data privacy, strong governance and industry-leading </w:t>
      </w:r>
      <w:r>
        <w:rPr>
          <w:rFonts w:ascii="Arial" w:cs="Arial" w:eastAsia="Arial" w:hAnsi="Arial"/>
          <w:sz w:val="17"/>
          <w:szCs w:val="17"/>
          <w:color w:val="auto"/>
        </w:rPr>
        <w:t xml:space="preserve">ɤʹʔʧɆͣڑʅ̇ͅ˷ʹڑǸ˷ɒڑɆɤ˷ʹɤͅռڑƙʔǸʹժͣڑΨʔζڑΨɤڑʔǸΤɤڑȿ̇ͅ ʊʔʹڑ ʹ̇ʊɤʹʔɤͅڑʧ˷˷̇ΤǸʹʧ̇˷ջڑ˓ɤʊǸ˓ջڑʹɤɆʔ˷̇˓̇ʊζڑǸ˷ɒڑ¡žڑ˓ɤǸɒɤͣͅڑ </w:t>
      </w:r>
      <w:r>
        <w:rPr>
          <w:rFonts w:ascii="Arial" w:cs="Arial" w:eastAsia="Arial" w:hAnsi="Arial"/>
          <w:sz w:val="17"/>
          <w:szCs w:val="17"/>
          <w:color w:val="auto"/>
        </w:rPr>
        <w:t>from across our enterprise to lead our Ethical AI Taskforce. This group holds responsibility for evaluating the use of AI within our organization so we can innovate at scale and maintain the high ethical standards and commitment to privacy and security we know our clients and candidates value.</w:t>
      </w:r>
    </w:p>
    <w:p>
      <w:pPr>
        <w:spacing w:after="0" w:line="150" w:lineRule="exact"/>
        <w:rPr>
          <w:sz w:val="20"/>
          <w:szCs w:val="20"/>
          <w:color w:val="auto"/>
        </w:rPr>
      </w:pPr>
    </w:p>
    <w:p>
      <w:pPr>
        <w:ind w:right="380"/>
        <w:spacing w:after="0" w:line="224" w:lineRule="auto"/>
        <w:rPr>
          <w:sz w:val="20"/>
          <w:szCs w:val="20"/>
          <w:color w:val="auto"/>
        </w:rPr>
      </w:pPr>
      <w:r>
        <w:rPr>
          <w:rFonts w:ascii="Arial" w:cs="Arial" w:eastAsia="Arial" w:hAnsi="Arial"/>
          <w:sz w:val="16"/>
          <w:szCs w:val="16"/>
          <w:i w:val="1"/>
          <w:iCs w:val="1"/>
          <w:color w:val="auto"/>
          <w:vertAlign w:val="superscript"/>
        </w:rPr>
        <w:t>1</w:t>
      </w:r>
      <w:r>
        <w:rPr>
          <w:rFonts w:ascii="Arial" w:cs="Arial" w:eastAsia="Arial" w:hAnsi="Arial"/>
          <w:sz w:val="14"/>
          <w:szCs w:val="14"/>
          <w:i w:val="1"/>
          <w:iCs w:val="1"/>
          <w:color w:val="auto"/>
        </w:rPr>
        <w:t>“Building A People-First Strategy For AI-Powered Workforce Productivity”, ManpowerGroup, June 2024</w:t>
      </w:r>
    </w:p>
    <w:p>
      <w:pPr>
        <w:sectPr>
          <w:pgSz w:w="12240" w:h="15840" w:orient="portrait"/>
          <w:cols w:equalWidth="0" w:num="2">
            <w:col w:w="4890" w:space="720"/>
            <w:col w:w="4480"/>
          </w:cols>
          <w:pgMar w:left="750" w:top="698" w:right="1400" w:bottom="96"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255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255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ManpowerGroup showcases its strong and distinct brands at Davos, Viva Tech and the New York Stock Exchange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0C2A7B"/>
        </w:rPr>
        <w:t>ŀ ͅڑTTÅڑƋʹͅǸʹɤʊζڑ՟ڑ  ɆɆɤ˓ɤͅǸʹʧ˷ʊڑŶ̇ͅʊͅɤͣͣڑ</w:t>
      </w:r>
    </w:p>
    <w:p>
      <w:pPr>
        <w:spacing w:after="0" w:line="135" w:lineRule="exact"/>
        <w:rPr>
          <w:sz w:val="20"/>
          <w:szCs w:val="20"/>
          <w:color w:val="auto"/>
        </w:rPr>
      </w:pPr>
    </w:p>
    <w:p>
      <w:pPr>
        <w:ind w:right="640"/>
        <w:spacing w:after="0" w:line="317" w:lineRule="auto"/>
        <w:rPr>
          <w:sz w:val="20"/>
          <w:szCs w:val="20"/>
          <w:color w:val="auto"/>
        </w:rPr>
      </w:pPr>
      <w:r>
        <w:rPr>
          <w:rFonts w:ascii="Arial" w:cs="Arial" w:eastAsia="Arial" w:hAnsi="Arial"/>
          <w:sz w:val="17"/>
          <w:szCs w:val="17"/>
          <w:color w:val="auto"/>
        </w:rPr>
        <w:t xml:space="preserve">ǈɤڑȿɤ˓ʧɤΤɤڑʹʔǸʹڑǸɆʔʧɤΤʧ˷ʊڑͣ ɆɆɤͣͣڑʧ˷ڑʹ̇ɒǸζժͣڑɒζ˷Ǹ˰ʧɆǸ˓˓ζڑɆʔǸ˷ʊʧ˷ʊڑɤ˷Τʧ̇ͅ˷˰ɤ˷ʹڑͅɤ́ ʧͅɤͣڑǸڑɒʧͣʹʧ˷ɆʹڑͣʹͅǸʹɤʊζڑʹ̇ڑ </w:t>
      </w:r>
      <w:r>
        <w:rPr>
          <w:rFonts w:ascii="Arial" w:cs="Arial" w:eastAsia="Arial" w:hAnsi="Arial"/>
          <w:sz w:val="17"/>
          <w:szCs w:val="17"/>
          <w:color w:val="auto"/>
        </w:rPr>
        <w:t>address technological evolution, looming structural talent scarcity and growing demand for specialist talent to drive greater productivity gains.</w:t>
      </w:r>
    </w:p>
    <w:p>
      <w:pPr>
        <w:spacing w:after="0" w:line="126" w:lineRule="exact"/>
        <w:rPr>
          <w:sz w:val="20"/>
          <w:szCs w:val="20"/>
          <w:color w:val="auto"/>
        </w:rPr>
      </w:pPr>
    </w:p>
    <w:p>
      <w:pPr>
        <w:ind w:right="780"/>
        <w:spacing w:after="0" w:line="309" w:lineRule="auto"/>
        <w:rPr>
          <w:sz w:val="20"/>
          <w:szCs w:val="20"/>
          <w:color w:val="auto"/>
        </w:rPr>
      </w:pPr>
      <w:r>
        <w:rPr>
          <w:rFonts w:ascii="Arial" w:cs="Arial" w:eastAsia="Arial" w:hAnsi="Arial"/>
          <w:sz w:val="17"/>
          <w:szCs w:val="17"/>
          <w:color w:val="auto"/>
        </w:rPr>
        <w:t xml:space="preserve">ƙʔɤͣɤڑʅ̇ͅɆɤͣڑ ˷ɒɤ̻ͅʧ˷ڑ̇ ͅڑͣʹͅǸʹɤʊʧɆڑɆʔ̇ʧɆɤͣڑ̇˷ڑʔ̇ΨڑǸ˷ɒڑΨʔɤͅɤڑʹ̇ڑɆ̇˰̻ɤʹɤռڑŀ ͅڑTTÅڑŶ˓Ǹ˷ڑՄTʧΤɤͣͅʧʅʧɆǸʹʧ̇˷ջڑ </w:t>
      </w:r>
      <w:r>
        <w:rPr>
          <w:rFonts w:ascii="Arial" w:cs="Arial" w:eastAsia="Arial" w:hAnsi="Arial"/>
          <w:sz w:val="17"/>
          <w:szCs w:val="17"/>
          <w:color w:val="auto"/>
        </w:rPr>
        <w:t xml:space="preserve">Digitization, and Innovation) is our roadmap to address these market opportunities while pursuing three clear </w:t>
      </w:r>
      <w:r>
        <w:rPr>
          <w:rFonts w:ascii="Arial" w:cs="Arial" w:eastAsia="Arial" w:hAnsi="Arial"/>
          <w:sz w:val="17"/>
          <w:szCs w:val="17"/>
          <w:color w:val="auto"/>
        </w:rPr>
        <w:t xml:space="preserve">̇ȿ˃ɤɆʹʧΤɤͣտڑͣʹͅɤ˷ʊʹʔɤ˷ʧ˷ʊڑ_AÅƙ ջڑʊ̇ͅΨʧ˷ʊڑ̇ ͅڑ̇ΤɤͅǸ˓˓ڑͅɤΤɤ˷ ɤͣڑǸ˷ɒڑ̻̇ͣʧʹʧ̇˷ʧ˷ʊڑ̇ ͅڑɆ̇˰̻Ǹ˷ζڑʅ̇ͅڑ˰Ǹ˷ζڑ˰̇ͅɤڑ </w:t>
      </w:r>
      <w:r>
        <w:rPr>
          <w:rFonts w:ascii="Arial" w:cs="Arial" w:eastAsia="Arial" w:hAnsi="Arial"/>
          <w:sz w:val="17"/>
          <w:szCs w:val="17"/>
          <w:color w:val="auto"/>
        </w:rPr>
        <w:t>successful decades to come.</w:t>
      </w:r>
    </w:p>
    <w:p>
      <w:pPr>
        <w:spacing w:after="0" w:line="133" w:lineRule="exact"/>
        <w:rPr>
          <w:sz w:val="20"/>
          <w:szCs w:val="20"/>
          <w:color w:val="auto"/>
        </w:rPr>
      </w:pPr>
    </w:p>
    <w:p>
      <w:pPr>
        <w:ind w:left="360" w:hanging="360"/>
        <w:spacing w:after="0"/>
        <w:tabs>
          <w:tab w:leader="none" w:pos="3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49843A"/>
        </w:rPr>
        <w:t xml:space="preserve">Diversification </w:t>
      </w:r>
      <w:r>
        <w:rPr>
          <w:rFonts w:ascii="Arial" w:cs="Arial" w:eastAsia="Arial" w:hAnsi="Arial"/>
          <w:sz w:val="17"/>
          <w:szCs w:val="17"/>
          <w:color w:val="000000"/>
        </w:rPr>
        <w:t>is how we increase the weight of higher-margin offerings across each of our brands –</w:t>
      </w:r>
    </w:p>
    <w:p>
      <w:pPr>
        <w:spacing w:after="0" w:line="44" w:lineRule="exact"/>
        <w:rPr>
          <w:rFonts w:ascii="Arial" w:cs="Arial" w:eastAsia="Arial" w:hAnsi="Arial"/>
          <w:sz w:val="17"/>
          <w:szCs w:val="17"/>
          <w:b w:val="1"/>
          <w:bCs w:val="1"/>
          <w:color w:val="auto"/>
        </w:rPr>
      </w:pPr>
    </w:p>
    <w:p>
      <w:pPr>
        <w:ind w:left="360" w:right="60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 xml:space="preserve">ģǸ˷̻̇Ψɤͅջڑ_α̻ɤͅʧͣڑǸ˷ɒڑƙǸ˓ɤ˷ʹڑƋ̇˓ ʹʧ̇˷ͣڑՓڑȿζڑǸ̻̻˓ζʧ˷ʊڑɒǸʹǸՑɒͅʧΤɤ˷ڑʧ˷ͣʧʊʔʹͣڑʹ̇ڑʧɒɤ˷ʹʧʅζڑΨʔɤͅɤڑΨɤڑɆǸ˷ڑ˰̇Τɤڑ </w:t>
      </w:r>
      <w:r>
        <w:rPr>
          <w:rFonts w:ascii="Arial" w:cs="Arial" w:eastAsia="Arial" w:hAnsi="Arial"/>
          <w:sz w:val="17"/>
          <w:szCs w:val="17"/>
          <w:color w:val="auto"/>
        </w:rPr>
        <w:t>the needle to win in the market. Demographic shifts and tech acceleration are driving talent scarcity</w:t>
      </w:r>
    </w:p>
    <w:p>
      <w:pPr>
        <w:spacing w:after="0" w:line="1"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and generating demand for more specialist skills. We are responding by developing skills specializations,</w:t>
      </w:r>
    </w:p>
    <w:p>
      <w:pPr>
        <w:spacing w:after="0" w:line="44"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ʧ˷ɒ ͣʹͅζڑͣɤʊ˰ɤ˷ʹǸʹʧ̇˷ڑǸ˷ɒڑʹͅǸʧ˷ʧ˷ʊڑɆǸ̻Ǹȿʧ˓ʧʹʧɤͣڑΨʧʹʔʧ˷ڑ̇ ͅڑģǸ˷̻̇ΨɤͅڑǸ˷ɒڑ_α̻ɤͅʧͣڑȿͅǸ˷ɒͣռ</w:t>
      </w:r>
    </w:p>
    <w:p>
      <w:pPr>
        <w:spacing w:after="0" w:line="284" w:lineRule="exact"/>
        <w:rPr>
          <w:rFonts w:ascii="Arial" w:cs="Arial" w:eastAsia="Arial" w:hAnsi="Arial"/>
          <w:sz w:val="17"/>
          <w:szCs w:val="17"/>
          <w:b w:val="1"/>
          <w:bCs w:val="1"/>
          <w:color w:val="auto"/>
        </w:rPr>
      </w:pPr>
    </w:p>
    <w:p>
      <w:pPr>
        <w:ind w:left="360" w:right="700"/>
        <w:spacing w:after="0" w:line="309" w:lineRule="auto"/>
        <w:rPr>
          <w:rFonts w:ascii="Arial" w:cs="Arial" w:eastAsia="Arial" w:hAnsi="Arial"/>
          <w:sz w:val="17"/>
          <w:szCs w:val="17"/>
          <w:b w:val="1"/>
          <w:bCs w:val="1"/>
          <w:color w:val="auto"/>
        </w:rPr>
      </w:pPr>
      <w:r>
        <w:rPr>
          <w:rFonts w:ascii="Arial" w:cs="Arial" w:eastAsia="Arial" w:hAnsi="Arial"/>
          <w:sz w:val="17"/>
          <w:szCs w:val="17"/>
          <w:color w:val="auto"/>
        </w:rPr>
        <w:t>In 2024, we evolved our organizational structure to create even deeper vertical expertise across targeted industries, including consumer goods, financials and real estate, healthcare and life sciences, industrials and tech. We equipped our already talented teams with new insights and specialist offerings to win in these priority verticals.</w:t>
      </w:r>
    </w:p>
    <w:p>
      <w:pPr>
        <w:spacing w:after="0" w:line="193" w:lineRule="exact"/>
        <w:rPr>
          <w:rFonts w:ascii="Arial" w:cs="Arial" w:eastAsia="Arial" w:hAnsi="Arial"/>
          <w:sz w:val="17"/>
          <w:szCs w:val="17"/>
          <w:b w:val="1"/>
          <w:bCs w:val="1"/>
          <w:color w:val="auto"/>
        </w:rPr>
      </w:pPr>
    </w:p>
    <w:p>
      <w:pPr>
        <w:ind w:left="360" w:right="46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Now, our AI-enabled dashboards, sourced from our global data platforms, are enabling us to do even more. We can track industry trends even more closely and reduce volatility to market variances, move with greater</w:t>
      </w:r>
    </w:p>
    <w:p>
      <w:pPr>
        <w:spacing w:after="0" w:line="1" w:lineRule="exact"/>
        <w:rPr>
          <w:rFonts w:ascii="Arial" w:cs="Arial" w:eastAsia="Arial" w:hAnsi="Arial"/>
          <w:sz w:val="17"/>
          <w:szCs w:val="17"/>
          <w:b w:val="1"/>
          <w:bCs w:val="1"/>
          <w:color w:val="auto"/>
        </w:rPr>
      </w:pPr>
    </w:p>
    <w:p>
      <w:pPr>
        <w:ind w:left="360" w:right="480"/>
        <w:spacing w:after="0" w:line="339" w:lineRule="auto"/>
        <w:rPr>
          <w:rFonts w:ascii="Arial" w:cs="Arial" w:eastAsia="Arial" w:hAnsi="Arial"/>
          <w:sz w:val="17"/>
          <w:szCs w:val="17"/>
          <w:b w:val="1"/>
          <w:bCs w:val="1"/>
          <w:color w:val="auto"/>
        </w:rPr>
      </w:pPr>
      <w:r>
        <w:rPr>
          <w:rFonts w:ascii="Arial" w:cs="Arial" w:eastAsia="Arial" w:hAnsi="Arial"/>
          <w:sz w:val="17"/>
          <w:szCs w:val="17"/>
          <w:color w:val="auto"/>
        </w:rPr>
        <w:t xml:space="preserve">Ǹʊʧ˓ʧʹζڑʹ̇ڑ̻ ͣͅ ɤڑ˷ɤΨڑ˰Ǹͅˋɤʹڑ̻̻̇̇ͅʹ ˷ʧʹʧɤͣڑǸ˷ɒڑ̻ͅʧ̇ͅʧʹʧύɤڑ̇ ͅڑͣǸ˓ɤͣڑʹɤǸ˰ͣժڑʹʧ˰ɤڑʹ̇ڑʅ̇Ɇ ͣڑ̇˷ڑʹʔɤڑ̻̻̇̇ͅʹ ˷ʧʹʧɤͣڑ </w:t>
      </w:r>
      <w:r>
        <w:rPr>
          <w:rFonts w:ascii="Arial" w:cs="Arial" w:eastAsia="Arial" w:hAnsi="Arial"/>
          <w:sz w:val="17"/>
          <w:szCs w:val="17"/>
          <w:color w:val="auto"/>
        </w:rPr>
        <w:t>that can provide the greatest business impact.</w:t>
      </w:r>
    </w:p>
    <w:p>
      <w:pPr>
        <w:spacing w:after="0" w:line="107" w:lineRule="exact"/>
        <w:rPr>
          <w:rFonts w:ascii="Arial" w:cs="Arial" w:eastAsia="Arial" w:hAnsi="Arial"/>
          <w:sz w:val="17"/>
          <w:szCs w:val="17"/>
          <w:b w:val="1"/>
          <w:bCs w:val="1"/>
          <w:color w:val="auto"/>
        </w:rPr>
      </w:pPr>
    </w:p>
    <w:p>
      <w:pPr>
        <w:ind w:left="360" w:right="580" w:hanging="360"/>
        <w:spacing w:after="0" w:line="305" w:lineRule="auto"/>
        <w:tabs>
          <w:tab w:leader="none" w:pos="3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49843A"/>
        </w:rPr>
        <w:t xml:space="preserve">Digitization </w:t>
      </w:r>
      <w:r>
        <w:rPr>
          <w:rFonts w:ascii="Arial" w:cs="Arial" w:eastAsia="Arial" w:hAnsi="Arial"/>
          <w:sz w:val="17"/>
          <w:szCs w:val="17"/>
          <w:color w:val="000000"/>
        </w:rPr>
        <w:t>enables productivity, revenue growth opportunities and</w:t>
      </w:r>
      <w:r>
        <w:rPr>
          <w:rFonts w:ascii="Arial" w:cs="Arial" w:eastAsia="Arial" w:hAnsi="Arial"/>
          <w:sz w:val="17"/>
          <w:szCs w:val="17"/>
          <w:b w:val="1"/>
          <w:bCs w:val="1"/>
          <w:color w:val="49843A"/>
        </w:rPr>
        <w:t xml:space="preserve"> Innovation</w:t>
      </w:r>
      <w:r>
        <w:rPr>
          <w:rFonts w:ascii="Arial" w:cs="Arial" w:eastAsia="Arial" w:hAnsi="Arial"/>
          <w:sz w:val="17"/>
          <w:szCs w:val="17"/>
          <w:color w:val="000000"/>
        </w:rPr>
        <w:t>. We have made deliberate</w:t>
      </w:r>
      <w:r>
        <w:rPr>
          <w:rFonts w:ascii="Arial" w:cs="Arial" w:eastAsia="Arial" w:hAnsi="Arial"/>
          <w:sz w:val="17"/>
          <w:szCs w:val="17"/>
          <w:b w:val="1"/>
          <w:bCs w:val="1"/>
          <w:color w:val="49843A"/>
        </w:rPr>
        <w:t xml:space="preserve"> </w:t>
      </w:r>
      <w:r>
        <w:rPr>
          <w:rFonts w:ascii="Arial" w:cs="Arial" w:eastAsia="Arial" w:hAnsi="Arial"/>
          <w:sz w:val="17"/>
          <w:szCs w:val="17"/>
          <w:color w:val="000000"/>
        </w:rPr>
        <w:t>investments in best-in-breed technology for our front and back office to establish an industry-leading foundation for business optimization and value expansion for our clients and candidates. This approach to buy the best and build to differentiate ensures we maintain the highest standards in data security and privacy, while retaining the ability to create proprietary solutions that stand apart in the market.</w:t>
      </w:r>
    </w:p>
    <w:p>
      <w:pPr>
        <w:spacing w:after="0" w:line="198" w:lineRule="exact"/>
        <w:rPr>
          <w:rFonts w:ascii="Arial" w:cs="Arial" w:eastAsia="Arial" w:hAnsi="Arial"/>
          <w:sz w:val="17"/>
          <w:szCs w:val="17"/>
          <w:b w:val="1"/>
          <w:bCs w:val="1"/>
          <w:color w:val="auto"/>
        </w:rPr>
      </w:pPr>
    </w:p>
    <w:p>
      <w:pPr>
        <w:ind w:left="360" w:right="48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 xml:space="preserve">ǈʧʹʔڑԘԎٜڑ̇ʅڑ̇ ͅڑʊ˓̇ȿǸ˓ڑͅɤΤɤ˷ ɤڑ˷̇Ψڑͅ ˷˷ʧ˷ʊڑʹʔ̇ͅ ʊʔڑ̇ ͅڑʧ˷ɒ ͣʹͅζՑ˓ɤǸɒʧ˷ʊڑ̻˓Ǹʹʅ̇ͅ˰ջڑŶ̇ΨɤͅƋ ʧʹɤջڑΨɤڑʔǸΤɤڑ </w:t>
      </w:r>
      <w:r>
        <w:rPr>
          <w:rFonts w:ascii="Arial" w:cs="Arial" w:eastAsia="Arial" w:hAnsi="Arial"/>
          <w:sz w:val="17"/>
          <w:szCs w:val="17"/>
          <w:color w:val="auto"/>
        </w:rPr>
        <w:t>enhanced our ability to scale innovation across our operations at speed, which will generate positive impact</w:t>
      </w:r>
    </w:p>
    <w:p>
      <w:pPr>
        <w:spacing w:after="0" w:line="1" w:lineRule="exact"/>
        <w:rPr>
          <w:rFonts w:ascii="Arial" w:cs="Arial" w:eastAsia="Arial" w:hAnsi="Arial"/>
          <w:sz w:val="17"/>
          <w:szCs w:val="17"/>
          <w:b w:val="1"/>
          <w:bCs w:val="1"/>
          <w:color w:val="auto"/>
        </w:rPr>
      </w:pPr>
    </w:p>
    <w:p>
      <w:pPr>
        <w:ind w:left="360" w:right="560"/>
        <w:spacing w:after="0" w:line="309" w:lineRule="auto"/>
        <w:rPr>
          <w:rFonts w:ascii="Arial" w:cs="Arial" w:eastAsia="Arial" w:hAnsi="Arial"/>
          <w:sz w:val="17"/>
          <w:szCs w:val="17"/>
          <w:b w:val="1"/>
          <w:bCs w:val="1"/>
          <w:color w:val="auto"/>
        </w:rPr>
      </w:pPr>
      <w:r>
        <w:rPr>
          <w:rFonts w:ascii="Arial" w:cs="Arial" w:eastAsia="Arial" w:hAnsi="Arial"/>
          <w:sz w:val="17"/>
          <w:szCs w:val="17"/>
          <w:color w:val="auto"/>
        </w:rPr>
        <w:t xml:space="preserve">ʹʔ̇ͅ ʊʔڑԐԎԐԔڑǸ˷ɒڑȿɤζ̇˷ɒռڑŶ̇ΨɤͅƋ ʧʹɤڑʧͣڑˋɤζڑʹ̇ڑʔǸͅ˷ɤͣͣʧ˷ʊڑ̇ ͅڑͅʧɆʔջڑʔʧʊʔՑ́ Ǹ˓ʧʹζڑʊ˓̇ȿǸ˓ڑɒǸʹǸڑǸ˷ɒڑǸ̻̻˓ζʧ˷ʊڑ Åڑʹ̇ڑʅ̇Ɇ ͣڑ̇ ͅڑǸɆʹʧΤʧʹʧɤͣڑΨʔɤͅɤڑʹʔɤζڑΨʧ˓˓ڑɆͅɤǸʹɤڑʹʔɤڑ˰̇ͣʹڑΤǸ˓ ɤտڑ ˷˓̇Ɇˋʧ˷ʊڑɆǸ˷ɒʧɒǸʹɤڑ̻̇ʹɤ˷ʹʧǸ˓ڑǸ˷ɒڑɤ˷Ǹȿ˓ʧ˷ʊڑ </w:t>
      </w:r>
      <w:r>
        <w:rPr>
          <w:rFonts w:ascii="Arial" w:cs="Arial" w:eastAsia="Arial" w:hAnsi="Arial"/>
          <w:sz w:val="17"/>
          <w:szCs w:val="17"/>
          <w:color w:val="auto"/>
        </w:rPr>
        <w:t>our talent agents and recruiters to focus their time on mentoring, coaching and guiding the millions of candidates we interact with each year to find successful careers at our client companies.</w:t>
      </w:r>
    </w:p>
    <w:p>
      <w:pPr>
        <w:spacing w:after="0" w:line="193" w:lineRule="exact"/>
        <w:rPr>
          <w:rFonts w:ascii="Arial" w:cs="Arial" w:eastAsia="Arial" w:hAnsi="Arial"/>
          <w:sz w:val="17"/>
          <w:szCs w:val="17"/>
          <w:b w:val="1"/>
          <w:bCs w:val="1"/>
          <w:color w:val="auto"/>
        </w:rPr>
      </w:pPr>
    </w:p>
    <w:p>
      <w:pPr>
        <w:ind w:left="360" w:right="920"/>
        <w:spacing w:after="0" w:line="317" w:lineRule="auto"/>
        <w:rPr>
          <w:rFonts w:ascii="Arial" w:cs="Arial" w:eastAsia="Arial" w:hAnsi="Arial"/>
          <w:sz w:val="17"/>
          <w:szCs w:val="17"/>
          <w:b w:val="1"/>
          <w:bCs w:val="1"/>
          <w:color w:val="auto"/>
        </w:rPr>
      </w:pPr>
      <w:r>
        <w:rPr>
          <w:rFonts w:ascii="Arial" w:cs="Arial" w:eastAsia="Arial" w:hAnsi="Arial"/>
          <w:sz w:val="17"/>
          <w:szCs w:val="17"/>
          <w:color w:val="auto"/>
        </w:rPr>
        <w:t>Our AI integrations are also enabling predictive modeling of organizational workforce needs. These predictive insights work in tandem with our tools to create personalized career development pathways for individuals – maximizing client investment in every worker.</w:t>
      </w:r>
    </w:p>
    <w:p>
      <w:pPr>
        <w:sectPr>
          <w:pgSz w:w="12240" w:h="15840" w:orient="portrait"/>
          <w:cols w:equalWidth="0" w:num="1">
            <w:col w:w="9360"/>
          </w:cols>
          <w:pgMar w:left="1440" w:top="1440" w:right="1440" w:bottom="410" w:gutter="0" w:footer="0" w:header="0"/>
        </w:sectPr>
      </w:pPr>
    </w:p>
    <w:bookmarkStart w:id="3" w:name="page4"/>
    <w:bookmarkEnd w:id="3"/>
    <w:p>
      <w:pPr>
        <w:ind w:left="20"/>
        <w:spacing w:after="0"/>
        <w:tabs>
          <w:tab w:leader="none" w:pos="8840" w:val="left"/>
        </w:tabs>
        <w:rPr>
          <w:sz w:val="20"/>
          <w:szCs w:val="20"/>
          <w:color w:val="auto"/>
        </w:rPr>
      </w:pPr>
      <w:r>
        <w:rPr>
          <w:rFonts w:ascii="Arial" w:cs="Arial" w:eastAsia="Arial" w:hAnsi="Arial"/>
          <w:sz w:val="24"/>
          <w:szCs w:val="24"/>
          <w:b w:val="1"/>
          <w:bCs w:val="1"/>
          <w:color w:val="1B357E"/>
        </w:rPr>
        <w:t>ŀ ͅڑ ̇Ɇ ͣտڑǈʧ˷˷ʧ˷ʊڑʧ˷ڑʹʔɤڑģǸͅˋɤʹڑ՟ڑƙʔ̇ͣɤڑǈʔ̇ڑŀΨ˷ڑʹʔɤڑƙǸ˓ɤ˷ʹջڑŀΨ˷ڑʹʔɤڑ</w:t>
        <w:tab/>
        <w:t>ʹ ͅɤڑ</w:t>
      </w:r>
    </w:p>
    <w:p>
      <w:pPr>
        <w:spacing w:after="0" w:line="135" w:lineRule="exact"/>
        <w:rPr>
          <w:sz w:val="20"/>
          <w:szCs w:val="20"/>
          <w:color w:val="auto"/>
        </w:rPr>
      </w:pPr>
    </w:p>
    <w:p>
      <w:pPr>
        <w:ind w:left="20" w:right="240"/>
        <w:spacing w:after="0" w:line="317" w:lineRule="auto"/>
        <w:rPr>
          <w:sz w:val="20"/>
          <w:szCs w:val="20"/>
          <w:color w:val="auto"/>
        </w:rPr>
      </w:pPr>
      <w:r>
        <w:rPr>
          <w:rFonts w:ascii="Arial" w:cs="Arial" w:eastAsia="Arial" w:hAnsi="Arial"/>
          <w:sz w:val="17"/>
          <w:szCs w:val="17"/>
          <w:color w:val="auto"/>
        </w:rPr>
        <w:t>While we have worked hard to navigate the macro forces that continue to reshape our industry, we have never lost focus on the core tenets of our business strategy, to build deep communities of skilled, diverse talent that will ensure our clients have the workforce they need to be successful today and adapt to tomorrow.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-392430</wp:posOffset>
            </wp:positionV>
            <wp:extent cx="7772400" cy="898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8984615"/>
                    </a:xfrm>
                    <a:prstGeom prst="rect">
                      <a:avLst/>
                    </a:prstGeom>
                    <a:noFill/>
                  </pic:spPr>
                </pic:pic>
              </a:graphicData>
            </a:graphic>
          </wp:anchor>
        </w:drawing>
      </w:r>
    </w:p>
    <w:p>
      <w:pPr>
        <w:spacing w:after="0" w:line="106" w:lineRule="exact"/>
        <w:rPr>
          <w:sz w:val="20"/>
          <w:szCs w:val="20"/>
          <w:color w:val="auto"/>
        </w:rPr>
      </w:pPr>
    </w:p>
    <w:p>
      <w:pPr>
        <w:ind w:left="20" w:right="120"/>
        <w:spacing w:after="0" w:line="317" w:lineRule="auto"/>
        <w:rPr>
          <w:sz w:val="20"/>
          <w:szCs w:val="20"/>
          <w:color w:val="auto"/>
        </w:rPr>
      </w:pPr>
      <w:r>
        <w:rPr>
          <w:rFonts w:ascii="Arial" w:cs="Arial" w:eastAsia="Arial" w:hAnsi="Arial"/>
          <w:sz w:val="17"/>
          <w:szCs w:val="17"/>
          <w:color w:val="auto"/>
        </w:rPr>
        <w:t xml:space="preserve">ǈɤڑˋ˷̇ΨڑʹʔǸʹڑʹʔɤڑȿͅǸ˷ɒͣڑʹʔǸʹڑǸʹʹͅǸɆʹڑǸ˷ɒڑͅɤʹǸʧ˷ڑʹʔɤڑȿɤͣʹڑʹǸ˓ɤ˷ʹڑΨʧ˷ڑʧ˷ڑʹʔɤڑ˰ǸͅˋɤʹռڑƙʔǸʹժͣڑΨʔζڑΨɤڑɆ̇˷ʹʧ˷ ɤڑʹ̇ڑͣɤɤˋڑ˷ɤΨڑ ΨǸζͣڑʹ̇ڑ˰ɤɤʹڑ̇ ͅڑɆǸ˷ɒʧɒǸʹɤͣڑΨʔɤͅɤڑʹʔɤζڑǸͅɤڑǸ˷ɒڑʹ̇ڑȿɤڑʹʔɤڑɤ˰̻˓̇ζɤͅڑ̇ʅڑɆʔ̇ʧɆɤտڑͅɤǸɒζڑ˷̇ʹڑ̇˷˓ζڑʹ̇ڑʔɤ˓̻ڑʹʔɤ˰ڑʅʧ˷ɒڑ </w:t>
      </w:r>
      <w:r>
        <w:rPr>
          <w:rFonts w:ascii="Arial" w:cs="Arial" w:eastAsia="Arial" w:hAnsi="Arial"/>
          <w:sz w:val="17"/>
          <w:szCs w:val="17"/>
          <w:color w:val="auto"/>
        </w:rPr>
        <w:t>meaningful, rewarding work today, but to guide them throughout their entire career journey.</w:t>
      </w:r>
    </w:p>
    <w:p>
      <w:pPr>
        <w:spacing w:after="0" w:line="125" w:lineRule="exact"/>
        <w:rPr>
          <w:sz w:val="20"/>
          <w:szCs w:val="20"/>
          <w:color w:val="auto"/>
        </w:rPr>
      </w:pPr>
    </w:p>
    <w:p>
      <w:pPr>
        <w:ind w:left="20" w:right="80"/>
        <w:spacing w:after="0" w:line="309" w:lineRule="auto"/>
        <w:rPr>
          <w:sz w:val="20"/>
          <w:szCs w:val="20"/>
          <w:color w:val="auto"/>
        </w:rPr>
      </w:pPr>
      <w:r>
        <w:rPr>
          <w:rFonts w:ascii="Arial" w:cs="Arial" w:eastAsia="Arial" w:hAnsi="Arial"/>
          <w:sz w:val="17"/>
          <w:szCs w:val="17"/>
          <w:color w:val="auto"/>
        </w:rPr>
        <w:t>The jobs we are filling and the skills we are building are increasingly future-focused. Despite the shifting political winds in some regions, the global green transition remains a priority for businesses and communities around the world and we expect the need for green-focused talent to continue to expand alongside a growing need for new skills like AI. Filling global talent gaps is vital to the expansion of these emerging industries and growth sectors.</w:t>
      </w:r>
    </w:p>
    <w:p>
      <w:pPr>
        <w:spacing w:after="0" w:line="194" w:lineRule="exact"/>
        <w:rPr>
          <w:sz w:val="20"/>
          <w:szCs w:val="20"/>
          <w:color w:val="auto"/>
        </w:rPr>
      </w:pPr>
    </w:p>
    <w:p>
      <w:pPr>
        <w:ind w:left="20" w:firstLine="107"/>
        <w:spacing w:after="0" w:line="317" w:lineRule="auto"/>
        <w:rPr>
          <w:sz w:val="20"/>
          <w:szCs w:val="20"/>
          <w:color w:val="auto"/>
        </w:rPr>
      </w:pPr>
      <w:r>
        <w:rPr>
          <w:rFonts w:ascii="Arial" w:cs="Arial" w:eastAsia="Arial" w:hAnsi="Arial"/>
          <w:sz w:val="17"/>
          <w:szCs w:val="17"/>
          <w:color w:val="auto"/>
        </w:rPr>
        <w:t xml:space="preserve">ʹڑʹʔɤڑͣǸ˰ɤڑʹʧ˰ɤջڑ˓ɤʊǸɆζڑʧ˷ɒ ͣʹͅʧɤͣڑǸͅɤڑɤǸʊɤͅڑʹ̇ڑˋɤɤ̻ڑ̻ǸɆɤڑǸ˷ɒڑ˰̇ɒɤͅ˷ʧύɤռڑģ̇ͅɤڑʹʔǸ˷ڑɤΤɤͅջڑɤ˷ʹɤ̻ͅͅʧͣɤͣڑʧ˷ڑʹʔɤͣɤڑͣɤɆʹ̇ͣͅڑ </w:t>
      </w:r>
      <w:r>
        <w:rPr>
          <w:rFonts w:ascii="Arial" w:cs="Arial" w:eastAsia="Arial" w:hAnsi="Arial"/>
          <w:sz w:val="17"/>
          <w:szCs w:val="17"/>
          <w:color w:val="auto"/>
        </w:rPr>
        <w:t>are intent on retaining talent already within their ranks by providing valued workers with opportunities to unlock their full potential and develop new in-demand skills that will benefit all.</w:t>
      </w:r>
    </w:p>
    <w:p>
      <w:pPr>
        <w:spacing w:after="0" w:line="126" w:lineRule="exact"/>
        <w:rPr>
          <w:sz w:val="20"/>
          <w:szCs w:val="20"/>
          <w:color w:val="auto"/>
        </w:rPr>
      </w:pPr>
    </w:p>
    <w:p>
      <w:pPr>
        <w:ind w:left="20" w:right="340"/>
        <w:spacing w:after="0" w:line="309" w:lineRule="auto"/>
        <w:rPr>
          <w:sz w:val="20"/>
          <w:szCs w:val="20"/>
          <w:color w:val="auto"/>
        </w:rPr>
      </w:pPr>
      <w:r>
        <w:rPr>
          <w:rFonts w:ascii="Arial" w:cs="Arial" w:eastAsia="Arial" w:hAnsi="Arial"/>
          <w:sz w:val="17"/>
          <w:szCs w:val="17"/>
          <w:color w:val="auto"/>
        </w:rPr>
        <w:t xml:space="preserve">Ƌ ɆɆɤͣͣڑǸʹڑģǸ˷̻̇Ψɤͅ ̇ͅ ̻ڑʔǸͣڑǸ˓ΨǸζͣڑȿɤɤ˷ڑɒɤʅʧ˷ɤɒڑȿζڑΨʧ˷˷ʧ˷ʊڑʧ˷ڑʹʔɤڑ˰ǸͅˋɤʹڑǸ˷ɒڑʊ̇ͅΨʧ˷ʊڑ̇ ͅڑȿ ͣʧ˷ɤͣͣջڑȿζڑ Ɇ̇˷ʹͅʧȿ ʹʧ˷ʊڑʹ̇ڑ̇ ͅڑɆ˓ʧɤ˷ʹͣժڑͣ ɆɆɤͣͣջڑʧ˰̻̇ͅΤʧ˷ʊڑʹʔɤڑ˓ʧΤɤͣڑ̇ʅڑ˰ʧ˓˓ʧ̇˷ͣڑ̇ʅڑ̻ɤ̻̇˓ɤջڑȿ ʧ˓ɒʧ˷ʊڑ˰̇ͅɤڑ̻̻̇ͣͅɤ̇ͅ ͣڑǸ˷ɒڑͅɤͣʧ˓ʧɤ˷ʹڑ </w:t>
      </w:r>
      <w:r>
        <w:rPr>
          <w:rFonts w:ascii="Arial" w:cs="Arial" w:eastAsia="Arial" w:hAnsi="Arial"/>
          <w:sz w:val="17"/>
          <w:szCs w:val="17"/>
          <w:color w:val="auto"/>
        </w:rPr>
        <w:t>communities and a stronger, more sustainable planet. We believe the market dynamics at play today continue to support this client focused, people-centered growth perspective.</w:t>
      </w:r>
    </w:p>
    <w:p>
      <w:pPr>
        <w:spacing w:after="0" w:line="310" w:lineRule="exact"/>
        <w:rPr>
          <w:sz w:val="20"/>
          <w:szCs w:val="20"/>
          <w:color w:val="auto"/>
        </w:rPr>
      </w:pPr>
    </w:p>
    <w:p>
      <w:pPr>
        <w:spacing w:after="0"/>
        <w:rPr>
          <w:sz w:val="20"/>
          <w:szCs w:val="20"/>
          <w:color w:val="auto"/>
        </w:rPr>
      </w:pPr>
      <w:r>
        <w:rPr>
          <w:rFonts w:ascii="Arial" w:cs="Arial" w:eastAsia="Arial" w:hAnsi="Arial"/>
          <w:sz w:val="40"/>
          <w:szCs w:val="40"/>
          <w:b w:val="1"/>
          <w:bCs w:val="1"/>
          <w:color w:val="3B5B9C"/>
        </w:rPr>
        <w:t>2024 Gross Profit Mix</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28"/>
        </w:trPr>
        <w:tc>
          <w:tcPr>
            <w:tcW w:w="7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59</w:t>
            </w: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vMerge w:val="restart"/>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24%</w:t>
            </w:r>
          </w:p>
        </w:tc>
        <w:tc>
          <w:tcPr>
            <w:tcW w:w="0" w:type="dxa"/>
            <w:vAlign w:val="bottom"/>
          </w:tcPr>
          <w:p>
            <w:pPr>
              <w:spacing w:after="0"/>
              <w:rPr>
                <w:sz w:val="1"/>
                <w:szCs w:val="1"/>
                <w:color w:val="auto"/>
              </w:rPr>
            </w:pPr>
          </w:p>
        </w:tc>
      </w:tr>
      <w:tr>
        <w:trPr>
          <w:trHeight w:val="124"/>
        </w:trPr>
        <w:tc>
          <w:tcPr>
            <w:tcW w:w="7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18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Manpower</w:t>
            </w:r>
          </w:p>
        </w:tc>
        <w:tc>
          <w:tcPr>
            <w:tcW w:w="20" w:type="dxa"/>
            <w:vAlign w:val="bottom"/>
            <w:shd w:val="clear" w:color="auto" w:fill="000000"/>
          </w:tcPr>
          <w:p>
            <w:pPr>
              <w:spacing w:after="0"/>
              <w:rPr>
                <w:sz w:val="8"/>
                <w:szCs w:val="8"/>
                <w:color w:val="auto"/>
              </w:rPr>
            </w:pPr>
          </w:p>
        </w:tc>
        <w:tc>
          <w:tcPr>
            <w:tcW w:w="1440" w:type="dxa"/>
            <w:vAlign w:val="bottom"/>
            <w:vMerge w:val="restart"/>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00" w:type="dxa"/>
            <w:vAlign w:val="bottom"/>
            <w:vMerge w:val="restart"/>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5"/>
                <w:szCs w:val="15"/>
                <w:color w:val="auto"/>
                <w:w w:val="95"/>
              </w:rPr>
              <w:t>Experis</w:t>
            </w:r>
          </w:p>
        </w:tc>
        <w:tc>
          <w:tcPr>
            <w:tcW w:w="0" w:type="dxa"/>
            <w:vAlign w:val="bottom"/>
          </w:tcPr>
          <w:p>
            <w:pPr>
              <w:spacing w:after="0"/>
              <w:rPr>
                <w:sz w:val="1"/>
                <w:szCs w:val="1"/>
                <w:color w:val="auto"/>
              </w:rPr>
            </w:pPr>
          </w:p>
        </w:tc>
      </w:tr>
      <w:tr>
        <w:trPr>
          <w:trHeight w:val="123"/>
        </w:trPr>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60"/>
        <w:spacing w:after="0"/>
        <w:rPr>
          <w:sz w:val="20"/>
          <w:szCs w:val="20"/>
          <w:color w:val="auto"/>
        </w:rPr>
      </w:pPr>
      <w:r>
        <w:rPr>
          <w:rFonts w:ascii="Arial" w:cs="Arial" w:eastAsia="Arial" w:hAnsi="Arial"/>
          <w:sz w:val="20"/>
          <w:szCs w:val="20"/>
          <w:b w:val="1"/>
          <w:bCs w:val="1"/>
          <w:color w:val="auto"/>
        </w:rPr>
        <w:t>Total Gross Profit</w:t>
      </w:r>
    </w:p>
    <w:p>
      <w:pPr>
        <w:spacing w:after="0" w:line="39" w:lineRule="exact"/>
        <w:rPr>
          <w:sz w:val="20"/>
          <w:szCs w:val="20"/>
          <w:color w:val="auto"/>
        </w:rPr>
      </w:pPr>
    </w:p>
    <w:p>
      <w:pPr>
        <w:jc w:val="center"/>
        <w:ind w:right="5200"/>
        <w:spacing w:after="0"/>
        <w:rPr>
          <w:sz w:val="20"/>
          <w:szCs w:val="20"/>
          <w:color w:val="auto"/>
        </w:rPr>
      </w:pPr>
      <w:r>
        <w:rPr>
          <w:rFonts w:ascii="Arial" w:cs="Arial" w:eastAsia="Arial" w:hAnsi="Arial"/>
          <w:sz w:val="20"/>
          <w:szCs w:val="20"/>
          <w:b w:val="1"/>
          <w:bCs w:val="1"/>
          <w:color w:val="auto"/>
        </w:rPr>
        <w:t>$3.1B</w:t>
      </w: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17%</w:t>
      </w:r>
    </w:p>
    <w:p>
      <w:pPr>
        <w:spacing w:after="0" w:line="51" w:lineRule="exact"/>
        <w:rPr>
          <w:sz w:val="20"/>
          <w:szCs w:val="20"/>
          <w:color w:val="auto"/>
        </w:rPr>
      </w:pPr>
    </w:p>
    <w:p>
      <w:pPr>
        <w:jc w:val="center"/>
        <w:ind w:right="1760"/>
        <w:spacing w:after="0"/>
        <w:rPr>
          <w:sz w:val="20"/>
          <w:szCs w:val="20"/>
          <w:color w:val="auto"/>
        </w:rPr>
      </w:pPr>
      <w:r>
        <w:rPr>
          <w:rFonts w:ascii="Arial" w:cs="Arial" w:eastAsia="Arial" w:hAnsi="Arial"/>
          <w:sz w:val="15"/>
          <w:szCs w:val="15"/>
          <w:color w:val="auto"/>
        </w:rPr>
        <w:t>Talent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Left to Right: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Michelle Nettles</w:t>
      </w:r>
    </w:p>
    <w:p>
      <w:pPr>
        <w:spacing w:after="0" w:line="34" w:lineRule="exact"/>
        <w:rPr>
          <w:sz w:val="20"/>
          <w:szCs w:val="20"/>
          <w:color w:val="auto"/>
        </w:rPr>
      </w:pPr>
    </w:p>
    <w:p>
      <w:pPr>
        <w:ind w:left="20" w:right="7100"/>
        <w:spacing w:after="0" w:line="288" w:lineRule="auto"/>
        <w:rPr>
          <w:sz w:val="20"/>
          <w:szCs w:val="20"/>
          <w:color w:val="auto"/>
        </w:rPr>
      </w:pPr>
      <w:r>
        <w:rPr>
          <w:rFonts w:ascii="Arial" w:cs="Arial" w:eastAsia="Arial" w:hAnsi="Arial"/>
          <w:sz w:val="16"/>
          <w:szCs w:val="16"/>
          <w:color w:val="auto"/>
        </w:rPr>
        <w:t>_αɤɆ ʹʧΤɤڑǅʧɆɤڑŶͅɤͣʧɒɤ˷ʹջڑ IʔʧɤʅڑŶɤ̻̇˓ɤڑǸ˷ɒڑĘɤʊǸ˓ڑŀʅʅʧɆɤͅڑ</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Jonas Prising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Chair and CEO</w:t>
      </w:r>
    </w:p>
    <w:p>
      <w:pPr>
        <w:sectPr>
          <w:pgSz w:w="12240" w:h="15840" w:orient="portrait"/>
          <w:cols w:equalWidth="0" w:num="1">
            <w:col w:w="9520"/>
          </w:cols>
          <w:pgMar w:left="1420" w:top="1124" w:right="1300"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1B357E"/>
        </w:rPr>
        <w:t>Building Our Future</w:t>
      </w:r>
    </w:p>
    <w:p>
      <w:pPr>
        <w:spacing w:after="0" w:line="135" w:lineRule="exact"/>
        <w:rPr>
          <w:sz w:val="20"/>
          <w:szCs w:val="20"/>
          <w:color w:val="auto"/>
        </w:rPr>
      </w:pPr>
    </w:p>
    <w:p>
      <w:pPr>
        <w:ind w:right="1260"/>
        <w:spacing w:after="0" w:line="303" w:lineRule="auto"/>
        <w:rPr>
          <w:sz w:val="20"/>
          <w:szCs w:val="20"/>
          <w:color w:val="auto"/>
        </w:rPr>
      </w:pPr>
      <w:r>
        <w:rPr>
          <w:rFonts w:ascii="Arial" w:cs="Arial" w:eastAsia="Arial" w:hAnsi="Arial"/>
          <w:sz w:val="17"/>
          <w:szCs w:val="17"/>
          <w:color w:val="auto"/>
        </w:rPr>
        <w:t>The foundational drivers of change, which we have tracked for many years, continue to accelerate and generate opportunities for our business. Shifting demographics, technology-fueled transformation and the rise of individual choice are shaping a future that is different from the past. Still, we believe employers will continue to place a premium on uniquely human skills like creativity, problem-solving and adaptability, as they seek new ways to upskill and reskill talent and increase mobility within their organizations. We are very confident in the outlook for our business and remain laser focused on the actions we need to take to increase shareholder value in the short and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-840740</wp:posOffset>
            </wp:positionV>
            <wp:extent cx="7772400" cy="898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72400" cy="8984615"/>
                    </a:xfrm>
                    <a:prstGeom prst="rect">
                      <a:avLst/>
                    </a:prstGeom>
                    <a:noFill/>
                  </pic:spPr>
                </pic:pic>
              </a:graphicData>
            </a:graphic>
          </wp:anchor>
        </w:drawing>
      </w:r>
    </w:p>
    <w:p>
      <w:pPr>
        <w:spacing w:after="0" w:line="360" w:lineRule="exact"/>
        <w:rPr>
          <w:sz w:val="20"/>
          <w:szCs w:val="20"/>
          <w:color w:val="auto"/>
        </w:rPr>
      </w:pPr>
    </w:p>
    <w:p>
      <w:pPr>
        <w:ind w:right="1180"/>
        <w:spacing w:after="0" w:line="317" w:lineRule="auto"/>
        <w:rPr>
          <w:sz w:val="20"/>
          <w:szCs w:val="20"/>
          <w:color w:val="auto"/>
        </w:rPr>
      </w:pPr>
      <w:r>
        <w:rPr>
          <w:rFonts w:ascii="Arial" w:cs="Arial" w:eastAsia="Arial" w:hAnsi="Arial"/>
          <w:sz w:val="17"/>
          <w:szCs w:val="17"/>
          <w:color w:val="auto"/>
        </w:rPr>
        <w:t xml:space="preserve">We will continue to transform our business at pace, investing in technology and talent to encourage greater </w:t>
      </w:r>
      <w:r>
        <w:rPr>
          <w:rFonts w:ascii="Arial" w:cs="Arial" w:eastAsia="Arial" w:hAnsi="Arial"/>
          <w:sz w:val="17"/>
          <w:szCs w:val="17"/>
          <w:color w:val="auto"/>
        </w:rPr>
        <w:t xml:space="preserve">ʊ˓̇ȿǸ˓ڑɆ̇˓˓Ǹȿ̇ͅǸʹʧ̇˷ڑǸ˷ɒڑɆ̇̇ͅɒʧ˷Ǹʹʧ̇˷ڑǸɆ̇ͣͣͅڑǸ˷ɒڑȿɤʹΨɤɤ˷ڑ̇ ͅڑȿͅǸ˷ɒͣڑʹ̇ڑͣɤͅΤɤڑ̇ ͅڑɆ˓ʧɤ˷ʹͣժڑʊ˓̇ȿǸ˓ڑ˷ɤɤɒͣջڑǸ˓˓ڑΨʔʧ˓ɤڑ </w:t>
      </w:r>
      <w:r>
        <w:rPr>
          <w:rFonts w:ascii="Arial" w:cs="Arial" w:eastAsia="Arial" w:hAnsi="Arial"/>
          <w:sz w:val="17"/>
          <w:szCs w:val="17"/>
          <w:color w:val="auto"/>
        </w:rPr>
        <w:t>maintaining a strong local presence in every market we serve.</w:t>
      </w:r>
    </w:p>
    <w:p>
      <w:pPr>
        <w:spacing w:after="0" w:line="125" w:lineRule="exact"/>
        <w:rPr>
          <w:sz w:val="20"/>
          <w:szCs w:val="20"/>
          <w:color w:val="auto"/>
        </w:rPr>
      </w:pPr>
    </w:p>
    <w:p>
      <w:pPr>
        <w:ind w:right="1280"/>
        <w:spacing w:after="0" w:line="309" w:lineRule="auto"/>
        <w:rPr>
          <w:sz w:val="20"/>
          <w:szCs w:val="20"/>
          <w:color w:val="auto"/>
        </w:rPr>
      </w:pPr>
      <w:r>
        <w:rPr>
          <w:rFonts w:ascii="Arial" w:cs="Arial" w:eastAsia="Arial" w:hAnsi="Arial"/>
          <w:sz w:val="17"/>
          <w:szCs w:val="17"/>
          <w:color w:val="auto"/>
        </w:rPr>
        <w:t xml:space="preserve">We will work even harder to compete with small, nimble and niche competitors in our chosen market segments </w:t>
      </w:r>
      <w:r>
        <w:rPr>
          <w:rFonts w:ascii="Arial" w:cs="Arial" w:eastAsia="Arial" w:hAnsi="Arial"/>
          <w:sz w:val="17"/>
          <w:szCs w:val="17"/>
          <w:color w:val="auto"/>
        </w:rPr>
        <w:t xml:space="preserve">Ǹ˷ɒڑʧ˷ɒ ͣʹͅζڑΤɤͅʹʧɆǸ˓ͣռڑAζڑͣʹͅɤ˷ʊʹʔɤ˷ʧ˷ʊڑ̇ ͅڑȿͅǸ˷ɒͣջڑɒɤɤ̻ɤ˷ʧ˷ʊڑ̇ ͅڑΤɤͅʹʧɆǸ˓ڑɤα̻ɤͅʹʧͣɤڑǸ˷ɒڑȿ ʧ˓ɒʧ˷ʊڑɆ̇˰˰ ˷ʧʹʧɤͣڑ </w:t>
      </w:r>
      <w:r>
        <w:rPr>
          <w:rFonts w:ascii="Arial" w:cs="Arial" w:eastAsia="Arial" w:hAnsi="Arial"/>
          <w:sz w:val="17"/>
          <w:szCs w:val="17"/>
          <w:color w:val="auto"/>
        </w:rPr>
        <w:t>of talent with increasingly specific technical and human skills, we will continue to expand our offerings in the fastest growing markets to capture long-term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And, we will always uphold the belief that meaningful work has the potential to change the world for the better.</w:t>
      </w:r>
    </w:p>
    <w:p>
      <w:pPr>
        <w:spacing w:after="0" w:line="224" w:lineRule="exact"/>
        <w:rPr>
          <w:sz w:val="20"/>
          <w:szCs w:val="20"/>
          <w:color w:val="auto"/>
        </w:rPr>
      </w:pPr>
    </w:p>
    <w:p>
      <w:pPr>
        <w:ind w:right="1300"/>
        <w:spacing w:after="0" w:line="318" w:lineRule="auto"/>
        <w:rPr>
          <w:sz w:val="20"/>
          <w:szCs w:val="20"/>
          <w:color w:val="auto"/>
        </w:rPr>
      </w:pPr>
      <w:r>
        <w:rPr>
          <w:rFonts w:ascii="Arial" w:cs="Arial" w:eastAsia="Arial" w:hAnsi="Arial"/>
          <w:sz w:val="17"/>
          <w:szCs w:val="17"/>
          <w:color w:val="auto"/>
        </w:rPr>
        <w:t>I am grateful for our clients who place their trust in us, and for the millions of workers eager to contribute their skills and talent to making those client companies successful, while learning and growing to meet the moment of tomorrow. Our dedicated teams work tirelessly to serve our clients and candidates and continue to transform our organization.</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ĘǸͣʹ˓ζջڑÅժɒڑ˓ʧˋɤڑʹ̇ڑʹʔǸ˷ˋڑζ̇ ջڑ̇ ͅڑͣʔǸͅɤʔ̇˓ɒɤͣͅջڑʅ̇ͅڑζ̇ ͅڑɆ̇˷ʹʧ˷ ɤɒڑͣ ̻̻̇ͅʹڑ̇ʅڑģǸ˷̻̇Ψɤͅ  ̇ͅ ̻ռ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306070</wp:posOffset>
            </wp:positionV>
            <wp:extent cx="1246505" cy="719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46505"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ĉ̇˷ǸͣڑŶͅʧͣʧ˷ʊ</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Chair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560"/>
        <w:spacing w:after="0"/>
        <w:rPr>
          <w:sz w:val="20"/>
          <w:szCs w:val="20"/>
          <w:color w:val="auto"/>
        </w:rPr>
      </w:pPr>
      <w:r>
        <w:rPr>
          <w:rFonts w:ascii="Arial" w:cs="Arial" w:eastAsia="Arial" w:hAnsi="Arial"/>
          <w:sz w:val="16"/>
          <w:szCs w:val="16"/>
          <w:i w:val="1"/>
          <w:iCs w:val="1"/>
          <w:color w:val="auto"/>
        </w:rPr>
        <w:t>Left to Right:</w:t>
      </w:r>
    </w:p>
    <w:p>
      <w:pPr>
        <w:spacing w:after="0" w:line="171"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Becky Frankiewicz</w:t>
      </w:r>
    </w:p>
    <w:p>
      <w:pPr>
        <w:spacing w:after="0" w:line="34"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Ŷͅɤͣʧɒɤ˷ʹջڑī̇ͅʹʔڑ  ˰ɤͅʧɆǸڑžɤʊʧ̇˷ڑ</w:t>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and Chief Commercial Officer</w:t>
      </w:r>
    </w:p>
    <w:p>
      <w:pPr>
        <w:spacing w:after="0" w:line="17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Jack McGinnis</w:t>
      </w:r>
    </w:p>
    <w:p>
      <w:pPr>
        <w:spacing w:after="0" w:line="34"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_αɤɆ ʹʧΤɤڑǅʧɆɤڑŶͅɤͣʧɒɤ˷ʹڑ</w:t>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and Chief Financial Officer</w:t>
      </w:r>
    </w:p>
    <w:p>
      <w:pPr>
        <w:sectPr>
          <w:pgSz w:w="12240" w:h="15840" w:orient="portrait"/>
          <w:cols w:equalWidth="0" w:num="1">
            <w:col w:w="10120"/>
          </w:cols>
          <w:pgMar w:left="1440" w:top="1124" w:right="680" w:bottom="1440" w:gutter="0" w:footer="0" w:header="0"/>
        </w:sectPr>
      </w:pPr>
    </w:p>
    <w:bookmarkStart w:id="5" w:name="page6"/>
    <w:bookmarkEnd w:id="5"/>
    <w:p>
      <w:pPr>
        <w:spacing w:after="0" w:line="243" w:lineRule="exact"/>
        <w:rPr>
          <w:sz w:val="20"/>
          <w:szCs w:val="20"/>
          <w:color w:val="auto"/>
        </w:rPr>
      </w:pPr>
      <w:r>
        <w:rPr>
          <w:rFonts w:ascii="PMingLiU" w:cs="PMingLiU" w:eastAsia="PMingLiU" w:hAnsi="PMingLiU"/>
          <w:sz w:val="20"/>
          <w:szCs w:val="20"/>
          <w:b w:val="1"/>
          <w:bCs w:val="1"/>
          <w:color w:val="0C2A7B"/>
        </w:rPr>
        <w:t></w:t>
      </w:r>
      <w:r>
        <w:rPr>
          <w:rFonts w:ascii="Arial" w:cs="Arial" w:eastAsia="Arial" w:hAnsi="Arial"/>
          <w:sz w:val="20"/>
          <w:szCs w:val="20"/>
          <w:b w:val="1"/>
          <w:bCs w:val="1"/>
          <w:color w:val="0C2A7B"/>
        </w:rPr>
        <w:t>̇ͅΨǸͅɒՑĘ̇̇ˋʧ˷ʊڑƋʹǸʹɤ˰ɤ˷ʹͣ</w:t>
      </w:r>
    </w:p>
    <w:p>
      <w:pPr>
        <w:spacing w:after="0" w:line="122" w:lineRule="exact"/>
        <w:rPr>
          <w:sz w:val="20"/>
          <w:szCs w:val="20"/>
          <w:color w:val="auto"/>
        </w:rPr>
      </w:pPr>
    </w:p>
    <w:p>
      <w:pPr>
        <w:ind w:right="60"/>
        <w:spacing w:after="0" w:line="227" w:lineRule="exact"/>
        <w:rPr>
          <w:sz w:val="20"/>
          <w:szCs w:val="20"/>
          <w:color w:val="auto"/>
        </w:rPr>
      </w:pPr>
      <w:r>
        <w:rPr>
          <w:rFonts w:ascii="Arial" w:cs="Arial" w:eastAsia="Arial" w:hAnsi="Arial"/>
          <w:sz w:val="15"/>
          <w:szCs w:val="15"/>
          <w:color w:val="auto"/>
        </w:rPr>
        <w:t>ƙʔʧͣڑͣʔǸͅɤʔ̇˓ɒɤͅڑ˓ɤʹʹɤͅڑɆ̇˷ʹǸʧ˷ͣڑʅ̇ͅΨǸͅɒՑ˓̇̇ˋʧ˷ʊڑͣʹǸʹɤ˰ɤ˷ʹͣڑΨʧʹʔʧ˷ڑʹʔɤڑ˰ɤǸ˷ʧ˷ʊڑ̇ʅڑʹʔɤڑŶͅʧΤǸʹɤڑƋɤɆ ͅʧʹʧɤͣڑĘʧʹʧʊǸʹʧ̇˷ڑžɤʅ̇ͅ˰ڑ</w:t>
      </w:r>
      <w:r>
        <w:rPr>
          <w:rFonts w:ascii="PMingLiU" w:cs="PMingLiU" w:eastAsia="PMingLiU" w:hAnsi="PMingLiU"/>
          <w:sz w:val="15"/>
          <w:szCs w:val="15"/>
          <w:color w:val="auto"/>
        </w:rPr>
        <w:t/>
      </w:r>
      <w:r>
        <w:rPr>
          <w:rFonts w:ascii="Arial" w:cs="Arial" w:eastAsia="Arial" w:hAnsi="Arial"/>
          <w:sz w:val="15"/>
          <w:szCs w:val="15"/>
          <w:color w:val="auto"/>
        </w:rPr>
        <w:t xml:space="preserve">Ɇʹڑ̇ʅڑ </w:t>
      </w:r>
      <w:r>
        <w:rPr>
          <w:rFonts w:ascii="Arial" w:cs="Arial" w:eastAsia="Arial" w:hAnsi="Arial"/>
          <w:sz w:val="15"/>
          <w:szCs w:val="15"/>
          <w:color w:val="auto"/>
        </w:rPr>
        <w:t xml:space="preserve">1995 relating to the positioning for future growth of our brands, labor trends and outlook, including the impact of AI and the green transition on the labor markets and the execution of our strategic initiatives and technology investments that are based on our current expectations, estimates, assumptions and projections. Forward-looking statements can be identified by words such as “expect,” “plan,” “may,” “believe,” “will,” and other similar expressions. Actual outcomes and results may differ materially from what is expressed or forecast in these forward-looking statements. Risks, uncertainties and other factors that might cause such differences, some of which could be material, include, but are not limited to, the factors discussed in Item 1A. Risk Factors in our </w:t>
      </w:r>
      <w:r>
        <w:rPr>
          <w:rFonts w:ascii="Arial" w:cs="Arial" w:eastAsia="Arial" w:hAnsi="Arial"/>
          <w:sz w:val="15"/>
          <w:szCs w:val="15"/>
          <w:color w:val="auto"/>
        </w:rPr>
        <w:t>Ǹ˷˷ Ǹ˓ڑͅɤ̻̇ͅʹڑ̇˷ڑ</w:t>
      </w:r>
      <w:r>
        <w:rPr>
          <w:rFonts w:ascii="PMingLiU" w:cs="PMingLiU" w:eastAsia="PMingLiU" w:hAnsi="PMingLiU"/>
          <w:sz w:val="15"/>
          <w:szCs w:val="15"/>
          <w:color w:val="auto"/>
        </w:rPr>
        <w:t></w:t>
      </w:r>
      <w:r>
        <w:rPr>
          <w:rFonts w:ascii="Arial" w:cs="Arial" w:eastAsia="Arial" w:hAnsi="Arial"/>
          <w:sz w:val="15"/>
          <w:szCs w:val="15"/>
          <w:color w:val="auto"/>
        </w:rPr>
        <w:t xml:space="preserve">̇ͅ˰ڑԏԎ՞Ďڑʅ̇ͅڑʹʔɤڑζɤǸͅڑɤ˷ɒɤɒڑTɤɆɤ˰ȿɤͅڑԒԏջڑԐԎԐԓռڑǈɤڑɆǸ ʹʧ̇˷ڑʹʔǸʹڑǸ˷ζڑʅ̇ͅΨǸͅɒՑ˓̇̇ˋʧ˷ʊڑͣʹǸʹɤ˰ɤ˷ʹڑͅɤʅ˓ɤɆʹͣڑ̇˷˓ζڑ </w:t>
      </w:r>
      <w:r>
        <w:rPr>
          <w:rFonts w:ascii="Arial" w:cs="Arial" w:eastAsia="Arial" w:hAnsi="Arial"/>
          <w:sz w:val="15"/>
          <w:szCs w:val="15"/>
          <w:color w:val="auto"/>
        </w:rPr>
        <w:t>our belief at the time the statement is made. We undertake no obligation to update any forward-looking statements to reflect subsequent events or circumstances.</w:t>
      </w:r>
    </w:p>
    <w:p>
      <w:pPr>
        <w:spacing w:after="0" w:line="370" w:lineRule="exact"/>
        <w:rPr>
          <w:sz w:val="20"/>
          <w:szCs w:val="20"/>
          <w:color w:val="auto"/>
        </w:rPr>
      </w:pPr>
    </w:p>
    <w:p>
      <w:pPr>
        <w:spacing w:after="0" w:line="243" w:lineRule="exact"/>
        <w:rPr>
          <w:sz w:val="20"/>
          <w:szCs w:val="20"/>
          <w:color w:val="auto"/>
        </w:rPr>
      </w:pPr>
      <w:r>
        <w:rPr>
          <w:rFonts w:ascii="Arial" w:cs="Arial" w:eastAsia="Arial" w:hAnsi="Arial"/>
          <w:sz w:val="20"/>
          <w:szCs w:val="20"/>
          <w:b w:val="1"/>
          <w:bCs w:val="1"/>
          <w:color w:val="0C2A7B"/>
        </w:rPr>
        <w:t>֭ī̇˷Ց</w:t>
      </w:r>
      <w:r>
        <w:rPr>
          <w:rFonts w:ascii="PMingLiU" w:cs="PMingLiU" w:eastAsia="PMingLiU" w:hAnsi="PMingLiU"/>
          <w:sz w:val="20"/>
          <w:szCs w:val="20"/>
          <w:b w:val="1"/>
          <w:bCs w:val="1"/>
          <w:color w:val="0C2A7B"/>
        </w:rPr>
        <w:t></w:t>
      </w:r>
      <w:r>
        <w:rPr>
          <w:rFonts w:ascii="Arial" w:cs="Arial" w:eastAsia="Arial" w:hAnsi="Arial"/>
          <w:sz w:val="20"/>
          <w:szCs w:val="20"/>
          <w:b w:val="1"/>
          <w:bCs w:val="1"/>
          <w:color w:val="0C2A7B"/>
        </w:rPr>
        <w:t>ŶڑÅ˷ʅ̇ͅ˰Ǹʹʧ̇˷ڑ</w:t>
      </w:r>
    </w:p>
    <w:p>
      <w:pPr>
        <w:spacing w:after="0" w:line="122" w:lineRule="exact"/>
        <w:rPr>
          <w:sz w:val="20"/>
          <w:szCs w:val="20"/>
          <w:color w:val="auto"/>
        </w:rPr>
      </w:pPr>
    </w:p>
    <w:p>
      <w:pPr>
        <w:spacing w:after="0" w:line="228" w:lineRule="exact"/>
        <w:rPr>
          <w:sz w:val="20"/>
          <w:szCs w:val="20"/>
          <w:color w:val="auto"/>
        </w:rPr>
      </w:pPr>
      <w:r>
        <w:rPr>
          <w:rFonts w:ascii="Arial" w:cs="Arial" w:eastAsia="Arial" w:hAnsi="Arial"/>
          <w:sz w:val="15"/>
          <w:szCs w:val="15"/>
          <w:color w:val="auto"/>
        </w:rPr>
        <w:t xml:space="preserve">The information in this letter includes financial information determined by methods other than in accordance with U.S. generally </w:t>
      </w:r>
      <w:r>
        <w:rPr>
          <w:rFonts w:ascii="Arial" w:cs="Arial" w:eastAsia="Arial" w:hAnsi="Arial"/>
          <w:sz w:val="15"/>
          <w:szCs w:val="15"/>
          <w:color w:val="auto"/>
        </w:rPr>
        <w:t>ǸɆɆɤ̻ʹɤɒڑǸɆɆ̇ ˷ʹʧ˷ʊڑ̻ͅʧ˷Ɇʧ̻˓ɤͣڑԻծ ŶկԼջڑͣ ɆʔڑǸͣڑǸɒ˃ ͣʹɤɒڑ_AÅƙ ڑǸ˷ɒڑǸɒ˃ ͣʹɤɒڑɒʧ˓ ʹɤɒڑ˷ɤʹڑɤǸͅ˷ʧ˷ʊͣڑ̻ɤͅڑͣʔǸͅɤռڑƙʔɤڑİ˰̻Ǹ˷ζժͣڑ ˰Ǹ˷Ǹʊɤ˰ɤ˷ʹڑ ͣɤͣڑʹʔɤͣɤڑ˷̇˷Ց</w:t>
      </w:r>
      <w:r>
        <w:rPr>
          <w:rFonts w:ascii="PMingLiU" w:cs="PMingLiU" w:eastAsia="PMingLiU" w:hAnsi="PMingLiU"/>
          <w:sz w:val="15"/>
          <w:szCs w:val="15"/>
          <w:color w:val="auto"/>
        </w:rPr>
        <w:t></w:t>
      </w:r>
      <w:r>
        <w:rPr>
          <w:rFonts w:ascii="Arial" w:cs="Arial" w:eastAsia="Arial" w:hAnsi="Arial"/>
          <w:sz w:val="15"/>
          <w:szCs w:val="15"/>
          <w:color w:val="auto"/>
        </w:rPr>
        <w:t>Ŷڑ˰ɤǸͣ ͅɤͣڑʧ˷ڑʧʹͣڑǸ˷Ǹ˓ζͣʧͣڑ̇ʅڑʹʔɤڑİ˰̻Ǹ˷ζժͣڑ̻ɤͅʅ̇ͅ˰Ǹ˷Ɇɤռڑƙʔɤڑİ˰̻Ǹ˷ζڑȿɤ˓ʧɤΤɤͣڑʹʔǸʹڑʹʔɤڑ ̻ͅɤͣɤ˷ʹǸʹʧ̇˷ڑ̇ʅڑɆɤͅʹǸʧ˷ڑ˷̇˷Ց Ŷڑ˰ɤǸͣ ͅɤͣڑ̻̇ͅΤʧɒɤͣڑ ͣɤʅ ˓ڑͣ ̻̻˓ɤ˰ɤ˷ʹǸ˓ڑʧ˷ʅ̇ͅ˰Ǹʹʧ̇˷ڑʹʔǸʹڑʧͣڑɤͣͣɤ˷ʹʧǸ˓ڑʹ̇ڑǸڑ̻̻̇ͅɤͅڑ ˷ɒɤͣͅʹǸ˷ɒʧ˷ʊڑ ̇ʅڑʹʔɤڑ̻̇ɤͅǸʹʧ˷ʊڑͅɤͣ ˓ʹͣڑ̇ʅڑʹʔɤڑİ˰̻Ǹ˷ζժͣڑȿ ͣʧ˷ɤͣͣɤͣռڑƙʔɤͣɤڑ˷̇˷Ց</w:t>
      </w:r>
      <w:r>
        <w:rPr>
          <w:rFonts w:ascii="PMingLiU" w:cs="PMingLiU" w:eastAsia="PMingLiU" w:hAnsi="PMingLiU"/>
          <w:sz w:val="15"/>
          <w:szCs w:val="15"/>
          <w:color w:val="auto"/>
        </w:rPr>
        <w:t></w:t>
      </w:r>
      <w:r>
        <w:rPr>
          <w:rFonts w:ascii="Arial" w:cs="Arial" w:eastAsia="Arial" w:hAnsi="Arial"/>
          <w:sz w:val="15"/>
          <w:szCs w:val="15"/>
          <w:color w:val="auto"/>
        </w:rPr>
        <w:t>ŶڑɒʧͣɆ˓̇ͣ ͅɤͣڑͣʔ̇ ˓ɒڑ˷̇ʹڑȿɤڑΤʧɤΨɤɒڑǸͣڑǸڑͣ ȿͣʹʧʹ ʹɤڑʅ̇ͅڑ ̻̇ɤͅǸʹʧ˷ʊڑͅɤͣ ˓ʹͣڑɒɤʹɤͅ˰ʧ˷ɤɒڑʧ˷ڑǸɆɆ̇ͅɒǸ˷ɆɤڑΨʧʹʔڑ</w:t>
      </w:r>
      <w:r>
        <w:rPr>
          <w:rFonts w:ascii="PMingLiU" w:cs="PMingLiU" w:eastAsia="PMingLiU" w:hAnsi="PMingLiU"/>
          <w:sz w:val="15"/>
          <w:szCs w:val="15"/>
          <w:color w:val="auto"/>
        </w:rPr>
        <w:t></w:t>
      </w:r>
      <w:r>
        <w:rPr>
          <w:rFonts w:ascii="Arial" w:cs="Arial" w:eastAsia="Arial" w:hAnsi="Arial"/>
          <w:sz w:val="15"/>
          <w:szCs w:val="15"/>
          <w:color w:val="auto"/>
        </w:rPr>
        <w:t>Ŷջڑ˷̇ͅڑǸͅɤڑʹʔɤζڑ˷ɤɆɤͣͣǸͅʧ˓ζڑɆ̇˰̻ǸͅǸȿ˓ɤڑʹ̇ڑ˷̇˷Ց</w:t>
      </w:r>
      <w:r>
        <w:rPr>
          <w:rFonts w:ascii="PMingLiU" w:cs="PMingLiU" w:eastAsia="PMingLiU" w:hAnsi="PMingLiU"/>
          <w:sz w:val="15"/>
          <w:szCs w:val="15"/>
          <w:color w:val="auto"/>
        </w:rPr>
        <w:t></w:t>
      </w:r>
      <w:r>
        <w:rPr>
          <w:rFonts w:ascii="Arial" w:cs="Arial" w:eastAsia="Arial" w:hAnsi="Arial"/>
          <w:sz w:val="15"/>
          <w:szCs w:val="15"/>
          <w:color w:val="auto"/>
        </w:rPr>
        <w:t>Ŷڑ̻ɤͅʅ̇ͅ˰Ǹ˷Ɇɤڑ˰ɤǸͣ ͅɤͣڑ ʹʔǸʹڑ˰Ǹζڑȿɤڑ̻ͅɤͣɤ˷ʹɤɒڑȿζڑ̇ʹʔɤͅڑɆ̇˰̻Ǹ˷ʧɤͣռڑžɤɆ̇˷Ɇʧ˓ʧǸʹʧ̇˷ͣڑ̇ʅڑʹʔʧͣڑ˷̇˷Ց</w:t>
      </w:r>
      <w:r>
        <w:rPr>
          <w:rFonts w:ascii="PMingLiU" w:cs="PMingLiU" w:eastAsia="PMingLiU" w:hAnsi="PMingLiU"/>
          <w:sz w:val="15"/>
          <w:szCs w:val="15"/>
          <w:color w:val="auto"/>
        </w:rPr>
        <w:t></w:t>
      </w:r>
      <w:r>
        <w:rPr>
          <w:rFonts w:ascii="Arial" w:cs="Arial" w:eastAsia="Arial" w:hAnsi="Arial"/>
          <w:sz w:val="15"/>
          <w:szCs w:val="15"/>
          <w:color w:val="auto"/>
        </w:rPr>
        <w:t>Ŷڑʅʧ˷Ǹ˷ɆʧǸ˓ڑʧ˷ʅ̇ͅ˰Ǹʹʧ̇˷ڑʹ̇ڑģǸ˷̻̇Ψɤͅ</w:t>
      </w:r>
      <w:r>
        <w:rPr>
          <w:rFonts w:ascii="PMingLiU" w:cs="PMingLiU" w:eastAsia="PMingLiU" w:hAnsi="PMingLiU"/>
          <w:sz w:val="15"/>
          <w:szCs w:val="15"/>
          <w:color w:val="auto"/>
        </w:rPr>
        <w:t></w:t>
      </w:r>
      <w:r>
        <w:rPr>
          <w:rFonts w:ascii="Arial" w:cs="Arial" w:eastAsia="Arial" w:hAnsi="Arial"/>
          <w:sz w:val="15"/>
          <w:szCs w:val="15"/>
          <w:color w:val="auto"/>
        </w:rPr>
        <w:t>̇ͅ ̻ժͣڑʅʧ˷Ǹ˷ɆʧǸ˓ڑ ͣʹǸʹɤ˰ɤ˷ʹͣڑǸͣڑ̻ͅɤ̻Ǹͅɤɒڑ ˷ɒɤͅڑ</w:t>
      </w:r>
      <w:r>
        <w:rPr>
          <w:rFonts w:ascii="PMingLiU" w:cs="PMingLiU" w:eastAsia="PMingLiU" w:hAnsi="PMingLiU"/>
          <w:sz w:val="15"/>
          <w:szCs w:val="15"/>
          <w:color w:val="auto"/>
        </w:rPr>
        <w:t></w:t>
      </w:r>
      <w:r>
        <w:rPr>
          <w:rFonts w:ascii="Arial" w:cs="Arial" w:eastAsia="Arial" w:hAnsi="Arial"/>
          <w:sz w:val="15"/>
          <w:szCs w:val="15"/>
          <w:color w:val="auto"/>
        </w:rPr>
        <w:t>ŶڑǸͅɤڑ̻̇ͅΤʧɒɤɒڑȿɤ˓̇Ψռ</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305398"/>
              </w:rPr>
              <w:t>Year End: December 31, 2024</w:t>
            </w:r>
          </w:p>
        </w:tc>
      </w:tr>
      <w:tr>
        <w:trPr>
          <w:trHeight w:val="58"/>
        </w:trPr>
        <w:tc>
          <w:tcPr>
            <w:tcW w:w="4780" w:type="dxa"/>
            <w:vAlign w:val="bottom"/>
            <w:tcBorders>
              <w:bottom w:val="single" w:sz="8" w:color="auto"/>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īɤʹڑ_Ǹͅ˷ʧ˷ʊͣڑŶɤͅڑƋʔǸͅɤڑ՞ڑTʧ˓ ʹɤɒջڑ  ͣڑžɤ̻̇ͅʹɤɒ</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$ 3.01</w:t>
            </w:r>
          </w:p>
        </w:tc>
      </w:tr>
      <w:tr>
        <w:trPr>
          <w:trHeight w:val="27"/>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6"/>
        </w:trPr>
        <w:tc>
          <w:tcPr>
            <w:tcW w:w="4780" w:type="dxa"/>
            <w:vAlign w:val="bottom"/>
          </w:tcPr>
          <w:p>
            <w:pPr>
              <w:ind w:left="80"/>
              <w:spacing w:after="0" w:line="182" w:lineRule="exact"/>
              <w:rPr>
                <w:sz w:val="20"/>
                <w:szCs w:val="20"/>
                <w:color w:val="auto"/>
              </w:rPr>
            </w:pPr>
            <w:r>
              <w:rPr>
                <w:rFonts w:ascii="Arial" w:cs="Arial" w:eastAsia="Arial" w:hAnsi="Arial"/>
                <w:sz w:val="15"/>
                <w:szCs w:val="15"/>
                <w:color w:val="auto"/>
              </w:rPr>
              <w:t>Ŷ̇ͣͅɤͅΤʧǸڑ</w:t>
            </w:r>
            <w:r>
              <w:rPr>
                <w:rFonts w:ascii="PMingLiU" w:cs="PMingLiU" w:eastAsia="PMingLiU" w:hAnsi="PMingLiU"/>
                <w:sz w:val="15"/>
                <w:szCs w:val="15"/>
                <w:color w:val="auto"/>
              </w:rPr>
              <w:t></w:t>
            </w:r>
            <w:r>
              <w:rPr>
                <w:rFonts w:ascii="Arial" w:cs="Arial" w:eastAsia="Arial" w:hAnsi="Arial"/>
                <w:sz w:val="15"/>
                <w:szCs w:val="15"/>
                <w:color w:val="auto"/>
              </w:rPr>
              <w:t>ɤͅ˰Ǹ˷ζڑ</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0.19</w:t>
            </w:r>
          </w:p>
        </w:tc>
      </w:tr>
      <w:tr>
        <w:trPr>
          <w:trHeight w:val="305"/>
        </w:trPr>
        <w:tc>
          <w:tcPr>
            <w:tcW w:w="4780" w:type="dxa"/>
            <w:vAlign w:val="bottom"/>
          </w:tcPr>
          <w:p>
            <w:pPr>
              <w:ind w:left="80"/>
              <w:spacing w:after="0"/>
              <w:rPr>
                <w:sz w:val="20"/>
                <w:szCs w:val="20"/>
                <w:color w:val="auto"/>
              </w:rPr>
            </w:pPr>
            <w:r>
              <w:rPr>
                <w:rFonts w:ascii="Arial" w:cs="Arial" w:eastAsia="Arial" w:hAnsi="Arial"/>
                <w:sz w:val="15"/>
                <w:szCs w:val="15"/>
                <w:color w:val="auto"/>
              </w:rPr>
              <w:t>Restructuring Costs</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1.21</w:t>
            </w:r>
          </w:p>
        </w:tc>
      </w:tr>
      <w:tr>
        <w:trPr>
          <w:trHeight w:val="305"/>
        </w:trPr>
        <w:tc>
          <w:tcPr>
            <w:tcW w:w="4780" w:type="dxa"/>
            <w:vAlign w:val="bottom"/>
          </w:tcPr>
          <w:p>
            <w:pPr>
              <w:ind w:left="80"/>
              <w:spacing w:after="0"/>
              <w:rPr>
                <w:sz w:val="20"/>
                <w:szCs w:val="20"/>
                <w:color w:val="auto"/>
              </w:rPr>
            </w:pPr>
            <w:r>
              <w:rPr>
                <w:rFonts w:ascii="Arial" w:cs="Arial" w:eastAsia="Arial" w:hAnsi="Arial"/>
                <w:sz w:val="15"/>
                <w:szCs w:val="15"/>
                <w:color w:val="auto"/>
              </w:rPr>
              <w:t>Discrete Tax Item</w:t>
            </w:r>
          </w:p>
        </w:tc>
        <w:tc>
          <w:tcPr>
            <w:tcW w:w="4620" w:type="dxa"/>
            <w:vAlign w:val="bottom"/>
          </w:tcPr>
          <w:p>
            <w:pPr>
              <w:jc w:val="right"/>
              <w:spacing w:after="0"/>
              <w:rPr>
                <w:sz w:val="20"/>
                <w:szCs w:val="20"/>
                <w:color w:val="auto"/>
              </w:rPr>
            </w:pPr>
            <w:r>
              <w:rPr>
                <w:rFonts w:ascii="Arial" w:cs="Arial" w:eastAsia="Arial" w:hAnsi="Arial"/>
                <w:sz w:val="15"/>
                <w:szCs w:val="15"/>
                <w:color w:val="auto"/>
              </w:rPr>
              <w:t>ՄԎռԏԎՅڑ</w:t>
            </w:r>
          </w:p>
        </w:tc>
      </w:tr>
      <w:tr>
        <w:trPr>
          <w:trHeight w:val="305"/>
        </w:trPr>
        <w:tc>
          <w:tcPr>
            <w:tcW w:w="4780" w:type="dxa"/>
            <w:vAlign w:val="bottom"/>
          </w:tcPr>
          <w:p>
            <w:pPr>
              <w:ind w:left="80"/>
              <w:spacing w:after="0"/>
              <w:rPr>
                <w:sz w:val="20"/>
                <w:szCs w:val="20"/>
                <w:color w:val="auto"/>
              </w:rPr>
            </w:pPr>
            <w:r>
              <w:rPr>
                <w:rFonts w:ascii="Arial" w:cs="Arial" w:eastAsia="Arial" w:hAnsi="Arial"/>
                <w:sz w:val="15"/>
                <w:szCs w:val="15"/>
                <w:color w:val="auto"/>
              </w:rPr>
              <w:t>Ŷɤ˷ͣʧ̇˷ڑƋɤʹʹ˓ɤ˰ɤ˷ʹڑIʔǸͅʊɤڑ</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0.08</w:t>
            </w:r>
          </w:p>
        </w:tc>
      </w:tr>
      <w:tr>
        <w:trPr>
          <w:trHeight w:val="305"/>
        </w:trPr>
        <w:tc>
          <w:tcPr>
            <w:tcW w:w="4780" w:type="dxa"/>
            <w:vAlign w:val="bottom"/>
          </w:tcPr>
          <w:p>
            <w:pPr>
              <w:ind w:left="80"/>
              <w:spacing w:after="0"/>
              <w:rPr>
                <w:sz w:val="20"/>
                <w:szCs w:val="20"/>
                <w:color w:val="auto"/>
              </w:rPr>
            </w:pPr>
            <w:r>
              <w:rPr>
                <w:rFonts w:ascii="Arial" w:cs="Arial" w:eastAsia="Arial" w:hAnsi="Arial"/>
                <w:sz w:val="15"/>
                <w:szCs w:val="15"/>
                <w:color w:val="auto"/>
              </w:rPr>
              <w:t>Dispositions</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0.16</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6"/>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īɤʹڑ_Ǹͅ˷ʧ˷ʊͣڑŶɤͅڑƋʔǸͅɤڑ՞ڑTʧ˓ ʹɤɒջڑ  ͣڑ  ɒ˃ ͣʹɤɒ</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$ 4.55</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627"/>
        </w:trPr>
        <w:tc>
          <w:tcPr>
            <w:tcW w:w="4780" w:type="dxa"/>
            <w:vAlign w:val="bottom"/>
          </w:tcPr>
          <w:p>
            <w:pPr>
              <w:spacing w:after="0"/>
              <w:rPr>
                <w:sz w:val="24"/>
                <w:szCs w:val="24"/>
                <w:color w:val="auto"/>
              </w:rPr>
            </w:pP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305398"/>
              </w:rPr>
              <w:t>Year End: December 31, 2024 (in millions)</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6"/>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Operating Profit, As Reported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$306.0</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6"/>
        </w:trPr>
        <w:tc>
          <w:tcPr>
            <w:tcW w:w="4780" w:type="dxa"/>
            <w:vAlign w:val="bottom"/>
          </w:tcPr>
          <w:p>
            <w:pPr>
              <w:ind w:left="80"/>
              <w:spacing w:after="0"/>
              <w:rPr>
                <w:sz w:val="20"/>
                <w:szCs w:val="20"/>
                <w:color w:val="auto"/>
              </w:rPr>
            </w:pPr>
            <w:r>
              <w:rPr>
                <w:rFonts w:ascii="Arial" w:cs="Arial" w:eastAsia="Arial" w:hAnsi="Arial"/>
                <w:sz w:val="15"/>
                <w:szCs w:val="15"/>
                <w:color w:val="auto"/>
              </w:rPr>
              <w:t>Restructuring Costs</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53.6</w:t>
            </w:r>
          </w:p>
        </w:tc>
      </w:tr>
      <w:tr>
        <w:trPr>
          <w:trHeight w:val="305"/>
        </w:trPr>
        <w:tc>
          <w:tcPr>
            <w:tcW w:w="4780" w:type="dxa"/>
            <w:vAlign w:val="bottom"/>
          </w:tcPr>
          <w:p>
            <w:pPr>
              <w:ind w:left="80"/>
              <w:spacing w:after="0" w:line="182" w:lineRule="exact"/>
              <w:rPr>
                <w:sz w:val="20"/>
                <w:szCs w:val="20"/>
                <w:color w:val="auto"/>
              </w:rPr>
            </w:pPr>
            <w:r>
              <w:rPr>
                <w:rFonts w:ascii="Arial" w:cs="Arial" w:eastAsia="Arial" w:hAnsi="Arial"/>
                <w:sz w:val="15"/>
                <w:szCs w:val="15"/>
                <w:color w:val="auto"/>
              </w:rPr>
              <w:t>Ŷ̇ͣͅɤͅΤʧǸڑ</w:t>
            </w:r>
            <w:r>
              <w:rPr>
                <w:rFonts w:ascii="PMingLiU" w:cs="PMingLiU" w:eastAsia="PMingLiU" w:hAnsi="PMingLiU"/>
                <w:sz w:val="15"/>
                <w:szCs w:val="15"/>
                <w:color w:val="auto"/>
              </w:rPr>
              <w:t></w:t>
            </w:r>
            <w:r>
              <w:rPr>
                <w:rFonts w:ascii="Arial" w:cs="Arial" w:eastAsia="Arial" w:hAnsi="Arial"/>
                <w:sz w:val="15"/>
                <w:szCs w:val="15"/>
                <w:color w:val="auto"/>
              </w:rPr>
              <w:t>ɤͅ˰Ǹ˷ζ</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9.1</w:t>
            </w:r>
          </w:p>
        </w:tc>
      </w:tr>
      <w:tr>
        <w:trPr>
          <w:trHeight w:val="305"/>
        </w:trPr>
        <w:tc>
          <w:tcPr>
            <w:tcW w:w="4780" w:type="dxa"/>
            <w:vAlign w:val="bottom"/>
          </w:tcPr>
          <w:p>
            <w:pPr>
              <w:ind w:left="80"/>
              <w:spacing w:after="0"/>
              <w:rPr>
                <w:sz w:val="20"/>
                <w:szCs w:val="20"/>
                <w:color w:val="auto"/>
              </w:rPr>
            </w:pPr>
            <w:r>
              <w:rPr>
                <w:rFonts w:ascii="Arial" w:cs="Arial" w:eastAsia="Arial" w:hAnsi="Arial"/>
                <w:sz w:val="15"/>
                <w:szCs w:val="15"/>
                <w:color w:val="auto"/>
              </w:rPr>
              <w:t>Dispositions</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1.6</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Operating Profit, As Adjusted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$370.3</w:t>
            </w:r>
          </w:p>
        </w:tc>
      </w:tr>
      <w:tr>
        <w:trPr>
          <w:trHeight w:val="27"/>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23"/>
        </w:trPr>
        <w:tc>
          <w:tcPr>
            <w:tcW w:w="478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Operating Profit, As Reported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$ 306.0</w:t>
            </w:r>
          </w:p>
        </w:tc>
      </w:tr>
      <w:tr>
        <w:trPr>
          <w:trHeight w:val="27"/>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color w:val="auto"/>
              </w:rPr>
              <w:t>Intangible Asset Amortization Expense</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32.7</w:t>
            </w:r>
          </w:p>
        </w:tc>
      </w:tr>
      <w:tr>
        <w:trPr>
          <w:trHeight w:val="27"/>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EBITA, As Reported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$338.7</w:t>
            </w:r>
          </w:p>
        </w:tc>
      </w:tr>
      <w:tr>
        <w:trPr>
          <w:trHeight w:val="27"/>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512"/>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Operating Profit, As Adjusted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$370.3</w:t>
            </w:r>
          </w:p>
        </w:tc>
      </w:tr>
      <w:tr>
        <w:trPr>
          <w:trHeight w:val="29"/>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6"/>
        </w:trPr>
        <w:tc>
          <w:tcPr>
            <w:tcW w:w="4780" w:type="dxa"/>
            <w:vAlign w:val="bottom"/>
          </w:tcPr>
          <w:p>
            <w:pPr>
              <w:ind w:left="80"/>
              <w:spacing w:after="0"/>
              <w:rPr>
                <w:sz w:val="20"/>
                <w:szCs w:val="20"/>
                <w:color w:val="auto"/>
              </w:rPr>
            </w:pPr>
            <w:r>
              <w:rPr>
                <w:rFonts w:ascii="Arial" w:cs="Arial" w:eastAsia="Arial" w:hAnsi="Arial"/>
                <w:sz w:val="15"/>
                <w:szCs w:val="15"/>
                <w:color w:val="auto"/>
              </w:rPr>
              <w:t>Intangible Asset Amortization Expense</w:t>
            </w:r>
          </w:p>
        </w:tc>
        <w:tc>
          <w:tcPr>
            <w:tcW w:w="4620" w:type="dxa"/>
            <w:vAlign w:val="bottom"/>
          </w:tcPr>
          <w:p>
            <w:pPr>
              <w:jc w:val="right"/>
              <w:ind w:right="5"/>
              <w:spacing w:after="0"/>
              <w:rPr>
                <w:sz w:val="20"/>
                <w:szCs w:val="20"/>
                <w:color w:val="auto"/>
              </w:rPr>
            </w:pPr>
            <w:r>
              <w:rPr>
                <w:rFonts w:ascii="Arial" w:cs="Arial" w:eastAsia="Arial" w:hAnsi="Arial"/>
                <w:sz w:val="15"/>
                <w:szCs w:val="15"/>
                <w:color w:val="auto"/>
              </w:rPr>
              <w:t>32.7</w:t>
            </w:r>
          </w:p>
        </w:tc>
      </w:tr>
      <w:tr>
        <w:trPr>
          <w:trHeight w:val="30"/>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8"/>
        </w:trPr>
        <w:tc>
          <w:tcPr>
            <w:tcW w:w="4780" w:type="dxa"/>
            <w:vAlign w:val="bottom"/>
          </w:tcPr>
          <w:p>
            <w:pPr>
              <w:ind w:left="80"/>
              <w:spacing w:after="0"/>
              <w:rPr>
                <w:sz w:val="20"/>
                <w:szCs w:val="20"/>
                <w:color w:val="auto"/>
              </w:rPr>
            </w:pPr>
            <w:r>
              <w:rPr>
                <w:rFonts w:ascii="Arial" w:cs="Arial" w:eastAsia="Arial" w:hAnsi="Arial"/>
                <w:sz w:val="15"/>
                <w:szCs w:val="15"/>
                <w:b w:val="1"/>
                <w:bCs w:val="1"/>
                <w:color w:val="auto"/>
              </w:rPr>
              <w:t>EBITA, As Adjusted</w:t>
            </w:r>
          </w:p>
        </w:tc>
        <w:tc>
          <w:tcPr>
            <w:tcW w:w="4620" w:type="dxa"/>
            <w:vAlign w:val="bottom"/>
          </w:tcPr>
          <w:p>
            <w:pPr>
              <w:jc w:val="right"/>
              <w:ind w:right="5"/>
              <w:spacing w:after="0"/>
              <w:rPr>
                <w:sz w:val="20"/>
                <w:szCs w:val="20"/>
                <w:color w:val="auto"/>
              </w:rPr>
            </w:pPr>
            <w:r>
              <w:rPr>
                <w:rFonts w:ascii="Arial" w:cs="Arial" w:eastAsia="Arial" w:hAnsi="Arial"/>
                <w:sz w:val="15"/>
                <w:szCs w:val="15"/>
                <w:b w:val="1"/>
                <w:bCs w:val="1"/>
                <w:color w:val="auto"/>
              </w:rPr>
              <w:t>$403.0</w:t>
            </w:r>
          </w:p>
        </w:tc>
      </w:tr>
      <w:tr>
        <w:trPr>
          <w:trHeight w:val="28"/>
        </w:trPr>
        <w:tc>
          <w:tcPr>
            <w:tcW w:w="47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9420"/>
          </w:cols>
          <w:pgMar w:left="1420" w:top="1128" w:right="1400"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more information visit ManpowerGroup Year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257175</wp:posOffset>
            </wp:positionV>
            <wp:extent cx="50800" cy="381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00" cy="38100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274320</wp:posOffset>
            </wp:positionV>
            <wp:extent cx="1299845" cy="261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9845" cy="26162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325755</wp:posOffset>
            </wp:positionV>
            <wp:extent cx="3273425" cy="242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3425" cy="242570"/>
                    </a:xfrm>
                    <a:prstGeom prst="rect">
                      <a:avLst/>
                    </a:prstGeom>
                    <a:noFill/>
                  </pic:spPr>
                </pic:pic>
              </a:graphicData>
            </a:graphic>
          </wp:anchor>
        </w:drawing>
      </w:r>
    </w:p>
    <w:p>
      <w:pPr>
        <w:sectPr>
          <w:pgSz w:w="12240" w:h="15840" w:orient="portrait"/>
          <w:cols w:equalWidth="0" w:num="1">
            <w:col w:w="9420"/>
          </w:cols>
          <w:pgMar w:left="1420" w:top="1128" w:right="1400" w:bottom="809"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0"/>
          <w:szCs w:val="20"/>
          <w:color w:val="auto"/>
        </w:rPr>
        <w:t>FORM 10-K</w:t>
      </w:r>
    </w:p>
    <w:p>
      <w:pPr>
        <w:spacing w:after="0" w:line="70" w:lineRule="exact"/>
        <w:rPr>
          <w:sz w:val="20"/>
          <w:szCs w:val="20"/>
          <w:color w:val="auto"/>
        </w:rPr>
      </w:pPr>
    </w:p>
    <w:p>
      <w:pPr>
        <w:ind w:left="3400" w:right="720" w:hanging="3400"/>
        <w:spacing w:after="0" w:line="264" w:lineRule="auto"/>
        <w:tabs>
          <w:tab w:leader="none" w:pos="223" w:val="left"/>
        </w:tabs>
        <w:numPr>
          <w:ilvl w:val="0"/>
          <w:numId w:val="4"/>
        </w:numPr>
        <w:rPr>
          <w:rFonts w:ascii="Segoe UI Symbol" w:cs="Segoe UI Symbol" w:eastAsia="Segoe UI Symbol" w:hAnsi="Segoe UI Symbol"/>
          <w:sz w:val="20"/>
          <w:szCs w:val="20"/>
          <w:color w:val="auto"/>
        </w:rPr>
      </w:pPr>
      <w:r>
        <w:rPr>
          <w:rFonts w:ascii="Arial" w:cs="Arial" w:eastAsia="Arial" w:hAnsi="Arial"/>
          <w:sz w:val="20"/>
          <w:szCs w:val="20"/>
          <w:color w:val="auto"/>
        </w:rPr>
        <w:t>ANNUAL REPORT PURSUANT TO SECTION 13 OR 15(d) OF THE SECURITIES EXCHANGE ACT OF 1934: For the fiscal year ended December 31,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139" w:lineRule="exact"/>
        <w:rPr>
          <w:sz w:val="20"/>
          <w:szCs w:val="20"/>
          <w:color w:val="auto"/>
        </w:rPr>
      </w:pPr>
    </w:p>
    <w:p>
      <w:pPr>
        <w:ind w:left="280" w:hanging="280"/>
        <w:spacing w:after="0"/>
        <w:tabs>
          <w:tab w:leader="none" w:pos="280" w:val="left"/>
        </w:tabs>
        <w:numPr>
          <w:ilvl w:val="0"/>
          <w:numId w:val="5"/>
        </w:numPr>
        <w:rPr>
          <w:rFonts w:ascii="Segoe UI Symbol" w:cs="Segoe UI Symbol" w:eastAsia="Segoe UI Symbol" w:hAnsi="Segoe UI Symbol"/>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21" w:lineRule="exact"/>
        <w:rPr>
          <w:rFonts w:ascii="Segoe UI Symbol" w:cs="Segoe UI Symbol" w:eastAsia="Segoe UI Symbol" w:hAnsi="Segoe UI Symbol"/>
          <w:sz w:val="20"/>
          <w:szCs w:val="20"/>
          <w:color w:val="auto"/>
        </w:rPr>
      </w:pPr>
    </w:p>
    <w:p>
      <w:pPr>
        <w:ind w:left="4080"/>
        <w:spacing w:after="0"/>
        <w:rPr>
          <w:rFonts w:ascii="Segoe UI Symbol" w:cs="Segoe UI Symbol" w:eastAsia="Segoe UI Symbol" w:hAnsi="Segoe UI Symbol"/>
          <w:sz w:val="20"/>
          <w:szCs w:val="20"/>
          <w:color w:val="auto"/>
        </w:rPr>
      </w:pPr>
      <w:r>
        <w:rPr>
          <w:rFonts w:ascii="Arial" w:cs="Arial" w:eastAsia="Arial" w:hAnsi="Arial"/>
          <w:sz w:val="20"/>
          <w:szCs w:val="20"/>
          <w:color w:val="auto"/>
        </w:rPr>
        <w:t>Commission File No. 1-10686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660" w:type="dxa"/>
            <w:vAlign w:val="bottom"/>
          </w:tcPr>
          <w:p>
            <w:pPr>
              <w:jc w:val="center"/>
              <w:ind w:right="80"/>
              <w:spacing w:after="0"/>
              <w:rPr>
                <w:sz w:val="20"/>
                <w:szCs w:val="20"/>
                <w:color w:val="auto"/>
              </w:rPr>
            </w:pPr>
            <w:r>
              <w:rPr>
                <w:rFonts w:ascii="Arial" w:cs="Arial" w:eastAsia="Arial" w:hAnsi="Arial"/>
                <w:sz w:val="20"/>
                <w:szCs w:val="20"/>
                <w:color w:val="537BB5"/>
              </w:rPr>
              <w:t>MANPOWERGROUP INC.</w:t>
            </w:r>
          </w:p>
        </w:tc>
        <w:tc>
          <w:tcPr>
            <w:tcW w:w="3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9660" w:type="dxa"/>
            <w:vAlign w:val="bottom"/>
            <w:gridSpan w:val="3"/>
          </w:tcPr>
          <w:p>
            <w:pPr>
              <w:jc w:val="center"/>
              <w:ind w:left="361"/>
              <w:spacing w:after="0"/>
              <w:rPr>
                <w:sz w:val="20"/>
                <w:szCs w:val="20"/>
                <w:color w:val="auto"/>
              </w:rPr>
            </w:pPr>
            <w:r>
              <w:rPr>
                <w:rFonts w:ascii="Arial" w:cs="Arial" w:eastAsia="Arial" w:hAnsi="Arial"/>
                <w:sz w:val="20"/>
                <w:szCs w:val="20"/>
                <w:b w:val="1"/>
                <w:bCs w:val="1"/>
                <w:color w:val="auto"/>
                <w:w w:val="99"/>
              </w:rPr>
              <w:t>(Exact name of registrant as specified in its charter)</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20" w:type="dxa"/>
            <w:vAlign w:val="bottom"/>
          </w:tcPr>
          <w:p>
            <w:pPr>
              <w:jc w:val="center"/>
              <w:ind w:left="801"/>
              <w:spacing w:after="0"/>
              <w:rPr>
                <w:sz w:val="20"/>
                <w:szCs w:val="20"/>
                <w:color w:val="auto"/>
              </w:rPr>
            </w:pPr>
            <w:r>
              <w:rPr>
                <w:rFonts w:ascii="Arial" w:cs="Arial" w:eastAsia="Arial" w:hAnsi="Arial"/>
                <w:sz w:val="20"/>
                <w:szCs w:val="20"/>
                <w:b w:val="1"/>
                <w:bCs w:val="1"/>
                <w:color w:val="auto"/>
              </w:rPr>
              <w:t>WISCONSIN</w:t>
            </w:r>
          </w:p>
        </w:tc>
        <w:tc>
          <w:tcPr>
            <w:tcW w:w="2660" w:type="dxa"/>
            <w:vAlign w:val="bottom"/>
          </w:tcPr>
          <w:p>
            <w:pPr>
              <w:spacing w:after="0"/>
              <w:rPr>
                <w:sz w:val="19"/>
                <w:szCs w:val="19"/>
                <w:color w:val="auto"/>
              </w:rPr>
            </w:pPr>
          </w:p>
        </w:tc>
        <w:tc>
          <w:tcPr>
            <w:tcW w:w="3180" w:type="dxa"/>
            <w:vAlign w:val="bottom"/>
          </w:tcPr>
          <w:p>
            <w:pPr>
              <w:jc w:val="right"/>
              <w:ind w:right="1260"/>
              <w:spacing w:after="0"/>
              <w:rPr>
                <w:sz w:val="20"/>
                <w:szCs w:val="20"/>
                <w:color w:val="auto"/>
              </w:rPr>
            </w:pPr>
            <w:r>
              <w:rPr>
                <w:rFonts w:ascii="Arial" w:cs="Arial" w:eastAsia="Arial" w:hAnsi="Arial"/>
                <w:sz w:val="20"/>
                <w:szCs w:val="20"/>
                <w:b w:val="1"/>
                <w:bCs w:val="1"/>
                <w:color w:val="auto"/>
              </w:rPr>
              <w:t>39-1672779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20" w:type="dxa"/>
            <w:vAlign w:val="bottom"/>
          </w:tcPr>
          <w:p>
            <w:pPr>
              <w:jc w:val="center"/>
              <w:ind w:left="801"/>
              <w:spacing w:after="0"/>
              <w:rPr>
                <w:sz w:val="20"/>
                <w:szCs w:val="20"/>
                <w:color w:val="auto"/>
              </w:rPr>
            </w:pPr>
            <w:r>
              <w:rPr>
                <w:rFonts w:ascii="Arial" w:cs="Arial" w:eastAsia="Arial" w:hAnsi="Arial"/>
                <w:sz w:val="20"/>
                <w:szCs w:val="20"/>
                <w:b w:val="1"/>
                <w:bCs w:val="1"/>
                <w:color w:val="auto"/>
              </w:rPr>
              <w:t>(State or other jurisdiction of</w:t>
            </w:r>
          </w:p>
        </w:tc>
        <w:tc>
          <w:tcPr>
            <w:tcW w:w="2660" w:type="dxa"/>
            <w:vAlign w:val="bottom"/>
          </w:tcPr>
          <w:p>
            <w:pPr>
              <w:spacing w:after="0"/>
              <w:rPr>
                <w:sz w:val="19"/>
                <w:szCs w:val="19"/>
                <w:color w:val="auto"/>
              </w:rPr>
            </w:pPr>
          </w:p>
        </w:tc>
        <w:tc>
          <w:tcPr>
            <w:tcW w:w="3180" w:type="dxa"/>
            <w:vAlign w:val="bottom"/>
          </w:tcPr>
          <w:p>
            <w:pPr>
              <w:jc w:val="center"/>
              <w:ind w:right="520"/>
              <w:spacing w:after="0"/>
              <w:rPr>
                <w:sz w:val="20"/>
                <w:szCs w:val="20"/>
                <w:color w:val="auto"/>
              </w:rPr>
            </w:pPr>
            <w:r>
              <w:rPr>
                <w:rFonts w:ascii="Arial" w:cs="Arial" w:eastAsia="Arial" w:hAnsi="Arial"/>
                <w:sz w:val="20"/>
                <w:szCs w:val="20"/>
                <w:b w:val="1"/>
                <w:bCs w:val="1"/>
                <w:color w:val="auto"/>
                <w:w w:val="99"/>
              </w:rPr>
              <w:t>(I.R.S. Employer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3820" w:type="dxa"/>
            <w:vAlign w:val="bottom"/>
          </w:tcPr>
          <w:p>
            <w:pPr>
              <w:jc w:val="center"/>
              <w:ind w:left="801"/>
              <w:spacing w:after="0"/>
              <w:rPr>
                <w:sz w:val="20"/>
                <w:szCs w:val="20"/>
                <w:color w:val="auto"/>
              </w:rPr>
            </w:pPr>
            <w:r>
              <w:rPr>
                <w:rFonts w:ascii="Arial" w:cs="Arial" w:eastAsia="Arial" w:hAnsi="Arial"/>
                <w:sz w:val="20"/>
                <w:szCs w:val="20"/>
                <w:b w:val="1"/>
                <w:bCs w:val="1"/>
                <w:color w:val="auto"/>
                <w:w w:val="99"/>
              </w:rPr>
              <w:t>incorporation or organization)</w:t>
            </w:r>
          </w:p>
        </w:tc>
        <w:tc>
          <w:tcPr>
            <w:tcW w:w="2660" w:type="dxa"/>
            <w:vAlign w:val="bottom"/>
          </w:tcPr>
          <w:p>
            <w:pPr>
              <w:spacing w:after="0"/>
              <w:rPr>
                <w:sz w:val="24"/>
                <w:szCs w:val="24"/>
                <w:color w:val="auto"/>
              </w:rPr>
            </w:pPr>
          </w:p>
        </w:tc>
        <w:tc>
          <w:tcPr>
            <w:tcW w:w="3180" w:type="dxa"/>
            <w:vAlign w:val="bottom"/>
          </w:tcPr>
          <w:p>
            <w:pPr>
              <w:jc w:val="center"/>
              <w:ind w:right="520"/>
              <w:spacing w:after="0"/>
              <w:rPr>
                <w:sz w:val="20"/>
                <w:szCs w:val="20"/>
                <w:color w:val="auto"/>
              </w:rPr>
            </w:pPr>
            <w:r>
              <w:rPr>
                <w:rFonts w:ascii="Arial" w:cs="Arial" w:eastAsia="Arial" w:hAnsi="Arial"/>
                <w:sz w:val="20"/>
                <w:szCs w:val="20"/>
                <w:b w:val="1"/>
                <w:bCs w:val="1"/>
                <w:color w:val="auto"/>
                <w:w w:val="99"/>
              </w:rPr>
              <w:t>Identification No.)</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jc w:val="center"/>
              <w:ind w:right="1320"/>
              <w:spacing w:after="0"/>
              <w:rPr>
                <w:sz w:val="20"/>
                <w:szCs w:val="20"/>
                <w:color w:val="auto"/>
              </w:rPr>
            </w:pPr>
            <w:r>
              <w:rPr>
                <w:rFonts w:ascii="Arial" w:cs="Arial" w:eastAsia="Arial" w:hAnsi="Arial"/>
                <w:sz w:val="20"/>
                <w:szCs w:val="20"/>
                <w:b w:val="1"/>
                <w:bCs w:val="1"/>
                <w:color w:val="auto"/>
              </w:rPr>
              <w:t>100 MANPOWER PLACE, MILWAUKEE, WISCONSIN</w:t>
            </w:r>
          </w:p>
        </w:tc>
        <w:tc>
          <w:tcPr>
            <w:tcW w:w="3180" w:type="dxa"/>
            <w:vAlign w:val="bottom"/>
          </w:tcPr>
          <w:p>
            <w:pPr>
              <w:jc w:val="right"/>
              <w:ind w:right="1520"/>
              <w:spacing w:after="0"/>
              <w:rPr>
                <w:sz w:val="20"/>
                <w:szCs w:val="20"/>
                <w:color w:val="auto"/>
              </w:rPr>
            </w:pPr>
            <w:r>
              <w:rPr>
                <w:rFonts w:ascii="Arial" w:cs="Arial" w:eastAsia="Arial" w:hAnsi="Arial"/>
                <w:sz w:val="20"/>
                <w:szCs w:val="20"/>
                <w:b w:val="1"/>
                <w:bCs w:val="1"/>
                <w:color w:val="auto"/>
              </w:rPr>
              <w:t>53212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6480" w:type="dxa"/>
            <w:vAlign w:val="bottom"/>
            <w:gridSpan w:val="2"/>
          </w:tcPr>
          <w:p>
            <w:pPr>
              <w:jc w:val="center"/>
              <w:ind w:right="1660"/>
              <w:spacing w:after="0"/>
              <w:rPr>
                <w:sz w:val="20"/>
                <w:szCs w:val="20"/>
                <w:color w:val="auto"/>
              </w:rPr>
            </w:pPr>
            <w:r>
              <w:rPr>
                <w:rFonts w:ascii="Arial" w:cs="Arial" w:eastAsia="Arial" w:hAnsi="Arial"/>
                <w:sz w:val="20"/>
                <w:szCs w:val="20"/>
                <w:b w:val="1"/>
                <w:bCs w:val="1"/>
                <w:color w:val="auto"/>
                <w:w w:val="99"/>
              </w:rPr>
              <w:t>(Address of principal executive offices)</w:t>
            </w:r>
          </w:p>
        </w:tc>
        <w:tc>
          <w:tcPr>
            <w:tcW w:w="3180" w:type="dxa"/>
            <w:vAlign w:val="bottom"/>
          </w:tcPr>
          <w:p>
            <w:pPr>
              <w:jc w:val="center"/>
              <w:ind w:right="520"/>
              <w:spacing w:after="0"/>
              <w:rPr>
                <w:sz w:val="20"/>
                <w:szCs w:val="20"/>
                <w:color w:val="auto"/>
              </w:rPr>
            </w:pPr>
            <w:r>
              <w:rPr>
                <w:rFonts w:ascii="Arial" w:cs="Arial" w:eastAsia="Arial" w:hAnsi="Arial"/>
                <w:sz w:val="20"/>
                <w:szCs w:val="20"/>
                <w:b w:val="1"/>
                <w:bCs w:val="1"/>
                <w:color w:val="auto"/>
              </w:rPr>
              <w:t>(Zip Code)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60" w:type="dxa"/>
            <w:vAlign w:val="bottom"/>
            <w:gridSpan w:val="3"/>
          </w:tcPr>
          <w:p>
            <w:pPr>
              <w:jc w:val="center"/>
              <w:ind w:left="361"/>
              <w:spacing w:after="0"/>
              <w:rPr>
                <w:sz w:val="20"/>
                <w:szCs w:val="20"/>
                <w:color w:val="auto"/>
              </w:rPr>
            </w:pPr>
            <w:r>
              <w:rPr>
                <w:rFonts w:ascii="Arial" w:cs="Arial" w:eastAsia="Arial" w:hAnsi="Arial"/>
                <w:sz w:val="20"/>
                <w:szCs w:val="20"/>
                <w:b w:val="1"/>
                <w:bCs w:val="1"/>
                <w:color w:val="auto"/>
              </w:rPr>
              <w:t>Registrant’s telephone number, including area code: (414) 961-1000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9660" w:type="dxa"/>
            <w:vAlign w:val="bottom"/>
            <w:gridSpan w:val="3"/>
          </w:tcPr>
          <w:p>
            <w:pPr>
              <w:jc w:val="center"/>
              <w:ind w:left="361"/>
              <w:spacing w:after="0"/>
              <w:rPr>
                <w:sz w:val="20"/>
                <w:szCs w:val="20"/>
                <w:color w:val="auto"/>
              </w:rPr>
            </w:pPr>
            <w:r>
              <w:rPr>
                <w:rFonts w:ascii="Arial" w:cs="Arial" w:eastAsia="Arial" w:hAnsi="Arial"/>
                <w:sz w:val="20"/>
                <w:szCs w:val="20"/>
                <w:b w:val="1"/>
                <w:bCs w:val="1"/>
                <w:color w:val="auto"/>
                <w:w w:val="99"/>
              </w:rPr>
              <w:t>Securities registered pursuant to Section 12(b) of the Act: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20" w:type="dxa"/>
            <w:vAlign w:val="bottom"/>
          </w:tcPr>
          <w:p>
            <w:pPr>
              <w:ind w:left="680"/>
              <w:spacing w:after="0"/>
              <w:rPr>
                <w:sz w:val="20"/>
                <w:szCs w:val="20"/>
                <w:color w:val="auto"/>
              </w:rPr>
            </w:pPr>
            <w:r>
              <w:rPr>
                <w:rFonts w:ascii="Arial" w:cs="Arial" w:eastAsia="Arial" w:hAnsi="Arial"/>
                <w:sz w:val="20"/>
                <w:szCs w:val="20"/>
                <w:b w:val="1"/>
                <w:bCs w:val="1"/>
                <w:color w:val="auto"/>
              </w:rPr>
              <w:t>Title of each class</w:t>
            </w:r>
          </w:p>
        </w:tc>
        <w:tc>
          <w:tcPr>
            <w:tcW w:w="2660" w:type="dxa"/>
            <w:vAlign w:val="bottom"/>
          </w:tcPr>
          <w:p>
            <w:pPr>
              <w:jc w:val="center"/>
              <w:ind w:right="100"/>
              <w:spacing w:after="0"/>
              <w:rPr>
                <w:sz w:val="20"/>
                <w:szCs w:val="20"/>
                <w:color w:val="auto"/>
              </w:rPr>
            </w:pPr>
            <w:r>
              <w:rPr>
                <w:rFonts w:ascii="Arial" w:cs="Arial" w:eastAsia="Arial" w:hAnsi="Arial"/>
                <w:sz w:val="20"/>
                <w:szCs w:val="20"/>
                <w:b w:val="1"/>
                <w:bCs w:val="1"/>
                <w:color w:val="auto"/>
                <w:w w:val="99"/>
              </w:rPr>
              <w:t>Trading Symbol(s)</w:t>
            </w:r>
          </w:p>
        </w:tc>
        <w:tc>
          <w:tcPr>
            <w:tcW w:w="3980" w:type="dxa"/>
            <w:vAlign w:val="bottom"/>
            <w:gridSpan w:val="3"/>
          </w:tcPr>
          <w:p>
            <w:pPr>
              <w:jc w:val="center"/>
              <w:ind w:left="80"/>
              <w:spacing w:after="0"/>
              <w:rPr>
                <w:sz w:val="20"/>
                <w:szCs w:val="20"/>
                <w:color w:val="auto"/>
              </w:rPr>
            </w:pPr>
            <w:r>
              <w:rPr>
                <w:rFonts w:ascii="Arial" w:cs="Arial" w:eastAsia="Arial" w:hAnsi="Arial"/>
                <w:sz w:val="20"/>
                <w:szCs w:val="20"/>
                <w:b w:val="1"/>
                <w:bCs w:val="1"/>
                <w:color w:val="auto"/>
                <w:w w:val="99"/>
              </w:rPr>
              <w:t>Name of Exchange on which registered</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3820" w:type="dxa"/>
            <w:vAlign w:val="bottom"/>
          </w:tcPr>
          <w:p>
            <w:pPr>
              <w:ind w:left="80"/>
              <w:spacing w:after="0"/>
              <w:rPr>
                <w:sz w:val="20"/>
                <w:szCs w:val="20"/>
                <w:color w:val="auto"/>
              </w:rPr>
            </w:pPr>
            <w:r>
              <w:rPr>
                <w:rFonts w:ascii="Arial" w:cs="Arial" w:eastAsia="Arial" w:hAnsi="Arial"/>
                <w:sz w:val="20"/>
                <w:szCs w:val="20"/>
                <w:b w:val="1"/>
                <w:bCs w:val="1"/>
                <w:color w:val="auto"/>
              </w:rPr>
              <w:t>Common Stock, $.01 par value</w:t>
            </w:r>
          </w:p>
        </w:tc>
        <w:tc>
          <w:tcPr>
            <w:tcW w:w="2660" w:type="dxa"/>
            <w:vAlign w:val="bottom"/>
          </w:tcPr>
          <w:p>
            <w:pPr>
              <w:jc w:val="center"/>
              <w:ind w:right="80"/>
              <w:spacing w:after="0"/>
              <w:rPr>
                <w:sz w:val="20"/>
                <w:szCs w:val="20"/>
                <w:color w:val="auto"/>
              </w:rPr>
            </w:pPr>
            <w:r>
              <w:rPr>
                <w:rFonts w:ascii="Arial" w:cs="Arial" w:eastAsia="Arial" w:hAnsi="Arial"/>
                <w:sz w:val="20"/>
                <w:szCs w:val="20"/>
                <w:b w:val="1"/>
                <w:bCs w:val="1"/>
                <w:color w:val="auto"/>
                <w:w w:val="96"/>
              </w:rPr>
              <w:t>MAN</w:t>
            </w:r>
          </w:p>
        </w:tc>
        <w:tc>
          <w:tcPr>
            <w:tcW w:w="3720" w:type="dxa"/>
            <w:vAlign w:val="bottom"/>
            <w:gridSpan w:val="2"/>
          </w:tcPr>
          <w:p>
            <w:pPr>
              <w:jc w:val="center"/>
              <w:ind w:left="340"/>
              <w:spacing w:after="0"/>
              <w:rPr>
                <w:sz w:val="20"/>
                <w:szCs w:val="20"/>
                <w:color w:val="auto"/>
              </w:rPr>
            </w:pPr>
            <w:r>
              <w:rPr>
                <w:rFonts w:ascii="Arial" w:cs="Arial" w:eastAsia="Arial" w:hAnsi="Arial"/>
                <w:sz w:val="20"/>
                <w:szCs w:val="20"/>
                <w:b w:val="1"/>
                <w:bCs w:val="1"/>
                <w:color w:val="auto"/>
              </w:rPr>
              <w:t>New York Stock Exchange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40" w:type="dxa"/>
            <w:vAlign w:val="bottom"/>
          </w:tcPr>
          <w:p>
            <w:pPr>
              <w:spacing w:after="0"/>
              <w:rPr>
                <w:sz w:val="24"/>
                <w:szCs w:val="24"/>
                <w:color w:val="auto"/>
              </w:rPr>
            </w:pPr>
          </w:p>
        </w:tc>
        <w:tc>
          <w:tcPr>
            <w:tcW w:w="9660" w:type="dxa"/>
            <w:vAlign w:val="bottom"/>
            <w:gridSpan w:val="3"/>
          </w:tcPr>
          <w:p>
            <w:pPr>
              <w:jc w:val="center"/>
              <w:ind w:left="361"/>
              <w:spacing w:after="0"/>
              <w:rPr>
                <w:sz w:val="20"/>
                <w:szCs w:val="20"/>
                <w:color w:val="auto"/>
              </w:rPr>
            </w:pPr>
            <w:r>
              <w:rPr>
                <w:rFonts w:ascii="Arial" w:cs="Arial" w:eastAsia="Arial" w:hAnsi="Arial"/>
                <w:sz w:val="20"/>
                <w:szCs w:val="20"/>
                <w:b w:val="1"/>
                <w:bCs w:val="1"/>
                <w:color w:val="auto"/>
                <w:w w:val="99"/>
              </w:rPr>
              <w:t>Securities registered pursuant to Section 12(g) of the Act: None</w:t>
            </w:r>
          </w:p>
        </w:tc>
        <w:tc>
          <w:tcPr>
            <w:tcW w:w="540" w:type="dxa"/>
            <w:vAlign w:val="bottom"/>
          </w:tcPr>
          <w:p>
            <w:pPr>
              <w:spacing w:after="0"/>
              <w:rPr>
                <w:sz w:val="24"/>
                <w:szCs w:val="24"/>
                <w:color w:val="auto"/>
              </w:rPr>
            </w:pPr>
          </w:p>
        </w:tc>
        <w:tc>
          <w:tcPr>
            <w:tcW w:w="260" w:type="dxa"/>
            <w:vAlign w:val="bottom"/>
            <w:vMerge w:val="restart"/>
          </w:tcPr>
          <w:p>
            <w:pPr>
              <w:ind w:left="100"/>
              <w:spacing w:after="0"/>
              <w:rPr>
                <w:sz w:val="20"/>
                <w:szCs w:val="20"/>
                <w:color w:val="auto"/>
              </w:rPr>
            </w:pPr>
            <w:r>
              <w:rPr>
                <w:rFonts w:ascii="Segoe UI Symbol" w:cs="Segoe UI Symbol" w:eastAsia="Segoe UI Symbol" w:hAnsi="Segoe UI Symbol"/>
                <w:sz w:val="19"/>
                <w:szCs w:val="19"/>
                <w:color w:val="auto"/>
                <w:w w:val="85"/>
              </w:rPr>
              <w:t>☒</w:t>
            </w:r>
          </w:p>
        </w:tc>
        <w:tc>
          <w:tcPr>
            <w:tcW w:w="0" w:type="dxa"/>
            <w:vAlign w:val="bottom"/>
          </w:tcPr>
          <w:p>
            <w:pPr>
              <w:spacing w:after="0"/>
              <w:rPr>
                <w:sz w:val="1"/>
                <w:szCs w:val="1"/>
                <w:color w:val="auto"/>
              </w:rPr>
            </w:pPr>
          </w:p>
        </w:tc>
      </w:tr>
      <w:tr>
        <w:trPr>
          <w:trHeight w:val="241"/>
        </w:trPr>
        <w:tc>
          <w:tcPr>
            <w:tcW w:w="10000" w:type="dxa"/>
            <w:vAlign w:val="bottom"/>
            <w:gridSpan w:val="4"/>
          </w:tcPr>
          <w:p>
            <w:pPr>
              <w:spacing w:after="0"/>
              <w:rPr>
                <w:sz w:val="20"/>
                <w:szCs w:val="20"/>
                <w:color w:val="auto"/>
              </w:rPr>
            </w:pPr>
            <w:r>
              <w:rPr>
                <w:rFonts w:ascii="Arial" w:cs="Arial" w:eastAsia="Arial" w:hAnsi="Arial"/>
                <w:sz w:val="19"/>
                <w:szCs w:val="19"/>
                <w:color w:val="auto"/>
              </w:rPr>
              <w:t>Indicate by check mark if the registrant is a well-known seasoned issuer, as defined in Rule 405 of the Securities Act.</w:t>
            </w:r>
          </w:p>
        </w:tc>
        <w:tc>
          <w:tcPr>
            <w:tcW w:w="540" w:type="dxa"/>
            <w:vAlign w:val="bottom"/>
          </w:tcPr>
          <w:p>
            <w:pPr>
              <w:ind w:left="80"/>
              <w:spacing w:after="0"/>
              <w:rPr>
                <w:sz w:val="20"/>
                <w:szCs w:val="20"/>
                <w:color w:val="auto"/>
              </w:rPr>
            </w:pPr>
            <w:r>
              <w:rPr>
                <w:rFonts w:ascii="Arial" w:cs="Arial" w:eastAsia="Arial" w:hAnsi="Arial"/>
                <w:sz w:val="19"/>
                <w:szCs w:val="19"/>
                <w:color w:val="auto"/>
              </w:rPr>
              <w:t>Yes</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0"/>
                <w:szCs w:val="20"/>
                <w:color w:val="auto"/>
              </w:rPr>
            </w:pPr>
            <w:r>
              <w:rPr>
                <w:rFonts w:ascii="Arial" w:cs="Arial" w:eastAsia="Arial" w:hAnsi="Arial"/>
                <w:sz w:val="19"/>
                <w:szCs w:val="19"/>
                <w:color w:val="auto"/>
              </w:rPr>
              <w:t>No</w:t>
            </w:r>
          </w:p>
        </w:tc>
        <w:tc>
          <w:tcPr>
            <w:tcW w:w="3820" w:type="dxa"/>
            <w:vAlign w:val="bottom"/>
          </w:tcPr>
          <w:p>
            <w:pPr>
              <w:ind w:left="120"/>
              <w:spacing w:after="0"/>
              <w:rPr>
                <w:sz w:val="20"/>
                <w:szCs w:val="20"/>
                <w:color w:val="auto"/>
              </w:rPr>
            </w:pPr>
            <w:r>
              <w:rPr>
                <w:rFonts w:ascii="Segoe UI Symbol" w:cs="Segoe UI Symbol" w:eastAsia="Segoe UI Symbol" w:hAnsi="Segoe UI Symbol"/>
                <w:sz w:val="19"/>
                <w:szCs w:val="19"/>
                <w:color w:val="auto"/>
              </w:rPr>
              <w:t>☐</w:t>
            </w:r>
          </w:p>
        </w:tc>
        <w:tc>
          <w:tcPr>
            <w:tcW w:w="2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vMerge w:val="restart"/>
          </w:tcPr>
          <w:p>
            <w:pPr>
              <w:ind w:left="100"/>
              <w:spacing w:after="0"/>
              <w:rPr>
                <w:sz w:val="20"/>
                <w:szCs w:val="20"/>
                <w:color w:val="auto"/>
              </w:rPr>
            </w:pPr>
            <w:r>
              <w:rPr>
                <w:rFonts w:ascii="Segoe UI Symbol" w:cs="Segoe UI Symbol" w:eastAsia="Segoe UI Symbol" w:hAnsi="Segoe UI Symbol"/>
                <w:sz w:val="19"/>
                <w:szCs w:val="19"/>
                <w:color w:val="auto"/>
                <w:w w:val="85"/>
              </w:rPr>
              <w:t>☐</w:t>
            </w:r>
          </w:p>
        </w:tc>
        <w:tc>
          <w:tcPr>
            <w:tcW w:w="0" w:type="dxa"/>
            <w:vAlign w:val="bottom"/>
          </w:tcPr>
          <w:p>
            <w:pPr>
              <w:spacing w:after="0"/>
              <w:rPr>
                <w:sz w:val="1"/>
                <w:szCs w:val="1"/>
                <w:color w:val="auto"/>
              </w:rPr>
            </w:pPr>
          </w:p>
        </w:tc>
      </w:tr>
      <w:tr>
        <w:trPr>
          <w:trHeight w:val="238"/>
        </w:trPr>
        <w:tc>
          <w:tcPr>
            <w:tcW w:w="10000" w:type="dxa"/>
            <w:vAlign w:val="bottom"/>
            <w:gridSpan w:val="4"/>
          </w:tcPr>
          <w:p>
            <w:pPr>
              <w:spacing w:after="0"/>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Act.</w:t>
            </w:r>
          </w:p>
        </w:tc>
        <w:tc>
          <w:tcPr>
            <w:tcW w:w="540" w:type="dxa"/>
            <w:vAlign w:val="bottom"/>
          </w:tcPr>
          <w:p>
            <w:pPr>
              <w:ind w:left="100"/>
              <w:spacing w:after="0"/>
              <w:rPr>
                <w:sz w:val="20"/>
                <w:szCs w:val="20"/>
                <w:color w:val="auto"/>
              </w:rPr>
            </w:pPr>
            <w:r>
              <w:rPr>
                <w:rFonts w:ascii="Arial" w:cs="Arial" w:eastAsia="Arial" w:hAnsi="Arial"/>
                <w:sz w:val="19"/>
                <w:szCs w:val="19"/>
                <w:color w:val="auto"/>
              </w:rPr>
              <w:t>Yes</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0"/>
                <w:szCs w:val="20"/>
                <w:color w:val="auto"/>
              </w:rPr>
            </w:pPr>
            <w:r>
              <w:rPr>
                <w:rFonts w:ascii="Arial" w:cs="Arial" w:eastAsia="Arial" w:hAnsi="Arial"/>
                <w:sz w:val="19"/>
                <w:szCs w:val="19"/>
                <w:color w:val="auto"/>
              </w:rPr>
              <w:t>No</w:t>
            </w:r>
          </w:p>
        </w:tc>
        <w:tc>
          <w:tcPr>
            <w:tcW w:w="3820" w:type="dxa"/>
            <w:vAlign w:val="bottom"/>
          </w:tcPr>
          <w:p>
            <w:pPr>
              <w:ind w:left="120"/>
              <w:spacing w:after="0"/>
              <w:rPr>
                <w:sz w:val="20"/>
                <w:szCs w:val="20"/>
                <w:color w:val="auto"/>
              </w:rPr>
            </w:pPr>
            <w:r>
              <w:rPr>
                <w:rFonts w:ascii="Segoe UI Symbol" w:cs="Segoe UI Symbol" w:eastAsia="Segoe UI Symbol" w:hAnsi="Segoe UI Symbol"/>
                <w:sz w:val="19"/>
                <w:szCs w:val="19"/>
                <w:color w:val="auto"/>
              </w:rPr>
              <w:t>☒</w:t>
            </w:r>
          </w:p>
        </w:tc>
        <w:tc>
          <w:tcPr>
            <w:tcW w:w="2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43"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tabs>
          <w:tab w:leader="none" w:pos="7080" w:val="left"/>
          <w:tab w:leader="none" w:pos="7620" w:val="left"/>
        </w:tabs>
        <w:rPr>
          <w:sz w:val="20"/>
          <w:szCs w:val="20"/>
          <w:color w:val="auto"/>
        </w:rPr>
      </w:pPr>
      <w:r>
        <w:rPr>
          <w:rFonts w:ascii="Arial" w:cs="Arial" w:eastAsia="Arial" w:hAnsi="Arial"/>
          <w:sz w:val="19"/>
          <w:szCs w:val="19"/>
          <w:color w:val="auto"/>
        </w:rPr>
        <w:t>reports), and (2) has been subject to such filing requirements for the past 90 days.</w:t>
        <w:tab/>
        <w:t>Yes</w:t>
      </w:r>
      <w:r>
        <w:rPr>
          <w:sz w:val="20"/>
          <w:szCs w:val="20"/>
          <w:color w:val="auto"/>
        </w:rPr>
        <w:tab/>
      </w:r>
      <w:r>
        <w:rPr>
          <w:rFonts w:ascii="Segoe UI Symbol" w:cs="Segoe UI Symbol" w:eastAsia="Segoe UI Symbol" w:hAnsi="Segoe UI Symbol"/>
          <w:sz w:val="19"/>
          <w:szCs w:val="19"/>
          <w:color w:val="auto"/>
        </w:rPr>
        <w:t xml:space="preserve">☒  </w:t>
      </w:r>
      <w:r>
        <w:rPr>
          <w:rFonts w:ascii="Arial" w:cs="Arial" w:eastAsia="Arial" w:hAnsi="Arial"/>
          <w:sz w:val="19"/>
          <w:szCs w:val="19"/>
          <w:color w:val="auto"/>
        </w:rPr>
        <w:t>No</w:t>
      </w:r>
      <w:r>
        <w:rPr>
          <w:rFonts w:ascii="Segoe UI Symbol" w:cs="Segoe UI Symbol" w:eastAsia="Segoe UI Symbol" w:hAnsi="Segoe UI Symbol"/>
          <w:sz w:val="19"/>
          <w:szCs w:val="19"/>
          <w:color w:val="auto"/>
        </w:rPr>
        <w:t xml:space="preserve">  ☐</w:t>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Indicate by check mark whether the registrant has submitted electronically every Interactive Data File required to be submitted pursuant to Rule 405 of Regulation S-T (Section 232.405 of this chapter) during the preceding 12 months (or for such shorter</w:t>
      </w:r>
    </w:p>
    <w:p>
      <w:pPr>
        <w:spacing w:after="0"/>
        <w:tabs>
          <w:tab w:leader="none" w:pos="5180" w:val="left"/>
          <w:tab w:leader="none" w:pos="5720" w:val="left"/>
        </w:tabs>
        <w:rPr>
          <w:sz w:val="20"/>
          <w:szCs w:val="20"/>
          <w:color w:val="auto"/>
        </w:rPr>
      </w:pPr>
      <w:r>
        <w:rPr>
          <w:rFonts w:ascii="Arial" w:cs="Arial" w:eastAsia="Arial" w:hAnsi="Arial"/>
          <w:sz w:val="19"/>
          <w:szCs w:val="19"/>
          <w:color w:val="auto"/>
        </w:rPr>
        <w:t>period that the registrant was required to submit such files).</w:t>
        <w:tab/>
        <w:t>Yes</w:t>
      </w:r>
      <w:r>
        <w:rPr>
          <w:sz w:val="20"/>
          <w:szCs w:val="20"/>
          <w:color w:val="auto"/>
        </w:rPr>
        <w:tab/>
      </w:r>
      <w:r>
        <w:rPr>
          <w:rFonts w:ascii="Segoe UI Symbol" w:cs="Segoe UI Symbol" w:eastAsia="Segoe UI Symbol" w:hAnsi="Segoe UI Symbol"/>
          <w:sz w:val="19"/>
          <w:szCs w:val="19"/>
          <w:color w:val="auto"/>
        </w:rPr>
        <w:t xml:space="preserve">☒  </w:t>
      </w:r>
      <w:r>
        <w:rPr>
          <w:rFonts w:ascii="Arial" w:cs="Arial" w:eastAsia="Arial" w:hAnsi="Arial"/>
          <w:sz w:val="19"/>
          <w:szCs w:val="19"/>
          <w:color w:val="auto"/>
        </w:rPr>
        <w:t>No</w:t>
      </w:r>
      <w:r>
        <w:rPr>
          <w:rFonts w:ascii="Segoe UI Symbol" w:cs="Segoe UI Symbol" w:eastAsia="Segoe UI Symbol" w:hAnsi="Segoe UI Symbol"/>
          <w:sz w:val="19"/>
          <w:szCs w:val="19"/>
          <w:color w:val="auto"/>
        </w:rPr>
        <w:t xml:space="preserve">  ☐</w:t>
      </w:r>
    </w:p>
    <w:p>
      <w:pPr>
        <w:spacing w:after="0" w:line="3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w:t>
      </w:r>
      <w:r>
        <w:rPr>
          <w:rFonts w:ascii="Arial" w:cs="Arial" w:eastAsia="Arial" w:hAnsi="Arial"/>
          <w:sz w:val="20"/>
          <w:szCs w:val="20"/>
          <w:color w:val="auto"/>
        </w:rPr>
        <w:t>r</w:t>
      </w:r>
      <w:r>
        <w:rPr>
          <w:rFonts w:ascii="Arial" w:cs="Arial" w:eastAsia="Arial" w:hAnsi="Arial"/>
          <w:sz w:val="19"/>
          <w:szCs w:val="19"/>
          <w:color w:val="auto"/>
        </w:rPr>
        <w:t xml:space="preserve"> </w:t>
      </w:r>
      <w:r>
        <w:rPr>
          <w:rFonts w:ascii="Arial" w:cs="Arial" w:eastAsia="Arial" w:hAnsi="Arial"/>
          <w:sz w:val="20"/>
          <w:szCs w:val="20"/>
          <w:color w:val="auto"/>
        </w:rPr>
        <w:t>reporting company,” and “emerging growth company” in Rule 12b-2 of the Exchange Act.</w:t>
      </w:r>
    </w:p>
    <w:p>
      <w:pPr>
        <w:spacing w:after="0" w:line="1" w:lineRule="exact"/>
        <w:rPr>
          <w:sz w:val="20"/>
          <w:szCs w:val="20"/>
          <w:color w:val="auto"/>
        </w:rPr>
      </w:pPr>
    </w:p>
    <w:p>
      <w:pPr>
        <w:spacing w:after="0"/>
        <w:tabs>
          <w:tab w:leader="none" w:pos="2780" w:val="left"/>
          <w:tab w:leader="none" w:pos="3220" w:val="left"/>
          <w:tab w:leader="none" w:pos="6020" w:val="left"/>
          <w:tab w:leader="none" w:pos="8400" w:val="left"/>
        </w:tabs>
        <w:rPr>
          <w:sz w:val="20"/>
          <w:szCs w:val="20"/>
          <w:color w:val="auto"/>
        </w:rPr>
      </w:pPr>
      <w:r>
        <w:rPr>
          <w:rFonts w:ascii="Arial" w:cs="Arial" w:eastAsia="Arial" w:hAnsi="Arial"/>
          <w:sz w:val="19"/>
          <w:szCs w:val="19"/>
          <w:color w:val="auto"/>
        </w:rPr>
        <w:t>Large accelerated filer</w:t>
      </w:r>
      <w:r>
        <w:rPr>
          <w:sz w:val="20"/>
          <w:szCs w:val="20"/>
          <w:color w:val="auto"/>
        </w:rPr>
        <w:tab/>
      </w:r>
      <w:r>
        <w:rPr>
          <w:rFonts w:ascii="Segoe UI Symbol" w:cs="Segoe UI Symbol" w:eastAsia="Segoe UI Symbol" w:hAnsi="Segoe UI Symbol"/>
          <w:sz w:val="19"/>
          <w:szCs w:val="19"/>
          <w:color w:val="auto"/>
        </w:rPr>
        <w:t>☒</w:t>
      </w:r>
      <w:r>
        <w:rPr>
          <w:sz w:val="20"/>
          <w:szCs w:val="20"/>
          <w:color w:val="auto"/>
        </w:rPr>
        <w:tab/>
      </w:r>
      <w:r>
        <w:rPr>
          <w:rFonts w:ascii="Arial" w:cs="Arial" w:eastAsia="Arial" w:hAnsi="Arial"/>
          <w:sz w:val="19"/>
          <w:szCs w:val="19"/>
          <w:color w:val="auto"/>
        </w:rPr>
        <w:t>Accelerated filer</w:t>
      </w:r>
      <w:r>
        <w:rPr>
          <w:sz w:val="20"/>
          <w:szCs w:val="20"/>
          <w:color w:val="auto"/>
        </w:rPr>
        <w:tab/>
      </w:r>
      <w:r>
        <w:rPr>
          <w:rFonts w:ascii="Segoe UI Symbol" w:cs="Segoe UI Symbol" w:eastAsia="Segoe UI Symbol" w:hAnsi="Segoe UI Symbol"/>
          <w:sz w:val="19"/>
          <w:szCs w:val="19"/>
          <w:color w:val="auto"/>
        </w:rPr>
        <w:t xml:space="preserve">☐ </w:t>
      </w:r>
      <w:r>
        <w:rPr>
          <w:rFonts w:ascii="Arial" w:cs="Arial" w:eastAsia="Arial" w:hAnsi="Arial"/>
          <w:sz w:val="19"/>
          <w:szCs w:val="19"/>
          <w:color w:val="auto"/>
        </w:rPr>
        <w:t>Non-accelerated filer</w:t>
      </w:r>
      <w:r>
        <w:rPr>
          <w:sz w:val="20"/>
          <w:szCs w:val="20"/>
          <w:color w:val="auto"/>
        </w:rPr>
        <w:tab/>
      </w:r>
      <w:r>
        <w:rPr>
          <w:rFonts w:ascii="Segoe UI Symbol" w:cs="Segoe UI Symbol" w:eastAsia="Segoe UI Symbol" w:hAnsi="Segoe UI Symbol"/>
          <w:sz w:val="18"/>
          <w:szCs w:val="18"/>
          <w:color w:val="auto"/>
        </w:rPr>
        <w:t>☐</w:t>
      </w:r>
    </w:p>
    <w:p>
      <w:pPr>
        <w:spacing w:after="0" w:line="54" w:lineRule="exact"/>
        <w:rPr>
          <w:sz w:val="20"/>
          <w:szCs w:val="20"/>
          <w:color w:val="auto"/>
        </w:rPr>
      </w:pPr>
    </w:p>
    <w:p>
      <w:pPr>
        <w:spacing w:after="0"/>
        <w:tabs>
          <w:tab w:leader="none" w:pos="2780" w:val="left"/>
          <w:tab w:leader="none" w:pos="3220" w:val="left"/>
          <w:tab w:leader="none" w:pos="6020" w:val="left"/>
        </w:tabs>
        <w:rPr>
          <w:sz w:val="20"/>
          <w:szCs w:val="20"/>
          <w:color w:val="auto"/>
        </w:rPr>
      </w:pPr>
      <w:r>
        <w:rPr>
          <w:rFonts w:ascii="Arial" w:cs="Arial" w:eastAsia="Arial" w:hAnsi="Arial"/>
          <w:sz w:val="19"/>
          <w:szCs w:val="19"/>
          <w:color w:val="auto"/>
        </w:rPr>
        <w:t>Smaller reporting company</w:t>
      </w:r>
      <w:r>
        <w:rPr>
          <w:sz w:val="20"/>
          <w:szCs w:val="20"/>
          <w:color w:val="auto"/>
        </w:rPr>
        <w:tab/>
      </w:r>
      <w:r>
        <w:rPr>
          <w:rFonts w:ascii="Segoe UI Symbol" w:cs="Segoe UI Symbol" w:eastAsia="Segoe UI Symbol" w:hAnsi="Segoe UI Symbol"/>
          <w:sz w:val="19"/>
          <w:szCs w:val="19"/>
          <w:color w:val="auto"/>
        </w:rPr>
        <w:t>☐</w:t>
      </w:r>
      <w:r>
        <w:rPr>
          <w:sz w:val="20"/>
          <w:szCs w:val="20"/>
          <w:color w:val="auto"/>
        </w:rPr>
        <w:tab/>
      </w:r>
      <w:r>
        <w:rPr>
          <w:rFonts w:ascii="Arial" w:cs="Arial" w:eastAsia="Arial" w:hAnsi="Arial"/>
          <w:sz w:val="19"/>
          <w:szCs w:val="19"/>
          <w:color w:val="auto"/>
        </w:rPr>
        <w:t>Emerging growth company</w:t>
      </w:r>
      <w:r>
        <w:rPr>
          <w:sz w:val="20"/>
          <w:szCs w:val="20"/>
          <w:color w:val="auto"/>
        </w:rPr>
        <w:tab/>
      </w:r>
      <w:r>
        <w:rPr>
          <w:rFonts w:ascii="Segoe UI Symbol" w:cs="Segoe UI Symbol" w:eastAsia="Segoe UI Symbol" w:hAnsi="Segoe UI Symbol"/>
          <w:sz w:val="19"/>
          <w:szCs w:val="19"/>
          <w:color w:val="auto"/>
        </w:rPr>
        <w:t>☐</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9"/>
          <w:szCs w:val="19"/>
          <w:color w:val="auto"/>
        </w:rPr>
        <w: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 7262(b))</w:t>
      </w:r>
    </w:p>
    <w:p>
      <w:pPr>
        <w:spacing w:after="0"/>
        <w:tabs>
          <w:tab w:leader="none" w:pos="6820" w:val="left"/>
        </w:tabs>
        <w:rPr>
          <w:sz w:val="20"/>
          <w:szCs w:val="20"/>
          <w:color w:val="auto"/>
        </w:rPr>
      </w:pPr>
      <w:r>
        <w:rPr>
          <w:rFonts w:ascii="Arial" w:cs="Arial" w:eastAsia="Arial" w:hAnsi="Arial"/>
          <w:sz w:val="19"/>
          <w:szCs w:val="19"/>
          <w:color w:val="auto"/>
        </w:rPr>
        <w:t>by the registered public accounting firm that prepared or issued its audit report.</w:t>
      </w:r>
      <w:r>
        <w:rPr>
          <w:sz w:val="20"/>
          <w:szCs w:val="20"/>
          <w:color w:val="auto"/>
        </w:rPr>
        <w:tab/>
      </w:r>
      <w:r>
        <w:rPr>
          <w:rFonts w:ascii="Segoe UI Symbol" w:cs="Segoe UI Symbol" w:eastAsia="Segoe UI Symbol" w:hAnsi="Segoe UI Symbol"/>
          <w:sz w:val="18"/>
          <w:szCs w:val="18"/>
          <w:color w:val="auto"/>
        </w:rPr>
        <w:t>☒</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9"/>
          <w:szCs w:val="19"/>
          <w:color w:val="auto"/>
        </w:rPr>
        <w: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Indicate by check mark whether any of those error corrections are restatements that required a recovery analysis of incentive-based compensation received by any of the registrant's executive officers during the relevant recovery period pursuant to</w:t>
      </w:r>
    </w:p>
    <w:p>
      <w:pPr>
        <w:spacing w:after="0"/>
        <w:rPr>
          <w:sz w:val="20"/>
          <w:szCs w:val="20"/>
          <w:color w:val="auto"/>
        </w:rPr>
      </w:pPr>
      <w:r>
        <w:rPr>
          <w:rFonts w:ascii="Arial" w:cs="Arial" w:eastAsia="Arial" w:hAnsi="Arial"/>
          <w:sz w:val="19"/>
          <w:szCs w:val="19"/>
          <w:color w:val="auto"/>
        </w:rPr>
        <w:t xml:space="preserve">§240.10D-1(b). </w:t>
      </w:r>
      <w:r>
        <w:rPr>
          <w:rFonts w:ascii="Segoe UI Symbol" w:cs="Segoe UI Symbol" w:eastAsia="Segoe UI Symbol" w:hAnsi="Segoe UI Symbol"/>
          <w:sz w:val="19"/>
          <w:szCs w:val="19"/>
          <w:color w:val="auto"/>
        </w:rPr>
        <w:t>☐</w:t>
      </w:r>
    </w:p>
    <w:p>
      <w:pPr>
        <w:spacing w:after="0" w:line="34" w:lineRule="exact"/>
        <w:rPr>
          <w:sz w:val="20"/>
          <w:szCs w:val="20"/>
          <w:color w:val="auto"/>
        </w:rPr>
      </w:pPr>
    </w:p>
    <w:p>
      <w:pPr>
        <w:spacing w:after="0"/>
        <w:tabs>
          <w:tab w:leader="none" w:pos="10160" w:val="left"/>
        </w:tabs>
        <w:rPr>
          <w:sz w:val="20"/>
          <w:szCs w:val="20"/>
          <w:color w:val="auto"/>
        </w:rPr>
      </w:pPr>
      <w:r>
        <w:rPr>
          <w:rFonts w:ascii="Arial" w:cs="Arial" w:eastAsia="Arial" w:hAnsi="Arial"/>
          <w:sz w:val="19"/>
          <w:szCs w:val="19"/>
          <w:color w:val="auto"/>
        </w:rPr>
        <w:t>Indicate by check mark whether the registrant is a shell company (as defined in Rule 12b-2 of the Exchange Act). Yes</w:t>
      </w:r>
      <w:r>
        <w:rPr>
          <w:sz w:val="20"/>
          <w:szCs w:val="20"/>
          <w:color w:val="auto"/>
        </w:rPr>
        <w:tab/>
      </w:r>
      <w:r>
        <w:rPr>
          <w:rFonts w:ascii="Segoe UI Symbol" w:cs="Segoe UI Symbol" w:eastAsia="Segoe UI Symbol" w:hAnsi="Segoe UI Symbol"/>
          <w:sz w:val="19"/>
          <w:szCs w:val="19"/>
          <w:color w:val="auto"/>
        </w:rPr>
        <w:t xml:space="preserve">☐  </w:t>
      </w:r>
      <w:r>
        <w:rPr>
          <w:rFonts w:ascii="Arial" w:cs="Arial" w:eastAsia="Arial" w:hAnsi="Arial"/>
          <w:sz w:val="19"/>
          <w:szCs w:val="19"/>
          <w:color w:val="auto"/>
        </w:rPr>
        <w:t>No</w:t>
      </w:r>
    </w:p>
    <w:p>
      <w:pPr>
        <w:spacing w:after="0" w:line="6" w:lineRule="exact"/>
        <w:rPr>
          <w:sz w:val="20"/>
          <w:szCs w:val="20"/>
          <w:color w:val="auto"/>
        </w:rPr>
      </w:pPr>
    </w:p>
    <w:p>
      <w:pPr>
        <w:spacing w:after="0"/>
        <w:rPr>
          <w:sz w:val="20"/>
          <w:szCs w:val="20"/>
          <w:color w:val="auto"/>
        </w:rPr>
      </w:pPr>
      <w:r>
        <w:rPr>
          <w:rFonts w:ascii="Segoe UI Symbol" w:cs="Segoe UI Symbol" w:eastAsia="Segoe UI Symbol" w:hAnsi="Segoe UI Symbol"/>
          <w:sz w:val="19"/>
          <w:szCs w:val="19"/>
          <w:color w:val="auto"/>
        </w:rPr>
        <w:t>☒</w:t>
      </w:r>
    </w:p>
    <w:p>
      <w:pPr>
        <w:spacing w:after="0" w:line="3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aggregate market value of the voting stock held by nonaffiliates of the registrant was $3,329,979,382 as of June 30, 2024. As of February 17, 2025, there were 46,692,203 of the registrant’s shares of common stock outstanding.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DOCUMENTS INCORPORATED BY REFERENCE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 is incorporated by reference from the Proxy Statement for the Annual Meeting of Shareholders to be held on May 2, 2025.</w:t>
      </w:r>
    </w:p>
    <w:p>
      <w:pPr>
        <w:spacing w:after="0" w:line="57" w:lineRule="exact"/>
        <w:rPr>
          <w:sz w:val="20"/>
          <w:szCs w:val="20"/>
          <w:color w:val="auto"/>
        </w:rPr>
      </w:pPr>
    </w:p>
    <w:p>
      <w:pPr>
        <w:spacing w:after="0"/>
        <w:tabs>
          <w:tab w:leader="none" w:pos="2160" w:val="left"/>
          <w:tab w:leader="none" w:pos="4120" w:val="left"/>
          <w:tab w:leader="none" w:pos="6920" w:val="left"/>
          <w:tab w:leader="none" w:pos="9080" w:val="left"/>
        </w:tabs>
        <w:rPr>
          <w:sz w:val="20"/>
          <w:szCs w:val="20"/>
          <w:color w:val="auto"/>
        </w:rPr>
      </w:pPr>
      <w:r>
        <w:rPr>
          <w:rFonts w:ascii="Arial" w:cs="Arial" w:eastAsia="Arial" w:hAnsi="Arial"/>
          <w:sz w:val="19"/>
          <w:szCs w:val="19"/>
          <w:color w:val="auto"/>
        </w:rPr>
        <w:t>Auditor Firm Id: 34</w:t>
      </w:r>
      <w:r>
        <w:rPr>
          <w:sz w:val="20"/>
          <w:szCs w:val="20"/>
          <w:color w:val="auto"/>
        </w:rPr>
        <w:tab/>
      </w:r>
      <w:r>
        <w:rPr>
          <w:rFonts w:ascii="Arial" w:cs="Arial" w:eastAsia="Arial" w:hAnsi="Arial"/>
          <w:sz w:val="19"/>
          <w:szCs w:val="19"/>
          <w:color w:val="auto"/>
        </w:rPr>
        <w:t>Auditor Name:</w:t>
      </w:r>
      <w:r>
        <w:rPr>
          <w:sz w:val="20"/>
          <w:szCs w:val="20"/>
          <w:color w:val="auto"/>
        </w:rPr>
        <w:tab/>
      </w:r>
      <w:r>
        <w:rPr>
          <w:rFonts w:ascii="Arial" w:cs="Arial" w:eastAsia="Arial" w:hAnsi="Arial"/>
          <w:sz w:val="19"/>
          <w:szCs w:val="19"/>
          <w:color w:val="auto"/>
        </w:rPr>
        <w:t>Deloitte &amp; Touche LLP</w:t>
      </w:r>
      <w:r>
        <w:rPr>
          <w:sz w:val="20"/>
          <w:szCs w:val="20"/>
          <w:color w:val="auto"/>
        </w:rPr>
        <w:tab/>
      </w:r>
      <w:r>
        <w:rPr>
          <w:rFonts w:ascii="Arial" w:cs="Arial" w:eastAsia="Arial" w:hAnsi="Arial"/>
          <w:sz w:val="19"/>
          <w:szCs w:val="19"/>
          <w:color w:val="auto"/>
        </w:rPr>
        <w:t>Auditor Location:</w:t>
      </w:r>
      <w:r>
        <w:rPr>
          <w:sz w:val="20"/>
          <w:szCs w:val="20"/>
          <w:color w:val="auto"/>
        </w:rPr>
        <w:tab/>
      </w:r>
      <w:r>
        <w:rPr>
          <w:rFonts w:ascii="Arial" w:cs="Arial" w:eastAsia="Arial" w:hAnsi="Arial"/>
          <w:sz w:val="19"/>
          <w:szCs w:val="19"/>
          <w:color w:val="auto"/>
        </w:rPr>
        <w:t>Milwaukee, WI</w:t>
      </w:r>
    </w:p>
    <w:p>
      <w:pPr>
        <w:sectPr>
          <w:pgSz w:w="12240" w:h="15840" w:orient="portrait"/>
          <w:cols w:equalWidth="0" w:num="1">
            <w:col w:w="10800"/>
          </w:cols>
          <w:pgMar w:left="720" w:top="606" w:right="720" w:bottom="778"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ectPr>
          <w:pgSz w:w="12240" w:h="15840" w:orient="portrait"/>
          <w:cols w:equalWidth="0" w:num="1">
            <w:col w:w="10800"/>
          </w:cols>
          <w:pgMar w:left="720" w:top="606" w:right="720" w:bottom="778" w:gutter="0" w:footer="0" w:header="0"/>
          <w:type w:val="continuous"/>
        </w:sectPr>
      </w:pPr>
    </w:p>
    <w:bookmarkStart w:id="7" w:name="page8"/>
    <w:bookmarkEnd w:id="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 o:spid="_x0000_s103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ManpowerGroup Inc.</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rPr>
          <w:sz w:val="20"/>
          <w:szCs w:val="20"/>
          <w:color w:val="auto"/>
        </w:rPr>
      </w:pPr>
      <w:r>
        <w:rPr>
          <w:rFonts w:ascii="Arial" w:cs="Arial" w:eastAsia="Arial" w:hAnsi="Arial"/>
          <w:sz w:val="20"/>
          <w:szCs w:val="20"/>
          <w:b w:val="1"/>
          <w:bCs w:val="1"/>
          <w:color w:val="auto"/>
        </w:rPr>
        <w:t>For the Fiscal Year Ended December 31, 2024</w:t>
      </w:r>
    </w:p>
    <w:p>
      <w:pPr>
        <w:spacing w:after="0" w:line="247" w:lineRule="exact"/>
        <w:rPr>
          <w:sz w:val="20"/>
          <w:szCs w:val="20"/>
          <w:color w:val="auto"/>
        </w:rPr>
      </w:pPr>
    </w:p>
    <w:p>
      <w:pPr>
        <w:spacing w:after="0"/>
        <w:rPr>
          <w:sz w:val="20"/>
          <w:szCs w:val="20"/>
          <w:color w:val="auto"/>
        </w:rPr>
      </w:pPr>
      <w:r>
        <w:rPr>
          <w:rFonts w:ascii="Arial" w:cs="Arial" w:eastAsia="Arial" w:hAnsi="Arial"/>
          <w:sz w:val="46"/>
          <w:szCs w:val="46"/>
          <w:color w:val="537BB5"/>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860" w:type="dxa"/>
            <w:vAlign w:val="bottom"/>
          </w:tcPr>
          <w:p>
            <w:pPr>
              <w:jc w:val="center"/>
              <w:ind w:left="21"/>
              <w:spacing w:after="0"/>
              <w:rPr>
                <w:sz w:val="20"/>
                <w:szCs w:val="20"/>
                <w:color w:val="auto"/>
              </w:rPr>
            </w:pPr>
            <w:r>
              <w:rPr>
                <w:rFonts w:ascii="Arial" w:cs="Arial" w:eastAsia="Arial" w:hAnsi="Arial"/>
                <w:sz w:val="16"/>
                <w:szCs w:val="16"/>
                <w:b w:val="1"/>
                <w:bCs w:val="1"/>
                <w:color w:val="auto"/>
                <w:w w:val="99"/>
              </w:rPr>
              <w:t>Page</w:t>
            </w:r>
          </w:p>
        </w:tc>
      </w:tr>
      <w:tr>
        <w:trPr>
          <w:trHeight w:val="229"/>
        </w:trPr>
        <w:tc>
          <w:tcPr>
            <w:tcW w:w="13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860" w:type="dxa"/>
            <w:vAlign w:val="bottom"/>
          </w:tcPr>
          <w:p>
            <w:pPr>
              <w:jc w:val="center"/>
              <w:ind w:left="1"/>
              <w:spacing w:after="0"/>
              <w:rPr>
                <w:sz w:val="20"/>
                <w:szCs w:val="20"/>
                <w:color w:val="auto"/>
              </w:rPr>
            </w:pPr>
            <w:r>
              <w:rPr>
                <w:rFonts w:ascii="Arial" w:cs="Arial" w:eastAsia="Arial" w:hAnsi="Arial"/>
                <w:sz w:val="16"/>
                <w:szCs w:val="16"/>
                <w:b w:val="1"/>
                <w:bCs w:val="1"/>
                <w:color w:val="auto"/>
                <w:w w:val="99"/>
              </w:rPr>
              <w:t>Number</w:t>
            </w:r>
          </w:p>
        </w:tc>
      </w:tr>
      <w:tr>
        <w:trPr>
          <w:trHeight w:val="204"/>
        </w:trPr>
        <w:tc>
          <w:tcPr>
            <w:tcW w:w="1380" w:type="dxa"/>
            <w:vAlign w:val="bottom"/>
            <w:tcBorders>
              <w:bottom w:val="single" w:sz="8" w:color="537BB5"/>
            </w:tcBorders>
          </w:tcPr>
          <w:p>
            <w:pPr>
              <w:spacing w:after="0"/>
              <w:rPr>
                <w:sz w:val="17"/>
                <w:szCs w:val="17"/>
                <w:color w:val="auto"/>
              </w:rPr>
            </w:pPr>
          </w:p>
        </w:tc>
        <w:tc>
          <w:tcPr>
            <w:tcW w:w="8560" w:type="dxa"/>
            <w:vAlign w:val="bottom"/>
            <w:tcBorders>
              <w:bottom w:val="single" w:sz="8" w:color="537BB5"/>
            </w:tcBorders>
          </w:tcPr>
          <w:p>
            <w:pPr>
              <w:spacing w:after="0"/>
              <w:rPr>
                <w:sz w:val="17"/>
                <w:szCs w:val="17"/>
                <w:color w:val="auto"/>
              </w:rPr>
            </w:pPr>
          </w:p>
        </w:tc>
        <w:tc>
          <w:tcPr>
            <w:tcW w:w="860" w:type="dxa"/>
            <w:vAlign w:val="bottom"/>
            <w:tcBorders>
              <w:bottom w:val="single" w:sz="8" w:color="537BB5"/>
            </w:tcBorders>
          </w:tcPr>
          <w:p>
            <w:pPr>
              <w:spacing w:after="0"/>
              <w:rPr>
                <w:sz w:val="17"/>
                <w:szCs w:val="17"/>
                <w:color w:val="auto"/>
              </w:rPr>
            </w:pPr>
          </w:p>
        </w:tc>
      </w:tr>
      <w:tr>
        <w:trPr>
          <w:trHeight w:val="281"/>
        </w:trPr>
        <w:tc>
          <w:tcPr>
            <w:tcW w:w="1380" w:type="dxa"/>
            <w:vAlign w:val="bottom"/>
          </w:tcPr>
          <w:p>
            <w:pPr>
              <w:ind w:left="80"/>
              <w:spacing w:after="0"/>
              <w:rPr>
                <w:sz w:val="20"/>
                <w:szCs w:val="20"/>
                <w:color w:val="auto"/>
              </w:rPr>
            </w:pPr>
            <w:r>
              <w:rPr>
                <w:rFonts w:ascii="Arial" w:cs="Arial" w:eastAsia="Arial" w:hAnsi="Arial"/>
                <w:sz w:val="20"/>
                <w:szCs w:val="20"/>
                <w:color w:val="537BB5"/>
              </w:rPr>
              <w:t>PART I</w:t>
            </w:r>
          </w:p>
        </w:tc>
        <w:tc>
          <w:tcPr>
            <w:tcW w:w="8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w:t>
            </w:r>
          </w:p>
        </w:tc>
        <w:tc>
          <w:tcPr>
            <w:tcW w:w="8560" w:type="dxa"/>
            <w:vAlign w:val="bottom"/>
          </w:tcPr>
          <w:p>
            <w:pPr>
              <w:ind w:left="20"/>
              <w:spacing w:after="0"/>
              <w:rPr>
                <w:sz w:val="20"/>
                <w:szCs w:val="20"/>
                <w:color w:val="auto"/>
              </w:rPr>
            </w:pPr>
            <w:r>
              <w:rPr>
                <w:rFonts w:ascii="Arial" w:cs="Arial" w:eastAsia="Arial" w:hAnsi="Arial"/>
                <w:sz w:val="20"/>
                <w:szCs w:val="20"/>
                <w:color w:val="auto"/>
              </w:rPr>
              <w:t>Business</w:t>
            </w:r>
          </w:p>
        </w:tc>
        <w:tc>
          <w:tcPr>
            <w:tcW w:w="860" w:type="dxa"/>
            <w:vAlign w:val="bottom"/>
          </w:tcPr>
          <w:p>
            <w:pPr>
              <w:jc w:val="center"/>
              <w:ind w:left="1"/>
              <w:spacing w:after="0"/>
              <w:rPr>
                <w:sz w:val="20"/>
                <w:szCs w:val="20"/>
                <w:color w:val="auto"/>
              </w:rPr>
            </w:pPr>
            <w:r>
              <w:rPr>
                <w:rFonts w:ascii="Arial" w:cs="Arial" w:eastAsia="Arial" w:hAnsi="Arial"/>
                <w:sz w:val="20"/>
                <w:szCs w:val="20"/>
                <w:color w:val="auto"/>
              </w:rPr>
              <w:t>3</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1A</w:t>
            </w:r>
          </w:p>
        </w:tc>
        <w:tc>
          <w:tcPr>
            <w:tcW w:w="8560" w:type="dxa"/>
            <w:vAlign w:val="bottom"/>
          </w:tcPr>
          <w:p>
            <w:pPr>
              <w:ind w:left="20"/>
              <w:spacing w:after="0"/>
              <w:rPr>
                <w:sz w:val="20"/>
                <w:szCs w:val="20"/>
                <w:color w:val="auto"/>
              </w:rPr>
            </w:pPr>
            <w:r>
              <w:rPr>
                <w:rFonts w:ascii="Arial" w:cs="Arial" w:eastAsia="Arial" w:hAnsi="Arial"/>
                <w:sz w:val="20"/>
                <w:szCs w:val="20"/>
                <w:color w:val="auto"/>
              </w:rPr>
              <w:t>Risk Factors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11</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1B</w:t>
            </w:r>
          </w:p>
        </w:tc>
        <w:tc>
          <w:tcPr>
            <w:tcW w:w="8560" w:type="dxa"/>
            <w:vAlign w:val="bottom"/>
          </w:tcPr>
          <w:p>
            <w:pPr>
              <w:ind w:left="20"/>
              <w:spacing w:after="0"/>
              <w:rPr>
                <w:sz w:val="20"/>
                <w:szCs w:val="20"/>
                <w:color w:val="auto"/>
              </w:rPr>
            </w:pPr>
            <w:r>
              <w:rPr>
                <w:rFonts w:ascii="Arial" w:cs="Arial" w:eastAsia="Arial" w:hAnsi="Arial"/>
                <w:sz w:val="20"/>
                <w:szCs w:val="20"/>
                <w:color w:val="auto"/>
              </w:rPr>
              <w:t>Unresolved Staff Comments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25</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1C</w:t>
            </w:r>
          </w:p>
        </w:tc>
        <w:tc>
          <w:tcPr>
            <w:tcW w:w="8560" w:type="dxa"/>
            <w:vAlign w:val="bottom"/>
          </w:tcPr>
          <w:p>
            <w:pPr>
              <w:ind w:left="20"/>
              <w:spacing w:after="0"/>
              <w:rPr>
                <w:sz w:val="20"/>
                <w:szCs w:val="20"/>
                <w:color w:val="auto"/>
              </w:rPr>
            </w:pPr>
            <w:r>
              <w:rPr>
                <w:rFonts w:ascii="Arial" w:cs="Arial" w:eastAsia="Arial" w:hAnsi="Arial"/>
                <w:sz w:val="20"/>
                <w:szCs w:val="20"/>
                <w:color w:val="auto"/>
              </w:rPr>
              <w:t>Cybersecurity</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26</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2</w:t>
            </w:r>
          </w:p>
        </w:tc>
        <w:tc>
          <w:tcPr>
            <w:tcW w:w="8560" w:type="dxa"/>
            <w:vAlign w:val="bottom"/>
          </w:tcPr>
          <w:p>
            <w:pPr>
              <w:ind w:left="20"/>
              <w:spacing w:after="0"/>
              <w:rPr>
                <w:sz w:val="20"/>
                <w:szCs w:val="20"/>
                <w:color w:val="auto"/>
              </w:rPr>
            </w:pPr>
            <w:r>
              <w:rPr>
                <w:rFonts w:ascii="Arial" w:cs="Arial" w:eastAsia="Arial" w:hAnsi="Arial"/>
                <w:sz w:val="20"/>
                <w:szCs w:val="20"/>
                <w:color w:val="auto"/>
              </w:rPr>
              <w:t>Properties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26</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3</w:t>
            </w:r>
          </w:p>
        </w:tc>
        <w:tc>
          <w:tcPr>
            <w:tcW w:w="8560" w:type="dxa"/>
            <w:vAlign w:val="bottom"/>
          </w:tcPr>
          <w:p>
            <w:pPr>
              <w:ind w:left="20"/>
              <w:spacing w:after="0"/>
              <w:rPr>
                <w:sz w:val="20"/>
                <w:szCs w:val="20"/>
                <w:color w:val="auto"/>
              </w:rPr>
            </w:pPr>
            <w:r>
              <w:rPr>
                <w:rFonts w:ascii="Arial" w:cs="Arial" w:eastAsia="Arial" w:hAnsi="Arial"/>
                <w:sz w:val="20"/>
                <w:szCs w:val="20"/>
                <w:color w:val="auto"/>
              </w:rPr>
              <w:t>Legal Proceedings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26</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4</w:t>
            </w:r>
          </w:p>
        </w:tc>
        <w:tc>
          <w:tcPr>
            <w:tcW w:w="8560" w:type="dxa"/>
            <w:vAlign w:val="bottom"/>
          </w:tcPr>
          <w:p>
            <w:pPr>
              <w:ind w:left="20"/>
              <w:spacing w:after="0"/>
              <w:rPr>
                <w:sz w:val="20"/>
                <w:szCs w:val="20"/>
                <w:color w:val="auto"/>
              </w:rPr>
            </w:pPr>
            <w:r>
              <w:rPr>
                <w:rFonts w:ascii="Arial" w:cs="Arial" w:eastAsia="Arial" w:hAnsi="Arial"/>
                <w:sz w:val="20"/>
                <w:szCs w:val="20"/>
                <w:color w:val="auto"/>
              </w:rPr>
              <w:t>Mine Safety Disclosures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26</w:t>
            </w:r>
          </w:p>
        </w:tc>
      </w:tr>
      <w:tr>
        <w:trPr>
          <w:trHeight w:val="270"/>
        </w:trPr>
        <w:tc>
          <w:tcPr>
            <w:tcW w:w="138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20"/>
                <w:szCs w:val="20"/>
                <w:color w:val="auto"/>
              </w:rPr>
              <w:t>Information About Our Executive Officers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27</w:t>
            </w:r>
          </w:p>
        </w:tc>
      </w:tr>
      <w:tr>
        <w:trPr>
          <w:trHeight w:val="271"/>
        </w:trPr>
        <w:tc>
          <w:tcPr>
            <w:tcW w:w="138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20"/>
                <w:szCs w:val="20"/>
                <w:color w:val="auto"/>
              </w:rPr>
              <w:t>Other Information</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28</w:t>
            </w:r>
          </w:p>
        </w:tc>
      </w:tr>
      <w:tr>
        <w:trPr>
          <w:trHeight w:val="208"/>
        </w:trPr>
        <w:tc>
          <w:tcPr>
            <w:tcW w:w="1380" w:type="dxa"/>
            <w:vAlign w:val="bottom"/>
            <w:tcBorders>
              <w:bottom w:val="single" w:sz="8" w:color="537BB5"/>
            </w:tcBorders>
          </w:tcPr>
          <w:p>
            <w:pPr>
              <w:spacing w:after="0"/>
              <w:rPr>
                <w:sz w:val="18"/>
                <w:szCs w:val="18"/>
                <w:color w:val="auto"/>
              </w:rPr>
            </w:pPr>
          </w:p>
        </w:tc>
        <w:tc>
          <w:tcPr>
            <w:tcW w:w="8560" w:type="dxa"/>
            <w:vAlign w:val="bottom"/>
            <w:tcBorders>
              <w:bottom w:val="single" w:sz="8" w:color="537BB5"/>
            </w:tcBorders>
          </w:tcPr>
          <w:p>
            <w:pPr>
              <w:spacing w:after="0"/>
              <w:rPr>
                <w:sz w:val="18"/>
                <w:szCs w:val="18"/>
                <w:color w:val="auto"/>
              </w:rPr>
            </w:pPr>
          </w:p>
        </w:tc>
        <w:tc>
          <w:tcPr>
            <w:tcW w:w="860" w:type="dxa"/>
            <w:vAlign w:val="bottom"/>
            <w:tcBorders>
              <w:bottom w:val="single" w:sz="8" w:color="537BB5"/>
            </w:tcBorders>
          </w:tcPr>
          <w:p>
            <w:pPr>
              <w:spacing w:after="0"/>
              <w:rPr>
                <w:sz w:val="18"/>
                <w:szCs w:val="18"/>
                <w:color w:val="auto"/>
              </w:rPr>
            </w:pPr>
          </w:p>
        </w:tc>
      </w:tr>
      <w:tr>
        <w:trPr>
          <w:trHeight w:val="281"/>
        </w:trPr>
        <w:tc>
          <w:tcPr>
            <w:tcW w:w="1380" w:type="dxa"/>
            <w:vAlign w:val="bottom"/>
          </w:tcPr>
          <w:p>
            <w:pPr>
              <w:ind w:left="80"/>
              <w:spacing w:after="0"/>
              <w:rPr>
                <w:sz w:val="20"/>
                <w:szCs w:val="20"/>
                <w:color w:val="auto"/>
              </w:rPr>
            </w:pPr>
            <w:r>
              <w:rPr>
                <w:rFonts w:ascii="Arial" w:cs="Arial" w:eastAsia="Arial" w:hAnsi="Arial"/>
                <w:sz w:val="20"/>
                <w:szCs w:val="20"/>
                <w:color w:val="537BB5"/>
              </w:rPr>
              <w:t>PART II</w:t>
            </w:r>
          </w:p>
        </w:tc>
        <w:tc>
          <w:tcPr>
            <w:tcW w:w="8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380" w:type="dxa"/>
            <w:vAlign w:val="bottom"/>
          </w:tcPr>
          <w:p>
            <w:pPr>
              <w:ind w:left="80"/>
              <w:spacing w:after="0"/>
              <w:rPr>
                <w:sz w:val="20"/>
                <w:szCs w:val="20"/>
                <w:color w:val="auto"/>
              </w:rPr>
            </w:pPr>
            <w:r>
              <w:rPr>
                <w:rFonts w:ascii="Arial" w:cs="Arial" w:eastAsia="Arial" w:hAnsi="Arial"/>
                <w:sz w:val="20"/>
                <w:szCs w:val="20"/>
                <w:color w:val="auto"/>
              </w:rPr>
              <w:t>Item 5</w:t>
            </w:r>
          </w:p>
        </w:tc>
        <w:tc>
          <w:tcPr>
            <w:tcW w:w="8560" w:type="dxa"/>
            <w:vAlign w:val="bottom"/>
          </w:tcPr>
          <w:p>
            <w:pPr>
              <w:ind w:left="20"/>
              <w:spacing w:after="0"/>
              <w:rPr>
                <w:sz w:val="20"/>
                <w:szCs w:val="20"/>
                <w:color w:val="auto"/>
              </w:rPr>
            </w:pPr>
            <w:r>
              <w:rPr>
                <w:rFonts w:ascii="Arial" w:cs="Arial" w:eastAsia="Arial" w:hAnsi="Arial"/>
                <w:sz w:val="20"/>
                <w:szCs w:val="20"/>
                <w:color w:val="auto"/>
              </w:rPr>
              <w:t>Market for Registrant's Common Equity, Related Shareholder Matters and Issuer Purchases of</w:t>
            </w:r>
          </w:p>
        </w:tc>
        <w:tc>
          <w:tcPr>
            <w:tcW w:w="860" w:type="dxa"/>
            <w:vAlign w:val="bottom"/>
          </w:tcPr>
          <w:p>
            <w:pPr>
              <w:spacing w:after="0"/>
              <w:rPr>
                <w:sz w:val="19"/>
                <w:szCs w:val="19"/>
                <w:color w:val="auto"/>
              </w:rPr>
            </w:pPr>
          </w:p>
        </w:tc>
      </w:tr>
      <w:tr>
        <w:trPr>
          <w:trHeight w:val="270"/>
        </w:trPr>
        <w:tc>
          <w:tcPr>
            <w:tcW w:w="1380" w:type="dxa"/>
            <w:vAlign w:val="bottom"/>
          </w:tcPr>
          <w:p>
            <w:pPr>
              <w:spacing w:after="0"/>
              <w:rPr>
                <w:sz w:val="23"/>
                <w:szCs w:val="23"/>
                <w:color w:val="auto"/>
              </w:rPr>
            </w:pPr>
          </w:p>
        </w:tc>
        <w:tc>
          <w:tcPr>
            <w:tcW w:w="8560" w:type="dxa"/>
            <w:vAlign w:val="bottom"/>
          </w:tcPr>
          <w:p>
            <w:pPr>
              <w:ind w:left="200"/>
              <w:spacing w:after="0"/>
              <w:rPr>
                <w:sz w:val="20"/>
                <w:szCs w:val="20"/>
                <w:color w:val="auto"/>
              </w:rPr>
            </w:pPr>
            <w:r>
              <w:rPr>
                <w:rFonts w:ascii="Arial" w:cs="Arial" w:eastAsia="Arial" w:hAnsi="Arial"/>
                <w:sz w:val="20"/>
                <w:szCs w:val="20"/>
                <w:color w:val="auto"/>
              </w:rPr>
              <w:t>Equity Securities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29</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6</w:t>
            </w:r>
          </w:p>
        </w:tc>
        <w:tc>
          <w:tcPr>
            <w:tcW w:w="8560" w:type="dxa"/>
            <w:vAlign w:val="bottom"/>
          </w:tcPr>
          <w:p>
            <w:pPr>
              <w:ind w:left="20"/>
              <w:spacing w:after="0"/>
              <w:rPr>
                <w:sz w:val="20"/>
                <w:szCs w:val="20"/>
                <w:color w:val="auto"/>
              </w:rPr>
            </w:pPr>
            <w:r>
              <w:rPr>
                <w:rFonts w:ascii="Arial" w:cs="Arial" w:eastAsia="Arial" w:hAnsi="Arial"/>
                <w:sz w:val="20"/>
                <w:szCs w:val="20"/>
                <w:color w:val="auto"/>
              </w:rPr>
              <w:t>[Reserved]</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30</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7</w:t>
            </w:r>
          </w:p>
        </w:tc>
        <w:tc>
          <w:tcPr>
            <w:tcW w:w="8560" w:type="dxa"/>
            <w:vAlign w:val="bottom"/>
          </w:tcPr>
          <w:p>
            <w:pPr>
              <w:ind w:left="2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31</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7A</w:t>
            </w:r>
          </w:p>
        </w:tc>
        <w:tc>
          <w:tcPr>
            <w:tcW w:w="8560" w:type="dxa"/>
            <w:vAlign w:val="bottom"/>
          </w:tcPr>
          <w:p>
            <w:pPr>
              <w:ind w:left="20"/>
              <w:spacing w:after="0"/>
              <w:rPr>
                <w:sz w:val="20"/>
                <w:szCs w:val="20"/>
                <w:color w:val="auto"/>
              </w:rPr>
            </w:pPr>
            <w:r>
              <w:rPr>
                <w:rFonts w:ascii="Arial" w:cs="Arial" w:eastAsia="Arial" w:hAnsi="Arial"/>
                <w:sz w:val="20"/>
                <w:szCs w:val="20"/>
                <w:color w:val="auto"/>
              </w:rPr>
              <w:t>Quantitative and Qualitative Disclosures About Market Risk</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42</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8</w:t>
            </w:r>
          </w:p>
        </w:tc>
        <w:tc>
          <w:tcPr>
            <w:tcW w:w="8560" w:type="dxa"/>
            <w:vAlign w:val="bottom"/>
          </w:tcPr>
          <w:p>
            <w:pPr>
              <w:ind w:left="20"/>
              <w:spacing w:after="0"/>
              <w:rPr>
                <w:sz w:val="20"/>
                <w:szCs w:val="20"/>
                <w:color w:val="auto"/>
              </w:rPr>
            </w:pPr>
            <w:r>
              <w:rPr>
                <w:rFonts w:ascii="Arial" w:cs="Arial" w:eastAsia="Arial" w:hAnsi="Arial"/>
                <w:sz w:val="20"/>
                <w:szCs w:val="20"/>
                <w:color w:val="auto"/>
              </w:rPr>
              <w:t>Financial Statements and Supplementary Data</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45</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9</w:t>
            </w:r>
          </w:p>
        </w:tc>
        <w:tc>
          <w:tcPr>
            <w:tcW w:w="8560" w:type="dxa"/>
            <w:vAlign w:val="bottom"/>
          </w:tcPr>
          <w:p>
            <w:pPr>
              <w:ind w:left="20"/>
              <w:spacing w:after="0"/>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860" w:type="dxa"/>
            <w:vAlign w:val="bottom"/>
          </w:tcPr>
          <w:p>
            <w:pPr>
              <w:jc w:val="center"/>
              <w:ind w:left="1"/>
              <w:spacing w:after="0"/>
              <w:rPr>
                <w:sz w:val="20"/>
                <w:szCs w:val="20"/>
                <w:color w:val="auto"/>
              </w:rPr>
            </w:pPr>
            <w:r>
              <w:rPr>
                <w:rFonts w:ascii="Arial" w:cs="Arial" w:eastAsia="Arial" w:hAnsi="Arial"/>
                <w:sz w:val="20"/>
                <w:szCs w:val="20"/>
                <w:color w:val="auto"/>
              </w:rPr>
              <w:t>88</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9A</w:t>
            </w:r>
          </w:p>
        </w:tc>
        <w:tc>
          <w:tcPr>
            <w:tcW w:w="8560" w:type="dxa"/>
            <w:vAlign w:val="bottom"/>
          </w:tcPr>
          <w:p>
            <w:pPr>
              <w:ind w:left="20"/>
              <w:spacing w:after="0"/>
              <w:rPr>
                <w:sz w:val="20"/>
                <w:szCs w:val="20"/>
                <w:color w:val="auto"/>
              </w:rPr>
            </w:pPr>
            <w:r>
              <w:rPr>
                <w:rFonts w:ascii="Arial" w:cs="Arial" w:eastAsia="Arial" w:hAnsi="Arial"/>
                <w:sz w:val="20"/>
                <w:szCs w:val="20"/>
                <w:color w:val="auto"/>
              </w:rPr>
              <w:t>Controls and Procedures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88</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9B</w:t>
            </w:r>
          </w:p>
        </w:tc>
        <w:tc>
          <w:tcPr>
            <w:tcW w:w="8560" w:type="dxa"/>
            <w:vAlign w:val="bottom"/>
          </w:tcPr>
          <w:p>
            <w:pPr>
              <w:ind w:left="20"/>
              <w:spacing w:after="0"/>
              <w:rPr>
                <w:sz w:val="20"/>
                <w:szCs w:val="20"/>
                <w:color w:val="auto"/>
              </w:rPr>
            </w:pPr>
            <w:r>
              <w:rPr>
                <w:rFonts w:ascii="Arial" w:cs="Arial" w:eastAsia="Arial" w:hAnsi="Arial"/>
                <w:sz w:val="20"/>
                <w:szCs w:val="20"/>
                <w:color w:val="auto"/>
              </w:rPr>
              <w:t>Other Information</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88</w:t>
            </w:r>
          </w:p>
        </w:tc>
      </w:tr>
      <w:tr>
        <w:trPr>
          <w:trHeight w:val="271"/>
        </w:trPr>
        <w:tc>
          <w:tcPr>
            <w:tcW w:w="1380" w:type="dxa"/>
            <w:vAlign w:val="bottom"/>
          </w:tcPr>
          <w:p>
            <w:pPr>
              <w:ind w:left="80"/>
              <w:spacing w:after="0"/>
              <w:rPr>
                <w:sz w:val="20"/>
                <w:szCs w:val="20"/>
                <w:color w:val="auto"/>
              </w:rPr>
            </w:pPr>
            <w:r>
              <w:rPr>
                <w:rFonts w:ascii="Arial" w:cs="Arial" w:eastAsia="Arial" w:hAnsi="Arial"/>
                <w:sz w:val="20"/>
                <w:szCs w:val="20"/>
                <w:color w:val="auto"/>
              </w:rPr>
              <w:t>Item 9C</w:t>
            </w:r>
          </w:p>
        </w:tc>
        <w:tc>
          <w:tcPr>
            <w:tcW w:w="8560" w:type="dxa"/>
            <w:vAlign w:val="bottom"/>
          </w:tcPr>
          <w:p>
            <w:pPr>
              <w:ind w:left="20"/>
              <w:spacing w:after="0"/>
              <w:rPr>
                <w:sz w:val="20"/>
                <w:szCs w:val="20"/>
                <w:color w:val="auto"/>
              </w:rPr>
            </w:pPr>
            <w:r>
              <w:rPr>
                <w:rFonts w:ascii="Arial" w:cs="Arial" w:eastAsia="Arial" w:hAnsi="Arial"/>
                <w:sz w:val="20"/>
                <w:szCs w:val="20"/>
                <w:color w:val="auto"/>
              </w:rPr>
              <w:t>Disclosures Regarding Foreign Jurisdictions that Prevent Inspections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88</w:t>
            </w:r>
          </w:p>
        </w:tc>
      </w:tr>
      <w:tr>
        <w:trPr>
          <w:trHeight w:val="208"/>
        </w:trPr>
        <w:tc>
          <w:tcPr>
            <w:tcW w:w="1380" w:type="dxa"/>
            <w:vAlign w:val="bottom"/>
            <w:tcBorders>
              <w:bottom w:val="single" w:sz="8" w:color="537BB5"/>
            </w:tcBorders>
          </w:tcPr>
          <w:p>
            <w:pPr>
              <w:spacing w:after="0"/>
              <w:rPr>
                <w:sz w:val="18"/>
                <w:szCs w:val="18"/>
                <w:color w:val="auto"/>
              </w:rPr>
            </w:pPr>
          </w:p>
        </w:tc>
        <w:tc>
          <w:tcPr>
            <w:tcW w:w="8560" w:type="dxa"/>
            <w:vAlign w:val="bottom"/>
            <w:tcBorders>
              <w:bottom w:val="single" w:sz="8" w:color="537BB5"/>
            </w:tcBorders>
          </w:tcPr>
          <w:p>
            <w:pPr>
              <w:spacing w:after="0"/>
              <w:rPr>
                <w:sz w:val="18"/>
                <w:szCs w:val="18"/>
                <w:color w:val="auto"/>
              </w:rPr>
            </w:pPr>
          </w:p>
        </w:tc>
        <w:tc>
          <w:tcPr>
            <w:tcW w:w="860" w:type="dxa"/>
            <w:vAlign w:val="bottom"/>
            <w:tcBorders>
              <w:bottom w:val="single" w:sz="8" w:color="537BB5"/>
            </w:tcBorders>
          </w:tcPr>
          <w:p>
            <w:pPr>
              <w:spacing w:after="0"/>
              <w:rPr>
                <w:sz w:val="18"/>
                <w:szCs w:val="18"/>
                <w:color w:val="auto"/>
              </w:rPr>
            </w:pPr>
          </w:p>
        </w:tc>
      </w:tr>
      <w:tr>
        <w:trPr>
          <w:trHeight w:val="281"/>
        </w:trPr>
        <w:tc>
          <w:tcPr>
            <w:tcW w:w="1380" w:type="dxa"/>
            <w:vAlign w:val="bottom"/>
          </w:tcPr>
          <w:p>
            <w:pPr>
              <w:ind w:left="80"/>
              <w:spacing w:after="0"/>
              <w:rPr>
                <w:sz w:val="20"/>
                <w:szCs w:val="20"/>
                <w:color w:val="auto"/>
              </w:rPr>
            </w:pPr>
            <w:r>
              <w:rPr>
                <w:rFonts w:ascii="Arial" w:cs="Arial" w:eastAsia="Arial" w:hAnsi="Arial"/>
                <w:sz w:val="20"/>
                <w:szCs w:val="20"/>
                <w:color w:val="537BB5"/>
              </w:rPr>
              <w:t>PART III</w:t>
            </w:r>
          </w:p>
        </w:tc>
        <w:tc>
          <w:tcPr>
            <w:tcW w:w="8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10</w:t>
            </w:r>
          </w:p>
        </w:tc>
        <w:tc>
          <w:tcPr>
            <w:tcW w:w="8560" w:type="dxa"/>
            <w:vAlign w:val="bottom"/>
          </w:tcPr>
          <w:p>
            <w:pPr>
              <w:ind w:left="20"/>
              <w:spacing w:after="0"/>
              <w:rPr>
                <w:sz w:val="20"/>
                <w:szCs w:val="20"/>
                <w:color w:val="auto"/>
              </w:rPr>
            </w:pPr>
            <w:r>
              <w:rPr>
                <w:rFonts w:ascii="Arial" w:cs="Arial" w:eastAsia="Arial" w:hAnsi="Arial"/>
                <w:sz w:val="20"/>
                <w:szCs w:val="20"/>
                <w:color w:val="auto"/>
              </w:rPr>
              <w:t>Directors, Executive Officers and Corporate Governance</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89</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11</w:t>
            </w:r>
          </w:p>
        </w:tc>
        <w:tc>
          <w:tcPr>
            <w:tcW w:w="8560" w:type="dxa"/>
            <w:vAlign w:val="bottom"/>
          </w:tcPr>
          <w:p>
            <w:pPr>
              <w:ind w:left="20"/>
              <w:spacing w:after="0"/>
              <w:rPr>
                <w:sz w:val="20"/>
                <w:szCs w:val="20"/>
                <w:color w:val="auto"/>
              </w:rPr>
            </w:pPr>
            <w:r>
              <w:rPr>
                <w:rFonts w:ascii="Arial" w:cs="Arial" w:eastAsia="Arial" w:hAnsi="Arial"/>
                <w:sz w:val="20"/>
                <w:szCs w:val="20"/>
                <w:color w:val="auto"/>
              </w:rPr>
              <w:t>Executive Compensation</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89</w:t>
            </w:r>
          </w:p>
        </w:tc>
      </w:tr>
      <w:tr>
        <w:trPr>
          <w:trHeight w:val="230"/>
        </w:trPr>
        <w:tc>
          <w:tcPr>
            <w:tcW w:w="1380" w:type="dxa"/>
            <w:vAlign w:val="bottom"/>
          </w:tcPr>
          <w:p>
            <w:pPr>
              <w:ind w:left="80"/>
              <w:spacing w:after="0"/>
              <w:rPr>
                <w:sz w:val="20"/>
                <w:szCs w:val="20"/>
                <w:color w:val="auto"/>
              </w:rPr>
            </w:pPr>
            <w:r>
              <w:rPr>
                <w:rFonts w:ascii="Arial" w:cs="Arial" w:eastAsia="Arial" w:hAnsi="Arial"/>
                <w:sz w:val="20"/>
                <w:szCs w:val="20"/>
                <w:color w:val="auto"/>
              </w:rPr>
              <w:t>Item 12</w:t>
            </w:r>
          </w:p>
        </w:tc>
        <w:tc>
          <w:tcPr>
            <w:tcW w:w="8560" w:type="dxa"/>
            <w:vAlign w:val="bottom"/>
          </w:tcPr>
          <w:p>
            <w:pPr>
              <w:ind w:left="20"/>
              <w:spacing w:after="0"/>
              <w:rPr>
                <w:sz w:val="20"/>
                <w:szCs w:val="20"/>
                <w:color w:val="auto"/>
              </w:rPr>
            </w:pPr>
            <w:r>
              <w:rPr>
                <w:rFonts w:ascii="Arial" w:cs="Arial" w:eastAsia="Arial" w:hAnsi="Arial"/>
                <w:sz w:val="20"/>
                <w:szCs w:val="20"/>
                <w:color w:val="auto"/>
              </w:rPr>
              <w:t>Security Ownership of Certain Beneficial Owners and Management and Related Stockholder</w:t>
            </w:r>
          </w:p>
        </w:tc>
        <w:tc>
          <w:tcPr>
            <w:tcW w:w="860" w:type="dxa"/>
            <w:vAlign w:val="bottom"/>
          </w:tcPr>
          <w:p>
            <w:pPr>
              <w:spacing w:after="0"/>
              <w:rPr>
                <w:sz w:val="19"/>
                <w:szCs w:val="19"/>
                <w:color w:val="auto"/>
              </w:rPr>
            </w:pPr>
          </w:p>
        </w:tc>
      </w:tr>
      <w:tr>
        <w:trPr>
          <w:trHeight w:val="270"/>
        </w:trPr>
        <w:tc>
          <w:tcPr>
            <w:tcW w:w="1380" w:type="dxa"/>
            <w:vAlign w:val="bottom"/>
          </w:tcPr>
          <w:p>
            <w:pPr>
              <w:spacing w:after="0"/>
              <w:rPr>
                <w:sz w:val="23"/>
                <w:szCs w:val="23"/>
                <w:color w:val="auto"/>
              </w:rPr>
            </w:pPr>
          </w:p>
        </w:tc>
        <w:tc>
          <w:tcPr>
            <w:tcW w:w="8560" w:type="dxa"/>
            <w:vAlign w:val="bottom"/>
          </w:tcPr>
          <w:p>
            <w:pPr>
              <w:ind w:left="200"/>
              <w:spacing w:after="0"/>
              <w:rPr>
                <w:sz w:val="20"/>
                <w:szCs w:val="20"/>
                <w:color w:val="auto"/>
              </w:rPr>
            </w:pPr>
            <w:r>
              <w:rPr>
                <w:rFonts w:ascii="Arial" w:cs="Arial" w:eastAsia="Arial" w:hAnsi="Arial"/>
                <w:sz w:val="20"/>
                <w:szCs w:val="20"/>
                <w:color w:val="auto"/>
              </w:rPr>
              <w:t>Matters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90</w:t>
            </w: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13</w:t>
            </w:r>
          </w:p>
        </w:tc>
        <w:tc>
          <w:tcPr>
            <w:tcW w:w="8560" w:type="dxa"/>
            <w:vAlign w:val="bottom"/>
          </w:tcPr>
          <w:p>
            <w:pPr>
              <w:ind w:left="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860" w:type="dxa"/>
            <w:vAlign w:val="bottom"/>
          </w:tcPr>
          <w:p>
            <w:pPr>
              <w:jc w:val="center"/>
              <w:ind w:left="1"/>
              <w:spacing w:after="0"/>
              <w:rPr>
                <w:sz w:val="20"/>
                <w:szCs w:val="20"/>
                <w:color w:val="auto"/>
              </w:rPr>
            </w:pPr>
            <w:r>
              <w:rPr>
                <w:rFonts w:ascii="Arial" w:cs="Arial" w:eastAsia="Arial" w:hAnsi="Arial"/>
                <w:sz w:val="20"/>
                <w:szCs w:val="20"/>
                <w:color w:val="auto"/>
              </w:rPr>
              <w:t>90</w:t>
            </w:r>
          </w:p>
        </w:tc>
      </w:tr>
      <w:tr>
        <w:trPr>
          <w:trHeight w:val="271"/>
        </w:trPr>
        <w:tc>
          <w:tcPr>
            <w:tcW w:w="1380" w:type="dxa"/>
            <w:vAlign w:val="bottom"/>
          </w:tcPr>
          <w:p>
            <w:pPr>
              <w:ind w:left="80"/>
              <w:spacing w:after="0"/>
              <w:rPr>
                <w:sz w:val="20"/>
                <w:szCs w:val="20"/>
                <w:color w:val="auto"/>
              </w:rPr>
            </w:pPr>
            <w:r>
              <w:rPr>
                <w:rFonts w:ascii="Arial" w:cs="Arial" w:eastAsia="Arial" w:hAnsi="Arial"/>
                <w:sz w:val="20"/>
                <w:szCs w:val="20"/>
                <w:color w:val="auto"/>
              </w:rPr>
              <w:t>Item 14</w:t>
            </w:r>
          </w:p>
        </w:tc>
        <w:tc>
          <w:tcPr>
            <w:tcW w:w="8560" w:type="dxa"/>
            <w:vAlign w:val="bottom"/>
          </w:tcPr>
          <w:p>
            <w:pPr>
              <w:ind w:left="20"/>
              <w:spacing w:after="0"/>
              <w:rPr>
                <w:sz w:val="20"/>
                <w:szCs w:val="20"/>
                <w:color w:val="auto"/>
              </w:rPr>
            </w:pPr>
            <w:r>
              <w:rPr>
                <w:rFonts w:ascii="Arial" w:cs="Arial" w:eastAsia="Arial" w:hAnsi="Arial"/>
                <w:sz w:val="20"/>
                <w:szCs w:val="20"/>
                <w:color w:val="auto"/>
              </w:rPr>
              <w:t>Principal Accounting Fees and Services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90</w:t>
            </w:r>
          </w:p>
        </w:tc>
      </w:tr>
      <w:tr>
        <w:trPr>
          <w:trHeight w:val="208"/>
        </w:trPr>
        <w:tc>
          <w:tcPr>
            <w:tcW w:w="1380" w:type="dxa"/>
            <w:vAlign w:val="bottom"/>
            <w:tcBorders>
              <w:bottom w:val="single" w:sz="8" w:color="537BB5"/>
            </w:tcBorders>
          </w:tcPr>
          <w:p>
            <w:pPr>
              <w:spacing w:after="0"/>
              <w:rPr>
                <w:sz w:val="18"/>
                <w:szCs w:val="18"/>
                <w:color w:val="auto"/>
              </w:rPr>
            </w:pPr>
          </w:p>
        </w:tc>
        <w:tc>
          <w:tcPr>
            <w:tcW w:w="8560" w:type="dxa"/>
            <w:vAlign w:val="bottom"/>
            <w:tcBorders>
              <w:bottom w:val="single" w:sz="8" w:color="537BB5"/>
            </w:tcBorders>
          </w:tcPr>
          <w:p>
            <w:pPr>
              <w:spacing w:after="0"/>
              <w:rPr>
                <w:sz w:val="18"/>
                <w:szCs w:val="18"/>
                <w:color w:val="auto"/>
              </w:rPr>
            </w:pPr>
          </w:p>
        </w:tc>
        <w:tc>
          <w:tcPr>
            <w:tcW w:w="860" w:type="dxa"/>
            <w:vAlign w:val="bottom"/>
            <w:tcBorders>
              <w:bottom w:val="single" w:sz="8" w:color="537BB5"/>
            </w:tcBorders>
          </w:tcPr>
          <w:p>
            <w:pPr>
              <w:spacing w:after="0"/>
              <w:rPr>
                <w:sz w:val="18"/>
                <w:szCs w:val="18"/>
                <w:color w:val="auto"/>
              </w:rPr>
            </w:pPr>
          </w:p>
        </w:tc>
      </w:tr>
      <w:tr>
        <w:trPr>
          <w:trHeight w:val="281"/>
        </w:trPr>
        <w:tc>
          <w:tcPr>
            <w:tcW w:w="1380" w:type="dxa"/>
            <w:vAlign w:val="bottom"/>
          </w:tcPr>
          <w:p>
            <w:pPr>
              <w:ind w:left="80"/>
              <w:spacing w:after="0"/>
              <w:rPr>
                <w:sz w:val="20"/>
                <w:szCs w:val="20"/>
                <w:color w:val="auto"/>
              </w:rPr>
            </w:pPr>
            <w:r>
              <w:rPr>
                <w:rFonts w:ascii="Arial" w:cs="Arial" w:eastAsia="Arial" w:hAnsi="Arial"/>
                <w:sz w:val="20"/>
                <w:szCs w:val="20"/>
                <w:color w:val="537BB5"/>
              </w:rPr>
              <w:t>PART IV</w:t>
            </w:r>
          </w:p>
        </w:tc>
        <w:tc>
          <w:tcPr>
            <w:tcW w:w="8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380" w:type="dxa"/>
            <w:vAlign w:val="bottom"/>
          </w:tcPr>
          <w:p>
            <w:pPr>
              <w:ind w:left="80"/>
              <w:spacing w:after="0"/>
              <w:rPr>
                <w:sz w:val="20"/>
                <w:szCs w:val="20"/>
                <w:color w:val="auto"/>
              </w:rPr>
            </w:pPr>
            <w:r>
              <w:rPr>
                <w:rFonts w:ascii="Arial" w:cs="Arial" w:eastAsia="Arial" w:hAnsi="Arial"/>
                <w:sz w:val="20"/>
                <w:szCs w:val="20"/>
                <w:color w:val="auto"/>
              </w:rPr>
              <w:t>Item 15</w:t>
            </w:r>
          </w:p>
        </w:tc>
        <w:tc>
          <w:tcPr>
            <w:tcW w:w="8560" w:type="dxa"/>
            <w:vAlign w:val="bottom"/>
          </w:tcPr>
          <w:p>
            <w:pPr>
              <w:ind w:left="20"/>
              <w:spacing w:after="0"/>
              <w:rPr>
                <w:sz w:val="20"/>
                <w:szCs w:val="20"/>
                <w:color w:val="auto"/>
              </w:rPr>
            </w:pPr>
            <w:r>
              <w:rPr>
                <w:rFonts w:ascii="Arial" w:cs="Arial" w:eastAsia="Arial" w:hAnsi="Arial"/>
                <w:sz w:val="20"/>
                <w:szCs w:val="20"/>
                <w:color w:val="auto"/>
              </w:rPr>
              <w:t>Exhibits and Financial Statement Schedules</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91</w:t>
            </w:r>
          </w:p>
        </w:tc>
      </w:tr>
      <w:tr>
        <w:trPr>
          <w:trHeight w:val="271"/>
        </w:trPr>
        <w:tc>
          <w:tcPr>
            <w:tcW w:w="1380" w:type="dxa"/>
            <w:vAlign w:val="bottom"/>
          </w:tcPr>
          <w:p>
            <w:pPr>
              <w:ind w:left="80"/>
              <w:spacing w:after="0"/>
              <w:rPr>
                <w:sz w:val="20"/>
                <w:szCs w:val="20"/>
                <w:color w:val="auto"/>
              </w:rPr>
            </w:pPr>
            <w:r>
              <w:rPr>
                <w:rFonts w:ascii="Arial" w:cs="Arial" w:eastAsia="Arial" w:hAnsi="Arial"/>
                <w:sz w:val="20"/>
                <w:szCs w:val="20"/>
                <w:color w:val="auto"/>
              </w:rPr>
              <w:t>Item 16</w:t>
            </w:r>
          </w:p>
        </w:tc>
        <w:tc>
          <w:tcPr>
            <w:tcW w:w="8560" w:type="dxa"/>
            <w:vAlign w:val="bottom"/>
          </w:tcPr>
          <w:p>
            <w:pPr>
              <w:ind w:left="20"/>
              <w:spacing w:after="0"/>
              <w:rPr>
                <w:sz w:val="20"/>
                <w:szCs w:val="20"/>
                <w:color w:val="auto"/>
              </w:rPr>
            </w:pPr>
            <w:r>
              <w:rPr>
                <w:rFonts w:ascii="Arial" w:cs="Arial" w:eastAsia="Arial" w:hAnsi="Arial"/>
                <w:sz w:val="20"/>
                <w:szCs w:val="20"/>
                <w:color w:val="auto"/>
              </w:rPr>
              <w:t>Form 10-K Summary</w:t>
            </w: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94</w:t>
            </w:r>
          </w:p>
        </w:tc>
      </w:tr>
      <w:tr>
        <w:trPr>
          <w:trHeight w:val="208"/>
        </w:trPr>
        <w:tc>
          <w:tcPr>
            <w:tcW w:w="1380" w:type="dxa"/>
            <w:vAlign w:val="bottom"/>
            <w:tcBorders>
              <w:bottom w:val="single" w:sz="8" w:color="537BB5"/>
            </w:tcBorders>
          </w:tcPr>
          <w:p>
            <w:pPr>
              <w:spacing w:after="0"/>
              <w:rPr>
                <w:sz w:val="18"/>
                <w:szCs w:val="18"/>
                <w:color w:val="auto"/>
              </w:rPr>
            </w:pPr>
          </w:p>
        </w:tc>
        <w:tc>
          <w:tcPr>
            <w:tcW w:w="8560" w:type="dxa"/>
            <w:vAlign w:val="bottom"/>
            <w:tcBorders>
              <w:bottom w:val="single" w:sz="8" w:color="537BB5"/>
            </w:tcBorders>
          </w:tcPr>
          <w:p>
            <w:pPr>
              <w:spacing w:after="0"/>
              <w:rPr>
                <w:sz w:val="18"/>
                <w:szCs w:val="18"/>
                <w:color w:val="auto"/>
              </w:rPr>
            </w:pPr>
          </w:p>
        </w:tc>
        <w:tc>
          <w:tcPr>
            <w:tcW w:w="860" w:type="dxa"/>
            <w:vAlign w:val="bottom"/>
            <w:tcBorders>
              <w:bottom w:val="single" w:sz="8" w:color="537BB5"/>
            </w:tcBorders>
          </w:tcPr>
          <w:p>
            <w:pPr>
              <w:spacing w:after="0"/>
              <w:rPr>
                <w:sz w:val="18"/>
                <w:szCs w:val="18"/>
                <w:color w:val="auto"/>
              </w:rPr>
            </w:pPr>
          </w:p>
        </w:tc>
      </w:tr>
      <w:tr>
        <w:trPr>
          <w:trHeight w:val="322"/>
        </w:trPr>
        <w:tc>
          <w:tcPr>
            <w:tcW w:w="1380" w:type="dxa"/>
            <w:vAlign w:val="bottom"/>
          </w:tcPr>
          <w:p>
            <w:pPr>
              <w:ind w:left="80"/>
              <w:spacing w:after="0"/>
              <w:rPr>
                <w:sz w:val="20"/>
                <w:szCs w:val="20"/>
                <w:color w:val="auto"/>
              </w:rPr>
            </w:pPr>
            <w:r>
              <w:rPr>
                <w:rFonts w:ascii="Arial" w:cs="Arial" w:eastAsia="Arial" w:hAnsi="Arial"/>
                <w:sz w:val="20"/>
                <w:szCs w:val="20"/>
                <w:color w:val="auto"/>
                <w:w w:val="98"/>
              </w:rPr>
              <w:t>SIGNATURES</w:t>
            </w:r>
          </w:p>
        </w:tc>
        <w:tc>
          <w:tcPr>
            <w:tcW w:w="8560" w:type="dxa"/>
            <w:vAlign w:val="bottom"/>
          </w:tcPr>
          <w:p>
            <w:pPr>
              <w:spacing w:after="0"/>
              <w:rPr>
                <w:sz w:val="24"/>
                <w:szCs w:val="24"/>
                <w:color w:val="auto"/>
              </w:rPr>
            </w:pPr>
          </w:p>
        </w:tc>
        <w:tc>
          <w:tcPr>
            <w:tcW w:w="860" w:type="dxa"/>
            <w:vAlign w:val="bottom"/>
          </w:tcPr>
          <w:p>
            <w:pPr>
              <w:jc w:val="center"/>
              <w:ind w:left="21"/>
              <w:spacing w:after="0"/>
              <w:rPr>
                <w:sz w:val="20"/>
                <w:szCs w:val="20"/>
                <w:color w:val="auto"/>
              </w:rPr>
            </w:pPr>
            <w:r>
              <w:rPr>
                <w:rFonts w:ascii="Arial" w:cs="Arial" w:eastAsia="Arial" w:hAnsi="Arial"/>
                <w:sz w:val="20"/>
                <w:szCs w:val="20"/>
                <w:color w:val="auto"/>
                <w:w w:val="98"/>
              </w:rPr>
              <w:t>95</w:t>
            </w:r>
          </w:p>
        </w:tc>
      </w:tr>
    </w:tbl>
    <w:p>
      <w:pPr>
        <w:spacing w:after="0" w:line="200" w:lineRule="exact"/>
        <w:rPr>
          <w:sz w:val="20"/>
          <w:szCs w:val="20"/>
          <w:color w:val="auto"/>
        </w:rPr>
      </w:pPr>
    </w:p>
    <w:p>
      <w:pPr>
        <w:sectPr>
          <w:pgSz w:w="12240" w:h="15840" w:orient="portrait"/>
          <w:cols w:equalWidth="0" w:num="1">
            <w:col w:w="10800"/>
          </w:cols>
          <w:pgMar w:left="720" w:top="734" w:right="720"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-82550</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537BB5"/>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999pt" to="540pt,-6.4999pt" o:allowincell="f" strokecolor="#537BB5" strokeweight="0.5pt"/>
            </w:pict>
          </mc:Fallback>
        </mc:AlternateContent>
      </w:r>
    </w:p>
    <w:p>
      <w:pPr>
        <w:sectPr>
          <w:pgSz w:w="12240" w:h="15840" w:orient="portrait"/>
          <w:cols w:equalWidth="0" w:num="1">
            <w:col w:w="10800"/>
          </w:cols>
          <w:pgMar w:left="720" w:top="734" w:right="720" w:bottom="1440" w:gutter="0" w:footer="0" w:header="0"/>
          <w:type w:val="continuous"/>
        </w:sectPr>
      </w:pPr>
    </w:p>
    <w:bookmarkStart w:id="8" w:name="page9"/>
    <w:bookmarkEnd w:id="8"/>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 o:spid="_x0000_s103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08" w:lineRule="exact"/>
        <w:rPr>
          <w:sz w:val="20"/>
          <w:szCs w:val="20"/>
          <w:color w:val="auto"/>
        </w:rPr>
      </w:pPr>
    </w:p>
    <w:p>
      <w:pPr>
        <w:spacing w:after="0"/>
        <w:rPr>
          <w:sz w:val="20"/>
          <w:szCs w:val="20"/>
          <w:color w:val="auto"/>
        </w:rPr>
      </w:pPr>
      <w:r>
        <w:rPr>
          <w:rFonts w:ascii="Arial" w:cs="Arial" w:eastAsia="Arial" w:hAnsi="Arial"/>
          <w:sz w:val="46"/>
          <w:szCs w:val="46"/>
          <w:color w:val="537BB5"/>
        </w:rPr>
        <w:t>PART I</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terms “we,” “our,” “us,” "ManpowerGroup," or “the Company” refer to ManpowerGroup Inc. and its consolidated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 Business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Introduction and History</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ManpowerGroup Inc. is a global leader in innovative workforce solutions. Through our network of over 2,100 offices in approximately 75 countries and territories, we put millions of people to work each year with our global, multinational and local clients across all major industry segments. Our strong and distinct brands provide specialized solutions that drive organizations forward, accelerate individual success and help build more sustainable communities. We power the future of work.</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includes:</w:t>
      </w:r>
    </w:p>
    <w:p>
      <w:pPr>
        <w:spacing w:after="0" w:line="69" w:lineRule="exact"/>
        <w:rPr>
          <w:sz w:val="20"/>
          <w:szCs w:val="20"/>
          <w:color w:val="auto"/>
        </w:rPr>
      </w:pPr>
    </w:p>
    <w:p>
      <w:pPr>
        <w:jc w:val="both"/>
        <w:ind w:left="500" w:hanging="298"/>
        <w:spacing w:after="0" w:line="255" w:lineRule="auto"/>
        <w:tabs>
          <w:tab w:leader="none" w:pos="500" w:val="left"/>
        </w:tabs>
        <w:numPr>
          <w:ilvl w:val="0"/>
          <w:numId w:val="6"/>
        </w:numPr>
        <w:rPr>
          <w:rFonts w:ascii="Arial" w:cs="Arial" w:eastAsia="Arial" w:hAnsi="Arial"/>
          <w:sz w:val="20"/>
          <w:szCs w:val="20"/>
          <w:color w:val="537BB5"/>
        </w:rPr>
      </w:pPr>
      <w:r>
        <w:rPr>
          <w:rFonts w:ascii="Arial" w:cs="Arial" w:eastAsia="Arial" w:hAnsi="Arial"/>
          <w:sz w:val="20"/>
          <w:szCs w:val="20"/>
          <w:b w:val="1"/>
          <w:bCs w:val="1"/>
          <w:color w:val="auto"/>
        </w:rPr>
        <w:t xml:space="preserve">Recruitment and Assessment </w:t>
      </w:r>
      <w:r>
        <w:rPr>
          <w:rFonts w:ascii="Arial" w:cs="Arial" w:eastAsia="Arial" w:hAnsi="Arial"/>
          <w:sz w:val="20"/>
          <w:szCs w:val="20"/>
          <w:color w:val="auto"/>
        </w:rPr>
        <w:t>– By leveraging our trusted brands, industry knowledge and expertise, we identify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talent in the right place to help 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spacing w:after="0" w:line="75" w:lineRule="exact"/>
        <w:rPr>
          <w:rFonts w:ascii="Arial" w:cs="Arial" w:eastAsia="Arial" w:hAnsi="Arial"/>
          <w:sz w:val="20"/>
          <w:szCs w:val="20"/>
          <w:color w:val="537BB5"/>
        </w:rPr>
      </w:pPr>
    </w:p>
    <w:p>
      <w:pPr>
        <w:jc w:val="both"/>
        <w:ind w:left="500" w:hanging="298"/>
        <w:spacing w:after="0" w:line="255" w:lineRule="auto"/>
        <w:tabs>
          <w:tab w:leader="none" w:pos="500" w:val="left"/>
        </w:tabs>
        <w:numPr>
          <w:ilvl w:val="0"/>
          <w:numId w:val="6"/>
        </w:numPr>
        <w:rPr>
          <w:rFonts w:ascii="Arial" w:cs="Arial" w:eastAsia="Arial" w:hAnsi="Arial"/>
          <w:sz w:val="20"/>
          <w:szCs w:val="20"/>
          <w:color w:val="537BB5"/>
        </w:rPr>
      </w:pPr>
      <w:r>
        <w:rPr>
          <w:rFonts w:ascii="Arial" w:cs="Arial" w:eastAsia="Arial" w:hAnsi="Arial"/>
          <w:sz w:val="20"/>
          <w:szCs w:val="20"/>
          <w:b w:val="1"/>
          <w:bCs w:val="1"/>
          <w:color w:val="auto"/>
        </w:rPr>
        <w:t xml:space="preserve">Upskilling, Reskilling, Training and Development </w:t>
      </w:r>
      <w:r>
        <w:rPr>
          <w:rFonts w:ascii="Arial" w:cs="Arial" w:eastAsia="Arial" w:hAnsi="Arial"/>
          <w:sz w:val="20"/>
          <w:szCs w:val="20"/>
          <w:color w:val="auto"/>
        </w:rPr>
        <w:t>– Our global insights around evolving employer needs and our</w:t>
      </w:r>
      <w:r>
        <w:rPr>
          <w:rFonts w:ascii="Arial" w:cs="Arial" w:eastAsia="Arial" w:hAnsi="Arial"/>
          <w:sz w:val="20"/>
          <w:szCs w:val="20"/>
          <w:b w:val="1"/>
          <w:bCs w:val="1"/>
          <w:color w:val="auto"/>
        </w:rPr>
        <w:t xml:space="preserve"> </w:t>
      </w:r>
      <w:r>
        <w:rPr>
          <w:rFonts w:ascii="Arial" w:cs="Arial" w:eastAsia="Arial" w:hAnsi="Arial"/>
          <w:sz w:val="20"/>
          <w:szCs w:val="20"/>
          <w:color w:val="auto"/>
        </w:rPr>
        <w:t>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75" w:lineRule="exact"/>
        <w:rPr>
          <w:rFonts w:ascii="Arial" w:cs="Arial" w:eastAsia="Arial" w:hAnsi="Arial"/>
          <w:sz w:val="20"/>
          <w:szCs w:val="20"/>
          <w:color w:val="537BB5"/>
        </w:rPr>
      </w:pPr>
    </w:p>
    <w:p>
      <w:pPr>
        <w:jc w:val="both"/>
        <w:ind w:left="500" w:hanging="298"/>
        <w:spacing w:after="0" w:line="263" w:lineRule="auto"/>
        <w:tabs>
          <w:tab w:leader="none" w:pos="500" w:val="left"/>
        </w:tabs>
        <w:numPr>
          <w:ilvl w:val="0"/>
          <w:numId w:val="6"/>
        </w:numPr>
        <w:rPr>
          <w:rFonts w:ascii="Arial" w:cs="Arial" w:eastAsia="Arial" w:hAnsi="Arial"/>
          <w:sz w:val="20"/>
          <w:szCs w:val="20"/>
          <w:color w:val="537BB5"/>
        </w:rPr>
      </w:pPr>
      <w:r>
        <w:rPr>
          <w:rFonts w:ascii="Arial" w:cs="Arial" w:eastAsia="Arial" w:hAnsi="Arial"/>
          <w:sz w:val="20"/>
          <w:szCs w:val="20"/>
          <w:b w:val="1"/>
          <w:bCs w:val="1"/>
          <w:color w:val="auto"/>
        </w:rPr>
        <w:t xml:space="preserve">Career Management </w:t>
      </w:r>
      <w:r>
        <w:rPr>
          <w:rFonts w:ascii="Arial" w:cs="Arial" w:eastAsia="Arial" w:hAnsi="Arial"/>
          <w:sz w:val="20"/>
          <w:szCs w:val="20"/>
          <w:color w:val="auto"/>
        </w:rPr>
        <w:t>– We help individuals find meaningful work and manage their career journey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outplacement services and targeted skills development. By helping individuals and organizations manage workforce transitions and career changes, we unleash human potential.</w:t>
      </w:r>
    </w:p>
    <w:p>
      <w:pPr>
        <w:spacing w:after="0" w:line="67" w:lineRule="exact"/>
        <w:rPr>
          <w:rFonts w:ascii="Arial" w:cs="Arial" w:eastAsia="Arial" w:hAnsi="Arial"/>
          <w:sz w:val="20"/>
          <w:szCs w:val="20"/>
          <w:color w:val="537BB5"/>
        </w:rPr>
      </w:pPr>
    </w:p>
    <w:p>
      <w:pPr>
        <w:jc w:val="both"/>
        <w:ind w:left="500" w:hanging="298"/>
        <w:spacing w:after="0" w:line="263" w:lineRule="auto"/>
        <w:tabs>
          <w:tab w:leader="none" w:pos="500" w:val="left"/>
        </w:tabs>
        <w:numPr>
          <w:ilvl w:val="0"/>
          <w:numId w:val="6"/>
        </w:numPr>
        <w:rPr>
          <w:rFonts w:ascii="Arial" w:cs="Arial" w:eastAsia="Arial" w:hAnsi="Arial"/>
          <w:sz w:val="20"/>
          <w:szCs w:val="20"/>
          <w:color w:val="537BB5"/>
        </w:rPr>
      </w:pPr>
      <w:r>
        <w:rPr>
          <w:rFonts w:ascii="Arial" w:cs="Arial" w:eastAsia="Arial" w:hAnsi="Arial"/>
          <w:sz w:val="20"/>
          <w:szCs w:val="20"/>
          <w:b w:val="1"/>
          <w:bCs w:val="1"/>
          <w:color w:val="auto"/>
        </w:rPr>
        <w:t xml:space="preserve">Outsourcing </w:t>
      </w:r>
      <w:r>
        <w:rPr>
          <w:rFonts w:ascii="Arial" w:cs="Arial" w:eastAsia="Arial" w:hAnsi="Arial"/>
          <w:sz w:val="20"/>
          <w:szCs w:val="20"/>
          <w:color w:val="auto"/>
        </w:rPr>
        <w:t>– We provide clients with outsourcing services related to human resources functions primarily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areas of large-scale recruiting and workforce-intensive initiatives that are outcome-based, thereby sharing in the risk and reward with our clients.</w:t>
      </w:r>
    </w:p>
    <w:p>
      <w:pPr>
        <w:spacing w:after="0" w:line="67" w:lineRule="exact"/>
        <w:rPr>
          <w:rFonts w:ascii="Arial" w:cs="Arial" w:eastAsia="Arial" w:hAnsi="Arial"/>
          <w:sz w:val="20"/>
          <w:szCs w:val="20"/>
          <w:color w:val="537BB5"/>
        </w:rPr>
      </w:pPr>
    </w:p>
    <w:p>
      <w:pPr>
        <w:ind w:left="500" w:hanging="298"/>
        <w:spacing w:after="0" w:line="286" w:lineRule="auto"/>
        <w:tabs>
          <w:tab w:leader="none" w:pos="500" w:val="left"/>
        </w:tabs>
        <w:numPr>
          <w:ilvl w:val="0"/>
          <w:numId w:val="6"/>
        </w:numPr>
        <w:rPr>
          <w:rFonts w:ascii="Arial" w:cs="Arial" w:eastAsia="Arial" w:hAnsi="Arial"/>
          <w:sz w:val="20"/>
          <w:szCs w:val="20"/>
          <w:color w:val="537BB5"/>
        </w:rPr>
      </w:pPr>
      <w:r>
        <w:rPr>
          <w:rFonts w:ascii="Arial" w:cs="Arial" w:eastAsia="Arial" w:hAnsi="Arial"/>
          <w:sz w:val="20"/>
          <w:szCs w:val="20"/>
          <w:b w:val="1"/>
          <w:bCs w:val="1"/>
          <w:color w:val="auto"/>
        </w:rPr>
        <w:t xml:space="preserve">Workforce Consulting </w:t>
      </w:r>
      <w:r>
        <w:rPr>
          <w:rFonts w:ascii="Arial" w:cs="Arial" w:eastAsia="Arial" w:hAnsi="Arial"/>
          <w:sz w:val="20"/>
          <w:szCs w:val="20"/>
          <w:color w:val="auto"/>
        </w:rPr>
        <w:t>– We help clients create and transform their workforce strategy to achieve their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strategy, increase business agility and flexibility, and accelerate individuals' and business success.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Our expert family of global brands - Manpower, Experis and Talent Solutions - provide innovative workforce solutions across the globe for hundreds of thousands of organizations every year.</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Manpower </w:t>
      </w:r>
      <w:r>
        <w:rPr>
          <w:rFonts w:ascii="Arial" w:cs="Arial" w:eastAsia="Arial" w:hAnsi="Arial"/>
          <w:sz w:val="20"/>
          <w:szCs w:val="20"/>
          <w:color w:val="auto"/>
        </w:rPr>
        <w:t>is a global leader in contingent staffing and permanent recruitment, providing strategic and operational flexibility</w:t>
      </w:r>
      <w:r>
        <w:rPr>
          <w:rFonts w:ascii="Arial" w:cs="Arial" w:eastAsia="Arial" w:hAnsi="Arial"/>
          <w:sz w:val="20"/>
          <w:szCs w:val="20"/>
          <w:b w:val="1"/>
          <w:bCs w:val="1"/>
          <w:color w:val="auto"/>
        </w:rPr>
        <w:t xml:space="preserve"> </w:t>
      </w:r>
      <w:r>
        <w:rPr>
          <w:rFonts w:ascii="Arial" w:cs="Arial" w:eastAsia="Arial" w:hAnsi="Arial"/>
          <w:sz w:val="20"/>
          <w:szCs w:val="20"/>
          <w:color w:val="auto"/>
        </w:rPr>
        <w:t>to organizations and connecting 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Experis </w:t>
      </w:r>
      <w:r>
        <w:rPr>
          <w:rFonts w:ascii="Arial" w:cs="Arial" w:eastAsia="Arial" w:hAnsi="Arial"/>
          <w:sz w:val="20"/>
          <w:szCs w:val="20"/>
          <w:color w:val="auto"/>
        </w:rPr>
        <w:t>is a global leader in information technology (IT) professional resourcing and project services specializing in</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Applications, Business 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 xml:space="preserve">Talent Solutions </w:t>
      </w:r>
      <w:r>
        <w:rPr>
          <w:rFonts w:ascii="Arial" w:cs="Arial" w:eastAsia="Arial" w:hAnsi="Arial"/>
          <w:sz w:val="20"/>
          <w:szCs w:val="20"/>
          <w:color w:val="auto"/>
        </w:rPr>
        <w:t>combines leading global offerings Recruitment Process Outsourcing (RPO), TAPFIN - Managed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(MSP) and Right Management to provide data-driven capabilities that help organizations with their workforce transformation. Talent Solutions helps organizations more effectively source, manage and develop talent at scale. From talent attraction and acquisition to upskilling, development and retention, we leverage our integrated HR tech stack PowerSuite to deliver workforce solutions across multiple countries at scale.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800"/>
          </w:cols>
          <w:pgMar w:left="720" w:top="734" w:right="720" w:bottom="175"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3" o:spid="_x0000_s103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leadership position enables us to be a pathway to quality employment opportunities for people at all points in their career journey and we have connected people to meaningful work for over 75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and our predecessors, have been in business since 1948 when we were incorporated as a Wisconsin corporation, and have had our shares listed on the New York Stock Exchange since 1967.</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website is www.manpowergroup.com. The Investor Relations section (investor.manpowergroup.com)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spacing w:after="0" w:line="86" w:lineRule="exact"/>
        <w:rPr>
          <w:sz w:val="20"/>
          <w:szCs w:val="20"/>
          <w:color w:val="auto"/>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amended and restated articles of incorporation and amended and restated bylaws;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ManpowerGroup code of business conduct and ethics;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corporate governance guidelines;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insider trading policy;</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anti-corruption policy;</w:t>
      </w:r>
    </w:p>
    <w:p>
      <w:pPr>
        <w:spacing w:after="0" w:line="133" w:lineRule="exact"/>
        <w:rPr>
          <w:rFonts w:ascii="Arial" w:cs="Arial" w:eastAsia="Arial" w:hAnsi="Arial"/>
          <w:sz w:val="20"/>
          <w:szCs w:val="20"/>
          <w:color w:val="537BB5"/>
        </w:rPr>
      </w:pPr>
    </w:p>
    <w:p>
      <w:pPr>
        <w:ind w:left="500" w:right="520" w:hanging="298"/>
        <w:spacing w:after="0" w:line="282" w:lineRule="auto"/>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the charters of the Audit, People, Culture &amp; Compensation and Governance &amp; Sustainability Committees of the Board of Directors;</w:t>
      </w:r>
    </w:p>
    <w:p>
      <w:pPr>
        <w:spacing w:after="0" w:line="52"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guidelines for selecting board candidates;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categorical standards for relationships deemed not to impair independence of non-employee directors;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independent auditors' services policy;</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executive officer stock ownership guidelines;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outside director stock ownership guidelines; and</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7"/>
        </w:numPr>
        <w:rPr>
          <w:rFonts w:ascii="Arial" w:cs="Arial" w:eastAsia="Arial" w:hAnsi="Arial"/>
          <w:sz w:val="20"/>
          <w:szCs w:val="20"/>
          <w:color w:val="537BB5"/>
        </w:rPr>
      </w:pPr>
      <w:r>
        <w:rPr>
          <w:rFonts w:ascii="Arial" w:cs="Arial" w:eastAsia="Arial" w:hAnsi="Arial"/>
          <w:sz w:val="20"/>
          <w:szCs w:val="20"/>
          <w:color w:val="auto"/>
        </w:rPr>
        <w:t>our regular updates on sustainability.</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Documents available on the website are also available in print for any shareholder who requests them. Requests may be made by writing to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Our Operations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10800"/>
          </w:cols>
          <w:pgMar w:left="720" w:top="734" w:right="720" w:bottom="175" w:gutter="0" w:footer="0" w:header="0"/>
          <w:type w:val="continuous"/>
        </w:sectPr>
      </w:pPr>
    </w:p>
    <w:bookmarkStart w:id="10" w:name="page11"/>
    <w:bookmarkEnd w:id="10"/>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4" o:spid="_x0000_s103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nature of our operations is such that our most significant current asset is accounts receivable, with a days sales outstanding of 52 days as of December 31, 2024.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positions and cash flows each period. Any increase in operating cash flows from an economic slowdown would not be sustained in the event that a downturn continues for an extended period.</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During the last several years, secular trends toward greater workforce flexibility have impacted the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over 75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Americas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provide services as Manpower, Experis and Talent Solutions through both branch and franchise offices. The Americas segment had 416 branch and 137 franchise offices as of December 31, 2024. In the United States, where we realized 65% of the Americas’ revenue, we had 288 branch and 130 franchise offices as of December 31, 2024, as well as on-site locations at clients with significant permanent, temporary and contract recruitment requirements. In Other Americas, the largest operations of which include Canada, Mexico and Colombia, we had 128 branch and 7 franchise offices as of December 31, 2024. We provide a number of central support services to our branches and franchises, which enable us to maintain consistent service quality throughout the region regardless of whether an office is a branch or franchise.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10800"/>
          </w:cols>
          <w:pgMar w:left="720" w:top="734" w:right="720" w:bottom="175" w:gutter="0" w:footer="0" w:header="0"/>
          <w:type w:val="continuous"/>
        </w:sectPr>
      </w:pPr>
    </w:p>
    <w:bookmarkStart w:id="11" w:name="page12"/>
    <w:bookmarkEnd w:id="1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5" o:spid="_x0000_s104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Manpower and Experis operations provide a variety of workforce solutions and services, including permanent, temporary and contract recruitment, assessment and selection, and training. Our Talent Solutions operations provide a variety of workforce solutions offerings including RPO, MSP and Right Management. During 2024 in this segment, 90% of revenues were derived from our staffing/interim services, 4% from permanent recruitment services, 2% from outcome-based solutions and consulting and 4% from other services.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Southern Europe</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We are a leading provider of permanent, temporary and contract recruitment, assessment and selection, training and outsourcing services throughout Europe. The Southern Europe segment had 1,166 branch offices as of December 31, 2024. Our largest operations in this segment are in France (56% of the segment revenue) and Italy (20% of the segment revenue).</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conduct our operations in France as a leading workforce solutions and service provider through 647 branch offices as Manpower, Experis and Talent Solutions, and 169 branch offices under the name Supplay as of December 31, 2024. The employment services market in France calls for a wide range of our services including permanent, temporary and contract recruitment, assessment and selection, and training. The temporary recruitment market is predominantly focused on recruitment for industrial positions. During 2024 in France, 91% of revenues were derived from our staffing/interim services, 1% from permanent recruitment services, 6% from outcome-based solutions and consulting and 2% from other services.</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Italy, we are a leading workforce solutions and services provider. As of December 31, 2024, ManpowerGroup Italy conducted operations through a network of 204 branch offices. It provides a comprehensive suite of workforce solutions and services offered through Manpower, Experis or Talent Solutions, including permanent, temporary and contract recruitment, assessment and selection, training and outsourcing. During 2024 in Italy, 93% of revenues were derived from our staffing/interim services, 3% from permanent recruitment services, 2% from outcome-based solutions and consulting and 2% from other services.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Northern Europe</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largest operations in Northern Europe are in the United Kingdom, the Nordics, Germany, the Netherlands and Belgium providing a comprehensive suite of workforce solutions and services through Manpower, Experis, and Talent Solutions. Collectively, we operate through 282 branch offices in this region.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the United Kingdom, where we have the largest operation in this segment, we are a leading provider of workforce solutions and services. As of December 31, 2024, we conducted operations in the United Kingdom as Manpower, Experis and Talent Solutions through a network of 46 branch offices and also provided on-site services to clients who have significant permanent, temporary and contract recruitment requirements.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During 2024 in Northern Europe, 85% of revenues were derived from our staffing/interim services, 4% from permanent recruitment services, 8% from outcome-based solutions and consulting and 3% from other services.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APME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operate through 110 branch offices in the Asia Pacific Middle East (APME) region. The largest of these operations are located in Japan and India,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2024 in this segment, 81% of revenues were derived from our staffing/interim services, 2% from permanent recruitment services, 15% from outcome-based solutions and consulting and 2% from other services.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10800"/>
          </w:cols>
          <w:pgMar w:left="720" w:top="734" w:right="720" w:bottom="175" w:gutter="0" w:footer="0" w:header="0"/>
          <w:type w:val="continuous"/>
        </w:sectPr>
      </w:pPr>
    </w:p>
    <w:bookmarkStart w:id="12" w:name="page13"/>
    <w:bookmarkEnd w:id="12"/>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6" o:spid="_x0000_s104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Competition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as well as low entry costs for small firms wishing to compete in the industry, especially at the local level.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client mix consists of both small- and medium-size businesses, and large national and multinational clients. Client relationships with small- and medium-size businesses are based on a local or regional relationship, and tend to rely less on longer-term contracts, and the competitors for this business are primarily locally-owned businesses. On the other hand, the large national and multinational clients, which comprised approximately 60% of our revenues in 2024,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Legal Regulations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employment services industry is closely regulated in all of the major markets in which we operate, except the United States, the United Kingdom, Canada and Australia. Employment services firms are generally subject to one or more of the following types of government regulation:</w:t>
      </w:r>
    </w:p>
    <w:p>
      <w:pPr>
        <w:spacing w:after="0" w:line="73" w:lineRule="exact"/>
        <w:rPr>
          <w:sz w:val="20"/>
          <w:szCs w:val="20"/>
          <w:color w:val="auto"/>
        </w:rPr>
      </w:pPr>
    </w:p>
    <w:p>
      <w:pPr>
        <w:ind w:left="500" w:hanging="298"/>
        <w:spacing w:after="0"/>
        <w:tabs>
          <w:tab w:leader="none" w:pos="500" w:val="left"/>
        </w:tabs>
        <w:numPr>
          <w:ilvl w:val="0"/>
          <w:numId w:val="8"/>
        </w:numPr>
        <w:rPr>
          <w:rFonts w:ascii="Arial" w:cs="Arial" w:eastAsia="Arial" w:hAnsi="Arial"/>
          <w:sz w:val="20"/>
          <w:szCs w:val="20"/>
          <w:color w:val="537BB5"/>
        </w:rPr>
      </w:pPr>
      <w:r>
        <w:rPr>
          <w:rFonts w:ascii="Arial" w:cs="Arial" w:eastAsia="Arial" w:hAnsi="Arial"/>
          <w:sz w:val="20"/>
          <w:szCs w:val="20"/>
          <w:color w:val="auto"/>
        </w:rPr>
        <w:t>regulation of the employer/employee relationship between the firm and its temporary and contract employees;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8"/>
        </w:numPr>
        <w:rPr>
          <w:rFonts w:ascii="Arial" w:cs="Arial" w:eastAsia="Arial" w:hAnsi="Arial"/>
          <w:sz w:val="20"/>
          <w:szCs w:val="20"/>
          <w:color w:val="537BB5"/>
        </w:rPr>
      </w:pPr>
      <w:r>
        <w:rPr>
          <w:rFonts w:ascii="Arial" w:cs="Arial" w:eastAsia="Arial" w:hAnsi="Arial"/>
          <w:sz w:val="20"/>
          <w:szCs w:val="20"/>
          <w:color w:val="auto"/>
        </w:rPr>
        <w:t>registration, licensing, record keeping and reporting requirements;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8"/>
        </w:numPr>
        <w:rPr>
          <w:rFonts w:ascii="Arial" w:cs="Arial" w:eastAsia="Arial" w:hAnsi="Arial"/>
          <w:sz w:val="20"/>
          <w:szCs w:val="20"/>
          <w:color w:val="537BB5"/>
        </w:rPr>
      </w:pPr>
      <w:r>
        <w:rPr>
          <w:rFonts w:ascii="Arial" w:cs="Arial" w:eastAsia="Arial" w:hAnsi="Arial"/>
          <w:sz w:val="20"/>
          <w:szCs w:val="20"/>
          <w:color w:val="auto"/>
        </w:rPr>
        <w:t>substantive limitations on the operations or the use of temporary and contract employees by clients; and</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8"/>
        </w:numPr>
        <w:rPr>
          <w:rFonts w:ascii="Arial" w:cs="Arial" w:eastAsia="Arial" w:hAnsi="Arial"/>
          <w:sz w:val="20"/>
          <w:szCs w:val="20"/>
          <w:color w:val="537BB5"/>
        </w:rPr>
      </w:pPr>
      <w:r>
        <w:rPr>
          <w:rFonts w:ascii="Arial" w:cs="Arial" w:eastAsia="Arial" w:hAnsi="Arial"/>
          <w:sz w:val="20"/>
          <w:szCs w:val="20"/>
          <w:color w:val="auto"/>
        </w:rPr>
        <w:t>regulation that requires new or additional benefits and pay parity for our associates.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10800"/>
          </w:cols>
          <w:pgMar w:left="720" w:top="734" w:right="720" w:bottom="175"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7" o:spid="_x0000_s104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after assignment termination.</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Our outplacement and consulting services generally are not subject to governmental regulation in the markets in which we operate.</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Trademarks</w:t>
      </w:r>
    </w:p>
    <w:p>
      <w:pPr>
        <w:spacing w:after="0" w:line="116"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5"/>
          <w:szCs w:val="25"/>
          <w:color w:val="auto"/>
          <w:vertAlign w:val="superscript"/>
        </w:rPr>
        <w:t>®</w:t>
      </w:r>
      <w:r>
        <w:rPr>
          <w:rFonts w:ascii="Arial" w:cs="Arial" w:eastAsia="Arial" w:hAnsi="Arial"/>
          <w:sz w:val="19"/>
          <w:szCs w:val="19"/>
          <w:color w:val="auto"/>
        </w:rPr>
        <w:t>, Manpower</w:t>
      </w:r>
      <w:r>
        <w:rPr>
          <w:rFonts w:ascii="Arial" w:cs="Arial" w:eastAsia="Arial" w:hAnsi="Arial"/>
          <w:sz w:val="25"/>
          <w:szCs w:val="25"/>
          <w:color w:val="auto"/>
          <w:vertAlign w:val="superscript"/>
        </w:rPr>
        <w:t>®</w:t>
      </w:r>
      <w:r>
        <w:rPr>
          <w:rFonts w:ascii="Arial" w:cs="Arial" w:eastAsia="Arial" w:hAnsi="Arial"/>
          <w:sz w:val="19"/>
          <w:szCs w:val="19"/>
          <w:color w:val="auto"/>
        </w:rPr>
        <w:t>, Experis</w:t>
      </w:r>
      <w:r>
        <w:rPr>
          <w:rFonts w:ascii="Arial" w:cs="Arial" w:eastAsia="Arial" w:hAnsi="Arial"/>
          <w:sz w:val="25"/>
          <w:szCs w:val="25"/>
          <w:color w:val="auto"/>
          <w:vertAlign w:val="superscript"/>
        </w:rPr>
        <w:t>®</w:t>
      </w:r>
      <w:r>
        <w:rPr>
          <w:rFonts w:ascii="Arial" w:cs="Arial" w:eastAsia="Arial" w:hAnsi="Arial"/>
          <w:sz w:val="19"/>
          <w:szCs w:val="19"/>
          <w:color w:val="auto"/>
        </w:rPr>
        <w:t>, Right Management</w:t>
      </w:r>
      <w:r>
        <w:rPr>
          <w:rFonts w:ascii="Arial" w:cs="Arial" w:eastAsia="Arial" w:hAnsi="Arial"/>
          <w:sz w:val="25"/>
          <w:szCs w:val="25"/>
          <w:color w:val="auto"/>
          <w:vertAlign w:val="superscript"/>
        </w:rPr>
        <w:t>®</w:t>
      </w:r>
      <w:r>
        <w:rPr>
          <w:rFonts w:ascii="Arial" w:cs="Arial" w:eastAsia="Arial" w:hAnsi="Arial"/>
          <w:sz w:val="19"/>
          <w:szCs w:val="19"/>
          <w:color w:val="auto"/>
        </w:rPr>
        <w:t>, Brook Street</w:t>
      </w:r>
      <w:r>
        <w:rPr>
          <w:rFonts w:ascii="Arial" w:cs="Arial" w:eastAsia="Arial" w:hAnsi="Arial"/>
          <w:sz w:val="25"/>
          <w:szCs w:val="25"/>
          <w:color w:val="auto"/>
          <w:vertAlign w:val="superscript"/>
        </w:rPr>
        <w:t>®</w:t>
      </w:r>
      <w:r>
        <w:rPr>
          <w:rFonts w:ascii="Arial" w:cs="Arial" w:eastAsia="Arial" w:hAnsi="Arial"/>
          <w:sz w:val="19"/>
          <w:szCs w:val="19"/>
          <w:color w:val="auto"/>
        </w:rPr>
        <w:t>, Jefferson Wells</w:t>
      </w:r>
      <w:r>
        <w:rPr>
          <w:rFonts w:ascii="Arial" w:cs="Arial" w:eastAsia="Arial" w:hAnsi="Arial"/>
          <w:sz w:val="25"/>
          <w:szCs w:val="25"/>
          <w:color w:val="auto"/>
          <w:vertAlign w:val="superscript"/>
        </w:rPr>
        <w:t>®</w:t>
      </w:r>
      <w:r>
        <w:rPr>
          <w:rFonts w:ascii="Arial" w:cs="Arial" w:eastAsia="Arial" w:hAnsi="Arial"/>
          <w:sz w:val="19"/>
          <w:szCs w:val="19"/>
          <w:color w:val="auto"/>
        </w:rPr>
        <w:t>, Supplay</w:t>
      </w:r>
      <w:r>
        <w:rPr>
          <w:rFonts w:ascii="Arial" w:cs="Arial" w:eastAsia="Arial" w:hAnsi="Arial"/>
          <w:sz w:val="25"/>
          <w:szCs w:val="25"/>
          <w:color w:val="auto"/>
          <w:vertAlign w:val="superscript"/>
        </w:rPr>
        <w:t>®</w:t>
      </w:r>
      <w:r>
        <w:rPr>
          <w:rFonts w:ascii="Arial" w:cs="Arial" w:eastAsia="Arial" w:hAnsi="Arial"/>
          <w:sz w:val="19"/>
          <w:szCs w:val="19"/>
          <w:color w:val="auto"/>
        </w:rPr>
        <w:t>, PowerSuite</w:t>
      </w:r>
      <w:r>
        <w:rPr>
          <w:rFonts w:ascii="Arial" w:cs="Arial" w:eastAsia="Arial" w:hAnsi="Arial"/>
          <w:sz w:val="25"/>
          <w:szCs w:val="25"/>
          <w:color w:val="auto"/>
          <w:vertAlign w:val="superscript"/>
        </w:rPr>
        <w:t>®</w:t>
      </w:r>
      <w:r>
        <w:rPr>
          <w:rFonts w:ascii="Arial" w:cs="Arial" w:eastAsia="Arial" w:hAnsi="Arial"/>
          <w:sz w:val="19"/>
          <w:szCs w:val="19"/>
          <w:color w:val="auto"/>
        </w:rPr>
        <w:t xml:space="preserve"> and MyPath</w:t>
      </w:r>
      <w:r>
        <w:rPr>
          <w:rFonts w:ascii="Arial" w:cs="Arial" w:eastAsia="Arial" w:hAnsi="Arial"/>
          <w:sz w:val="25"/>
          <w:szCs w:val="25"/>
          <w:color w:val="auto"/>
          <w:vertAlign w:val="superscript"/>
        </w:rPr>
        <w:t>®</w:t>
      </w:r>
      <w:r>
        <w:rPr>
          <w:rFonts w:ascii="Arial" w:cs="Arial" w:eastAsia="Arial" w:hAnsi="Arial"/>
          <w:sz w:val="19"/>
          <w:szCs w:val="19"/>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Employees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had approximately 26,700 full-time equivalent employees as of December 31, 2024. In addition, we recruit millions of permanent, temporary and contract workers on a worldwide basis each year on behalf of our clients.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Human Capital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We Are a Workforce Solutions and Human Capital Company.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Human capital management is at the core of our business. Our purpose is to provide meaningful and sustainable employment and is rooted in our values: People, Knowledge and Innovation. Our 26,700 employees, spanning approximately 75 countries, help improve the lives of approximately 500,000 workers daily by providing guidance, advice, assessments, coaching, upskilling, reskilling and pathways to long-term sustainable employment. These efforts support local economies by increasing employability and opportunity for the millions of lives that we reach each year.</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Through our sustainability report </w:t>
      </w:r>
      <w:r>
        <w:rPr>
          <w:rFonts w:ascii="Arial" w:cs="Arial" w:eastAsia="Arial" w:hAnsi="Arial"/>
          <w:sz w:val="20"/>
          <w:szCs w:val="20"/>
          <w:i w:val="1"/>
          <w:iCs w:val="1"/>
          <w:color w:val="auto"/>
        </w:rPr>
        <w:t>Working to Change the World</w:t>
      </w:r>
      <w:r>
        <w:rPr>
          <w:rFonts w:ascii="Arial" w:cs="Arial" w:eastAsia="Arial" w:hAnsi="Arial"/>
          <w:sz w:val="20"/>
          <w:szCs w:val="20"/>
          <w:color w:val="auto"/>
        </w:rPr>
        <w:t>, we report progress on our People &amp; Prosperity pillar, where we are focused on being Creators of Talent at Scale, championing diversity, and improving employability and prosperity. For over 75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and Junior Achievement, among others), enable us to advance the global discussion around the future of work and future for workers. These include the impact of digitization and generative AI, the green transition and shift in in-demand skills, exacerbating talent shortages, and the increased need for reskilling and upskilling. Our most recent annual Talent Shortage Survey reported that 74% of companies cannot find the skilled workers they need.</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10800"/>
          </w:cols>
          <w:pgMar w:left="720" w:top="734" w:right="720" w:bottom="175" w:gutter="0" w:footer="0" w:header="0"/>
          <w:type w:val="continuous"/>
        </w:sectPr>
      </w:pPr>
    </w:p>
    <w:bookmarkStart w:id="14" w:name="page15"/>
    <w:bookmarkEnd w:id="14"/>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8" o:spid="_x0000_s104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We Seek to Create Talent at Scale.</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270,000 lives through 2024, and MyPath associates now represent 30% of our associate talent pool in MyPath certified countries, across over 14,000 clients and 12 markets.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 skills. Paired with coaching and soft skills training, upon completion most Academy graduates receive a permanent job offer from our clients. Through the end of 2024, we have trained more than 4,500 developers while also bridging the skills gaps for more than 170 tech companies across approximately 20 countries.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We Are Focused on Strengthening Our Culture and Developing Our People.</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537BB5"/>
        </w:rPr>
        <w:t>Our Global Footprint</w:t>
      </w:r>
    </w:p>
    <w:p>
      <w:pPr>
        <w:spacing w:after="0" w:line="112" w:lineRule="exact"/>
        <w:rPr>
          <w:sz w:val="20"/>
          <w:szCs w:val="20"/>
          <w:color w:val="auto"/>
        </w:rPr>
      </w:pPr>
    </w:p>
    <w:p>
      <w:pPr>
        <w:jc w:val="both"/>
        <w:ind w:left="500"/>
        <w:spacing w:after="0" w:line="282" w:lineRule="auto"/>
        <w:rPr>
          <w:sz w:val="20"/>
          <w:szCs w:val="20"/>
          <w:color w:val="auto"/>
        </w:rPr>
      </w:pPr>
      <w:r>
        <w:rPr>
          <w:rFonts w:ascii="Arial" w:cs="Arial" w:eastAsia="Arial" w:hAnsi="Arial"/>
          <w:sz w:val="20"/>
          <w:szCs w:val="20"/>
          <w:color w:val="auto"/>
        </w:rPr>
        <w:t>We have a global footprint, though our teams are managed locally: 31% of our people are in the Americas, 33% in Southern Europe, 19% in Northern Europe and 17% in Asia Pacific/Middle East.</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537BB5"/>
        </w:rPr>
        <w:t>Developing our People</w:t>
      </w:r>
    </w:p>
    <w:p>
      <w:pPr>
        <w:spacing w:after="0" w:line="112" w:lineRule="exact"/>
        <w:rPr>
          <w:sz w:val="20"/>
          <w:szCs w:val="20"/>
          <w:color w:val="auto"/>
        </w:rPr>
      </w:pPr>
    </w:p>
    <w:p>
      <w:pPr>
        <w:jc w:val="both"/>
        <w:ind w:left="500"/>
        <w:spacing w:after="0" w:line="261" w:lineRule="auto"/>
        <w:rPr>
          <w:sz w:val="20"/>
          <w:szCs w:val="20"/>
          <w:color w:val="auto"/>
        </w:rPr>
      </w:pPr>
      <w:r>
        <w:rPr>
          <w:rFonts w:ascii="Arial" w:cs="Arial" w:eastAsia="Arial" w:hAnsi="Arial"/>
          <w:sz w:val="20"/>
          <w:szCs w:val="20"/>
          <w:color w:val="auto"/>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spacing w:after="0" w:line="140" w:lineRule="exact"/>
        <w:rPr>
          <w:sz w:val="20"/>
          <w:szCs w:val="20"/>
          <w:color w:val="auto"/>
        </w:rPr>
      </w:pPr>
    </w:p>
    <w:p>
      <w:pPr>
        <w:jc w:val="both"/>
        <w:ind w:left="500"/>
        <w:spacing w:after="0" w:line="282" w:lineRule="auto"/>
        <w:rPr>
          <w:sz w:val="20"/>
          <w:szCs w:val="20"/>
          <w:color w:val="auto"/>
        </w:rPr>
      </w:pPr>
      <w:r>
        <w:rPr>
          <w:rFonts w:ascii="Arial" w:cs="Arial" w:eastAsia="Arial" w:hAnsi="Arial"/>
          <w:sz w:val="20"/>
          <w:szCs w:val="20"/>
          <w:color w:val="auto"/>
        </w:rPr>
        <w:t>In 2024, we continued to broaden and deepen our investment through our Leadership Development Programs, incorporating the 3 E’s of our development philosophy: Education, Exposure and Experience.</w:t>
      </w:r>
    </w:p>
    <w:p>
      <w:pPr>
        <w:spacing w:after="0" w:line="283" w:lineRule="exact"/>
        <w:rPr>
          <w:sz w:val="20"/>
          <w:szCs w:val="20"/>
          <w:color w:val="auto"/>
        </w:rPr>
      </w:pPr>
    </w:p>
    <w:p>
      <w:pPr>
        <w:jc w:val="both"/>
        <w:ind w:left="1000" w:hanging="294"/>
        <w:spacing w:after="0" w:line="261" w:lineRule="auto"/>
        <w:tabs>
          <w:tab w:leader="none" w:pos="1000" w:val="left"/>
        </w:tabs>
        <w:numPr>
          <w:ilvl w:val="0"/>
          <w:numId w:val="9"/>
        </w:numPr>
        <w:rPr>
          <w:rFonts w:ascii="Arial" w:cs="Arial" w:eastAsia="Arial" w:hAnsi="Arial"/>
          <w:sz w:val="20"/>
          <w:szCs w:val="20"/>
          <w:color w:val="537BB5"/>
        </w:rPr>
      </w:pPr>
      <w:r>
        <w:rPr>
          <w:rFonts w:ascii="Arial" w:cs="Arial" w:eastAsia="Arial" w:hAnsi="Arial"/>
          <w:sz w:val="20"/>
          <w:szCs w:val="20"/>
          <w:color w:val="auto"/>
        </w:rPr>
        <w:t>For our Future Leaders Program (FLP) that targets individual contributors wanting to take on their first managerial role, 110 employees completed this program in 2024 and a total of 955 employees have completed the program since its inception in 2019.</w:t>
      </w:r>
    </w:p>
    <w:p>
      <w:pPr>
        <w:spacing w:after="0" w:line="73" w:lineRule="exact"/>
        <w:rPr>
          <w:rFonts w:ascii="Arial" w:cs="Arial" w:eastAsia="Arial" w:hAnsi="Arial"/>
          <w:sz w:val="20"/>
          <w:szCs w:val="20"/>
          <w:color w:val="537BB5"/>
        </w:rPr>
      </w:pPr>
    </w:p>
    <w:p>
      <w:pPr>
        <w:jc w:val="both"/>
        <w:ind w:left="1000" w:hanging="294"/>
        <w:spacing w:after="0" w:line="261" w:lineRule="auto"/>
        <w:tabs>
          <w:tab w:leader="none" w:pos="1000" w:val="left"/>
        </w:tabs>
        <w:numPr>
          <w:ilvl w:val="0"/>
          <w:numId w:val="9"/>
        </w:numPr>
        <w:rPr>
          <w:rFonts w:ascii="Arial" w:cs="Arial" w:eastAsia="Arial" w:hAnsi="Arial"/>
          <w:sz w:val="20"/>
          <w:szCs w:val="20"/>
          <w:color w:val="537BB5"/>
        </w:rPr>
      </w:pPr>
      <w:r>
        <w:rPr>
          <w:rFonts w:ascii="Arial" w:cs="Arial" w:eastAsia="Arial" w:hAnsi="Arial"/>
          <w:sz w:val="20"/>
          <w:szCs w:val="20"/>
          <w:color w:val="auto"/>
        </w:rPr>
        <w:t>For our Accelerated Leadership Program (XLP) that targets current managers ready to move into bigger or more complex roles, 20 employees completed this program in 2024 - and a total of 101 employees have completed the program since it began in 2022.</w:t>
      </w:r>
    </w:p>
    <w:p>
      <w:pPr>
        <w:spacing w:after="0" w:line="73" w:lineRule="exact"/>
        <w:rPr>
          <w:rFonts w:ascii="Arial" w:cs="Arial" w:eastAsia="Arial" w:hAnsi="Arial"/>
          <w:sz w:val="20"/>
          <w:szCs w:val="20"/>
          <w:color w:val="537BB5"/>
        </w:rPr>
      </w:pPr>
    </w:p>
    <w:p>
      <w:pPr>
        <w:jc w:val="both"/>
        <w:ind w:left="1000" w:hanging="294"/>
        <w:spacing w:after="0" w:line="254" w:lineRule="auto"/>
        <w:tabs>
          <w:tab w:leader="none" w:pos="1000" w:val="left"/>
        </w:tabs>
        <w:numPr>
          <w:ilvl w:val="0"/>
          <w:numId w:val="9"/>
        </w:numPr>
        <w:rPr>
          <w:rFonts w:ascii="Arial" w:cs="Arial" w:eastAsia="Arial" w:hAnsi="Arial"/>
          <w:sz w:val="20"/>
          <w:szCs w:val="20"/>
          <w:color w:val="537BB5"/>
        </w:rPr>
      </w:pPr>
      <w:r>
        <w:rPr>
          <w:rFonts w:ascii="Arial" w:cs="Arial" w:eastAsia="Arial" w:hAnsi="Arial"/>
          <w:sz w:val="20"/>
          <w:szCs w:val="20"/>
          <w:color w:val="auto"/>
        </w:rPr>
        <w:t>For our Strategic Leadership Program (SLP) that focuses on senior leaders to prepare them to move into the Global Leadership team, 42 employees completed the program since the program began in 2022. The program runs every other year and our next cohort will start in 2025 with 12 employees identified through talent planning and calibration.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Upon completion of these programs, the majority of our participants have made positive leadership career moves.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537BB5"/>
        </w:rPr>
        <w:t>Strengthening our Culture</w:t>
      </w:r>
    </w:p>
    <w:p>
      <w:pPr>
        <w:spacing w:after="0" w:line="112"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auto"/>
        </w:rPr>
        <w:t>We believe that all people deserve to feel safe, respected and able to thrive in the workplace. Our focus encompasses four areas of focus :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10800"/>
          </w:cols>
          <w:pgMar w:left="720" w:top="734" w:right="720" w:bottom="175"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9" o:spid="_x0000_s104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ind w:left="420"/>
        <w:spacing w:after="0" w:line="244" w:lineRule="auto"/>
        <w:rPr>
          <w:sz w:val="20"/>
          <w:szCs w:val="20"/>
          <w:color w:val="auto"/>
        </w:rPr>
      </w:pPr>
      <w:r>
        <w:rPr>
          <w:rFonts w:ascii="Arial" w:cs="Arial" w:eastAsia="Arial" w:hAnsi="Arial"/>
          <w:sz w:val="20"/>
          <w:szCs w:val="20"/>
          <w:color w:val="auto"/>
        </w:rPr>
        <w:t>Our Board of Directors has exceeded 30% gender diversity for more than 10 years. As of December 31, 2024, 18% are racially diverse and 36% are non-US born. Our Executive Leadership Team, which reports directly to the CEO, is 30% women, 40% racially diverse and 70% non-US born. Our Global Leadership Team, the top 86 leaders in the company, is 38% women. Gender diversity across all our markets globally aligns to our values. We will continue to develop our talent across all markets and at all levels, including working to ensure that the gender diversity of our leadership is aligned to the representation of the organization. Diversity in our workplaces also means that we prioritize people’s health and wellbeing and have committed to flexible work models across the globe to attract, engage and retain our people. In several markets, we have launched initiatives and trained our managers to promote greater awareness of mental wellbeing. We see diversity as a strategic enabler of our business and therefore we are focused on actions to support our diverse organization, our culture and the impact we have on the communities we serve across the globe.</w:t>
      </w:r>
    </w:p>
    <w:p>
      <w:pPr>
        <w:spacing w:after="0" w:line="78" w:lineRule="exact"/>
        <w:rPr>
          <w:sz w:val="20"/>
          <w:szCs w:val="20"/>
          <w:color w:val="auto"/>
        </w:rPr>
      </w:pPr>
    </w:p>
    <w:p>
      <w:pPr>
        <w:jc w:val="both"/>
        <w:ind w:left="420"/>
        <w:spacing w:after="0" w:line="245" w:lineRule="auto"/>
        <w:rPr>
          <w:sz w:val="20"/>
          <w:szCs w:val="20"/>
          <w:color w:val="auto"/>
        </w:rPr>
      </w:pPr>
      <w:r>
        <w:rPr>
          <w:rFonts w:ascii="Arial" w:cs="Arial" w:eastAsia="Arial" w:hAnsi="Arial"/>
          <w:sz w:val="20"/>
          <w:szCs w:val="20"/>
          <w:color w:val="auto"/>
        </w:rPr>
        <w:t>Additionally, encouraging active engagement among our workforce is important for nurturing a strong and inclusive culture. We believe regular pulse surveys offer valuable insights into employee sentiments, spanning various areas such as the effectiveness of our People &amp; Culture strategy, leadership assessments, ethics, values, and developmental opportunities. Our Culture Matters initiative has been refined, and we incorporated these behaviors into Our Standards. Our business strategy guides our actions for achieving our goals, and the behaviors in Our Standards—Clarity, Care, and Grow— illustrate how we execute these strategies. We believe our global leaders should provide clarity to our people and our clients, care about themselves and others through our people practices, and make decisions that grow our business and ourselves. Our core belief is that for ManpowerGroup to be successful, each of us needs to be accountable to delivering on these at all levels of our organization.</w:t>
      </w:r>
    </w:p>
    <w:p>
      <w:pPr>
        <w:spacing w:after="0" w:line="157" w:lineRule="exact"/>
        <w:rPr>
          <w:sz w:val="20"/>
          <w:szCs w:val="20"/>
          <w:color w:val="auto"/>
        </w:rPr>
      </w:pPr>
    </w:p>
    <w:p>
      <w:pPr>
        <w:jc w:val="both"/>
        <w:ind w:left="420"/>
        <w:spacing w:after="0" w:line="261" w:lineRule="auto"/>
        <w:rPr>
          <w:sz w:val="20"/>
          <w:szCs w:val="20"/>
          <w:color w:val="auto"/>
        </w:rPr>
      </w:pPr>
      <w:r>
        <w:rPr>
          <w:rFonts w:ascii="Arial" w:cs="Arial" w:eastAsia="Arial" w:hAnsi="Arial"/>
          <w:sz w:val="20"/>
          <w:szCs w:val="20"/>
          <w:color w:val="auto"/>
        </w:rPr>
        <w:t>In 2024, we conducted a global employee survey with over 22,000 staff participating, achieving an 80% response rate. Over 11,000 employees left nearly 26,000 comments to help leaders improve the employee experience at ManpowerGroup.</w:t>
      </w:r>
    </w:p>
    <w:p>
      <w:pPr>
        <w:sectPr>
          <w:pgSz w:w="12240" w:h="15840" w:orient="portrait"/>
          <w:cols w:equalWidth="0" w:num="1">
            <w:col w:w="10720"/>
          </w:cols>
          <w:pgMar w:left="80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10720"/>
          </w:cols>
          <w:pgMar w:left="800" w:top="734" w:right="720" w:bottom="175" w:gutter="0" w:footer="0" w:header="0"/>
          <w:type w:val="continuous"/>
        </w:sectPr>
      </w:pPr>
    </w:p>
    <w:bookmarkStart w:id="16" w:name="page17"/>
    <w:bookmarkEnd w:id="16"/>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0" o:spid="_x0000_s104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FORWARD-LOOKING STATEMENTS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Company and Operational Risks</w:t>
      </w:r>
    </w:p>
    <w:p>
      <w:pPr>
        <w:spacing w:after="0" w:line="129" w:lineRule="exact"/>
        <w:rPr>
          <w:sz w:val="20"/>
          <w:szCs w:val="20"/>
          <w:color w:val="auto"/>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Volatile, negative or uncertain economic conditions;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Inability to timely operate our business or respond to the needs of our clients;</w:t>
      </w:r>
    </w:p>
    <w:p>
      <w:pPr>
        <w:spacing w:after="0" w:line="13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Competition in the worldwide employment services industry limiting our ability to maintain or increase market share or profitability;</w:t>
      </w:r>
    </w:p>
    <w:p>
      <w:pPr>
        <w:spacing w:after="0" w:line="52"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Cyberattack or improper disclosure or loss of sensitive or confidential company, employee, associate or client data, including personal data;</w:t>
      </w:r>
    </w:p>
    <w:p>
      <w:pPr>
        <w:spacing w:after="0" w:line="52"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Disruption, increased costs and reputational risk from outsourcing various aspects of our business;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Risks related to the emergence of AI;</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A loss or reduction in revenues from one or more large clients;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Loss of key personnel;</w:t>
      </w:r>
    </w:p>
    <w:p>
      <w:pPr>
        <w:spacing w:after="0" w:line="13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Competition in labor markets limiting our ability to attract, train and retain the personnel necessary to meet our clients’ staffing needs;</w:t>
      </w:r>
    </w:p>
    <w:p>
      <w:pPr>
        <w:spacing w:after="0" w:line="52"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Political unrest, natural disasters, health crises, infrastructure disruptions and other risks beyond our control;</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Our ability to preserve our reputation in the marketplace;</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Changes in client attitudes toward the use of our services or our industry; and</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0"/>
        </w:numPr>
        <w:rPr>
          <w:rFonts w:ascii="Arial" w:cs="Arial" w:eastAsia="Arial" w:hAnsi="Arial"/>
          <w:sz w:val="20"/>
          <w:szCs w:val="20"/>
          <w:color w:val="537BB5"/>
        </w:rPr>
      </w:pPr>
      <w:r>
        <w:rPr>
          <w:rFonts w:ascii="Arial" w:cs="Arial" w:eastAsia="Arial" w:hAnsi="Arial"/>
          <w:sz w:val="20"/>
          <w:szCs w:val="20"/>
          <w:color w:val="auto"/>
        </w:rPr>
        <w:t>Limited ability to protect our thought leadership and other intellectual property.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Strategic Risks</w:t>
      </w:r>
    </w:p>
    <w:p>
      <w:pPr>
        <w:spacing w:after="0" w:line="109" w:lineRule="exact"/>
        <w:rPr>
          <w:sz w:val="20"/>
          <w:szCs w:val="20"/>
          <w:color w:val="auto"/>
        </w:rPr>
      </w:pPr>
    </w:p>
    <w:p>
      <w:pPr>
        <w:ind w:left="500" w:hanging="298"/>
        <w:spacing w:after="0"/>
        <w:tabs>
          <w:tab w:leader="none" w:pos="500" w:val="left"/>
        </w:tabs>
        <w:numPr>
          <w:ilvl w:val="0"/>
          <w:numId w:val="11"/>
        </w:numPr>
        <w:rPr>
          <w:rFonts w:ascii="Arial" w:cs="Arial" w:eastAsia="Arial" w:hAnsi="Arial"/>
          <w:sz w:val="20"/>
          <w:szCs w:val="20"/>
          <w:color w:val="537BB5"/>
        </w:rPr>
      </w:pPr>
      <w:r>
        <w:rPr>
          <w:rFonts w:ascii="Arial" w:cs="Arial" w:eastAsia="Arial" w:hAnsi="Arial"/>
          <w:sz w:val="20"/>
          <w:szCs w:val="20"/>
          <w:color w:val="auto"/>
        </w:rPr>
        <w:t>Inability to effectively implement our business strategy or achieve our objectives;</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1"/>
        </w:numPr>
        <w:rPr>
          <w:rFonts w:ascii="Arial" w:cs="Arial" w:eastAsia="Arial" w:hAnsi="Arial"/>
          <w:sz w:val="20"/>
          <w:szCs w:val="20"/>
          <w:color w:val="537BB5"/>
        </w:rPr>
      </w:pPr>
      <w:r>
        <w:rPr>
          <w:rFonts w:ascii="Arial" w:cs="Arial" w:eastAsia="Arial" w:hAnsi="Arial"/>
          <w:sz w:val="20"/>
          <w:szCs w:val="20"/>
          <w:color w:val="auto"/>
        </w:rPr>
        <w:t>Failure to keep pace with technological change and marketplace demand in the development and implementation of our services and solutions;</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1"/>
        </w:numPr>
        <w:rPr>
          <w:rFonts w:ascii="Arial" w:cs="Arial" w:eastAsia="Arial" w:hAnsi="Arial"/>
          <w:sz w:val="20"/>
          <w:szCs w:val="20"/>
          <w:color w:val="537BB5"/>
        </w:rPr>
      </w:pPr>
      <w:r>
        <w:rPr>
          <w:rFonts w:ascii="Arial" w:cs="Arial" w:eastAsia="Arial" w:hAnsi="Arial"/>
          <w:sz w:val="20"/>
          <w:szCs w:val="20"/>
          <w:color w:val="auto"/>
        </w:rPr>
        <w:t>Our sustainability strategy exposes us to business risks;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1"/>
        </w:numPr>
        <w:rPr>
          <w:rFonts w:ascii="Arial" w:cs="Arial" w:eastAsia="Arial" w:hAnsi="Arial"/>
          <w:sz w:val="20"/>
          <w:szCs w:val="20"/>
          <w:color w:val="537BB5"/>
        </w:rPr>
      </w:pPr>
      <w:r>
        <w:rPr>
          <w:rFonts w:ascii="Arial" w:cs="Arial" w:eastAsia="Arial" w:hAnsi="Arial"/>
          <w:sz w:val="20"/>
          <w:szCs w:val="20"/>
          <w:color w:val="auto"/>
        </w:rPr>
        <w:t>Costs or disruptions resulting from acquisitions we complete; and</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1"/>
        </w:numPr>
        <w:rPr>
          <w:rFonts w:ascii="Arial" w:cs="Arial" w:eastAsia="Arial" w:hAnsi="Arial"/>
          <w:sz w:val="20"/>
          <w:szCs w:val="20"/>
          <w:color w:val="537BB5"/>
        </w:rPr>
      </w:pPr>
      <w:r>
        <w:rPr>
          <w:rFonts w:ascii="Arial" w:cs="Arial" w:eastAsia="Arial" w:hAnsi="Arial"/>
          <w:sz w:val="20"/>
          <w:szCs w:val="20"/>
          <w:color w:val="auto"/>
        </w:rPr>
        <w:t>Risks related to dispositions we may undertake via sales, franchises, joint ventures or other exit activities.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10800"/>
          </w:cols>
          <w:pgMar w:left="720" w:top="734" w:right="720" w:bottom="175"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1" o:spid="_x0000_s104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Financial and Market Risks</w:t>
      </w:r>
    </w:p>
    <w:p>
      <w:pPr>
        <w:spacing w:after="0" w:line="109" w:lineRule="exact"/>
        <w:rPr>
          <w:sz w:val="20"/>
          <w:szCs w:val="20"/>
          <w:color w:val="auto"/>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Foreign currency fluctuations;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Inability to meet our liquidity or working capital needs;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Inability to maintain effective internal controls;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Material adverse effects on our operating flexibility resulting from our debt levels;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Failure to comply with restrictive covenants under our revolving credit facilities and other debt instruments;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Inability to obtain credit on terms acceptable to us or at all;</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The performance of our subsidiaries and their ability to distribute cash to our parent company, ManpowerGroup, may vary;</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Inability to secure guarantees or letters of credit on acceptable terms;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Changes in tax legislation; and</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2"/>
        </w:numPr>
        <w:rPr>
          <w:rFonts w:ascii="Arial" w:cs="Arial" w:eastAsia="Arial" w:hAnsi="Arial"/>
          <w:sz w:val="20"/>
          <w:szCs w:val="20"/>
          <w:color w:val="537BB5"/>
        </w:rPr>
      </w:pPr>
      <w:r>
        <w:rPr>
          <w:rFonts w:ascii="Arial" w:cs="Arial" w:eastAsia="Arial" w:hAnsi="Arial"/>
          <w:sz w:val="20"/>
          <w:szCs w:val="20"/>
          <w:color w:val="auto"/>
        </w:rPr>
        <w:t>Fluctuation of our stock price.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Regulatory and Legal Risks</w:t>
      </w:r>
    </w:p>
    <w:p>
      <w:pPr>
        <w:spacing w:after="0" w:line="109" w:lineRule="exact"/>
        <w:rPr>
          <w:sz w:val="20"/>
          <w:szCs w:val="20"/>
          <w:color w:val="auto"/>
        </w:rPr>
      </w:pPr>
    </w:p>
    <w:p>
      <w:pPr>
        <w:ind w:left="500" w:hanging="298"/>
        <w:spacing w:after="0"/>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Challenges meeting contractual obligations if we or third parties fail to deliver on performance commitments;</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Legal regulations in places we do business or the regulatory prohibition or restriction of employment services or the imposition of additional licensing or tax requirements;</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Failure to comply with anti-corruption and bribery laws;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Legal claims, including employment-related claims, from clients or third parties;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Liability resulting from competition law;</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Provisions under Wisconsin law and our articles of incorporation and bylaws could make the takeover of our Company more difficult; and</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3"/>
        </w:numPr>
        <w:rPr>
          <w:rFonts w:ascii="Arial" w:cs="Arial" w:eastAsia="Arial" w:hAnsi="Arial"/>
          <w:sz w:val="20"/>
          <w:szCs w:val="20"/>
          <w:color w:val="537BB5"/>
        </w:rPr>
      </w:pPr>
      <w:r>
        <w:rPr>
          <w:rFonts w:ascii="Arial" w:cs="Arial" w:eastAsia="Arial" w:hAnsi="Arial"/>
          <w:sz w:val="20"/>
          <w:szCs w:val="20"/>
          <w:color w:val="auto"/>
        </w:rPr>
        <w:t>Other factors that may be disclosed below or from time to time in our SEC filings or otherwise.</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RISK FACTORS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Company and Operational Risks</w:t>
      </w:r>
    </w:p>
    <w:p>
      <w:pPr>
        <w:spacing w:after="0" w:line="124"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Our results of operations have been and may in the future be materially adversely affected by volatile, negative, or uncertain economic conditions, including the risk of recession.</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If our business growth is slow, or if it contracts for an extended period of time, this could have a material adverse effect on our business and results of operations.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10800"/>
          </w:cols>
          <w:pgMar w:left="720" w:top="734" w:right="720" w:bottom="175" w:gutter="0" w:footer="0" w:header="0"/>
          <w:type w:val="continuous"/>
        </w:sectPr>
      </w:pPr>
    </w:p>
    <w:bookmarkStart w:id="18" w:name="page19"/>
    <w:bookmarkEnd w:id="18"/>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2" o:spid="_x0000_s104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profitability is sensitive to decreases in demand. Based on current macroeconomic conditions, there is a significant risk that some of our most important markets will experience a recession,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For example, our ability to achieve cost containment through reductions in our headcount may be impeded or slowed by applicable legal requirements to consult with employee representative bodies such as works councils.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capital flows, the global refugee crisis, social justice movements, energy shortages or instability in the global energy market, global health crises, changes in immigration policy, the impact of supply chain challenges on our clients, changes in employment policy, changes in interest rates, inflation, the impact of terrorist activity, or by other political or economic developments. In addition, there is a risk the current inflationary environment and efforts to combat inflation could have an impact on the countries and territories where we do business. We are particularly susceptible to changes in demand patterns and economic conditions in Europe, which represents two of our operating segments and 64% of our revenue.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There is a risk that economic conditions in European markets or elsewhere may continue to be negatively impacted by geopolitical events. In recent years these have included labor unrest, civil protest, heightened trade tensions, refugee crises, and military conflicts, including the ongoing conflicts between Russia and Ukraine and Israel and Hamas. We cannot predict the potential consequences arising from these conflicts and the further escalation of geopolitical tensions globally, including whether they could have an effect on the global economy and on our business and results of operations. Geopolitical events could give rise to the imposition of further sanctions, regional or international expansion of current conflicts, instability in energy supplies, potential retaliatory action by governments, heightened cybersecurity threats, disruptions in the global supply chain, volatility in foreign exchange rates, and inflationary pressures. Any of these events or trends could have a material adverse effect on our business and operating results, particularly our European operations.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9"/>
          <w:szCs w:val="19"/>
          <w:i w:val="1"/>
          <w:iCs w:val="1"/>
          <w:color w:val="537BB5"/>
        </w:rPr>
        <w:t>We may lack the speed, agility, and resiliency to effectively operate our business and respond to the needs of our clients.</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26,700 employees based out of over 2,100 offices in approximately 75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10800"/>
          </w:cols>
          <w:pgMar w:left="720" w:top="734" w:right="720" w:bottom="175" w:gutter="0" w:footer="0" w:header="0"/>
          <w:type w:val="continuous"/>
        </w:sectPr>
      </w:pPr>
    </w:p>
    <w:bookmarkStart w:id="19" w:name="page20"/>
    <w:bookmarkEnd w:id="1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3" o:spid="_x0000_s104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spacing w:after="0" w:line="121"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The worldwide employment services industry is highly competitive with limited barriers to entry in many markets, which could limit our ability to maintain or increase our market share or profitability.</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 The increased availability and maturation of artificial intelligence (AI) tools may enable clients to use advanced automation capabilities in lieu of services provided by our employees, contractors and associates.</w:t>
      </w:r>
    </w:p>
    <w:p>
      <w:pPr>
        <w:spacing w:after="0" w:line="126" w:lineRule="exact"/>
        <w:rPr>
          <w:sz w:val="20"/>
          <w:szCs w:val="20"/>
          <w:color w:val="auto"/>
        </w:rPr>
      </w:pPr>
    </w:p>
    <w:p>
      <w:pPr>
        <w:jc w:val="both"/>
        <w:ind w:left="320"/>
        <w:spacing w:after="0" w:line="257" w:lineRule="auto"/>
        <w:rPr>
          <w:sz w:val="20"/>
          <w:szCs w:val="20"/>
          <w:color w:val="auto"/>
        </w:rPr>
      </w:pPr>
      <w:r>
        <w:rPr>
          <w:rFonts w:ascii="Arial" w:cs="Arial" w:eastAsia="Arial" w:hAnsi="Arial"/>
          <w:sz w:val="20"/>
          <w:szCs w:val="20"/>
          <w:i w:val="1"/>
          <w:iCs w:val="1"/>
          <w:color w:val="537BB5"/>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or confidential data may occur through various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cyberattacks.</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which may additionally make use of AI technology such as AI-generated 'deep-fake' impersonation or social engineering, making it impossible to give assurance that our cybersecurity efforts will be successful.</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10800"/>
          </w:cols>
          <w:pgMar w:left="720" w:top="734" w:right="720" w:bottom="175" w:gutter="0" w:footer="0" w:header="0"/>
          <w:type w:val="continuous"/>
        </w:sectPr>
      </w:pPr>
    </w:p>
    <w:bookmarkStart w:id="20" w:name="page21"/>
    <w:bookmarkEnd w:id="20"/>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4" o:spid="_x0000_s104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party vendors could have a material adverse effect on our business and financial results.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More of our employees are working from their homes or other remote locations than before,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California Privacy Rights Act (the “CPRA”), and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We have outsourced aspects of our business, which could result in disruption, increased costs, and reputational risk.</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86"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Risks and uncertainties related to the development and use of AI could harm our business operations, reduce demand for our services, and raise legal or regulatory challenges .</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Leveraging AI-based technology for our internal operations and service offerings presents risks, costs, and challenges as we begin to implement AI capabilities, including generative AI, to improve our operating efficiency and develop client offerings. If we fail to continue to develop and implement AI-based services and solutions or if those technologies fail to perform as predicted, we may not be able to recover our investment in these technologies and we may fail to realize the potential benefits of AI.</w:t>
      </w:r>
    </w:p>
    <w:p>
      <w:pPr>
        <w:sectPr>
          <w:pgSz w:w="12240" w:h="15840" w:orient="portrait"/>
          <w:cols w:equalWidth="0" w:num="1">
            <w:col w:w="10800"/>
          </w:cols>
          <w:pgMar w:left="720" w:top="734" w:right="720" w:bottom="175"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10800"/>
          </w:cols>
          <w:pgMar w:left="720" w:top="734" w:right="720" w:bottom="175" w:gutter="0" w:footer="0" w:header="0"/>
          <w:type w:val="continuous"/>
        </w:sectPr>
      </w:pPr>
    </w:p>
    <w:bookmarkStart w:id="21" w:name="page22"/>
    <w:bookmarkEnd w:id="2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5" o:spid="_x0000_s105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rapidly increasing deployment of AI technology by our customers may lead to reduced demand for our services and solutions. As these technologies evolve, some services and tasks currently performed by our associates may be replaced by AI automation, which could lead to reduced demand for our services if we cannot replace such demand with new services.</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development, adoption, and use of AI technologies is still in early stages and could involve significant legal, reputational and financial harm. AI algorithms and training methodologies may be flawed and datasets may be overbroad, insufficient, or contain biased information. Moreover, the use of AI may give rise to risks related to harmful content, accuracy, bias, intellectual property infringement or misappropriation, defamation, data privacy, cybersecurity and health and safety, among others. These risks also bring the possibility of new or enhanced governmental or regulatory scrutiny, litigation or other legal liability, or ethical concerns that could adversely affect our business, reputation, or financial results.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across jurisdictions. Several jurisdictions where we operate are considering or have enacted legislation and policies regulating AI, such as the European Union’s AI Act. These regulations may impose significant requirements on how we design, build and deploy AI and use AI to make employment decisions on behalf of ourselves or our clients.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A loss or reduction in revenues from large client accounts could have a material adverse effect on our business.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client mix consists of both small- and medium-size businesses, which are based upon a local or regional relationship with our presence in each market, and large national and multinational clients.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If we lose our key personnel, then our business may suffer.</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20"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Intense competition may limit our ability to attract, train and retain the qualified personnel necessary for us to meet our clients’ staffing needs.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workplace safety concerns,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10800"/>
          </w:cols>
          <w:pgMar w:left="720" w:top="734" w:right="720" w:bottom="175" w:gutter="0" w:footer="0" w:header="0"/>
          <w:type w:val="continuous"/>
        </w:sectPr>
      </w:pPr>
    </w:p>
    <w:bookmarkStart w:id="22" w:name="page23"/>
    <w:bookmarkEnd w:id="22"/>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6" o:spid="_x0000_s105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global operations subject us to certain risks beyond our control.</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With operations in approximately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our control.</w:t>
      </w:r>
    </w:p>
    <w:p>
      <w:pPr>
        <w:spacing w:after="0" w:line="5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Although it is not possible to predict such events or their consequences, these events could materially adversely affect our reputation, business and financial results.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ability to attract and retain business and employees may depend on our reputation in the marketplace.</w:t>
      </w:r>
    </w:p>
    <w:p>
      <w:pPr>
        <w:spacing w:after="0" w:line="1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Changes in sentiment toward the staffing industry could affect the marketplace for our services.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22"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We have only a limited ability to protect our thought leadership and other intellectual property, which is important to our success.</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800"/>
          </w:cols>
          <w:pgMar w:left="720" w:top="734" w:right="720" w:bottom="175" w:gutter="0" w:footer="0" w:header="0"/>
          <w:type w:val="continuous"/>
        </w:sectPr>
      </w:pPr>
    </w:p>
    <w:bookmarkStart w:id="23" w:name="page24"/>
    <w:bookmarkEnd w:id="2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7" o:spid="_x0000_s105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Strategic Risks</w:t>
      </w:r>
    </w:p>
    <w:p>
      <w:pPr>
        <w:spacing w:after="0" w:line="124"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We may be unable to effectively implement our business strategy, and there can be no assurance that we will achieve our objectives.</w:t>
      </w:r>
    </w:p>
    <w:p>
      <w:pPr>
        <w:spacing w:after="0" w:line="4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business strategy also includes continuing efforts to transform how we use personnel and technology to manage our financial administration and to enhance our delivery of services. For example, in 2024 we continued to progress in our deployment of PowerSuite, our global cloud-based platforms for front and back office. In addition, during 2024, we opened our Global Business Services center in Porto, Portugal, our regional finance center to serve all of Europe and a central component of our global strategy to standardize, centralize and transform finance service delivery.</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These projects are complex and may consume considerable financial and personnel resources. The goal of these transformation initiatives is to become a more agile and effective competitor, to reduce the cost of operating our business and to increase our operating profit and operating profit margin. However, as these efforts may consume considerable resources, they may put pressure on our operating results or ability to address other priorities. They may not be successful, may not be achieved within our timing and cost estimates, and may not ultimately reduce our operating costs or prevent the return of any costs that are eliminated. Additionally, reductions in personnel and other changes emerging from these projects could materially adversely affect our ability to effectively operate our business. If, for these or other reasons, we are not successful in implementing our business strategy or achieving the anticipated results of our transformation initiatives, our business, financial condition, results of operations, and internal control over financial reporting could be materially adversely affected.</w:t>
      </w:r>
    </w:p>
    <w:p>
      <w:pPr>
        <w:spacing w:after="0" w:line="130"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Our results of operations and ability to grow could be materially negatively affected if we cannot successfully keep pace with technological changes in the development and implementation of our services and solutions.</w:t>
      </w:r>
    </w:p>
    <w:p>
      <w:pPr>
        <w:spacing w:after="0" w:line="4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success depends on our ability to keep pace with rapid technological changes in the development and implementation of our services and solutions. For example, rapid changes in the functionality and potential uses of AI, machine learning and robotics are having a significant impact on some of the industries we serve. This technological disruption could also have significant and unforeseen consequences for the workforce services industry and for our business in particular, such as a reduced demand for our services or challenges to effective implementation of this technology. There is a risk that these, or other developments, could result in significant rapid disruption to our business model, and that we will be unprepared to compete effectively. This challenge is further complicated by rapidly evolving regulatory restrictions governing the permitted uses of artificial intelligence.</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Additionally, there are risks and uncertainties associated with our use of, and client demand for, AI technologies which could expose us to regulatory, legal, reputational or financial harm. These and similar risks could have a negative effect on our services and solutions, our results of operations, and our ability to develop and maintain a competitive advantage in the marketplace.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10800"/>
          </w:cols>
          <w:pgMar w:left="720" w:top="734" w:right="720" w:bottom="175" w:gutter="0" w:footer="0" w:header="0"/>
          <w:type w:val="continuous"/>
        </w:sectPr>
      </w:pPr>
    </w:p>
    <w:bookmarkStart w:id="24" w:name="page25"/>
    <w:bookmarkEnd w:id="24"/>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8" o:spid="_x0000_s105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sustainability commitments and disclosures may expose us to risks, legal liability, and increased costs.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Our business could be impacted in several ways by our corporate sustainability initiatives, including our goals for sustainability, diversity, and inclusion.</w:t>
      </w:r>
    </w:p>
    <w:p>
      <w:pPr>
        <w:spacing w:after="0" w:line="53" w:lineRule="exact"/>
        <w:rPr>
          <w:sz w:val="20"/>
          <w:szCs w:val="20"/>
          <w:color w:val="auto"/>
        </w:rPr>
      </w:pPr>
    </w:p>
    <w:p>
      <w:pPr>
        <w:jc w:val="both"/>
        <w:ind w:left="500" w:hanging="298"/>
        <w:spacing w:after="0" w:line="248" w:lineRule="auto"/>
        <w:tabs>
          <w:tab w:leader="none" w:pos="500" w:val="left"/>
        </w:tabs>
        <w:numPr>
          <w:ilvl w:val="0"/>
          <w:numId w:val="14"/>
        </w:numPr>
        <w:rPr>
          <w:rFonts w:ascii="Arial" w:cs="Arial" w:eastAsia="Arial" w:hAnsi="Arial"/>
          <w:sz w:val="20"/>
          <w:szCs w:val="20"/>
          <w:color w:val="537BB5"/>
        </w:rPr>
      </w:pPr>
      <w:r>
        <w:rPr>
          <w:rFonts w:ascii="Arial" w:cs="Arial" w:eastAsia="Arial" w:hAnsi="Arial"/>
          <w:sz w:val="20"/>
          <w:szCs w:val="20"/>
          <w:color w:val="auto"/>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spacing w:after="0" w:line="87" w:lineRule="exact"/>
        <w:rPr>
          <w:rFonts w:ascii="Arial" w:cs="Arial" w:eastAsia="Arial" w:hAnsi="Arial"/>
          <w:sz w:val="20"/>
          <w:szCs w:val="20"/>
          <w:color w:val="537BB5"/>
        </w:rPr>
      </w:pPr>
    </w:p>
    <w:p>
      <w:pPr>
        <w:jc w:val="both"/>
        <w:ind w:left="500" w:hanging="298"/>
        <w:spacing w:after="0" w:line="261" w:lineRule="auto"/>
        <w:tabs>
          <w:tab w:leader="none" w:pos="500" w:val="left"/>
        </w:tabs>
        <w:numPr>
          <w:ilvl w:val="0"/>
          <w:numId w:val="14"/>
        </w:numPr>
        <w:rPr>
          <w:rFonts w:ascii="Arial" w:cs="Arial" w:eastAsia="Arial" w:hAnsi="Arial"/>
          <w:sz w:val="20"/>
          <w:szCs w:val="20"/>
          <w:color w:val="537BB5"/>
        </w:rPr>
      </w:pPr>
      <w:r>
        <w:rPr>
          <w:rFonts w:ascii="Arial" w:cs="Arial" w:eastAsia="Arial" w:hAnsi="Arial"/>
          <w:sz w:val="20"/>
          <w:szCs w:val="20"/>
          <w:color w:val="auto"/>
        </w:rPr>
        <w:t>Positions we take, or do not take, on politically sensitive social issues or other sustainability matters may be unpopular with certain existing or potential clients and employees, which may impact our ability to attract and retain those clients and employees.</w:t>
      </w:r>
    </w:p>
    <w:p>
      <w:pPr>
        <w:spacing w:after="0" w:line="73" w:lineRule="exact"/>
        <w:rPr>
          <w:rFonts w:ascii="Arial" w:cs="Arial" w:eastAsia="Arial" w:hAnsi="Arial"/>
          <w:sz w:val="20"/>
          <w:szCs w:val="20"/>
          <w:color w:val="537BB5"/>
        </w:rPr>
      </w:pPr>
    </w:p>
    <w:p>
      <w:pPr>
        <w:jc w:val="both"/>
        <w:ind w:left="500" w:hanging="298"/>
        <w:spacing w:after="0" w:line="247" w:lineRule="auto"/>
        <w:tabs>
          <w:tab w:leader="none" w:pos="500" w:val="left"/>
        </w:tabs>
        <w:numPr>
          <w:ilvl w:val="0"/>
          <w:numId w:val="14"/>
        </w:numPr>
        <w:rPr>
          <w:rFonts w:ascii="Arial" w:cs="Arial" w:eastAsia="Arial" w:hAnsi="Arial"/>
          <w:sz w:val="20"/>
          <w:szCs w:val="20"/>
          <w:color w:val="537BB5"/>
        </w:rPr>
      </w:pPr>
      <w:r>
        <w:rPr>
          <w:rFonts w:ascii="Arial" w:cs="Arial" w:eastAsia="Arial" w:hAnsi="Arial"/>
          <w:sz w:val="20"/>
          <w:szCs w:val="20"/>
          <w:color w:val="auto"/>
        </w:rPr>
        <w:t>We may experience increased compliance burdens and costs in order to implement our initiatives, including those costs associated with any new legal or regulatory requirements (such as the EU Corporate Sustainability Reporting Directive (CSRD)), or voluntary standards and commitments, designed to mitigate climate change or address human capital management concerns. We will be required to report on CSRD commencing in 2025 (filing in 2026) and will be subject to limited assurance requirements by a third party. If we are not able to implement processes and controls to accumulate data to support the disclosures in a timely manner, we may not be able to meet the regulatory requirements and reporting timelines or fail to meet the limited assurance requirements.</w:t>
      </w:r>
    </w:p>
    <w:p>
      <w:pPr>
        <w:spacing w:after="0" w:line="86" w:lineRule="exact"/>
        <w:rPr>
          <w:rFonts w:ascii="Arial" w:cs="Arial" w:eastAsia="Arial" w:hAnsi="Arial"/>
          <w:sz w:val="20"/>
          <w:szCs w:val="20"/>
          <w:color w:val="537BB5"/>
        </w:rPr>
      </w:pPr>
    </w:p>
    <w:p>
      <w:pPr>
        <w:jc w:val="both"/>
        <w:ind w:left="500" w:hanging="298"/>
        <w:spacing w:after="0" w:line="271" w:lineRule="auto"/>
        <w:tabs>
          <w:tab w:leader="none" w:pos="500" w:val="left"/>
        </w:tabs>
        <w:numPr>
          <w:ilvl w:val="0"/>
          <w:numId w:val="14"/>
        </w:numPr>
        <w:rPr>
          <w:rFonts w:ascii="Arial" w:cs="Arial" w:eastAsia="Arial" w:hAnsi="Arial"/>
          <w:sz w:val="19"/>
          <w:szCs w:val="19"/>
          <w:color w:val="537BB5"/>
        </w:rPr>
      </w:pPr>
      <w:r>
        <w:rPr>
          <w:rFonts w:ascii="Arial" w:cs="Arial" w:eastAsia="Arial" w:hAnsi="Arial"/>
          <w:sz w:val="19"/>
          <w:szCs w:val="19"/>
          <w:color w:val="auto"/>
        </w:rPr>
        <w:t>Our ability to achieve our sustainability commitments may be subject to numerous external factors outside of our control, including: (1) the availability and cost of low-carbon energy sources; (2) evolving regulatory requirements affecting sustainability standards or disclosures; (3) the availability of vendors and other business partners that can meet our sustainability, diversity, and other standards; and (4) our ability to recruit, develop, and retain diverse talent.</w:t>
      </w:r>
    </w:p>
    <w:p>
      <w:pPr>
        <w:spacing w:after="0" w:line="66" w:lineRule="exact"/>
        <w:rPr>
          <w:rFonts w:ascii="Arial" w:cs="Arial" w:eastAsia="Arial" w:hAnsi="Arial"/>
          <w:sz w:val="19"/>
          <w:szCs w:val="19"/>
          <w:color w:val="537BB5"/>
        </w:rPr>
      </w:pPr>
    </w:p>
    <w:p>
      <w:pPr>
        <w:jc w:val="both"/>
        <w:ind w:left="500" w:hanging="298"/>
        <w:spacing w:after="0" w:line="247" w:lineRule="auto"/>
        <w:tabs>
          <w:tab w:leader="none" w:pos="500" w:val="left"/>
        </w:tabs>
        <w:numPr>
          <w:ilvl w:val="0"/>
          <w:numId w:val="14"/>
        </w:numPr>
        <w:rPr>
          <w:rFonts w:ascii="Arial" w:cs="Arial" w:eastAsia="Arial" w:hAnsi="Arial"/>
          <w:sz w:val="20"/>
          <w:szCs w:val="20"/>
          <w:color w:val="537BB5"/>
        </w:rPr>
      </w:pPr>
      <w:r>
        <w:rPr>
          <w:rFonts w:ascii="Arial" w:cs="Arial" w:eastAsia="Arial" w:hAnsi="Arial"/>
          <w:sz w:val="20"/>
          <w:szCs w:val="20"/>
          <w:color w:val="auto"/>
        </w:rPr>
        <w:t>Standard methodologies and frameworks, as well as our processes and controls, for measuring and reporting sustainability matters across our operations are continuously evolving, including sustainability-related disclosures that may be required by the SEC, European and other regulators; and such changing standards could result in significant revisions to our current goals, reported progress in achieving such goals, or our ability to achieve such goals in the future.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w:t>
      </w:r>
    </w:p>
    <w:p>
      <w:pPr>
        <w:spacing w:after="0" w:line="86" w:lineRule="exact"/>
        <w:rPr>
          <w:rFonts w:ascii="Arial" w:cs="Arial" w:eastAsia="Arial" w:hAnsi="Arial"/>
          <w:sz w:val="20"/>
          <w:szCs w:val="20"/>
          <w:color w:val="537BB5"/>
        </w:rPr>
      </w:pPr>
    </w:p>
    <w:p>
      <w:pPr>
        <w:jc w:val="both"/>
        <w:ind w:left="500" w:hanging="298"/>
        <w:spacing w:after="0" w:line="246" w:lineRule="auto"/>
        <w:tabs>
          <w:tab w:leader="none" w:pos="500" w:val="left"/>
        </w:tabs>
        <w:numPr>
          <w:ilvl w:val="0"/>
          <w:numId w:val="14"/>
        </w:numPr>
        <w:rPr>
          <w:rFonts w:ascii="Arial" w:cs="Arial" w:eastAsia="Arial" w:hAnsi="Arial"/>
          <w:sz w:val="20"/>
          <w:szCs w:val="20"/>
          <w:color w:val="537BB5"/>
        </w:rPr>
      </w:pPr>
      <w:r>
        <w:rPr>
          <w:rFonts w:ascii="Arial" w:cs="Arial" w:eastAsia="Arial" w:hAnsi="Arial"/>
          <w:sz w:val="20"/>
          <w:szCs w:val="20"/>
          <w:color w:val="auto"/>
        </w:rPr>
        <w:t>Our positions and disclosures on these matters may be challenged by the US Federal government or state governments. For example, on January 21, 2025, President Trump issued an Executive Order directing the Attorney General to make recommendations for enforcing Federal civil rights laws and taking other appropriate measures to encourage the private sector to end illegal discrimination and preferences, including a proposed strategic enforcement plan. Despite our efforts to ensure that our positions on these matters are compliant with all applicable laws, any challenges may be costly and time-consuming to resolve, and may not be resolved in our favor, which may have a material adverse effect on our business, including our ability to attract and retain employees, our reputation and our results of operations.</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acquisition strategy may be unsuccessful and may introduce unexpected costs.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From time to time, we make acquisitions of other companies or operating assets. These activities involve significant strategic and operational risks, including:</w:t>
      </w:r>
    </w:p>
    <w:p>
      <w:pPr>
        <w:spacing w:after="0" w:line="33" w:lineRule="exact"/>
        <w:rPr>
          <w:sz w:val="20"/>
          <w:szCs w:val="20"/>
          <w:color w:val="auto"/>
        </w:rPr>
      </w:pPr>
    </w:p>
    <w:p>
      <w:pPr>
        <w:jc w:val="both"/>
        <w:ind w:left="500" w:hanging="298"/>
        <w:spacing w:after="0" w:line="261" w:lineRule="auto"/>
        <w:tabs>
          <w:tab w:leader="none" w:pos="500" w:val="left"/>
        </w:tabs>
        <w:numPr>
          <w:ilvl w:val="0"/>
          <w:numId w:val="15"/>
        </w:numPr>
        <w:rPr>
          <w:rFonts w:ascii="Arial" w:cs="Arial" w:eastAsia="Arial" w:hAnsi="Arial"/>
          <w:sz w:val="20"/>
          <w:szCs w:val="20"/>
          <w:color w:val="537BB5"/>
        </w:rPr>
      </w:pPr>
      <w:r>
        <w:rPr>
          <w:rFonts w:ascii="Arial" w:cs="Arial" w:eastAsia="Arial" w:hAnsi="Arial"/>
          <w:sz w:val="20"/>
          <w:szCs w:val="20"/>
          <w:color w:val="auto"/>
        </w:rPr>
        <w:t>in some instances, we have failed to, and may in the future fail to achieve our strategic objectives or fail to meet our performance expectations, including as a result of challenges integrating the acquired company and assimilating their corporate culture;</w:t>
      </w:r>
    </w:p>
    <w:p>
      <w:pPr>
        <w:spacing w:after="0" w:line="53" w:lineRule="exact"/>
        <w:rPr>
          <w:rFonts w:ascii="Arial" w:cs="Arial" w:eastAsia="Arial" w:hAnsi="Arial"/>
          <w:sz w:val="20"/>
          <w:szCs w:val="20"/>
          <w:color w:val="537BB5"/>
        </w:rPr>
      </w:pPr>
    </w:p>
    <w:p>
      <w:pPr>
        <w:ind w:left="500" w:hanging="298"/>
        <w:spacing w:after="0"/>
        <w:tabs>
          <w:tab w:leader="none" w:pos="500" w:val="left"/>
        </w:tabs>
        <w:numPr>
          <w:ilvl w:val="0"/>
          <w:numId w:val="15"/>
        </w:numPr>
        <w:rPr>
          <w:rFonts w:ascii="Arial" w:cs="Arial" w:eastAsia="Arial" w:hAnsi="Arial"/>
          <w:sz w:val="20"/>
          <w:szCs w:val="20"/>
          <w:color w:val="537BB5"/>
        </w:rPr>
      </w:pPr>
      <w:r>
        <w:rPr>
          <w:rFonts w:ascii="Arial" w:cs="Arial" w:eastAsia="Arial" w:hAnsi="Arial"/>
          <w:sz w:val="20"/>
          <w:szCs w:val="20"/>
          <w:color w:val="auto"/>
        </w:rPr>
        <w:t>over-valuation by us of any companies or assets that we acquire;</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5"/>
        </w:numPr>
        <w:rPr>
          <w:rFonts w:ascii="Arial" w:cs="Arial" w:eastAsia="Arial" w:hAnsi="Arial"/>
          <w:sz w:val="20"/>
          <w:szCs w:val="20"/>
          <w:color w:val="537BB5"/>
        </w:rPr>
      </w:pPr>
      <w:r>
        <w:rPr>
          <w:rFonts w:ascii="Arial" w:cs="Arial" w:eastAsia="Arial" w:hAnsi="Arial"/>
          <w:sz w:val="20"/>
          <w:szCs w:val="20"/>
          <w:color w:val="auto"/>
        </w:rPr>
        <w:t>we may have difficulties integrating the operations, leadership, personnel, financial reporting, services or other functions of acquired companies;</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5"/>
        </w:numPr>
        <w:rPr>
          <w:rFonts w:ascii="Arial" w:cs="Arial" w:eastAsia="Arial" w:hAnsi="Arial"/>
          <w:sz w:val="20"/>
          <w:szCs w:val="20"/>
          <w:color w:val="537BB5"/>
        </w:rPr>
      </w:pPr>
      <w:r>
        <w:rPr>
          <w:rFonts w:ascii="Arial" w:cs="Arial" w:eastAsia="Arial" w:hAnsi="Arial"/>
          <w:sz w:val="20"/>
          <w:szCs w:val="20"/>
          <w:color w:val="auto"/>
        </w:rPr>
        <w:t>we have experienced, and may in the future experience disputes that arise with the sellers;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5"/>
        </w:numPr>
        <w:rPr>
          <w:rFonts w:ascii="Arial" w:cs="Arial" w:eastAsia="Arial" w:hAnsi="Arial"/>
          <w:sz w:val="20"/>
          <w:szCs w:val="20"/>
          <w:color w:val="537BB5"/>
        </w:rPr>
      </w:pPr>
      <w:r>
        <w:rPr>
          <w:rFonts w:ascii="Arial" w:cs="Arial" w:eastAsia="Arial" w:hAnsi="Arial"/>
          <w:sz w:val="20"/>
          <w:szCs w:val="20"/>
          <w:color w:val="auto"/>
        </w:rPr>
        <w:t>we may fail to effectively monitor compliance with corporate policies as well as regulatory requirements;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10800"/>
          </w:cols>
          <w:pgMar w:left="720" w:top="734" w:right="720" w:bottom="175" w:gutter="0" w:footer="0" w:header="0"/>
          <w:type w:val="continuous"/>
        </w:sectPr>
      </w:pPr>
    </w:p>
    <w:bookmarkStart w:id="25" w:name="page26"/>
    <w:bookmarkEnd w:id="2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29" o:spid="_x0000_s105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8" w:lineRule="exact"/>
        <w:rPr>
          <w:sz w:val="20"/>
          <w:szCs w:val="20"/>
          <w:color w:val="auto"/>
        </w:rPr>
      </w:pPr>
    </w:p>
    <w:p>
      <w:pPr>
        <w:ind w:left="500" w:hanging="298"/>
        <w:spacing w:after="0"/>
        <w:tabs>
          <w:tab w:leader="none" w:pos="500" w:val="left"/>
        </w:tabs>
        <w:numPr>
          <w:ilvl w:val="0"/>
          <w:numId w:val="16"/>
        </w:numPr>
        <w:rPr>
          <w:rFonts w:ascii="Arial" w:cs="Arial" w:eastAsia="Arial" w:hAnsi="Arial"/>
          <w:sz w:val="20"/>
          <w:szCs w:val="20"/>
          <w:color w:val="537BB5"/>
        </w:rPr>
      </w:pPr>
      <w:r>
        <w:rPr>
          <w:rFonts w:ascii="Arial" w:cs="Arial" w:eastAsia="Arial" w:hAnsi="Arial"/>
          <w:sz w:val="20"/>
          <w:szCs w:val="20"/>
          <w:color w:val="auto"/>
        </w:rPr>
        <w:t>we may face unanticipated risks and liabilities in connection with the acquired company's operations;</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6"/>
        </w:numPr>
        <w:rPr>
          <w:rFonts w:ascii="Arial" w:cs="Arial" w:eastAsia="Arial" w:hAnsi="Arial"/>
          <w:sz w:val="20"/>
          <w:szCs w:val="20"/>
          <w:color w:val="537BB5"/>
        </w:rPr>
      </w:pPr>
      <w:r>
        <w:rPr>
          <w:rFonts w:ascii="Arial" w:cs="Arial" w:eastAsia="Arial" w:hAnsi="Arial"/>
          <w:sz w:val="20"/>
          <w:szCs w:val="20"/>
          <w:color w:val="auto"/>
        </w:rPr>
        <w:t>we may obtain insufficient indemnification from the selling parties for liabilities incurred by the acquired companies prior to the acquisitions; and</w:t>
      </w:r>
    </w:p>
    <w:p>
      <w:pPr>
        <w:spacing w:after="0" w:line="32"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6"/>
        </w:numPr>
        <w:rPr>
          <w:rFonts w:ascii="Arial" w:cs="Arial" w:eastAsia="Arial" w:hAnsi="Arial"/>
          <w:sz w:val="20"/>
          <w:szCs w:val="20"/>
          <w:color w:val="537BB5"/>
        </w:rPr>
      </w:pPr>
      <w:r>
        <w:rPr>
          <w:rFonts w:ascii="Arial" w:cs="Arial" w:eastAsia="Arial" w:hAnsi="Arial"/>
          <w:sz w:val="20"/>
          <w:szCs w:val="20"/>
          <w:color w:val="auto"/>
        </w:rPr>
        <w:t>acquisition transactions, and the integration of acquired entities, may result in a diversion of our management’s attention from other business concerns.</w:t>
      </w:r>
    </w:p>
    <w:p>
      <w:pPr>
        <w:spacing w:after="0" w:line="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Additionally, we have incurred, and may in the future incur impairment losses on goodwill and other intangible assets with an indefinite life or restructuring charges as a result of acquisitions we make.</w:t>
      </w:r>
    </w:p>
    <w:p>
      <w:pPr>
        <w:spacing w:after="0" w:line="120"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From time to time, we undertake dispositions via sales, franchises, joint ventures or other exit activities, and we may face risks related to such transactions.</w:t>
      </w:r>
    </w:p>
    <w:p>
      <w:pPr>
        <w:spacing w:after="0" w:line="4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Occasionally, we dispose of parts of our operations based on risk considerations and to optimize our global strategic and geographic footprint and overall efficiency. We have engaged in such dispositions in the past, including the dispositions of our businesses in Korea and Austria in 2024, the Philippines in 2023 and Russia and Hungary in 2022, respectively.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Financial and Market Risks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Foreign currency fluctuations may have a material adverse effect on our operating results.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foreign countries can result in foreign currency devaluation, which may also negatively impact our reported financial results. This occurred in Argentina and is likely to continue while the country attempts to stabilize its currency exchange rate going forward.</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2024, approximately 85% of our revenues were generated outside of the United States, the majority of which were generated in Europe. Furthermore, $952.8 million of our outstanding indebtedness as of December 31, 2024 was denominated in foreign currencies, including $928.4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10800"/>
          </w:cols>
          <w:pgMar w:left="720" w:top="734" w:right="720" w:bottom="175" w:gutter="0" w:footer="0" w:header="0"/>
          <w:type w:val="continuous"/>
        </w:sectPr>
      </w:pPr>
    </w:p>
    <w:bookmarkStart w:id="26" w:name="page27"/>
    <w:bookmarkEnd w:id="26"/>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0" o:spid="_x0000_s105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2024,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liquidity could be adversely impacted by economic conditions affecting our clients.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21" w:lineRule="exact"/>
        <w:rPr>
          <w:sz w:val="20"/>
          <w:szCs w:val="20"/>
          <w:color w:val="auto"/>
        </w:rPr>
      </w:pPr>
    </w:p>
    <w:p>
      <w:pPr>
        <w:ind w:left="320"/>
        <w:spacing w:after="0" w:line="264" w:lineRule="auto"/>
        <w:rPr>
          <w:sz w:val="20"/>
          <w:szCs w:val="20"/>
          <w:color w:val="auto"/>
        </w:rPr>
      </w:pPr>
      <w:r>
        <w:rPr>
          <w:rFonts w:ascii="Arial" w:cs="Arial" w:eastAsia="Arial" w:hAnsi="Arial"/>
          <w:sz w:val="20"/>
          <w:szCs w:val="20"/>
          <w:i w:val="1"/>
          <w:iCs w:val="1"/>
          <w:color w:val="537BB5"/>
        </w:rPr>
        <w:t>Our results of operations and share price could be materially adversely affected if we are unable to maintain effective internal controls.</w:t>
      </w:r>
    </w:p>
    <w:p>
      <w:pPr>
        <w:spacing w:after="0" w:line="4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debt levels could materially adversely affect our operating flexibility and put us at a competitive disadvantage.</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As of December 31, 2024, we had $952.8 million of total debt. Our level of debt and the limitations imposed on us by our credit agreements could have important consequences for investors, including the following:</w:t>
      </w:r>
    </w:p>
    <w:p>
      <w:pPr>
        <w:spacing w:after="0" w:line="61" w:lineRule="exact"/>
        <w:rPr>
          <w:sz w:val="20"/>
          <w:szCs w:val="20"/>
          <w:color w:val="auto"/>
        </w:rPr>
      </w:pPr>
    </w:p>
    <w:p>
      <w:pPr>
        <w:ind w:left="500" w:hanging="298"/>
        <w:spacing w:after="0" w:line="282" w:lineRule="auto"/>
        <w:tabs>
          <w:tab w:leader="none" w:pos="500" w:val="left"/>
        </w:tabs>
        <w:numPr>
          <w:ilvl w:val="0"/>
          <w:numId w:val="17"/>
        </w:numPr>
        <w:rPr>
          <w:rFonts w:ascii="Arial" w:cs="Arial" w:eastAsia="Arial" w:hAnsi="Arial"/>
          <w:sz w:val="20"/>
          <w:szCs w:val="20"/>
          <w:color w:val="537BB5"/>
        </w:rPr>
      </w:pPr>
      <w:r>
        <w:rPr>
          <w:rFonts w:ascii="Arial" w:cs="Arial" w:eastAsia="Arial" w:hAnsi="Arial"/>
          <w:sz w:val="20"/>
          <w:szCs w:val="20"/>
          <w:color w:val="auto"/>
        </w:rPr>
        <w:t>we may not be able to obtain additional debt financing for future working capital, capital expenditures, significant acquisition opportunities, or other corporate purposes or may have to pay more for such financing;</w:t>
      </w:r>
    </w:p>
    <w:p>
      <w:pPr>
        <w:spacing w:after="0" w:line="52"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7"/>
        </w:numPr>
        <w:rPr>
          <w:rFonts w:ascii="Arial" w:cs="Arial" w:eastAsia="Arial" w:hAnsi="Arial"/>
          <w:sz w:val="20"/>
          <w:szCs w:val="20"/>
          <w:color w:val="537BB5"/>
        </w:rPr>
      </w:pPr>
      <w:r>
        <w:rPr>
          <w:rFonts w:ascii="Arial" w:cs="Arial" w:eastAsia="Arial" w:hAnsi="Arial"/>
          <w:sz w:val="20"/>
          <w:szCs w:val="20"/>
          <w:color w:val="auto"/>
        </w:rPr>
        <w:t>borrowings under our revolving credit facilities are at a variable interest rate, making us more vulnerable to increases in interest rates; and</w:t>
      </w:r>
    </w:p>
    <w:p>
      <w:pPr>
        <w:spacing w:after="0" w:line="52"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7"/>
        </w:numPr>
        <w:rPr>
          <w:rFonts w:ascii="Arial" w:cs="Arial" w:eastAsia="Arial" w:hAnsi="Arial"/>
          <w:sz w:val="20"/>
          <w:szCs w:val="20"/>
          <w:color w:val="537BB5"/>
        </w:rPr>
      </w:pPr>
      <w:r>
        <w:rPr>
          <w:rFonts w:ascii="Arial" w:cs="Arial" w:eastAsia="Arial" w:hAnsi="Arial"/>
          <w:sz w:val="20"/>
          <w:szCs w:val="20"/>
          <w:color w:val="auto"/>
        </w:rPr>
        <w:t>we could be less able to take advantage of significant business opportunities and to react to changes in market or industry conditions.</w:t>
      </w:r>
    </w:p>
    <w:p>
      <w:pPr>
        <w:spacing w:after="0" w:line="80" w:lineRule="exact"/>
        <w:rPr>
          <w:sz w:val="20"/>
          <w:szCs w:val="20"/>
          <w:color w:val="auto"/>
        </w:rPr>
      </w:pPr>
    </w:p>
    <w:p>
      <w:pPr>
        <w:ind w:left="320"/>
        <w:spacing w:after="0" w:line="264" w:lineRule="auto"/>
        <w:rPr>
          <w:sz w:val="20"/>
          <w:szCs w:val="20"/>
          <w:color w:val="auto"/>
        </w:rPr>
      </w:pPr>
      <w:r>
        <w:rPr>
          <w:rFonts w:ascii="Arial" w:cs="Arial" w:eastAsia="Arial" w:hAnsi="Arial"/>
          <w:sz w:val="20"/>
          <w:szCs w:val="20"/>
          <w:i w:val="1"/>
          <w:iCs w:val="1"/>
          <w:color w:val="537BB5"/>
        </w:rPr>
        <w:t>Our failure to comply with restrictive covenants under our revolving credit facilities and other debt instruments could trigger prepayment obligations.</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14" w:lineRule="exact"/>
        <w:rPr>
          <w:sz w:val="20"/>
          <w:szCs w:val="20"/>
          <w:color w:val="auto"/>
        </w:rPr>
      </w:pPr>
    </w:p>
    <w:p>
      <w:pPr>
        <w:ind w:left="320"/>
        <w:spacing w:after="0" w:line="264" w:lineRule="auto"/>
        <w:rPr>
          <w:sz w:val="20"/>
          <w:szCs w:val="20"/>
          <w:color w:val="auto"/>
        </w:rPr>
      </w:pPr>
      <w:r>
        <w:rPr>
          <w:rFonts w:ascii="Arial" w:cs="Arial" w:eastAsia="Arial" w:hAnsi="Arial"/>
          <w:sz w:val="20"/>
          <w:szCs w:val="20"/>
          <w:i w:val="1"/>
          <w:iCs w:val="1"/>
          <w:color w:val="537BB5"/>
        </w:rPr>
        <w:t>The lenders under our and our subsidiaries’ credit facilities may be unwilling or unable to extend credit to us on acceptable terms or at all.</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10800"/>
          </w:cols>
          <w:pgMar w:left="720" w:top="734" w:right="720" w:bottom="175" w:gutter="0" w:footer="0" w:header="0"/>
          <w:type w:val="continuous"/>
        </w:sectPr>
      </w:pPr>
    </w:p>
    <w:bookmarkStart w:id="27" w:name="page28"/>
    <w:bookmarkEnd w:id="2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1" o:spid="_x0000_s105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20"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The performance of our subsidiaries and their ability to distribute cash to our parent company may vary, negatively affecting our ability to service our debt at the parent company level or in other subsidiaries.</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21"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Our inability to secure guarantees or letters of credit on acceptable terms may substantially increase our cost of doing business in various countries.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0"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We could be subject to changes in tax rates, adoption of new United States or international tax legislation or tax audits that could result in additional income tax liabilities.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a number of members of the Organization for Economic Co-operation and Development have agreed to enact the Pillar Two international tax reform, which introduces a global minimum effective tax rate whereby certain multinational groups are subject to a 15% minimum tax on income derived in low-tax jurisdictions. These rules became effective in some countries in 2024. As another example, in February 2025 the French government enacted legislation resulting in a one-year temporary increase in the corporate income tax rate for our French business from 25.825% to 36.125% for 2025 and a three-year delay to the scheduled phase-out of the French business tax (CVAE). We estimate this legislation will increase our consolidated global effective tax rate in the range of 4% to 5% based on current projections. These proposed and enacted changes in tax laws, treaties or regulations, or their interpretation or enforcement, could have a material adverse impact on our current or future tax positions.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10800"/>
          </w:cols>
          <w:pgMar w:left="720" w:top="734" w:right="720" w:bottom="175" w:gutter="0" w:footer="0" w:header="0"/>
          <w:type w:val="continuous"/>
        </w:sectPr>
      </w:pPr>
    </w:p>
    <w:bookmarkStart w:id="28" w:name="page29"/>
    <w:bookmarkEnd w:id="28"/>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2" o:spid="_x0000_s105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The price of our common stock may fluctuate significantly, which may result in losses for investors.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market price for our common stock may be subject to significant volatility. For example, during 2024, the price of our common stock as reported on the New York Stock Exchange ranged from a high of $79.12 to a low of $56.82. Our stock price can fluctuate as a result of a variety of factors, including factors listed in these “Risk Factors” and others, many of which are beyond our control. These factors include:</w:t>
      </w:r>
    </w:p>
    <w:p>
      <w:pPr>
        <w:spacing w:after="0" w:line="80" w:lineRule="exact"/>
        <w:rPr>
          <w:sz w:val="20"/>
          <w:szCs w:val="20"/>
          <w:color w:val="auto"/>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changes in general economic conditions;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actual or anticipated variations in our quarterly operating results;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announcement of new services by us or our competitors;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announcements relating to strategic relationships or acquisitions;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changes in financial estimates or other statements by securities analysts; and</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18"/>
        </w:numPr>
        <w:rPr>
          <w:rFonts w:ascii="Arial" w:cs="Arial" w:eastAsia="Arial" w:hAnsi="Arial"/>
          <w:sz w:val="20"/>
          <w:szCs w:val="20"/>
          <w:color w:val="537BB5"/>
        </w:rPr>
      </w:pPr>
      <w:r>
        <w:rPr>
          <w:rFonts w:ascii="Arial" w:cs="Arial" w:eastAsia="Arial" w:hAnsi="Arial"/>
          <w:sz w:val="20"/>
          <w:szCs w:val="20"/>
          <w:color w:val="auto"/>
        </w:rPr>
        <w:t>changes in investor sentiment regarding the company arising from these or other events, or the economy in general.</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Regulatory and Legal Risks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9"/>
          <w:szCs w:val="19"/>
          <w:i w:val="1"/>
          <w:iCs w:val="1"/>
          <w:color w:val="537BB5"/>
        </w:rPr>
        <w:t>Our performance on contracts may be materially adversely affected if we or third parties fail to deliver on commitments.</w:t>
      </w:r>
    </w:p>
    <w:p>
      <w:pPr>
        <w:spacing w:after="0" w:line="12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spacing w:after="0" w:line="125"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Government regulations may result in prohibition or restriction of certain types of employment services or the imposition of additional licensing or tax requirements that may reduce our future earnings.</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many jurisdictions in which we operate, such as France, Italy, Germany, Japan and Mexico, the employment services industry is heavily regulated and scrutinized. For example, in 2021, legislation was adopted in Mexico that affects many types of temporary placements under the country’s labor laws. The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on our revenues, costs, and operating margins.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The countries and territories in which we operate may, among other things:</w:t>
      </w:r>
    </w:p>
    <w:p>
      <w:pPr>
        <w:spacing w:after="0" w:line="113" w:lineRule="exact"/>
        <w:rPr>
          <w:sz w:val="20"/>
          <w:szCs w:val="20"/>
          <w:color w:val="auto"/>
        </w:rPr>
      </w:pPr>
    </w:p>
    <w:p>
      <w:pPr>
        <w:ind w:left="500" w:hanging="298"/>
        <w:spacing w:after="0" w:line="282" w:lineRule="auto"/>
        <w:tabs>
          <w:tab w:leader="none" w:pos="500" w:val="left"/>
        </w:tabs>
        <w:numPr>
          <w:ilvl w:val="0"/>
          <w:numId w:val="19"/>
        </w:numPr>
        <w:rPr>
          <w:rFonts w:ascii="Arial" w:cs="Arial" w:eastAsia="Arial" w:hAnsi="Arial"/>
          <w:sz w:val="20"/>
          <w:szCs w:val="20"/>
          <w:color w:val="537BB5"/>
        </w:rPr>
      </w:pPr>
      <w:r>
        <w:rPr>
          <w:rFonts w:ascii="Arial" w:cs="Arial" w:eastAsia="Arial" w:hAnsi="Arial"/>
          <w:sz w:val="20"/>
          <w:szCs w:val="20"/>
          <w:color w:val="auto"/>
        </w:rPr>
        <w:t>create additional regulations that prohibit or restrict the types of employment services or categories of job roles that we may provide;</w:t>
      </w:r>
    </w:p>
    <w:p>
      <w:pPr>
        <w:spacing w:after="0" w:line="32" w:lineRule="exact"/>
        <w:rPr>
          <w:rFonts w:ascii="Arial" w:cs="Arial" w:eastAsia="Arial" w:hAnsi="Arial"/>
          <w:sz w:val="20"/>
          <w:szCs w:val="20"/>
          <w:color w:val="537BB5"/>
        </w:rPr>
      </w:pPr>
    </w:p>
    <w:p>
      <w:pPr>
        <w:ind w:left="500" w:hanging="298"/>
        <w:spacing w:after="0"/>
        <w:tabs>
          <w:tab w:leader="none" w:pos="500" w:val="left"/>
        </w:tabs>
        <w:numPr>
          <w:ilvl w:val="0"/>
          <w:numId w:val="19"/>
        </w:numPr>
        <w:rPr>
          <w:rFonts w:ascii="Arial" w:cs="Arial" w:eastAsia="Arial" w:hAnsi="Arial"/>
          <w:sz w:val="20"/>
          <w:szCs w:val="20"/>
          <w:color w:val="537BB5"/>
        </w:rPr>
      </w:pPr>
      <w:r>
        <w:rPr>
          <w:rFonts w:ascii="Arial" w:cs="Arial" w:eastAsia="Arial" w:hAnsi="Arial"/>
          <w:sz w:val="20"/>
          <w:szCs w:val="20"/>
          <w:color w:val="auto"/>
        </w:rPr>
        <w:t>expand governmental or regulatory scrutiny of the use of AI within the employment context or recruitment process;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9"/>
        </w:numPr>
        <w:rPr>
          <w:rFonts w:ascii="Arial" w:cs="Arial" w:eastAsia="Arial" w:hAnsi="Arial"/>
          <w:sz w:val="20"/>
          <w:szCs w:val="20"/>
          <w:color w:val="537BB5"/>
        </w:rPr>
      </w:pPr>
      <w:r>
        <w:rPr>
          <w:rFonts w:ascii="Arial" w:cs="Arial" w:eastAsia="Arial" w:hAnsi="Arial"/>
          <w:sz w:val="20"/>
          <w:szCs w:val="20"/>
          <w:color w:val="auto"/>
        </w:rPr>
        <w:t>require new or additional benefits be paid to our associates;</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19"/>
        </w:numPr>
        <w:rPr>
          <w:rFonts w:ascii="Arial" w:cs="Arial" w:eastAsia="Arial" w:hAnsi="Arial"/>
          <w:sz w:val="20"/>
          <w:szCs w:val="20"/>
          <w:color w:val="537BB5"/>
        </w:rPr>
      </w:pPr>
      <w:r>
        <w:rPr>
          <w:rFonts w:ascii="Arial" w:cs="Arial" w:eastAsia="Arial" w:hAnsi="Arial"/>
          <w:sz w:val="20"/>
          <w:szCs w:val="20"/>
          <w:color w:val="auto"/>
        </w:rPr>
        <w:t>require pay parity for our associates or impose mandatory thresholds for employee diversity;</w:t>
      </w:r>
    </w:p>
    <w:p>
      <w:pPr>
        <w:spacing w:after="0" w:line="11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19"/>
        </w:numPr>
        <w:rPr>
          <w:rFonts w:ascii="Arial" w:cs="Arial" w:eastAsia="Arial" w:hAnsi="Arial"/>
          <w:sz w:val="20"/>
          <w:szCs w:val="20"/>
          <w:color w:val="537BB5"/>
        </w:rPr>
      </w:pPr>
      <w:r>
        <w:rPr>
          <w:rFonts w:ascii="Arial" w:cs="Arial" w:eastAsia="Arial" w:hAnsi="Arial"/>
          <w:sz w:val="20"/>
          <w:szCs w:val="20"/>
          <w:color w:val="auto"/>
        </w:rPr>
        <w:t>regulate the period of time for which we may or may not employ our workers, including maximum term limits or minimum time requirements for associates on assignment at our clients;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10800"/>
          </w:cols>
          <w:pgMar w:left="720" w:top="734" w:right="720" w:bottom="175" w:gutter="0" w:footer="0" w:header="0"/>
          <w:type w:val="continuous"/>
        </w:sectPr>
      </w:pPr>
    </w:p>
    <w:bookmarkStart w:id="29" w:name="page30"/>
    <w:bookmarkEnd w:id="2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3" o:spid="_x0000_s105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48" w:lineRule="exact"/>
        <w:rPr>
          <w:sz w:val="20"/>
          <w:szCs w:val="20"/>
          <w:color w:val="auto"/>
        </w:rPr>
      </w:pPr>
    </w:p>
    <w:p>
      <w:pPr>
        <w:ind w:left="500" w:hanging="298"/>
        <w:spacing w:after="0"/>
        <w:tabs>
          <w:tab w:leader="none" w:pos="500" w:val="left"/>
        </w:tabs>
        <w:numPr>
          <w:ilvl w:val="0"/>
          <w:numId w:val="20"/>
        </w:numPr>
        <w:rPr>
          <w:rFonts w:ascii="Arial" w:cs="Arial" w:eastAsia="Arial" w:hAnsi="Arial"/>
          <w:sz w:val="20"/>
          <w:szCs w:val="20"/>
          <w:color w:val="537BB5"/>
        </w:rPr>
      </w:pPr>
      <w:r>
        <w:rPr>
          <w:rFonts w:ascii="Arial" w:cs="Arial" w:eastAsia="Arial" w:hAnsi="Arial"/>
          <w:sz w:val="20"/>
          <w:szCs w:val="20"/>
          <w:color w:val="auto"/>
        </w:rPr>
        <w:t>require us to obtain additional licensing to provide employment services; or</w:t>
      </w:r>
    </w:p>
    <w:p>
      <w:pPr>
        <w:spacing w:after="0" w:line="113" w:lineRule="exact"/>
        <w:rPr>
          <w:rFonts w:ascii="Arial" w:cs="Arial" w:eastAsia="Arial" w:hAnsi="Arial"/>
          <w:sz w:val="20"/>
          <w:szCs w:val="20"/>
          <w:color w:val="537BB5"/>
        </w:rPr>
      </w:pPr>
    </w:p>
    <w:p>
      <w:pPr>
        <w:ind w:left="500" w:hanging="298"/>
        <w:spacing w:after="0"/>
        <w:tabs>
          <w:tab w:leader="none" w:pos="500" w:val="left"/>
        </w:tabs>
        <w:numPr>
          <w:ilvl w:val="0"/>
          <w:numId w:val="20"/>
        </w:numPr>
        <w:rPr>
          <w:rFonts w:ascii="Arial" w:cs="Arial" w:eastAsia="Arial" w:hAnsi="Arial"/>
          <w:sz w:val="20"/>
          <w:szCs w:val="20"/>
          <w:color w:val="537BB5"/>
        </w:rPr>
      </w:pPr>
      <w:r>
        <w:rPr>
          <w:rFonts w:ascii="Arial" w:cs="Arial" w:eastAsia="Arial" w:hAnsi="Arial"/>
          <w:sz w:val="20"/>
          <w:szCs w:val="20"/>
          <w:color w:val="auto"/>
        </w:rPr>
        <w:t>increase taxes, such as sales or value-added taxes.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Failure to comply with antibribery and corruption laws could materially adversely affect our business.</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25" w:lineRule="exact"/>
        <w:rPr>
          <w:sz w:val="20"/>
          <w:szCs w:val="20"/>
          <w:color w:val="auto"/>
        </w:rPr>
      </w:pPr>
    </w:p>
    <w:p>
      <w:pPr>
        <w:ind w:left="320"/>
        <w:spacing w:after="0" w:line="274" w:lineRule="auto"/>
        <w:rPr>
          <w:sz w:val="20"/>
          <w:szCs w:val="20"/>
          <w:color w:val="auto"/>
        </w:rPr>
      </w:pPr>
      <w:r>
        <w:rPr>
          <w:rFonts w:ascii="Arial" w:cs="Arial" w:eastAsia="Arial" w:hAnsi="Arial"/>
          <w:sz w:val="20"/>
          <w:szCs w:val="20"/>
          <w:i w:val="1"/>
          <w:iCs w:val="1"/>
          <w:color w:val="537BB5"/>
        </w:rPr>
        <w:t>We may be exposed to legal claims, including employment-related claims that could materially adversely affect our business, financial condition and results of operations.</w:t>
      </w:r>
    </w:p>
    <w:p>
      <w:pPr>
        <w:spacing w:after="0" w:line="4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in the business of employing people and placing them in the workplaces of other businesses. Risks relating to these activities could include possible claims of or relating to:</w:t>
      </w:r>
    </w:p>
    <w:p>
      <w:pPr>
        <w:spacing w:after="0" w:line="53" w:lineRule="exact"/>
        <w:rPr>
          <w:sz w:val="20"/>
          <w:szCs w:val="20"/>
          <w:color w:val="auto"/>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discrimination or harassment;</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employee pay, including wage and hour requirements;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wrongful termination or retaliation;</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actions or inactions of our workers, including matters for which we may have to indemnify a client;</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laws governing employment screening and privacy;</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classification of workers as employees or independent contractors;</w:t>
      </w:r>
    </w:p>
    <w:p>
      <w:pPr>
        <w:spacing w:after="0" w:line="13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employee unionization and collective bargaining activity, which we have recently experienced with certain small employee groups;</w:t>
      </w:r>
    </w:p>
    <w:p>
      <w:pPr>
        <w:spacing w:after="0" w:line="52"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employment of undocumented or illegal workers;</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issues relating to health and safety, including workers’ compensation;</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employee benefits, including leave and healthcare coverage;</w:t>
      </w:r>
    </w:p>
    <w:p>
      <w:pPr>
        <w:spacing w:after="0" w:line="133"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errors and omissions relating to the performance of professional roles such as IT professionals, accountants, engineers and the like; and</w:t>
      </w:r>
    </w:p>
    <w:p>
      <w:pPr>
        <w:spacing w:after="0" w:line="52" w:lineRule="exact"/>
        <w:rPr>
          <w:rFonts w:ascii="Arial" w:cs="Arial" w:eastAsia="Arial" w:hAnsi="Arial"/>
          <w:sz w:val="20"/>
          <w:szCs w:val="20"/>
          <w:color w:val="537BB5"/>
        </w:rPr>
      </w:pPr>
    </w:p>
    <w:p>
      <w:pPr>
        <w:ind w:left="500" w:hanging="298"/>
        <w:spacing w:after="0" w:line="282" w:lineRule="auto"/>
        <w:tabs>
          <w:tab w:leader="none" w:pos="500" w:val="left"/>
        </w:tabs>
        <w:numPr>
          <w:ilvl w:val="0"/>
          <w:numId w:val="21"/>
        </w:numPr>
        <w:rPr>
          <w:rFonts w:ascii="Arial" w:cs="Arial" w:eastAsia="Arial" w:hAnsi="Arial"/>
          <w:sz w:val="20"/>
          <w:szCs w:val="20"/>
          <w:color w:val="537BB5"/>
        </w:rPr>
      </w:pPr>
      <w:r>
        <w:rPr>
          <w:rFonts w:ascii="Arial" w:cs="Arial" w:eastAsia="Arial" w:hAnsi="Arial"/>
          <w:sz w:val="20"/>
          <w:szCs w:val="20"/>
          <w:color w:val="auto"/>
        </w:rPr>
        <w:t>our workers’ misuse of proprietary information, misappropriation of funds, other criminal activity or torts or other similar claims.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10800"/>
          </w:cols>
          <w:pgMar w:left="720" w:top="734" w:right="720" w:bottom="175" w:gutter="0" w:footer="0" w:header="0"/>
          <w:type w:val="continuous"/>
        </w:sectPr>
      </w:pPr>
    </w:p>
    <w:bookmarkStart w:id="30" w:name="page31"/>
    <w:bookmarkEnd w:id="30"/>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4" o:spid="_x0000_s105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may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Our business exposes us to competition law risk.</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pacing w:after="0" w:line="117" w:lineRule="exact"/>
        <w:rPr>
          <w:sz w:val="20"/>
          <w:szCs w:val="20"/>
          <w:color w:val="auto"/>
        </w:rPr>
      </w:pPr>
    </w:p>
    <w:p>
      <w:pPr>
        <w:ind w:left="320"/>
        <w:spacing w:after="0" w:line="282" w:lineRule="auto"/>
        <w:rPr>
          <w:sz w:val="20"/>
          <w:szCs w:val="20"/>
          <w:color w:val="auto"/>
        </w:rPr>
      </w:pPr>
      <w:r>
        <w:rPr>
          <w:rFonts w:ascii="Arial" w:cs="Arial" w:eastAsia="Arial" w:hAnsi="Arial"/>
          <w:sz w:val="20"/>
          <w:szCs w:val="20"/>
          <w:color w:val="537BB5"/>
        </w:rPr>
        <w:t>Wisconsin law and our articles of incorporation and bylaws contain provisions that could make the takeover of our company more difficult.</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73" w:lineRule="exact"/>
        <w:rPr>
          <w:sz w:val="20"/>
          <w:szCs w:val="20"/>
          <w:color w:val="auto"/>
        </w:rPr>
      </w:pPr>
    </w:p>
    <w:p>
      <w:pPr>
        <w:ind w:left="500" w:hanging="298"/>
        <w:spacing w:after="0"/>
        <w:tabs>
          <w:tab w:leader="none" w:pos="500" w:val="left"/>
        </w:tabs>
        <w:numPr>
          <w:ilvl w:val="0"/>
          <w:numId w:val="22"/>
        </w:numPr>
        <w:rPr>
          <w:rFonts w:ascii="Arial" w:cs="Arial" w:eastAsia="Arial" w:hAnsi="Arial"/>
          <w:sz w:val="20"/>
          <w:szCs w:val="20"/>
          <w:color w:val="537BB5"/>
        </w:rPr>
      </w:pPr>
      <w:r>
        <w:rPr>
          <w:rFonts w:ascii="Arial" w:cs="Arial" w:eastAsia="Arial" w:hAnsi="Arial"/>
          <w:sz w:val="20"/>
          <w:szCs w:val="20"/>
          <w:color w:val="auto"/>
        </w:rPr>
        <w:t>permitting removal of directors only for cause;</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2"/>
        </w:numPr>
        <w:rPr>
          <w:rFonts w:ascii="Arial" w:cs="Arial" w:eastAsia="Arial" w:hAnsi="Arial"/>
          <w:sz w:val="20"/>
          <w:szCs w:val="20"/>
          <w:color w:val="537BB5"/>
        </w:rPr>
      </w:pPr>
      <w:r>
        <w:rPr>
          <w:rFonts w:ascii="Arial" w:cs="Arial" w:eastAsia="Arial" w:hAnsi="Arial"/>
          <w:sz w:val="20"/>
          <w:szCs w:val="20"/>
          <w:color w:val="auto"/>
        </w:rPr>
        <w:t>providing that vacancies on the board of directors will be filled by the remaining directors then in office; and</w:t>
      </w:r>
    </w:p>
    <w:p>
      <w:pPr>
        <w:spacing w:after="0" w:line="133" w:lineRule="exact"/>
        <w:rPr>
          <w:rFonts w:ascii="Arial" w:cs="Arial" w:eastAsia="Arial" w:hAnsi="Arial"/>
          <w:sz w:val="20"/>
          <w:szCs w:val="20"/>
          <w:color w:val="537BB5"/>
        </w:rPr>
      </w:pPr>
    </w:p>
    <w:p>
      <w:pPr>
        <w:ind w:left="500" w:hanging="298"/>
        <w:spacing w:after="0"/>
        <w:tabs>
          <w:tab w:leader="none" w:pos="500" w:val="left"/>
        </w:tabs>
        <w:numPr>
          <w:ilvl w:val="0"/>
          <w:numId w:val="22"/>
        </w:numPr>
        <w:rPr>
          <w:rFonts w:ascii="Arial" w:cs="Arial" w:eastAsia="Arial" w:hAnsi="Arial"/>
          <w:sz w:val="20"/>
          <w:szCs w:val="20"/>
          <w:color w:val="537BB5"/>
        </w:rPr>
      </w:pPr>
      <w:r>
        <w:rPr>
          <w:rFonts w:ascii="Arial" w:cs="Arial" w:eastAsia="Arial" w:hAnsi="Arial"/>
          <w:sz w:val="20"/>
          <w:szCs w:val="20"/>
          <w:color w:val="auto"/>
        </w:rPr>
        <w:t>requiring advance notice for shareholder proposals and director nominees.</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10800"/>
          </w:cols>
          <w:pgMar w:left="720" w:top="734" w:right="720" w:bottom="175" w:gutter="0" w:footer="0" w:header="0"/>
          <w:type w:val="continuous"/>
        </w:sectPr>
      </w:pPr>
    </w:p>
    <w:bookmarkStart w:id="31" w:name="page32"/>
    <w:bookmarkEnd w:id="3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5" o:spid="_x0000_s106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1C. Cybersecurity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detect, escalate, investigate, and remediate identified risks and security incidents in a timely manner. We also maintain a third-party security program to identify, prioritize, assess, mitigate, and remediate third-party risks; however, we often rely on the third parties we use to implement security programs commensurate with their risk, and we cannot ensure in all circumstances that their efforts will be successful.</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regularly assess risks from cybersecurity and technology threats and monitor our information systems for potential vulnerabilities. We use a widely adopted risk quantification model to identify, measure and prioritize cybersecurity and technology risks and develop related security controls and safeguards. We conduct regular reviews and tests of our information security controls and leverage audits by our internal audit team, tabletop exercises, penetration and vulnerability testing, red team exercises, and other exercises to evaluate the effectiveness of our information security program and improve our security measures and planning. We also engage an independent industry recognized security service provider to conduct an annual red team assessment of our security controls, as well as third-party penetration testing of our information systems. The results of these assessments are reported to senior management and the Audit Committee of the Board of Directors.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systems periodically experience directed attacks intended to lead to interruptions and delays in our operations and the services we provide to clients as well as loss, misuse or theft of personal information (candidates, associates, vendors, clients and employees) and other data, confidential information or intellectual property, and we have experienced data exposures in the past. However, to date these incidents have not had a material impact on our services, information systems or business. Any significant disruption to our services or access to our systems could result in a loss of clients and adversely affect our business and results of operations. Further, a penetration of our information systems or a third-party’s information systems or other misappropriation or misuse of personal information could subject us to business, regulatory, litigation and reputation risk, which could have a negative effect on our business, financial condition, and results of operations. See Item 1A of Part I, “Risk Factors,” under the heading “We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 which should be read in conjunction with the information above.</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Chief Information Security Officer (CISO) leads our global information security organization responsible for overseeing the Company’s information security program. Our CISO has over 30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various technology companies. The global information security organization provides regular reports to senior management on various cybersecurity threats, assessments and findings.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Audit Committee of the Board of Directors oversees our annual enterprise risk assessment, where we assess key risks within the company, including security and technology risks and cybersecurity threats. The Audit Committee of the Board of Directors oversees our cybersecurity risk and regularly receives reports from our CISO on various cybersecurity matters, including risk assessments, mitigation strategies, areas of emerging risks, incidents and industry trends, and other areas of importance.</w:t>
      </w: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2. Properties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3. Legal Proceedings</w:t>
      </w:r>
    </w:p>
    <w:p>
      <w:pPr>
        <w:spacing w:after="0" w:line="13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involved in litigation of a routine nature and various legal matters, which are being defended and handled in the ordinary course of business.</w:t>
      </w: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10800"/>
          </w:cols>
          <w:pgMar w:left="720" w:top="734" w:right="720" w:bottom="175" w:gutter="0" w:footer="0" w:header="0"/>
          <w:type w:val="continuous"/>
        </w:sectPr>
      </w:pPr>
    </w:p>
    <w:bookmarkStart w:id="32" w:name="page33"/>
    <w:bookmarkEnd w:id="32"/>
    <w:p>
      <w:pPr>
        <w:ind w:left="1024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6" o:spid="_x0000_s106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22" w:lineRule="exact"/>
        <w:rPr>
          <w:sz w:val="20"/>
          <w:szCs w:val="20"/>
          <w:color w:val="auto"/>
        </w:rPr>
      </w:pPr>
    </w:p>
    <w:p>
      <w:pPr>
        <w:ind w:right="3900"/>
        <w:spacing w:after="0" w:line="297" w:lineRule="auto"/>
        <w:rPr>
          <w:sz w:val="20"/>
          <w:szCs w:val="20"/>
          <w:color w:val="auto"/>
        </w:rPr>
      </w:pPr>
      <w:r>
        <w:rPr>
          <w:rFonts w:ascii="Arial" w:cs="Arial" w:eastAsia="Arial" w:hAnsi="Arial"/>
          <w:sz w:val="28"/>
          <w:szCs w:val="28"/>
          <w:b w:val="1"/>
          <w:bCs w:val="1"/>
          <w:color w:val="537BB5"/>
        </w:rPr>
        <w:t>INFORMATION ABOUT OUR EXECUTIVE OFFICERS (as of February 19, 2025)</w:t>
      </w:r>
    </w:p>
    <w:tbl>
      <w:tblPr>
        <w:tblLayout w:type="fixed"/>
        <w:tblInd w:w="0" w:type="dxa"/>
        <w:tblCellMar>
          <w:top w:w="0" w:type="dxa"/>
          <w:left w:w="0" w:type="dxa"/>
          <w:bottom w:w="0" w:type="dxa"/>
          <w:right w:w="0" w:type="dxa"/>
        </w:tblCellMar>
      </w:tblPr>
      <w:tr>
        <w:trPr>
          <w:trHeight w:val="305"/>
        </w:trPr>
        <w:tc>
          <w:tcPr>
            <w:tcW w:w="220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Name of Officer</w:t>
            </w:r>
          </w:p>
        </w:tc>
        <w:tc>
          <w:tcPr>
            <w:tcW w:w="8600" w:type="dxa"/>
            <w:vAlign w:val="bottom"/>
            <w:tcBorders>
              <w:top w:val="single" w:sz="8" w:color="auto"/>
              <w:bottom w:val="single" w:sz="8" w:color="auto"/>
            </w:tcBorders>
            <w:shd w:val="clear" w:color="auto" w:fill="97AAD0"/>
          </w:tcPr>
          <w:p>
            <w:pPr>
              <w:ind w:left="600"/>
              <w:spacing w:after="0"/>
              <w:rPr>
                <w:sz w:val="20"/>
                <w:szCs w:val="20"/>
                <w:color w:val="auto"/>
              </w:rPr>
            </w:pPr>
            <w:r>
              <w:rPr>
                <w:rFonts w:ascii="Arial" w:cs="Arial" w:eastAsia="Arial" w:hAnsi="Arial"/>
                <w:sz w:val="16"/>
                <w:szCs w:val="16"/>
                <w:b w:val="1"/>
                <w:bCs w:val="1"/>
                <w:color w:val="auto"/>
              </w:rPr>
              <w:t>Office</w:t>
            </w:r>
          </w:p>
        </w:tc>
      </w:tr>
      <w:tr>
        <w:trPr>
          <w:trHeight w:val="232"/>
        </w:trPr>
        <w:tc>
          <w:tcPr>
            <w:tcW w:w="22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Jonas Prising</w:t>
            </w: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Chairman of ManpowerGroup since December 2015. Chief Executive Officer of ManpowerGroup</w:t>
            </w:r>
          </w:p>
        </w:tc>
      </w:tr>
      <w:tr>
        <w:trPr>
          <w:trHeight w:val="207"/>
        </w:trPr>
        <w:tc>
          <w:tcPr>
            <w:tcW w:w="22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Age 60</w:t>
            </w: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since May 2014. ManpowerGroup President from November 2012 to May 2014. Executive Vice</w:t>
            </w:r>
          </w:p>
        </w:tc>
      </w:tr>
      <w:tr>
        <w:trPr>
          <w:trHeight w:val="207"/>
        </w:trPr>
        <w:tc>
          <w:tcPr>
            <w:tcW w:w="2200" w:type="dxa"/>
            <w:vAlign w:val="bottom"/>
            <w:shd w:val="clear" w:color="auto" w:fill="E5E9F3"/>
          </w:tcPr>
          <w:p>
            <w:pPr>
              <w:spacing w:after="0"/>
              <w:rPr>
                <w:sz w:val="17"/>
                <w:szCs w:val="17"/>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President, President of ManpowerGroup - the Americas from January 2009 to October 2012.</w:t>
            </w:r>
          </w:p>
        </w:tc>
      </w:tr>
      <w:tr>
        <w:trPr>
          <w:trHeight w:val="207"/>
        </w:trPr>
        <w:tc>
          <w:tcPr>
            <w:tcW w:w="2200" w:type="dxa"/>
            <w:vAlign w:val="bottom"/>
            <w:shd w:val="clear" w:color="auto" w:fill="E5E9F3"/>
          </w:tcPr>
          <w:p>
            <w:pPr>
              <w:spacing w:after="0"/>
              <w:rPr>
                <w:sz w:val="17"/>
                <w:szCs w:val="17"/>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w w:val="99"/>
              </w:rPr>
              <w:t>Executive Vice President, President – United States and Canadian Operations from January 2006 to</w:t>
            </w:r>
          </w:p>
        </w:tc>
      </w:tr>
      <w:tr>
        <w:trPr>
          <w:trHeight w:val="207"/>
        </w:trPr>
        <w:tc>
          <w:tcPr>
            <w:tcW w:w="2200" w:type="dxa"/>
            <w:vAlign w:val="bottom"/>
            <w:shd w:val="clear" w:color="auto" w:fill="E5E9F3"/>
          </w:tcPr>
          <w:p>
            <w:pPr>
              <w:spacing w:after="0"/>
              <w:rPr>
                <w:sz w:val="17"/>
                <w:szCs w:val="17"/>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December 2008. A director of ManpowerGroup since May 2014. An employee of ManpowerGroup</w:t>
            </w:r>
          </w:p>
        </w:tc>
      </w:tr>
      <w:tr>
        <w:trPr>
          <w:trHeight w:val="225"/>
        </w:trPr>
        <w:tc>
          <w:tcPr>
            <w:tcW w:w="2200" w:type="dxa"/>
            <w:vAlign w:val="bottom"/>
            <w:shd w:val="clear" w:color="auto" w:fill="E5E9F3"/>
          </w:tcPr>
          <w:p>
            <w:pPr>
              <w:spacing w:after="0"/>
              <w:rPr>
                <w:sz w:val="19"/>
                <w:szCs w:val="19"/>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since May 1999. A director of Kohl's Corporation since August 2015.</w:t>
            </w:r>
          </w:p>
        </w:tc>
      </w:tr>
      <w:tr>
        <w:trPr>
          <w:trHeight w:val="235"/>
        </w:trPr>
        <w:tc>
          <w:tcPr>
            <w:tcW w:w="2200" w:type="dxa"/>
            <w:vAlign w:val="bottom"/>
          </w:tcPr>
          <w:p>
            <w:pPr>
              <w:ind w:left="100"/>
              <w:spacing w:after="0"/>
              <w:rPr>
                <w:sz w:val="20"/>
                <w:szCs w:val="20"/>
                <w:color w:val="auto"/>
              </w:rPr>
            </w:pPr>
            <w:r>
              <w:rPr>
                <w:rFonts w:ascii="Arial" w:cs="Arial" w:eastAsia="Arial" w:hAnsi="Arial"/>
                <w:sz w:val="18"/>
                <w:szCs w:val="18"/>
                <w:color w:val="auto"/>
              </w:rPr>
              <w:t>John T. McGinnis</w:t>
            </w:r>
          </w:p>
        </w:tc>
        <w:tc>
          <w:tcPr>
            <w:tcW w:w="8600" w:type="dxa"/>
            <w:vAlign w:val="bottom"/>
          </w:tcPr>
          <w:p>
            <w:pPr>
              <w:ind w:left="600"/>
              <w:spacing w:after="0"/>
              <w:rPr>
                <w:sz w:val="20"/>
                <w:szCs w:val="20"/>
                <w:color w:val="auto"/>
              </w:rPr>
            </w:pPr>
            <w:r>
              <w:rPr>
                <w:rFonts w:ascii="Arial" w:cs="Arial" w:eastAsia="Arial" w:hAnsi="Arial"/>
                <w:sz w:val="18"/>
                <w:szCs w:val="18"/>
                <w:color w:val="auto"/>
              </w:rPr>
              <w:t>Executive Vice President, Chief Financial Officer of ManpowerGroup since February 2016. Global</w:t>
            </w:r>
          </w:p>
        </w:tc>
      </w:tr>
      <w:tr>
        <w:trPr>
          <w:trHeight w:val="207"/>
        </w:trPr>
        <w:tc>
          <w:tcPr>
            <w:tcW w:w="2200" w:type="dxa"/>
            <w:vAlign w:val="bottom"/>
          </w:tcPr>
          <w:p>
            <w:pPr>
              <w:ind w:left="100"/>
              <w:spacing w:after="0"/>
              <w:rPr>
                <w:sz w:val="20"/>
                <w:szCs w:val="20"/>
                <w:color w:val="auto"/>
              </w:rPr>
            </w:pPr>
            <w:r>
              <w:rPr>
                <w:rFonts w:ascii="Arial" w:cs="Arial" w:eastAsia="Arial" w:hAnsi="Arial"/>
                <w:sz w:val="18"/>
                <w:szCs w:val="18"/>
                <w:color w:val="auto"/>
              </w:rPr>
              <w:t>Age 58</w:t>
            </w:r>
          </w:p>
        </w:tc>
        <w:tc>
          <w:tcPr>
            <w:tcW w:w="8600" w:type="dxa"/>
            <w:vAlign w:val="bottom"/>
          </w:tcPr>
          <w:p>
            <w:pPr>
              <w:ind w:left="600"/>
              <w:spacing w:after="0"/>
              <w:rPr>
                <w:sz w:val="20"/>
                <w:szCs w:val="20"/>
                <w:color w:val="auto"/>
              </w:rPr>
            </w:pPr>
            <w:r>
              <w:rPr>
                <w:rFonts w:ascii="Arial" w:cs="Arial" w:eastAsia="Arial" w:hAnsi="Arial"/>
                <w:sz w:val="18"/>
                <w:szCs w:val="18"/>
                <w:color w:val="auto"/>
              </w:rPr>
              <w:t>Controller of Morgan Stanley from January 2014 to February 2016. Chief Financial Officer, HSBC</w:t>
            </w:r>
          </w:p>
        </w:tc>
      </w:tr>
      <w:tr>
        <w:trPr>
          <w:trHeight w:val="207"/>
        </w:trPr>
        <w:tc>
          <w:tcPr>
            <w:tcW w:w="2200" w:type="dxa"/>
            <w:vAlign w:val="bottom"/>
          </w:tcPr>
          <w:p>
            <w:pPr>
              <w:spacing w:after="0"/>
              <w:rPr>
                <w:sz w:val="17"/>
                <w:szCs w:val="17"/>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North America from July 2012 to January 2014. Chief Financial Officer, HSBC Bank USA from July</w:t>
            </w:r>
          </w:p>
        </w:tc>
      </w:tr>
      <w:tr>
        <w:trPr>
          <w:trHeight w:val="225"/>
        </w:trPr>
        <w:tc>
          <w:tcPr>
            <w:tcW w:w="2200" w:type="dxa"/>
            <w:vAlign w:val="bottom"/>
          </w:tcPr>
          <w:p>
            <w:pPr>
              <w:spacing w:after="0"/>
              <w:rPr>
                <w:sz w:val="19"/>
                <w:szCs w:val="19"/>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2010 to January 2014. An employee of ManpowerGroup since February 2016.</w:t>
            </w:r>
          </w:p>
        </w:tc>
      </w:tr>
      <w:tr>
        <w:trPr>
          <w:trHeight w:val="235"/>
        </w:trPr>
        <w:tc>
          <w:tcPr>
            <w:tcW w:w="22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Becky Frankiewicz</w:t>
            </w: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Regional President, North America and Chief Commercial Officer since June 2022. Regional</w:t>
            </w:r>
          </w:p>
        </w:tc>
      </w:tr>
      <w:tr>
        <w:trPr>
          <w:trHeight w:val="207"/>
        </w:trPr>
        <w:tc>
          <w:tcPr>
            <w:tcW w:w="22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Age 53</w:t>
            </w: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President, North America from July 2017 to June 2022. General Manager Quaker Foods North</w:t>
            </w:r>
          </w:p>
        </w:tc>
      </w:tr>
      <w:tr>
        <w:trPr>
          <w:trHeight w:val="207"/>
        </w:trPr>
        <w:tc>
          <w:tcPr>
            <w:tcW w:w="2200" w:type="dxa"/>
            <w:vAlign w:val="bottom"/>
            <w:shd w:val="clear" w:color="auto" w:fill="E5E9F3"/>
          </w:tcPr>
          <w:p>
            <w:pPr>
              <w:spacing w:after="0"/>
              <w:rPr>
                <w:sz w:val="17"/>
                <w:szCs w:val="17"/>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America at PepsiCo from October 2014 to July 2017. An employee of ManpowerGroup since July</w:t>
            </w:r>
          </w:p>
        </w:tc>
      </w:tr>
      <w:tr>
        <w:trPr>
          <w:trHeight w:val="225"/>
        </w:trPr>
        <w:tc>
          <w:tcPr>
            <w:tcW w:w="2200" w:type="dxa"/>
            <w:vAlign w:val="bottom"/>
            <w:shd w:val="clear" w:color="auto" w:fill="E5E9F3"/>
          </w:tcPr>
          <w:p>
            <w:pPr>
              <w:spacing w:after="0"/>
              <w:rPr>
                <w:sz w:val="19"/>
                <w:szCs w:val="19"/>
                <w:color w:val="auto"/>
              </w:rPr>
            </w:pPr>
          </w:p>
        </w:tc>
        <w:tc>
          <w:tcPr>
            <w:tcW w:w="8600" w:type="dxa"/>
            <w:vAlign w:val="bottom"/>
            <w:shd w:val="clear" w:color="auto" w:fill="E5E9F3"/>
          </w:tcPr>
          <w:p>
            <w:pPr>
              <w:ind w:left="600"/>
              <w:spacing w:after="0"/>
              <w:rPr>
                <w:sz w:val="20"/>
                <w:szCs w:val="20"/>
                <w:color w:val="auto"/>
              </w:rPr>
            </w:pPr>
            <w:r>
              <w:rPr>
                <w:rFonts w:ascii="Arial" w:cs="Arial" w:eastAsia="Arial" w:hAnsi="Arial"/>
                <w:sz w:val="18"/>
                <w:szCs w:val="18"/>
                <w:color w:val="auto"/>
              </w:rPr>
              <w:t>2017. A director of Energizer Holdings, Inc. since January 2020.</w:t>
            </w:r>
          </w:p>
        </w:tc>
      </w:tr>
      <w:tr>
        <w:trPr>
          <w:trHeight w:val="235"/>
        </w:trPr>
        <w:tc>
          <w:tcPr>
            <w:tcW w:w="2200" w:type="dxa"/>
            <w:vAlign w:val="bottom"/>
          </w:tcPr>
          <w:p>
            <w:pPr>
              <w:ind w:left="100"/>
              <w:spacing w:after="0"/>
              <w:rPr>
                <w:sz w:val="20"/>
                <w:szCs w:val="20"/>
                <w:color w:val="auto"/>
              </w:rPr>
            </w:pPr>
            <w:r>
              <w:rPr>
                <w:rFonts w:ascii="Arial" w:cs="Arial" w:eastAsia="Arial" w:hAnsi="Arial"/>
                <w:sz w:val="18"/>
                <w:szCs w:val="18"/>
                <w:color w:val="auto"/>
              </w:rPr>
              <w:t>Michelle S. Nettles</w:t>
            </w:r>
          </w:p>
        </w:tc>
        <w:tc>
          <w:tcPr>
            <w:tcW w:w="8600" w:type="dxa"/>
            <w:vAlign w:val="bottom"/>
          </w:tcPr>
          <w:p>
            <w:pPr>
              <w:ind w:left="600"/>
              <w:spacing w:after="0"/>
              <w:rPr>
                <w:sz w:val="20"/>
                <w:szCs w:val="20"/>
                <w:color w:val="auto"/>
              </w:rPr>
            </w:pPr>
            <w:r>
              <w:rPr>
                <w:rFonts w:ascii="Arial" w:cs="Arial" w:eastAsia="Arial" w:hAnsi="Arial"/>
                <w:sz w:val="18"/>
                <w:szCs w:val="18"/>
                <w:color w:val="auto"/>
              </w:rPr>
              <w:t>Executive Vice President, Chief People and Legal Officer since January 2025. Executive Vice</w:t>
            </w:r>
          </w:p>
        </w:tc>
      </w:tr>
      <w:tr>
        <w:trPr>
          <w:trHeight w:val="207"/>
        </w:trPr>
        <w:tc>
          <w:tcPr>
            <w:tcW w:w="2200" w:type="dxa"/>
            <w:vAlign w:val="bottom"/>
          </w:tcPr>
          <w:p>
            <w:pPr>
              <w:ind w:left="100"/>
              <w:spacing w:after="0"/>
              <w:rPr>
                <w:sz w:val="20"/>
                <w:szCs w:val="20"/>
                <w:color w:val="auto"/>
              </w:rPr>
            </w:pPr>
            <w:r>
              <w:rPr>
                <w:rFonts w:ascii="Arial" w:cs="Arial" w:eastAsia="Arial" w:hAnsi="Arial"/>
                <w:sz w:val="18"/>
                <w:szCs w:val="18"/>
                <w:color w:val="auto"/>
              </w:rPr>
              <w:t>Age 53</w:t>
            </w:r>
          </w:p>
        </w:tc>
        <w:tc>
          <w:tcPr>
            <w:tcW w:w="8600" w:type="dxa"/>
            <w:vAlign w:val="bottom"/>
          </w:tcPr>
          <w:p>
            <w:pPr>
              <w:ind w:left="600"/>
              <w:spacing w:after="0"/>
              <w:rPr>
                <w:sz w:val="20"/>
                <w:szCs w:val="20"/>
                <w:color w:val="auto"/>
              </w:rPr>
            </w:pPr>
            <w:r>
              <w:rPr>
                <w:rFonts w:ascii="Arial" w:cs="Arial" w:eastAsia="Arial" w:hAnsi="Arial"/>
                <w:sz w:val="18"/>
                <w:szCs w:val="18"/>
                <w:color w:val="auto"/>
              </w:rPr>
              <w:t>President, Chief People and Culture Officer from May 2022 to December 2024. Senior Vice</w:t>
            </w:r>
          </w:p>
        </w:tc>
      </w:tr>
      <w:tr>
        <w:trPr>
          <w:trHeight w:val="207"/>
        </w:trPr>
        <w:tc>
          <w:tcPr>
            <w:tcW w:w="2200" w:type="dxa"/>
            <w:vAlign w:val="bottom"/>
          </w:tcPr>
          <w:p>
            <w:pPr>
              <w:spacing w:after="0"/>
              <w:rPr>
                <w:sz w:val="17"/>
                <w:szCs w:val="17"/>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President, Chief People and Culture Office from July 2019 to May 2022. Chief People and Diversity</w:t>
            </w:r>
          </w:p>
        </w:tc>
      </w:tr>
      <w:tr>
        <w:trPr>
          <w:trHeight w:val="207"/>
        </w:trPr>
        <w:tc>
          <w:tcPr>
            <w:tcW w:w="2200" w:type="dxa"/>
            <w:vAlign w:val="bottom"/>
          </w:tcPr>
          <w:p>
            <w:pPr>
              <w:spacing w:after="0"/>
              <w:rPr>
                <w:sz w:val="17"/>
                <w:szCs w:val="17"/>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Officer of Molson Coors Brewing Company from October 2016 to July 2019. Chief Human</w:t>
            </w:r>
          </w:p>
        </w:tc>
      </w:tr>
      <w:tr>
        <w:trPr>
          <w:trHeight w:val="207"/>
        </w:trPr>
        <w:tc>
          <w:tcPr>
            <w:tcW w:w="2200" w:type="dxa"/>
            <w:vAlign w:val="bottom"/>
          </w:tcPr>
          <w:p>
            <w:pPr>
              <w:spacing w:after="0"/>
              <w:rPr>
                <w:sz w:val="17"/>
                <w:szCs w:val="17"/>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Resources Officer of MillerCoors from October 2014 to October 2016. Prior thereto, held other</w:t>
            </w:r>
          </w:p>
        </w:tc>
      </w:tr>
      <w:tr>
        <w:trPr>
          <w:trHeight w:val="207"/>
        </w:trPr>
        <w:tc>
          <w:tcPr>
            <w:tcW w:w="2200" w:type="dxa"/>
            <w:vAlign w:val="bottom"/>
          </w:tcPr>
          <w:p>
            <w:pPr>
              <w:spacing w:after="0"/>
              <w:rPr>
                <w:sz w:val="17"/>
                <w:szCs w:val="17"/>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positions at MillerCoors since 2009. An employee of ManpowerGroup since July 2019. A director of</w:t>
            </w:r>
          </w:p>
        </w:tc>
      </w:tr>
      <w:tr>
        <w:trPr>
          <w:trHeight w:val="225"/>
        </w:trPr>
        <w:tc>
          <w:tcPr>
            <w:tcW w:w="220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RXO, Inc. since November 2022.</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10800"/>
          </w:cols>
          <w:pgMar w:left="720" w:top="734" w:right="720" w:bottom="175" w:gutter="0" w:footer="0" w:header="0"/>
          <w:type w:val="continuous"/>
        </w:sectPr>
      </w:pPr>
    </w:p>
    <w:bookmarkStart w:id="33" w:name="page34"/>
    <w:bookmarkEnd w:id="3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7" o:spid="_x0000_s106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OTHER INFORMATION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20"/>
          <w:szCs w:val="20"/>
          <w:u w:val="single" w:color="auto"/>
          <w:color w:val="537BB5"/>
        </w:rPr>
        <w:t>Audit Committee Approval of Audit-Related and Non-Audit Services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Audit Committee of our Board of Directors has approved the following audit-related and non-audit services performed or to be performed for us by our independent registered public accounting firm, Deloitte &amp; Touche LLP and Affiliates, in 2024:</w:t>
      </w:r>
    </w:p>
    <w:p>
      <w:pPr>
        <w:spacing w:after="0" w:line="60" w:lineRule="exact"/>
        <w:rPr>
          <w:sz w:val="20"/>
          <w:szCs w:val="20"/>
          <w:color w:val="auto"/>
        </w:rPr>
      </w:pPr>
    </w:p>
    <w:p>
      <w:pPr>
        <w:jc w:val="both"/>
        <w:ind w:left="400" w:hanging="400"/>
        <w:spacing w:after="0" w:line="254"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tax compliance services with respect to tax compliance review for international returns, preparation and/or review of tax returns, including sales and use tax, excise tax, income tax, local tax, property tax, and value added tax and consultation regarding appropriate handling of items on the United States and international tax returns, assistance with U.S. and non-U.S. tax audits and examinations and advise and assist with respect to transfer pricing matters;</w:t>
      </w:r>
    </w:p>
    <w:p>
      <w:pPr>
        <w:spacing w:after="0" w:line="66" w:lineRule="exact"/>
        <w:rPr>
          <w:rFonts w:ascii="Arial" w:cs="Arial" w:eastAsia="Arial" w:hAnsi="Arial"/>
          <w:sz w:val="20"/>
          <w:szCs w:val="20"/>
          <w:color w:val="auto"/>
        </w:rPr>
      </w:pPr>
    </w:p>
    <w:p>
      <w:pPr>
        <w:jc w:val="both"/>
        <w:ind w:left="400" w:hanging="400"/>
        <w:spacing w:after="0" w:line="261"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tax consulting services with respect to U.S. federal, state, local and international tax research and consultation related to US tax reform and regulatory changes, U.S. foreign tax credit research and consultation and advice and assistance with respect to transfer pricing matters; and</w:t>
      </w:r>
    </w:p>
    <w:p>
      <w:pPr>
        <w:spacing w:after="0" w:line="59" w:lineRule="exact"/>
        <w:rPr>
          <w:rFonts w:ascii="Arial" w:cs="Arial" w:eastAsia="Arial" w:hAnsi="Arial"/>
          <w:sz w:val="20"/>
          <w:szCs w:val="20"/>
          <w:color w:val="auto"/>
        </w:rPr>
      </w:pPr>
    </w:p>
    <w:p>
      <w:pPr>
        <w:jc w:val="both"/>
        <w:ind w:left="400" w:hanging="400"/>
        <w:spacing w:after="0" w:line="254"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audit-related services with respect certifications and attestation reports related to certain financial and non-financial information for specific client requirements and government subsidies for certain of our foreign subsidiaries and sustainability advisory services related to advice and recommendations regarding management’s sustainability program.</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10800"/>
          </w:cols>
          <w:pgMar w:left="720" w:top="734" w:right="720" w:bottom="175" w:gutter="0" w:footer="0" w:header="0"/>
          <w:type w:val="continuous"/>
        </w:sectPr>
      </w:pPr>
    </w:p>
    <w:bookmarkStart w:id="34" w:name="page35"/>
    <w:bookmarkEnd w:id="34"/>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38" o:spid="_x0000_s106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02" w:lineRule="exact"/>
        <w:rPr>
          <w:sz w:val="20"/>
          <w:szCs w:val="20"/>
          <w:color w:val="auto"/>
        </w:rPr>
      </w:pPr>
    </w:p>
    <w:p>
      <w:pPr>
        <w:spacing w:after="0"/>
        <w:rPr>
          <w:sz w:val="20"/>
          <w:szCs w:val="20"/>
          <w:color w:val="auto"/>
        </w:rPr>
      </w:pPr>
      <w:r>
        <w:rPr>
          <w:rFonts w:ascii="Arial" w:cs="Arial" w:eastAsia="Arial" w:hAnsi="Arial"/>
          <w:sz w:val="46"/>
          <w:szCs w:val="46"/>
          <w:b w:val="1"/>
          <w:bCs w:val="1"/>
          <w:color w:val="537BB5"/>
        </w:rPr>
        <w:t>PART II</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28"/>
          <w:szCs w:val="28"/>
          <w:b w:val="1"/>
          <w:bCs w:val="1"/>
          <w:color w:val="537BB5"/>
        </w:rPr>
        <w:t>Item 5. Market for Registrant’s Common Equity, Related Shareholder Matters and Issuer Purchases of 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Common Stock Listing and Trading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common stock is listed for trading on the New York Stock Exchange under the symbol MAN.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Shareholders of Record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As of February 17, 2025, the Company's common stock was held by approximately 2,500 record holders.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Dividend Policy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Issuer Purchases of Equity Securities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2024. As of December 31, 2024, there were 2.6 million shares remaining authorized for repurchase under the 2023 authorization.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Borders>
              <w:top w:val="single" w:sz="8" w:color="auto"/>
            </w:tcBorders>
            <w:shd w:val="clear" w:color="auto" w:fill="97AAD0"/>
          </w:tcPr>
          <w:p>
            <w:pPr>
              <w:spacing w:after="0"/>
              <w:rPr>
                <w:sz w:val="15"/>
                <w:szCs w:val="15"/>
                <w:color w:val="auto"/>
              </w:rPr>
            </w:pPr>
          </w:p>
        </w:tc>
        <w:tc>
          <w:tcPr>
            <w:tcW w:w="1540" w:type="dxa"/>
            <w:vAlign w:val="bottom"/>
            <w:tcBorders>
              <w:top w:val="single" w:sz="8" w:color="auto"/>
            </w:tcBorders>
            <w:shd w:val="clear" w:color="auto" w:fill="97AAD0"/>
          </w:tcPr>
          <w:p>
            <w:pPr>
              <w:spacing w:after="0"/>
              <w:rPr>
                <w:sz w:val="15"/>
                <w:szCs w:val="15"/>
                <w:color w:val="auto"/>
              </w:rPr>
            </w:pPr>
          </w:p>
        </w:tc>
        <w:tc>
          <w:tcPr>
            <w:tcW w:w="120" w:type="dxa"/>
            <w:vAlign w:val="bottom"/>
            <w:tcBorders>
              <w:top w:val="single" w:sz="8" w:color="auto"/>
            </w:tcBorders>
            <w:shd w:val="clear" w:color="auto" w:fill="97AAD0"/>
          </w:tcPr>
          <w:p>
            <w:pPr>
              <w:spacing w:after="0"/>
              <w:rPr>
                <w:sz w:val="15"/>
                <w:szCs w:val="15"/>
                <w:color w:val="auto"/>
              </w:rPr>
            </w:pPr>
          </w:p>
        </w:tc>
        <w:tc>
          <w:tcPr>
            <w:tcW w:w="540" w:type="dxa"/>
            <w:vAlign w:val="bottom"/>
            <w:tcBorders>
              <w:top w:val="single" w:sz="8" w:color="auto"/>
            </w:tcBorders>
            <w:shd w:val="clear" w:color="auto" w:fill="97AAD0"/>
          </w:tcPr>
          <w:p>
            <w:pPr>
              <w:spacing w:after="0"/>
              <w:rPr>
                <w:sz w:val="15"/>
                <w:szCs w:val="15"/>
                <w:color w:val="auto"/>
              </w:rPr>
            </w:pPr>
          </w:p>
        </w:tc>
        <w:tc>
          <w:tcPr>
            <w:tcW w:w="1180" w:type="dxa"/>
            <w:vAlign w:val="bottom"/>
            <w:tcBorders>
              <w:top w:val="single" w:sz="8" w:color="auto"/>
            </w:tcBorders>
            <w:shd w:val="clear" w:color="auto" w:fill="97AAD0"/>
          </w:tcPr>
          <w:p>
            <w:pPr>
              <w:spacing w:after="0"/>
              <w:rPr>
                <w:sz w:val="15"/>
                <w:szCs w:val="15"/>
                <w:color w:val="auto"/>
              </w:rPr>
            </w:pPr>
          </w:p>
        </w:tc>
        <w:tc>
          <w:tcPr>
            <w:tcW w:w="1640" w:type="dxa"/>
            <w:vAlign w:val="bottom"/>
            <w:tcBorders>
              <w:top w:val="single" w:sz="8" w:color="auto"/>
            </w:tcBorders>
            <w:shd w:val="clear" w:color="auto" w:fill="97AAD0"/>
          </w:tcPr>
          <w:p>
            <w:pPr>
              <w:jc w:val="center"/>
              <w:ind w:right="56"/>
              <w:spacing w:after="0" w:line="175" w:lineRule="exact"/>
              <w:rPr>
                <w:sz w:val="20"/>
                <w:szCs w:val="20"/>
                <w:color w:val="auto"/>
              </w:rPr>
            </w:pPr>
            <w:r>
              <w:rPr>
                <w:rFonts w:ascii="Arial" w:cs="Arial" w:eastAsia="Arial" w:hAnsi="Arial"/>
                <w:sz w:val="16"/>
                <w:szCs w:val="16"/>
                <w:b w:val="1"/>
                <w:bCs w:val="1"/>
                <w:color w:val="auto"/>
              </w:rPr>
              <w:t>Total number of</w:t>
            </w:r>
          </w:p>
        </w:tc>
        <w:tc>
          <w:tcPr>
            <w:tcW w:w="1760" w:type="dxa"/>
            <w:vAlign w:val="bottom"/>
            <w:tcBorders>
              <w:top w:val="single" w:sz="8" w:color="auto"/>
            </w:tcBorders>
            <w:shd w:val="clear" w:color="auto" w:fill="97AAD0"/>
          </w:tcPr>
          <w:p>
            <w:pPr>
              <w:jc w:val="center"/>
              <w:spacing w:after="0" w:line="175" w:lineRule="exact"/>
              <w:rPr>
                <w:sz w:val="20"/>
                <w:szCs w:val="20"/>
                <w:color w:val="auto"/>
              </w:rPr>
            </w:pPr>
            <w:r>
              <w:rPr>
                <w:rFonts w:ascii="Arial" w:cs="Arial" w:eastAsia="Arial" w:hAnsi="Arial"/>
                <w:sz w:val="16"/>
                <w:szCs w:val="16"/>
                <w:b w:val="1"/>
                <w:bCs w:val="1"/>
                <w:color w:val="auto"/>
              </w:rPr>
              <w:t>Maximum number</w:t>
            </w:r>
          </w:p>
        </w:tc>
        <w:tc>
          <w:tcPr>
            <w:tcW w:w="0" w:type="dxa"/>
            <w:vAlign w:val="bottom"/>
          </w:tcPr>
          <w:p>
            <w:pPr>
              <w:spacing w:after="0"/>
              <w:rPr>
                <w:sz w:val="1"/>
                <w:szCs w:val="1"/>
                <w:color w:val="auto"/>
              </w:rPr>
            </w:pPr>
          </w:p>
        </w:tc>
      </w:tr>
      <w:tr>
        <w:trPr>
          <w:trHeight w:val="184"/>
        </w:trPr>
        <w:tc>
          <w:tcPr>
            <w:tcW w:w="4020" w:type="dxa"/>
            <w:vAlign w:val="bottom"/>
            <w:shd w:val="clear" w:color="auto" w:fill="97AAD0"/>
          </w:tcPr>
          <w:p>
            <w:pPr>
              <w:spacing w:after="0"/>
              <w:rPr>
                <w:sz w:val="15"/>
                <w:szCs w:val="15"/>
                <w:color w:val="auto"/>
              </w:rPr>
            </w:pPr>
          </w:p>
        </w:tc>
        <w:tc>
          <w:tcPr>
            <w:tcW w:w="15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540" w:type="dxa"/>
            <w:vAlign w:val="bottom"/>
            <w:shd w:val="clear" w:color="auto" w:fill="97AAD0"/>
          </w:tcPr>
          <w:p>
            <w:pPr>
              <w:spacing w:after="0"/>
              <w:rPr>
                <w:sz w:val="15"/>
                <w:szCs w:val="15"/>
                <w:color w:val="auto"/>
              </w:rPr>
            </w:pPr>
          </w:p>
        </w:tc>
        <w:tc>
          <w:tcPr>
            <w:tcW w:w="1180" w:type="dxa"/>
            <w:vAlign w:val="bottom"/>
            <w:vMerge w:val="restart"/>
            <w:shd w:val="clear" w:color="auto" w:fill="97AAD0"/>
          </w:tcPr>
          <w:p>
            <w:pPr>
              <w:jc w:val="center"/>
              <w:ind w:right="294"/>
              <w:spacing w:after="0"/>
              <w:rPr>
                <w:sz w:val="20"/>
                <w:szCs w:val="20"/>
                <w:color w:val="auto"/>
              </w:rPr>
            </w:pPr>
            <w:r>
              <w:rPr>
                <w:rFonts w:ascii="Arial" w:cs="Arial" w:eastAsia="Arial" w:hAnsi="Arial"/>
                <w:sz w:val="16"/>
                <w:szCs w:val="16"/>
                <w:b w:val="1"/>
                <w:bCs w:val="1"/>
                <w:color w:val="auto"/>
              </w:rPr>
              <w:t>Average</w:t>
            </w:r>
          </w:p>
        </w:tc>
        <w:tc>
          <w:tcPr>
            <w:tcW w:w="1640" w:type="dxa"/>
            <w:vAlign w:val="bottom"/>
            <w:shd w:val="clear" w:color="auto" w:fill="97AAD0"/>
          </w:tcPr>
          <w:p>
            <w:pPr>
              <w:jc w:val="center"/>
              <w:ind w:right="56"/>
              <w:spacing w:after="0"/>
              <w:rPr>
                <w:sz w:val="20"/>
                <w:szCs w:val="20"/>
                <w:color w:val="auto"/>
              </w:rPr>
            </w:pPr>
            <w:r>
              <w:rPr>
                <w:rFonts w:ascii="Arial" w:cs="Arial" w:eastAsia="Arial" w:hAnsi="Arial"/>
                <w:sz w:val="16"/>
                <w:szCs w:val="16"/>
                <w:b w:val="1"/>
                <w:bCs w:val="1"/>
                <w:color w:val="auto"/>
              </w:rPr>
              <w:t>shares purchased</w:t>
            </w:r>
          </w:p>
        </w:tc>
        <w:tc>
          <w:tcPr>
            <w:tcW w:w="176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of shares that may</w:t>
            </w:r>
          </w:p>
        </w:tc>
        <w:tc>
          <w:tcPr>
            <w:tcW w:w="0" w:type="dxa"/>
            <w:vAlign w:val="bottom"/>
          </w:tcPr>
          <w:p>
            <w:pPr>
              <w:spacing w:after="0"/>
              <w:rPr>
                <w:sz w:val="1"/>
                <w:szCs w:val="1"/>
                <w:color w:val="auto"/>
              </w:rPr>
            </w:pPr>
          </w:p>
        </w:tc>
      </w:tr>
      <w:tr>
        <w:trPr>
          <w:trHeight w:val="184"/>
        </w:trPr>
        <w:tc>
          <w:tcPr>
            <w:tcW w:w="4020" w:type="dxa"/>
            <w:vAlign w:val="bottom"/>
            <w:shd w:val="clear" w:color="auto" w:fill="97AAD0"/>
          </w:tcPr>
          <w:p>
            <w:pPr>
              <w:spacing w:after="0"/>
              <w:rPr>
                <w:sz w:val="15"/>
                <w:szCs w:val="15"/>
                <w:color w:val="auto"/>
              </w:rPr>
            </w:pPr>
          </w:p>
        </w:tc>
        <w:tc>
          <w:tcPr>
            <w:tcW w:w="1540" w:type="dxa"/>
            <w:vAlign w:val="bottom"/>
            <w:vMerge w:val="restart"/>
            <w:shd w:val="clear" w:color="auto" w:fill="97AAD0"/>
          </w:tcPr>
          <w:p>
            <w:pPr>
              <w:jc w:val="right"/>
              <w:ind w:right="9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shd w:val="clear" w:color="auto" w:fill="97AAD0"/>
          </w:tcPr>
          <w:p>
            <w:pPr>
              <w:spacing w:after="0"/>
              <w:rPr>
                <w:sz w:val="15"/>
                <w:szCs w:val="15"/>
                <w:color w:val="auto"/>
              </w:rPr>
            </w:pPr>
          </w:p>
        </w:tc>
        <w:tc>
          <w:tcPr>
            <w:tcW w:w="540" w:type="dxa"/>
            <w:vAlign w:val="bottom"/>
            <w:shd w:val="clear" w:color="auto" w:fill="97AAD0"/>
          </w:tcPr>
          <w:p>
            <w:pPr>
              <w:spacing w:after="0"/>
              <w:rPr>
                <w:sz w:val="15"/>
                <w:szCs w:val="15"/>
                <w:color w:val="auto"/>
              </w:rPr>
            </w:pPr>
          </w:p>
        </w:tc>
        <w:tc>
          <w:tcPr>
            <w:tcW w:w="1180" w:type="dxa"/>
            <w:vAlign w:val="bottom"/>
            <w:vMerge w:val="continue"/>
            <w:shd w:val="clear" w:color="auto" w:fill="97AAD0"/>
          </w:tcPr>
          <w:p>
            <w:pPr>
              <w:spacing w:after="0"/>
              <w:rPr>
                <w:sz w:val="15"/>
                <w:szCs w:val="15"/>
                <w:color w:val="auto"/>
              </w:rPr>
            </w:pPr>
          </w:p>
        </w:tc>
        <w:tc>
          <w:tcPr>
            <w:tcW w:w="1640" w:type="dxa"/>
            <w:vAlign w:val="bottom"/>
            <w:shd w:val="clear" w:color="auto" w:fill="97AAD0"/>
          </w:tcPr>
          <w:p>
            <w:pPr>
              <w:jc w:val="center"/>
              <w:ind w:right="56"/>
              <w:spacing w:after="0"/>
              <w:rPr>
                <w:sz w:val="20"/>
                <w:szCs w:val="20"/>
                <w:color w:val="auto"/>
              </w:rPr>
            </w:pPr>
            <w:r>
              <w:rPr>
                <w:rFonts w:ascii="Arial" w:cs="Arial" w:eastAsia="Arial" w:hAnsi="Arial"/>
                <w:sz w:val="16"/>
                <w:szCs w:val="16"/>
                <w:b w:val="1"/>
                <w:bCs w:val="1"/>
                <w:color w:val="auto"/>
              </w:rPr>
              <w:t>as part of publicly</w:t>
            </w:r>
          </w:p>
        </w:tc>
        <w:tc>
          <w:tcPr>
            <w:tcW w:w="176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yet be purchased</w:t>
            </w:r>
          </w:p>
        </w:tc>
        <w:tc>
          <w:tcPr>
            <w:tcW w:w="0" w:type="dxa"/>
            <w:vAlign w:val="bottom"/>
          </w:tcPr>
          <w:p>
            <w:pPr>
              <w:spacing w:after="0"/>
              <w:rPr>
                <w:sz w:val="1"/>
                <w:szCs w:val="1"/>
                <w:color w:val="auto"/>
              </w:rPr>
            </w:pPr>
          </w:p>
        </w:tc>
      </w:tr>
      <w:tr>
        <w:trPr>
          <w:trHeight w:val="184"/>
        </w:trPr>
        <w:tc>
          <w:tcPr>
            <w:tcW w:w="4020" w:type="dxa"/>
            <w:vAlign w:val="bottom"/>
            <w:shd w:val="clear" w:color="auto" w:fill="97AAD0"/>
          </w:tcPr>
          <w:p>
            <w:pPr>
              <w:spacing w:after="0"/>
              <w:rPr>
                <w:sz w:val="15"/>
                <w:szCs w:val="15"/>
                <w:color w:val="auto"/>
              </w:rPr>
            </w:pPr>
          </w:p>
        </w:tc>
        <w:tc>
          <w:tcPr>
            <w:tcW w:w="1540" w:type="dxa"/>
            <w:vAlign w:val="bottom"/>
            <w:vMerge w:val="continue"/>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540" w:type="dxa"/>
            <w:vAlign w:val="bottom"/>
            <w:shd w:val="clear" w:color="auto" w:fill="97AAD0"/>
          </w:tcPr>
          <w:p>
            <w:pPr>
              <w:spacing w:after="0"/>
              <w:rPr>
                <w:sz w:val="15"/>
                <w:szCs w:val="15"/>
                <w:color w:val="auto"/>
              </w:rPr>
            </w:pPr>
          </w:p>
        </w:tc>
        <w:tc>
          <w:tcPr>
            <w:tcW w:w="1180" w:type="dxa"/>
            <w:vAlign w:val="bottom"/>
            <w:shd w:val="clear" w:color="auto" w:fill="97AAD0"/>
          </w:tcPr>
          <w:p>
            <w:pPr>
              <w:jc w:val="center"/>
              <w:ind w:right="294"/>
              <w:spacing w:after="0"/>
              <w:rPr>
                <w:sz w:val="20"/>
                <w:szCs w:val="20"/>
                <w:color w:val="auto"/>
              </w:rPr>
            </w:pPr>
            <w:r>
              <w:rPr>
                <w:rFonts w:ascii="Arial" w:cs="Arial" w:eastAsia="Arial" w:hAnsi="Arial"/>
                <w:sz w:val="16"/>
                <w:szCs w:val="16"/>
                <w:b w:val="1"/>
                <w:bCs w:val="1"/>
                <w:color w:val="auto"/>
              </w:rPr>
              <w:t>price paid</w:t>
            </w:r>
          </w:p>
        </w:tc>
        <w:tc>
          <w:tcPr>
            <w:tcW w:w="1640" w:type="dxa"/>
            <w:vAlign w:val="bottom"/>
            <w:shd w:val="clear" w:color="auto" w:fill="97AAD0"/>
          </w:tcPr>
          <w:p>
            <w:pPr>
              <w:jc w:val="center"/>
              <w:ind w:right="56"/>
              <w:spacing w:after="0"/>
              <w:rPr>
                <w:sz w:val="20"/>
                <w:szCs w:val="20"/>
                <w:color w:val="auto"/>
              </w:rPr>
            </w:pPr>
            <w:r>
              <w:rPr>
                <w:rFonts w:ascii="Arial" w:cs="Arial" w:eastAsia="Arial" w:hAnsi="Arial"/>
                <w:sz w:val="16"/>
                <w:szCs w:val="16"/>
                <w:b w:val="1"/>
                <w:bCs w:val="1"/>
                <w:color w:val="auto"/>
                <w:w w:val="99"/>
              </w:rPr>
              <w:t>announced plan or</w:t>
            </w:r>
          </w:p>
        </w:tc>
        <w:tc>
          <w:tcPr>
            <w:tcW w:w="176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under the plan or</w:t>
            </w:r>
          </w:p>
        </w:tc>
        <w:tc>
          <w:tcPr>
            <w:tcW w:w="0" w:type="dxa"/>
            <w:vAlign w:val="bottom"/>
          </w:tcPr>
          <w:p>
            <w:pPr>
              <w:spacing w:after="0"/>
              <w:rPr>
                <w:sz w:val="1"/>
                <w:szCs w:val="1"/>
                <w:color w:val="auto"/>
              </w:rPr>
            </w:pPr>
          </w:p>
        </w:tc>
      </w:tr>
      <w:tr>
        <w:trPr>
          <w:trHeight w:val="226"/>
        </w:trPr>
        <w:tc>
          <w:tcPr>
            <w:tcW w:w="4020" w:type="dxa"/>
            <w:vAlign w:val="bottom"/>
            <w:tcBorders>
              <w:bottom w:val="single" w:sz="8" w:color="auto"/>
            </w:tcBorders>
            <w:shd w:val="clear" w:color="auto" w:fill="97AAD0"/>
          </w:tcPr>
          <w:p>
            <w:pPr>
              <w:spacing w:after="0"/>
              <w:rPr>
                <w:sz w:val="19"/>
                <w:szCs w:val="19"/>
                <w:color w:val="auto"/>
              </w:rPr>
            </w:pPr>
          </w:p>
        </w:tc>
        <w:tc>
          <w:tcPr>
            <w:tcW w:w="1540" w:type="dxa"/>
            <w:vAlign w:val="bottom"/>
            <w:tcBorders>
              <w:bottom w:val="single" w:sz="8" w:color="auto"/>
            </w:tcBorders>
            <w:shd w:val="clear" w:color="auto" w:fill="97AAD0"/>
          </w:tcPr>
          <w:p>
            <w:pPr>
              <w:jc w:val="right"/>
              <w:ind w:right="13"/>
              <w:spacing w:after="0"/>
              <w:rPr>
                <w:sz w:val="20"/>
                <w:szCs w:val="20"/>
                <w:color w:val="auto"/>
              </w:rPr>
            </w:pPr>
            <w:r>
              <w:rPr>
                <w:rFonts w:ascii="Arial" w:cs="Arial" w:eastAsia="Arial" w:hAnsi="Arial"/>
                <w:sz w:val="16"/>
                <w:szCs w:val="16"/>
                <w:b w:val="1"/>
                <w:bCs w:val="1"/>
                <w:color w:val="auto"/>
              </w:rPr>
              <w:t>shares purchased</w:t>
            </w:r>
          </w:p>
        </w:tc>
        <w:tc>
          <w:tcPr>
            <w:tcW w:w="120" w:type="dxa"/>
            <w:vAlign w:val="bottom"/>
            <w:tcBorders>
              <w:bottom w:val="single" w:sz="8" w:color="auto"/>
            </w:tcBorders>
            <w:shd w:val="clear" w:color="auto" w:fill="97AAD0"/>
          </w:tcPr>
          <w:p>
            <w:pPr>
              <w:spacing w:after="0"/>
              <w:rPr>
                <w:sz w:val="19"/>
                <w:szCs w:val="19"/>
                <w:color w:val="auto"/>
              </w:rPr>
            </w:pPr>
          </w:p>
        </w:tc>
        <w:tc>
          <w:tcPr>
            <w:tcW w:w="540" w:type="dxa"/>
            <w:vAlign w:val="bottom"/>
            <w:tcBorders>
              <w:bottom w:val="single" w:sz="8" w:color="auto"/>
            </w:tcBorders>
            <w:shd w:val="clear" w:color="auto" w:fill="97AAD0"/>
          </w:tcPr>
          <w:p>
            <w:pPr>
              <w:spacing w:after="0"/>
              <w:rPr>
                <w:sz w:val="19"/>
                <w:szCs w:val="19"/>
                <w:color w:val="auto"/>
              </w:rPr>
            </w:pPr>
          </w:p>
        </w:tc>
        <w:tc>
          <w:tcPr>
            <w:tcW w:w="1180" w:type="dxa"/>
            <w:vAlign w:val="bottom"/>
            <w:tcBorders>
              <w:bottom w:val="single" w:sz="8" w:color="auto"/>
            </w:tcBorders>
            <w:shd w:val="clear" w:color="auto" w:fill="97AAD0"/>
          </w:tcPr>
          <w:p>
            <w:pPr>
              <w:jc w:val="center"/>
              <w:ind w:right="294"/>
              <w:spacing w:after="0"/>
              <w:rPr>
                <w:sz w:val="20"/>
                <w:szCs w:val="20"/>
                <w:color w:val="auto"/>
              </w:rPr>
            </w:pPr>
            <w:r>
              <w:rPr>
                <w:rFonts w:ascii="Arial" w:cs="Arial" w:eastAsia="Arial" w:hAnsi="Arial"/>
                <w:sz w:val="16"/>
                <w:szCs w:val="16"/>
                <w:b w:val="1"/>
                <w:bCs w:val="1"/>
                <w:color w:val="auto"/>
                <w:w w:val="99"/>
              </w:rPr>
              <w:t>per share</w:t>
            </w:r>
          </w:p>
        </w:tc>
        <w:tc>
          <w:tcPr>
            <w:tcW w:w="1640" w:type="dxa"/>
            <w:vAlign w:val="bottom"/>
            <w:tcBorders>
              <w:bottom w:val="single" w:sz="8" w:color="auto"/>
            </w:tcBorders>
            <w:shd w:val="clear" w:color="auto" w:fill="97AAD0"/>
          </w:tcPr>
          <w:p>
            <w:pPr>
              <w:jc w:val="center"/>
              <w:ind w:right="56"/>
              <w:spacing w:after="0"/>
              <w:rPr>
                <w:sz w:val="20"/>
                <w:szCs w:val="20"/>
                <w:color w:val="auto"/>
              </w:rPr>
            </w:pPr>
            <w:r>
              <w:rPr>
                <w:rFonts w:ascii="Arial" w:cs="Arial" w:eastAsia="Arial" w:hAnsi="Arial"/>
                <w:sz w:val="16"/>
                <w:szCs w:val="16"/>
                <w:b w:val="1"/>
                <w:bCs w:val="1"/>
                <w:color w:val="auto"/>
              </w:rPr>
              <w:t>programs</w:t>
            </w:r>
          </w:p>
        </w:tc>
        <w:tc>
          <w:tcPr>
            <w:tcW w:w="1760" w:type="dxa"/>
            <w:vAlign w:val="bottom"/>
            <w:tcBorders>
              <w:bottom w:val="single" w:sz="8" w:color="auto"/>
            </w:tcBorders>
            <w:shd w:val="clear" w:color="auto" w:fill="97AAD0"/>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43"/>
        </w:trPr>
        <w:tc>
          <w:tcPr>
            <w:tcW w:w="4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October 1 - 31, 2024</w:t>
            </w:r>
          </w:p>
        </w:tc>
        <w:tc>
          <w:tcPr>
            <w:tcW w:w="15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254,386</w:t>
            </w:r>
          </w:p>
        </w:tc>
        <w:tc>
          <w:tcPr>
            <w:tcW w:w="120" w:type="dxa"/>
            <w:vAlign w:val="bottom"/>
            <w:shd w:val="clear" w:color="auto" w:fill="E5E9F3"/>
          </w:tcPr>
          <w:p>
            <w:pPr>
              <w:spacing w:after="0"/>
              <w:rPr>
                <w:sz w:val="21"/>
                <w:szCs w:val="21"/>
                <w:color w:val="auto"/>
              </w:rPr>
            </w:pPr>
          </w:p>
        </w:tc>
        <w:tc>
          <w:tcPr>
            <w:tcW w:w="540" w:type="dxa"/>
            <w:vAlign w:val="bottom"/>
            <w:shd w:val="clear" w:color="auto" w:fill="E5E9F3"/>
          </w:tcPr>
          <w:p>
            <w:pPr>
              <w:spacing w:after="0"/>
              <w:rPr>
                <w:sz w:val="20"/>
                <w:szCs w:val="20"/>
                <w:color w:val="auto"/>
              </w:rPr>
            </w:pPr>
            <w:r>
              <w:rPr>
                <w:rFonts w:ascii="Arial" w:cs="Arial" w:eastAsia="Arial" w:hAnsi="Arial"/>
                <w:sz w:val="12"/>
                <w:szCs w:val="12"/>
                <w:color w:val="auto"/>
                <w:w w:val="99"/>
              </w:rPr>
              <w:t>(a)</w:t>
            </w:r>
            <w:r>
              <w:rPr>
                <w:rFonts w:ascii="Arial" w:cs="Arial" w:eastAsia="Arial" w:hAnsi="Arial"/>
                <w:sz w:val="18"/>
                <w:szCs w:val="18"/>
                <w:color w:val="auto"/>
                <w:w w:val="99"/>
              </w:rPr>
              <w:t>$</w:t>
            </w:r>
          </w:p>
        </w:tc>
        <w:tc>
          <w:tcPr>
            <w:tcW w:w="1180" w:type="dxa"/>
            <w:vAlign w:val="bottom"/>
            <w:shd w:val="clear" w:color="auto" w:fill="E5E9F3"/>
          </w:tcPr>
          <w:p>
            <w:pPr>
              <w:jc w:val="right"/>
              <w:ind w:right="154"/>
              <w:spacing w:after="0"/>
              <w:rPr>
                <w:sz w:val="20"/>
                <w:szCs w:val="20"/>
                <w:color w:val="auto"/>
              </w:rPr>
            </w:pPr>
            <w:r>
              <w:rPr>
                <w:rFonts w:ascii="Arial" w:cs="Arial" w:eastAsia="Arial" w:hAnsi="Arial"/>
                <w:sz w:val="18"/>
                <w:szCs w:val="18"/>
                <w:color w:val="auto"/>
              </w:rPr>
              <w:t>63.09</w:t>
            </w:r>
          </w:p>
        </w:tc>
        <w:tc>
          <w:tcPr>
            <w:tcW w:w="1640" w:type="dxa"/>
            <w:vAlign w:val="bottom"/>
            <w:shd w:val="clear" w:color="auto" w:fill="E5E9F3"/>
          </w:tcPr>
          <w:p>
            <w:pPr>
              <w:jc w:val="right"/>
              <w:ind w:right="36"/>
              <w:spacing w:after="0"/>
              <w:rPr>
                <w:sz w:val="20"/>
                <w:szCs w:val="20"/>
                <w:color w:val="auto"/>
              </w:rPr>
            </w:pPr>
            <w:r>
              <w:rPr>
                <w:rFonts w:ascii="Arial" w:cs="Arial" w:eastAsia="Arial" w:hAnsi="Arial"/>
                <w:sz w:val="18"/>
                <w:szCs w:val="18"/>
                <w:color w:val="auto"/>
              </w:rPr>
              <w:t>253,605</w:t>
            </w:r>
          </w:p>
        </w:tc>
        <w:tc>
          <w:tcPr>
            <w:tcW w:w="1760" w:type="dxa"/>
            <w:vAlign w:val="bottom"/>
            <w:shd w:val="clear" w:color="auto" w:fill="E5E9F3"/>
          </w:tcPr>
          <w:p>
            <w:pPr>
              <w:jc w:val="right"/>
              <w:ind w:right="36"/>
              <w:spacing w:after="0"/>
              <w:rPr>
                <w:sz w:val="20"/>
                <w:szCs w:val="20"/>
                <w:color w:val="auto"/>
              </w:rPr>
            </w:pPr>
            <w:r>
              <w:rPr>
                <w:rFonts w:ascii="Arial" w:cs="Arial" w:eastAsia="Arial" w:hAnsi="Arial"/>
                <w:sz w:val="18"/>
                <w:szCs w:val="18"/>
                <w:color w:val="auto"/>
              </w:rPr>
              <w:t>2,893,160</w:t>
            </w:r>
          </w:p>
        </w:tc>
        <w:tc>
          <w:tcPr>
            <w:tcW w:w="0" w:type="dxa"/>
            <w:vAlign w:val="bottom"/>
          </w:tcPr>
          <w:p>
            <w:pPr>
              <w:spacing w:after="0"/>
              <w:rPr>
                <w:sz w:val="1"/>
                <w:szCs w:val="1"/>
                <w:color w:val="auto"/>
              </w:rPr>
            </w:pPr>
          </w:p>
        </w:tc>
      </w:tr>
      <w:tr>
        <w:trPr>
          <w:trHeight w:val="307"/>
        </w:trPr>
        <w:tc>
          <w:tcPr>
            <w:tcW w:w="4020" w:type="dxa"/>
            <w:vAlign w:val="bottom"/>
          </w:tcPr>
          <w:p>
            <w:pPr>
              <w:ind w:left="100"/>
              <w:spacing w:after="0"/>
              <w:rPr>
                <w:sz w:val="20"/>
                <w:szCs w:val="20"/>
                <w:color w:val="auto"/>
              </w:rPr>
            </w:pPr>
            <w:r>
              <w:rPr>
                <w:rFonts w:ascii="Arial" w:cs="Arial" w:eastAsia="Arial" w:hAnsi="Arial"/>
                <w:sz w:val="18"/>
                <w:szCs w:val="18"/>
                <w:color w:val="auto"/>
              </w:rPr>
              <w:t>November 1 - 30, 2024</w:t>
            </w:r>
          </w:p>
        </w:tc>
        <w:tc>
          <w:tcPr>
            <w:tcW w:w="1540" w:type="dxa"/>
            <w:vAlign w:val="bottom"/>
          </w:tcPr>
          <w:p>
            <w:pPr>
              <w:jc w:val="right"/>
              <w:spacing w:after="0"/>
              <w:rPr>
                <w:sz w:val="20"/>
                <w:szCs w:val="20"/>
                <w:color w:val="auto"/>
              </w:rPr>
            </w:pPr>
            <w:r>
              <w:rPr>
                <w:rFonts w:ascii="Arial" w:cs="Arial" w:eastAsia="Arial" w:hAnsi="Arial"/>
                <w:sz w:val="18"/>
                <w:szCs w:val="18"/>
                <w:color w:val="auto"/>
              </w:rPr>
              <w:t>142,747</w:t>
            </w:r>
          </w:p>
        </w:tc>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(b)</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63.56</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141,602</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2,751,558</w:t>
            </w: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2"/>
        </w:trPr>
        <w:tc>
          <w:tcPr>
            <w:tcW w:w="402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December 1 - 31, 2024</w:t>
            </w:r>
          </w:p>
        </w:tc>
        <w:tc>
          <w:tcPr>
            <w:tcW w:w="1540" w:type="dxa"/>
            <w:vAlign w:val="bottom"/>
            <w:tcBorders>
              <w:bottom w:val="single" w:sz="8" w:color="E5E9F3"/>
            </w:tcBorders>
            <w:shd w:val="clear" w:color="auto" w:fill="E5E9F3"/>
          </w:tcPr>
          <w:p>
            <w:pPr>
              <w:jc w:val="right"/>
              <w:spacing w:after="0"/>
              <w:rPr>
                <w:sz w:val="20"/>
                <w:szCs w:val="20"/>
                <w:color w:val="auto"/>
              </w:rPr>
            </w:pPr>
            <w:r>
              <w:rPr>
                <w:rFonts w:ascii="Arial" w:cs="Arial" w:eastAsia="Arial" w:hAnsi="Arial"/>
                <w:sz w:val="18"/>
                <w:szCs w:val="18"/>
                <w:color w:val="auto"/>
              </w:rPr>
              <w:t>156,631</w:t>
            </w:r>
          </w:p>
        </w:tc>
        <w:tc>
          <w:tcPr>
            <w:tcW w:w="120" w:type="dxa"/>
            <w:vAlign w:val="bottom"/>
            <w:tcBorders>
              <w:bottom w:val="single" w:sz="8" w:color="E5E9F3"/>
            </w:tcBorders>
            <w:shd w:val="clear" w:color="auto" w:fill="E5E9F3"/>
          </w:tcPr>
          <w:p>
            <w:pPr>
              <w:spacing w:after="0"/>
              <w:rPr>
                <w:sz w:val="24"/>
                <w:szCs w:val="24"/>
                <w:color w:val="auto"/>
              </w:rPr>
            </w:pPr>
          </w:p>
        </w:tc>
        <w:tc>
          <w:tcPr>
            <w:tcW w:w="540" w:type="dxa"/>
            <w:vAlign w:val="bottom"/>
            <w:tcBorders>
              <w:bottom w:val="single" w:sz="8" w:color="E5E9F3"/>
            </w:tcBorders>
            <w:shd w:val="clear" w:color="auto" w:fill="E5E9F3"/>
          </w:tcPr>
          <w:p>
            <w:pPr>
              <w:spacing w:after="0"/>
              <w:rPr>
                <w:sz w:val="24"/>
                <w:szCs w:val="24"/>
                <w:color w:val="auto"/>
              </w:rPr>
            </w:pPr>
          </w:p>
        </w:tc>
        <w:tc>
          <w:tcPr>
            <w:tcW w:w="1180" w:type="dxa"/>
            <w:vAlign w:val="bottom"/>
            <w:tcBorders>
              <w:bottom w:val="single" w:sz="8" w:color="E5E9F3"/>
            </w:tcBorders>
            <w:shd w:val="clear" w:color="auto" w:fill="E5E9F3"/>
          </w:tcPr>
          <w:p>
            <w:pPr>
              <w:jc w:val="right"/>
              <w:ind w:right="154"/>
              <w:spacing w:after="0"/>
              <w:rPr>
                <w:sz w:val="20"/>
                <w:szCs w:val="20"/>
                <w:color w:val="auto"/>
              </w:rPr>
            </w:pPr>
            <w:r>
              <w:rPr>
                <w:rFonts w:ascii="Arial" w:cs="Arial" w:eastAsia="Arial" w:hAnsi="Arial"/>
                <w:sz w:val="18"/>
                <w:szCs w:val="18"/>
                <w:color w:val="auto"/>
              </w:rPr>
              <w:t>57.46</w:t>
            </w:r>
          </w:p>
        </w:tc>
        <w:tc>
          <w:tcPr>
            <w:tcW w:w="1640" w:type="dxa"/>
            <w:vAlign w:val="bottom"/>
            <w:tcBorders>
              <w:bottom w:val="single" w:sz="8" w:color="E5E9F3"/>
            </w:tcBorders>
            <w:shd w:val="clear" w:color="auto" w:fill="E5E9F3"/>
          </w:tcPr>
          <w:p>
            <w:pPr>
              <w:jc w:val="right"/>
              <w:ind w:right="36"/>
              <w:spacing w:after="0"/>
              <w:rPr>
                <w:sz w:val="20"/>
                <w:szCs w:val="20"/>
                <w:color w:val="auto"/>
              </w:rPr>
            </w:pPr>
            <w:r>
              <w:rPr>
                <w:rFonts w:ascii="Arial" w:cs="Arial" w:eastAsia="Arial" w:hAnsi="Arial"/>
                <w:sz w:val="18"/>
                <w:szCs w:val="18"/>
                <w:color w:val="auto"/>
              </w:rPr>
              <w:t>156,631</w:t>
            </w:r>
          </w:p>
        </w:tc>
        <w:tc>
          <w:tcPr>
            <w:tcW w:w="1760" w:type="dxa"/>
            <w:vAlign w:val="bottom"/>
            <w:tcBorders>
              <w:bottom w:val="single" w:sz="8" w:color="E5E9F3"/>
            </w:tcBorders>
            <w:shd w:val="clear" w:color="auto" w:fill="E5E9F3"/>
          </w:tcPr>
          <w:p>
            <w:pPr>
              <w:jc w:val="right"/>
              <w:ind w:right="36"/>
              <w:spacing w:after="0"/>
              <w:rPr>
                <w:sz w:val="20"/>
                <w:szCs w:val="20"/>
                <w:color w:val="auto"/>
              </w:rPr>
            </w:pPr>
            <w:r>
              <w:rPr>
                <w:rFonts w:ascii="Arial" w:cs="Arial" w:eastAsia="Arial" w:hAnsi="Arial"/>
                <w:sz w:val="18"/>
                <w:szCs w:val="18"/>
                <w:color w:val="auto"/>
              </w:rPr>
              <w:t>2,594,927</w:t>
            </w:r>
          </w:p>
        </w:tc>
        <w:tc>
          <w:tcPr>
            <w:tcW w:w="0" w:type="dxa"/>
            <w:vAlign w:val="bottom"/>
          </w:tcPr>
          <w:p>
            <w:pPr>
              <w:spacing w:after="0"/>
              <w:rPr>
                <w:sz w:val="1"/>
                <w:szCs w:val="1"/>
                <w:color w:val="auto"/>
              </w:rPr>
            </w:pPr>
          </w:p>
        </w:tc>
      </w:tr>
      <w:tr>
        <w:trPr>
          <w:trHeight w:val="274"/>
        </w:trPr>
        <w:tc>
          <w:tcPr>
            <w:tcW w:w="4020" w:type="dxa"/>
            <w:vAlign w:val="bottom"/>
          </w:tcPr>
          <w:p>
            <w:pPr>
              <w:ind w:left="30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553,764</w:t>
            </w:r>
          </w:p>
        </w:tc>
        <w:tc>
          <w:tcPr>
            <w:tcW w:w="120" w:type="dxa"/>
            <w:vAlign w:val="bottom"/>
            <w:tcBorders>
              <w:top w:val="single" w:sz="8" w:color="auto"/>
            </w:tcBorders>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61.61</w:t>
            </w:r>
          </w:p>
        </w:tc>
        <w:tc>
          <w:tcPr>
            <w:tcW w:w="16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551,838</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2,594,927</w:t>
            </w: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-655320</wp:posOffset>
                </wp:positionV>
                <wp:extent cx="6858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4606">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999pt" to="540pt,-51.5999pt" o:allowincell="f" strokecolor="#FFFFFF" strokeweight="1.1501pt"/>
            </w:pict>
          </mc:Fallback>
        </mc:AlternateContent>
      </w:r>
    </w:p>
    <w:p>
      <w:pPr>
        <w:spacing w:after="0" w:line="103" w:lineRule="exact"/>
        <w:rPr>
          <w:sz w:val="20"/>
          <w:szCs w:val="20"/>
          <w:color w:val="auto"/>
        </w:rPr>
      </w:pPr>
    </w:p>
    <w:p>
      <w:pPr>
        <w:ind w:left="320" w:hanging="320"/>
        <w:spacing w:after="0" w:line="253" w:lineRule="auto"/>
        <w:tabs>
          <w:tab w:leader="none" w:pos="320" w:val="left"/>
        </w:tabs>
        <w:numPr>
          <w:ilvl w:val="0"/>
          <w:numId w:val="24"/>
        </w:numPr>
        <w:rPr>
          <w:rFonts w:ascii="Arial" w:cs="Arial" w:eastAsia="Arial" w:hAnsi="Arial"/>
          <w:sz w:val="10"/>
          <w:szCs w:val="10"/>
          <w:color w:val="auto"/>
        </w:rPr>
      </w:pPr>
      <w:r>
        <w:rPr>
          <w:rFonts w:ascii="Arial" w:cs="Arial" w:eastAsia="Arial" w:hAnsi="Arial"/>
          <w:sz w:val="16"/>
          <w:szCs w:val="16"/>
          <w:color w:val="auto"/>
        </w:rPr>
        <w:t>Includes 781 shares of common stock withheld by ManpowerGroup to satisfy tax withholding obligations on shares acquired by certain officers in settlement of restricted stock.</w:t>
      </w:r>
    </w:p>
    <w:p>
      <w:pPr>
        <w:ind w:left="320" w:hanging="320"/>
        <w:spacing w:after="0" w:line="256" w:lineRule="auto"/>
        <w:tabs>
          <w:tab w:leader="none" w:pos="320" w:val="left"/>
        </w:tabs>
        <w:numPr>
          <w:ilvl w:val="0"/>
          <w:numId w:val="24"/>
        </w:numPr>
        <w:rPr>
          <w:rFonts w:ascii="Arial" w:cs="Arial" w:eastAsia="Arial" w:hAnsi="Arial"/>
          <w:sz w:val="10"/>
          <w:szCs w:val="10"/>
          <w:color w:val="auto"/>
        </w:rPr>
      </w:pPr>
      <w:r>
        <w:rPr>
          <w:rFonts w:ascii="Arial" w:cs="Arial" w:eastAsia="Arial" w:hAnsi="Arial"/>
          <w:sz w:val="16"/>
          <w:szCs w:val="16"/>
          <w:color w:val="auto"/>
        </w:rPr>
        <w:t>Includes 1,145 shares of common stock withheld by ManpowerGroup to satisfy tax withholding obligations on shares acquired by certain officers in settlement of restricted stock.</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10800"/>
          </w:cols>
          <w:pgMar w:left="720" w:top="734" w:right="720" w:bottom="175" w:gutter="0" w:footer="0" w:header="0"/>
          <w:type w:val="continuous"/>
        </w:sectPr>
      </w:pPr>
    </w:p>
    <w:bookmarkStart w:id="35" w:name="page36"/>
    <w:bookmarkEnd w:id="3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0" o:spid="_x0000_s106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u w:val="single" w:color="auto"/>
          <w:color w:val="537BB5"/>
        </w:rPr>
        <w:t>Performance Graph</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Set forth below is a graph for the periods ending December 31, 2019-2024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1% of the total market capitalization of the companies included in the index. The graph assumes a $100 investment on December 31, 2019 in our common stock, the Standard &amp; Poor’s 400 Midcap Stock Index and the Standard</w:t>
      </w:r>
    </w:p>
    <w:p>
      <w:pPr>
        <w:spacing w:after="0" w:line="2" w:lineRule="exact"/>
        <w:rPr>
          <w:sz w:val="20"/>
          <w:szCs w:val="20"/>
          <w:color w:val="auto"/>
        </w:rPr>
      </w:pPr>
    </w:p>
    <w:p>
      <w:pPr>
        <w:spacing w:after="0" w:line="255" w:lineRule="auto"/>
        <w:tabs>
          <w:tab w:leader="none" w:pos="2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Poor’s 1500 Human Resources and Employment Services Sub-Industry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64770</wp:posOffset>
            </wp:positionV>
            <wp:extent cx="5334635" cy="2162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extLst>
                    </a:blip>
                    <a:srcRect/>
                    <a:stretch>
                      <a:fillRect/>
                    </a:stretch>
                  </pic:blipFill>
                  <pic:spPr bwMode="auto">
                    <a:xfrm>
                      <a:off x="0" y="0"/>
                      <a:ext cx="5334635"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5880" w:type="dxa"/>
            <w:vAlign w:val="bottom"/>
            <w:tcBorders>
              <w:top w:val="single" w:sz="8" w:color="auto"/>
              <w:bottom w:val="single" w:sz="8" w:color="97AAD0"/>
            </w:tcBorders>
            <w:shd w:val="clear" w:color="auto" w:fill="97AAD0"/>
          </w:tcPr>
          <w:p>
            <w:pPr>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top w:val="single" w:sz="8" w:color="auto"/>
              <w:bottom w:val="single" w:sz="8" w:color="97AAD0"/>
            </w:tcBorders>
            <w:shd w:val="clear" w:color="auto" w:fill="97AAD0"/>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820" w:type="dxa"/>
            <w:vAlign w:val="bottom"/>
            <w:tcBorders>
              <w:top w:val="single" w:sz="8" w:color="auto"/>
              <w:bottom w:val="single" w:sz="8" w:color="97AAD0"/>
            </w:tcBorders>
            <w:shd w:val="clear" w:color="auto" w:fill="97AAD0"/>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top w:val="single" w:sz="8" w:color="auto"/>
              <w:bottom w:val="single" w:sz="8" w:color="97AAD0"/>
            </w:tcBorders>
            <w:shd w:val="clear" w:color="auto" w:fill="97AAD0"/>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top w:val="single" w:sz="8" w:color="auto"/>
              <w:bottom w:val="single" w:sz="8" w:color="97AAD0"/>
            </w:tcBorders>
            <w:shd w:val="clear" w:color="auto" w:fill="97AAD0"/>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top w:val="single" w:sz="8" w:color="auto"/>
              <w:bottom w:val="single" w:sz="8" w:color="97AAD0"/>
            </w:tcBorders>
            <w:shd w:val="clear" w:color="auto" w:fill="97AAD0"/>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top w:val="single" w:sz="8" w:color="auto"/>
              <w:bottom w:val="single" w:sz="8" w:color="97AAD0"/>
            </w:tcBorders>
            <w:shd w:val="clear" w:color="auto" w:fill="97AAD0"/>
          </w:tcPr>
          <w:p>
            <w:pPr>
              <w:jc w:val="right"/>
              <w:ind w:right="90"/>
              <w:spacing w:after="0"/>
              <w:rPr>
                <w:sz w:val="20"/>
                <w:szCs w:val="20"/>
                <w:color w:val="auto"/>
              </w:rPr>
            </w:pPr>
            <w:r>
              <w:rPr>
                <w:rFonts w:ascii="Arial" w:cs="Arial" w:eastAsia="Arial" w:hAnsi="Arial"/>
                <w:sz w:val="18"/>
                <w:szCs w:val="18"/>
                <w:b w:val="1"/>
                <w:bCs w:val="1"/>
                <w:color w:val="auto"/>
              </w:rPr>
              <w:t>2024</w:t>
            </w:r>
          </w:p>
        </w:tc>
      </w:tr>
      <w:tr>
        <w:trPr>
          <w:trHeight w:val="197"/>
        </w:trPr>
        <w:tc>
          <w:tcPr>
            <w:tcW w:w="5880" w:type="dxa"/>
            <w:vAlign w:val="bottom"/>
            <w:tcBorders>
              <w:top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ManpowerGroup</w:t>
            </w:r>
          </w:p>
        </w:tc>
        <w:tc>
          <w:tcPr>
            <w:tcW w:w="880" w:type="dxa"/>
            <w:vAlign w:val="bottom"/>
            <w:tcBorders>
              <w:top w:val="single" w:sz="8" w:color="auto"/>
            </w:tcBorders>
            <w:shd w:val="clear" w:color="auto" w:fill="E5E9F3"/>
          </w:tcPr>
          <w:p>
            <w:pPr>
              <w:jc w:val="right"/>
              <w:ind w:right="30"/>
              <w:spacing w:after="0" w:line="197" w:lineRule="exact"/>
              <w:rPr>
                <w:sz w:val="20"/>
                <w:szCs w:val="20"/>
                <w:color w:val="auto"/>
              </w:rPr>
            </w:pPr>
            <w:r>
              <w:rPr>
                <w:rFonts w:ascii="Arial" w:cs="Arial" w:eastAsia="Arial" w:hAnsi="Arial"/>
                <w:sz w:val="18"/>
                <w:szCs w:val="18"/>
                <w:color w:val="auto"/>
              </w:rPr>
              <w:t>$  100</w:t>
            </w:r>
          </w:p>
        </w:tc>
        <w:tc>
          <w:tcPr>
            <w:tcW w:w="820" w:type="dxa"/>
            <w:vAlign w:val="bottom"/>
            <w:tcBorders>
              <w:top w:val="single" w:sz="8" w:color="auto"/>
            </w:tcBorders>
            <w:shd w:val="clear" w:color="auto" w:fill="E5E9F3"/>
          </w:tcPr>
          <w:p>
            <w:pPr>
              <w:jc w:val="right"/>
              <w:ind w:right="50"/>
              <w:spacing w:after="0" w:line="197" w:lineRule="exact"/>
              <w:rPr>
                <w:sz w:val="20"/>
                <w:szCs w:val="20"/>
                <w:color w:val="auto"/>
              </w:rPr>
            </w:pPr>
            <w:r>
              <w:rPr>
                <w:rFonts w:ascii="Arial" w:cs="Arial" w:eastAsia="Arial" w:hAnsi="Arial"/>
                <w:sz w:val="18"/>
                <w:szCs w:val="18"/>
                <w:color w:val="auto"/>
              </w:rPr>
              <w:t>$   93</w:t>
            </w:r>
          </w:p>
        </w:tc>
        <w:tc>
          <w:tcPr>
            <w:tcW w:w="800" w:type="dxa"/>
            <w:vAlign w:val="bottom"/>
            <w:tcBorders>
              <w:top w:val="single" w:sz="8" w:color="auto"/>
            </w:tcBorders>
            <w:shd w:val="clear" w:color="auto" w:fill="E5E9F3"/>
          </w:tcPr>
          <w:p>
            <w:pPr>
              <w:jc w:val="right"/>
              <w:ind w:right="30"/>
              <w:spacing w:after="0" w:line="197" w:lineRule="exact"/>
              <w:rPr>
                <w:sz w:val="20"/>
                <w:szCs w:val="20"/>
                <w:color w:val="auto"/>
              </w:rPr>
            </w:pPr>
            <w:r>
              <w:rPr>
                <w:rFonts w:ascii="Arial" w:cs="Arial" w:eastAsia="Arial" w:hAnsi="Arial"/>
                <w:sz w:val="18"/>
                <w:szCs w:val="18"/>
                <w:color w:val="auto"/>
              </w:rPr>
              <w:t>$  100</w:t>
            </w:r>
          </w:p>
        </w:tc>
        <w:tc>
          <w:tcPr>
            <w:tcW w:w="820" w:type="dxa"/>
            <w:vAlign w:val="bottom"/>
            <w:tcBorders>
              <w:top w:val="single" w:sz="8" w:color="auto"/>
            </w:tcBorders>
            <w:shd w:val="clear" w:color="auto" w:fill="E5E9F3"/>
          </w:tcPr>
          <w:p>
            <w:pPr>
              <w:jc w:val="right"/>
              <w:ind w:right="50"/>
              <w:spacing w:after="0" w:line="197" w:lineRule="exact"/>
              <w:rPr>
                <w:sz w:val="20"/>
                <w:szCs w:val="20"/>
                <w:color w:val="auto"/>
              </w:rPr>
            </w:pPr>
            <w:r>
              <w:rPr>
                <w:rFonts w:ascii="Arial" w:cs="Arial" w:eastAsia="Arial" w:hAnsi="Arial"/>
                <w:sz w:val="18"/>
                <w:szCs w:val="18"/>
                <w:color w:val="auto"/>
              </w:rPr>
              <w:t>$   86</w:t>
            </w:r>
          </w:p>
        </w:tc>
        <w:tc>
          <w:tcPr>
            <w:tcW w:w="800" w:type="dxa"/>
            <w:vAlign w:val="bottom"/>
            <w:tcBorders>
              <w:top w:val="single" w:sz="8" w:color="auto"/>
            </w:tcBorders>
            <w:shd w:val="clear" w:color="auto" w:fill="E5E9F3"/>
          </w:tcPr>
          <w:p>
            <w:pPr>
              <w:jc w:val="right"/>
              <w:ind w:right="50"/>
              <w:spacing w:after="0" w:line="197" w:lineRule="exact"/>
              <w:rPr>
                <w:sz w:val="20"/>
                <w:szCs w:val="20"/>
                <w:color w:val="auto"/>
              </w:rPr>
            </w:pPr>
            <w:r>
              <w:rPr>
                <w:rFonts w:ascii="Arial" w:cs="Arial" w:eastAsia="Arial" w:hAnsi="Arial"/>
                <w:sz w:val="18"/>
                <w:szCs w:val="18"/>
                <w:color w:val="auto"/>
              </w:rPr>
              <w:t>$   82</w:t>
            </w:r>
          </w:p>
        </w:tc>
        <w:tc>
          <w:tcPr>
            <w:tcW w:w="800" w:type="dxa"/>
            <w:vAlign w:val="bottom"/>
            <w:tcBorders>
              <w:top w:val="single" w:sz="8" w:color="auto"/>
            </w:tcBorders>
            <w:shd w:val="clear" w:color="auto" w:fill="E5E9F3"/>
          </w:tcPr>
          <w:p>
            <w:pPr>
              <w:jc w:val="right"/>
              <w:ind w:right="30"/>
              <w:spacing w:after="0" w:line="197" w:lineRule="exact"/>
              <w:rPr>
                <w:sz w:val="20"/>
                <w:szCs w:val="20"/>
                <w:color w:val="auto"/>
              </w:rPr>
            </w:pPr>
            <w:r>
              <w:rPr>
                <w:rFonts w:ascii="Arial" w:cs="Arial" w:eastAsia="Arial" w:hAnsi="Arial"/>
                <w:sz w:val="18"/>
                <w:szCs w:val="18"/>
                <w:color w:val="auto"/>
              </w:rPr>
              <w:t>$   59</w:t>
            </w:r>
          </w:p>
        </w:tc>
      </w:tr>
      <w:tr>
        <w:trPr>
          <w:trHeight w:val="207"/>
        </w:trPr>
        <w:tc>
          <w:tcPr>
            <w:tcW w:w="5880" w:type="dxa"/>
            <w:vAlign w:val="bottom"/>
          </w:tcPr>
          <w:p>
            <w:pPr>
              <w:ind w:left="100"/>
              <w:spacing w:after="0"/>
              <w:rPr>
                <w:sz w:val="20"/>
                <w:szCs w:val="20"/>
                <w:color w:val="auto"/>
              </w:rPr>
            </w:pPr>
            <w:r>
              <w:rPr>
                <w:rFonts w:ascii="Arial" w:cs="Arial" w:eastAsia="Arial" w:hAnsi="Arial"/>
                <w:sz w:val="18"/>
                <w:szCs w:val="18"/>
                <w:color w:val="auto"/>
              </w:rPr>
              <w:t>S&amp;P 400 Midcap Stock Index</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151</w:t>
            </w:r>
          </w:p>
        </w:tc>
      </w:tr>
      <w:tr>
        <w:trPr>
          <w:trHeight w:val="200"/>
        </w:trPr>
        <w:tc>
          <w:tcPr>
            <w:tcW w:w="5880" w:type="dxa"/>
            <w:vAlign w:val="bottom"/>
            <w:shd w:val="clear" w:color="auto" w:fill="E5E9F3"/>
          </w:tcPr>
          <w:p>
            <w:pPr>
              <w:ind w:left="100"/>
              <w:spacing w:after="0" w:line="201" w:lineRule="exact"/>
              <w:rPr>
                <w:sz w:val="20"/>
                <w:szCs w:val="20"/>
                <w:color w:val="auto"/>
              </w:rPr>
            </w:pPr>
            <w:r>
              <w:rPr>
                <w:rFonts w:ascii="Arial" w:cs="Arial" w:eastAsia="Arial" w:hAnsi="Arial"/>
                <w:sz w:val="18"/>
                <w:szCs w:val="18"/>
                <w:color w:val="auto"/>
              </w:rPr>
              <w:t>S&amp;P 1500 Human Resources and Employment Services Sub-Industry</w:t>
            </w:r>
          </w:p>
        </w:tc>
        <w:tc>
          <w:tcPr>
            <w:tcW w:w="880" w:type="dxa"/>
            <w:vAlign w:val="bottom"/>
            <w:shd w:val="clear" w:color="auto" w:fill="E5E9F3"/>
          </w:tcPr>
          <w:p>
            <w:pPr>
              <w:spacing w:after="0"/>
              <w:rPr>
                <w:sz w:val="17"/>
                <w:szCs w:val="17"/>
                <w:color w:val="auto"/>
              </w:rPr>
            </w:pPr>
          </w:p>
        </w:tc>
        <w:tc>
          <w:tcPr>
            <w:tcW w:w="820" w:type="dxa"/>
            <w:vAlign w:val="bottom"/>
            <w:shd w:val="clear" w:color="auto" w:fill="E5E9F3"/>
          </w:tcPr>
          <w:p>
            <w:pPr>
              <w:spacing w:after="0"/>
              <w:rPr>
                <w:sz w:val="17"/>
                <w:szCs w:val="17"/>
                <w:color w:val="auto"/>
              </w:rPr>
            </w:pPr>
          </w:p>
        </w:tc>
        <w:tc>
          <w:tcPr>
            <w:tcW w:w="800" w:type="dxa"/>
            <w:vAlign w:val="bottom"/>
            <w:shd w:val="clear" w:color="auto" w:fill="E5E9F3"/>
          </w:tcPr>
          <w:p>
            <w:pPr>
              <w:spacing w:after="0"/>
              <w:rPr>
                <w:sz w:val="17"/>
                <w:szCs w:val="17"/>
                <w:color w:val="auto"/>
              </w:rPr>
            </w:pPr>
          </w:p>
        </w:tc>
        <w:tc>
          <w:tcPr>
            <w:tcW w:w="820" w:type="dxa"/>
            <w:vAlign w:val="bottom"/>
            <w:shd w:val="clear" w:color="auto" w:fill="E5E9F3"/>
          </w:tcPr>
          <w:p>
            <w:pPr>
              <w:spacing w:after="0"/>
              <w:rPr>
                <w:sz w:val="17"/>
                <w:szCs w:val="17"/>
                <w:color w:val="auto"/>
              </w:rPr>
            </w:pPr>
          </w:p>
        </w:tc>
        <w:tc>
          <w:tcPr>
            <w:tcW w:w="800" w:type="dxa"/>
            <w:vAlign w:val="bottom"/>
            <w:shd w:val="clear" w:color="auto" w:fill="E5E9F3"/>
          </w:tcPr>
          <w:p>
            <w:pPr>
              <w:spacing w:after="0"/>
              <w:rPr>
                <w:sz w:val="17"/>
                <w:szCs w:val="17"/>
                <w:color w:val="auto"/>
              </w:rPr>
            </w:pPr>
          </w:p>
        </w:tc>
        <w:tc>
          <w:tcPr>
            <w:tcW w:w="800" w:type="dxa"/>
            <w:vAlign w:val="bottom"/>
            <w:shd w:val="clear" w:color="auto" w:fill="E5E9F3"/>
          </w:tcPr>
          <w:p>
            <w:pPr>
              <w:spacing w:after="0"/>
              <w:rPr>
                <w:sz w:val="17"/>
                <w:szCs w:val="17"/>
                <w:color w:val="auto"/>
              </w:rPr>
            </w:pPr>
          </w:p>
        </w:tc>
      </w:tr>
      <w:tr>
        <w:trPr>
          <w:trHeight w:val="237"/>
        </w:trPr>
        <w:tc>
          <w:tcPr>
            <w:tcW w:w="5880" w:type="dxa"/>
            <w:vAlign w:val="bottom"/>
            <w:tcBorders>
              <w:bottom w:val="single" w:sz="8" w:color="auto"/>
            </w:tcBorders>
            <w:shd w:val="clear" w:color="auto" w:fill="E5E9F3"/>
          </w:tcPr>
          <w:p>
            <w:pPr>
              <w:ind w:left="260"/>
              <w:spacing w:after="0"/>
              <w:rPr>
                <w:sz w:val="20"/>
                <w:szCs w:val="20"/>
                <w:color w:val="auto"/>
              </w:rPr>
            </w:pPr>
            <w:r>
              <w:rPr>
                <w:rFonts w:ascii="Arial" w:cs="Arial" w:eastAsia="Arial" w:hAnsi="Arial"/>
                <w:sz w:val="18"/>
                <w:szCs w:val="18"/>
                <w:color w:val="auto"/>
              </w:rPr>
              <w:t>Index</w:t>
            </w:r>
          </w:p>
        </w:tc>
        <w:tc>
          <w:tcPr>
            <w:tcW w:w="88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99</w:t>
            </w:r>
          </w:p>
        </w:tc>
        <w:tc>
          <w:tcPr>
            <w:tcW w:w="8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148</w:t>
            </w:r>
          </w:p>
        </w:tc>
        <w:tc>
          <w:tcPr>
            <w:tcW w:w="8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109</w:t>
            </w:r>
          </w:p>
        </w:tc>
        <w:tc>
          <w:tcPr>
            <w:tcW w:w="80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113</w:t>
            </w:r>
          </w:p>
        </w:tc>
        <w:tc>
          <w:tcPr>
            <w:tcW w:w="8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132</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6. [Reserved]</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800"/>
          </w:cols>
          <w:pgMar w:left="720" w:top="734" w:right="720" w:bottom="175" w:gutter="0" w:footer="0" w:header="0"/>
          <w:type w:val="continuous"/>
        </w:sectPr>
      </w:pPr>
    </w:p>
    <w:bookmarkStart w:id="36" w:name="page37"/>
    <w:bookmarkEnd w:id="36"/>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2" o:spid="_x0000_s106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line="254" w:lineRule="auto"/>
        <w:tabs>
          <w:tab w:leader="none" w:pos="326" w:val="left"/>
        </w:tabs>
        <w:numPr>
          <w:ilvl w:val="0"/>
          <w:numId w:val="26"/>
        </w:numPr>
        <w:rPr>
          <w:rFonts w:ascii="Arial" w:cs="Arial" w:eastAsia="Arial" w:hAnsi="Arial"/>
          <w:sz w:val="28"/>
          <w:szCs w:val="28"/>
          <w:b w:val="1"/>
          <w:bCs w:val="1"/>
          <w:color w:val="537BB5"/>
        </w:rPr>
      </w:pPr>
      <w:r>
        <w:rPr>
          <w:rFonts w:ascii="Arial" w:cs="Arial" w:eastAsia="Arial" w:hAnsi="Arial"/>
          <w:sz w:val="28"/>
          <w:szCs w:val="28"/>
          <w:b w:val="1"/>
          <w:bCs w:val="1"/>
          <w:color w:val="537BB5"/>
        </w:rPr>
        <w:t>Management’s Discussion and Analysis of Financial Condition and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 millions, except share and per share data</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Financial Measures — Constant Currency And Organic Constant Currency</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Results of Operations - For Years of Operation Ending December 31, 2024 and 2023</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financial discussion that follows focuses on 2024 results compared to 2023. For a discussion of 2023 results compared to 2022, see the company’s Annual Report on Form 10-K for the year ended December 31, 2023.</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During 2024, revenues decreased -5.6% compared to 2023. Our 2024 results reflected the negative impact of economic uncertainty, particularly in Europe and North America, as we saw decreased demand for our staffing and permanent recruitment services, partially offset by increased demand for our Right Management outplacement services as well as increased demand in Asia Pacific and Latin America. As Europe represents a significant portion of our operations, we continue to monitor economic conditions in our Southern Europe and Northern Europe segments. Inflation has eased in Europe and the United States resulting in both markets reducing interest rates during the year. However, employers are continuing their cautious approach with many employers retaining their current workforce, delaying hiring decisions or reducing their demand for contingent labor as they remain focused on managing the macro-economic and geopolitical challenges impacting their businesses. Many employers are still hesitant to increase their spend and expand their workforce until they perceive a significant improvement in economic outlook. As a result of these factors, we expect the business environment will continue to be challenging, which could further negatively impact our operations in future periods.</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2024, the United States dollar strengthened, on average, relative to the currencies in most of our markets, and overall had an unfavorable impact on our reported results. The changes in the foreign currency exchange rates had a -2.2% unfavorable impact on revenues from services and an approximately $0.15 per share unfavorable impact on net earnings per share – diluted in 2024.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10800"/>
          </w:cols>
          <w:pgMar w:left="720" w:top="734" w:right="720" w:bottom="175" w:gutter="0" w:footer="0" w:header="0"/>
          <w:type w:val="continuous"/>
        </w:sectPr>
      </w:pPr>
    </w:p>
    <w:bookmarkStart w:id="37" w:name="page38"/>
    <w:bookmarkEnd w:id="3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3" o:spid="_x0000_s106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During 2024, we experienced the following quarterly changes to our consolidated revenues compared to 2023: a -7.3% decrease in revenue in the first quarter due to softening demand for staffing services due to increased economic uncertainty, partially offset by an increase in demand for our Right Management outplacement services; a revenue decrease of -6.9% in the second quarter due to the continued softening demand for staffing and permanent recruitment services; a revenue decrease of -3.1% in the third quarter due to the continued softening demand for staffing services, partially offset by an increase in demand for our Right Management outplacement services; and ending the year with a -5.0% revenue decrease in the fourth quarter of 2024 due to the continuing decrease in demand for our staffing services.</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During 2024 compared to 2023, most of our markets experienced revenue decreases due to softening demand for our staffing and permanent recruitment services and the strengthening of the dollar in certain markets, partially offset by increased demand for our Right Management outplacement services. We experienced a -4.3% revenue decrease in the Americas primarily driven by the unfavorable impact of currency exchange rates and a decrease in demand for our Experis interim services, partially offset by an increase in demand for our Manpower staffing services, an increase in demand for our Talent Based Outsourcing (TBO) business and an increase in demand for our Right Management outplacement services. We experienced a -3.5% revenue decrease in Southern Europe, primarily driven by a decrease in demand for our Manpower and Experis staffing/interim services and a decrease in demand for our permanent recruitment services, partially offset by an increase in demand for our Right Management outplacement services. We experienced a revenue decrease of -11.8% in Northern Europe, primarily due to decreased demand in our Manpower and Experis staffing/interim services, decreased demand in our permanent recruitment business and decreased demand for our Experis solutions services, partially offset by increased demand in our TAPFIN - Managed Service Provider (MSP) business and increased demand for our Right Management outplacement services. We experienced a -6.9% revenue decrease in APME, primarily driven by the unfavorable impact of currency exchange rates, decreased demand in our permanent recruitment business and a decrease in demand in our TBO business, partially offset by an increase in demand for our Manpower and Experis staffing/interim services.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a brand perspective, we experienced a revenue decrease in Manpower, Experis and Talent Solutions during 2024 compared to 2023. The revenue decrease in our Manpower brand was due to decreased demand for our staffing services and the unfavorable impact of currency exchange rates. In our Experis brand, the revenue decrease was primarily due to decreased demand for our interim services and decreased demand for our Experis solutions services. The revenue decrease in our Talent Solutions brand, which includes Recruitment Process Outsourcing (RPO), TAPFIN - MSP, and our Right Management offerings, was driven primarily by decreased activity in our RPO permanent recruitment business, partially offset by increased demand for our Right Management outplacement services and increased demand in our MSP business.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2024 our gross profit margin decreased 50 basis points compared to 2023 primarily due to decreases in our permanent recruitment business, including Talent Solutions RPO, as permanent hiring demand continued to soften and experienced reduced levels from the prior year period and a decrease in staffing/interim margins due to mix shifts and lower volumes while pricing remained stable. The decrease was partially offset by increased career transition activity in Right Management as outplacement activity increased.</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2024 our operating profit increased 19.6% while our operating profit margin increased 30 basis points compared to 2023. The operating profit margin increased primarily due to a reduction in selling and administrative expenses, including wind down charges related to our Germany Proservia business and goodwill impairment charges in 2023, as a percent of revenue, partially offset by the overall decrease in our gross profit margin, as noted above.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During the year, we initiated significant restructuring actions on businesses heavily impacted by the continuing decline in activity. With these actions, we expect our overall cost structure to decline. We expect to continue to monitor expenses closely to maintain the benefit of our efforts to optimize our organizational cost structures. At the same time, we plan to invest appropriately to enable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10800"/>
          </w:cols>
          <w:pgMar w:left="720" w:top="734" w:right="720" w:bottom="175" w:gutter="0" w:footer="0" w:header="0"/>
          <w:type w:val="continuous"/>
        </w:sectPr>
      </w:pPr>
    </w:p>
    <w:bookmarkStart w:id="38" w:name="page39"/>
    <w:bookmarkEnd w:id="38"/>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4" o:spid="_x0000_s106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Consolidated Results - 2024 compared to 2023</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selected consolidated financial data for 2024 as compared to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160" w:type="dxa"/>
            <w:vAlign w:val="bottom"/>
            <w:tcBorders>
              <w:top w:val="single" w:sz="8" w:color="auto"/>
            </w:tcBorders>
            <w:shd w:val="clear" w:color="auto" w:fill="97AAD0"/>
          </w:tcPr>
          <w:p>
            <w:pPr>
              <w:spacing w:after="0"/>
              <w:rPr>
                <w:sz w:val="24"/>
                <w:szCs w:val="24"/>
                <w:color w:val="auto"/>
              </w:rPr>
            </w:pPr>
          </w:p>
        </w:tc>
        <w:tc>
          <w:tcPr>
            <w:tcW w:w="480" w:type="dxa"/>
            <w:vAlign w:val="bottom"/>
            <w:tcBorders>
              <w:top w:val="single" w:sz="8" w:color="auto"/>
            </w:tcBorders>
            <w:shd w:val="clear" w:color="auto" w:fill="97AAD0"/>
          </w:tcPr>
          <w:p>
            <w:pPr>
              <w:spacing w:after="0"/>
              <w:rPr>
                <w:sz w:val="24"/>
                <w:szCs w:val="24"/>
                <w:color w:val="auto"/>
              </w:rPr>
            </w:pPr>
          </w:p>
        </w:tc>
        <w:tc>
          <w:tcPr>
            <w:tcW w:w="780" w:type="dxa"/>
            <w:vAlign w:val="bottom"/>
            <w:tcBorders>
              <w:top w:val="single" w:sz="8" w:color="auto"/>
            </w:tcBorders>
            <w:shd w:val="clear" w:color="auto" w:fill="97AAD0"/>
          </w:tcPr>
          <w:p>
            <w:pPr>
              <w:spacing w:after="0"/>
              <w:rPr>
                <w:sz w:val="24"/>
                <w:szCs w:val="24"/>
                <w:color w:val="auto"/>
              </w:rPr>
            </w:pPr>
          </w:p>
        </w:tc>
        <w:tc>
          <w:tcPr>
            <w:tcW w:w="240" w:type="dxa"/>
            <w:vAlign w:val="bottom"/>
            <w:tcBorders>
              <w:top w:val="single" w:sz="8" w:color="auto"/>
            </w:tcBorders>
            <w:shd w:val="clear" w:color="auto" w:fill="97AAD0"/>
          </w:tcPr>
          <w:p>
            <w:pPr>
              <w:spacing w:after="0"/>
              <w:rPr>
                <w:sz w:val="24"/>
                <w:szCs w:val="24"/>
                <w:color w:val="auto"/>
              </w:rPr>
            </w:pPr>
          </w:p>
        </w:tc>
        <w:tc>
          <w:tcPr>
            <w:tcW w:w="220" w:type="dxa"/>
            <w:vAlign w:val="bottom"/>
            <w:tcBorders>
              <w:top w:val="single" w:sz="8" w:color="auto"/>
            </w:tcBorders>
            <w:shd w:val="clear" w:color="auto" w:fill="97AAD0"/>
          </w:tcPr>
          <w:p>
            <w:pPr>
              <w:spacing w:after="0"/>
              <w:rPr>
                <w:sz w:val="24"/>
                <w:szCs w:val="24"/>
                <w:color w:val="auto"/>
              </w:rPr>
            </w:pPr>
          </w:p>
        </w:tc>
        <w:tc>
          <w:tcPr>
            <w:tcW w:w="1060" w:type="dxa"/>
            <w:vAlign w:val="bottom"/>
            <w:tcBorders>
              <w:top w:val="single" w:sz="8" w:color="auto"/>
            </w:tcBorders>
            <w:shd w:val="clear" w:color="auto" w:fill="97AAD0"/>
          </w:tcPr>
          <w:p>
            <w:pPr>
              <w:spacing w:after="0"/>
              <w:rPr>
                <w:sz w:val="24"/>
                <w:szCs w:val="24"/>
                <w:color w:val="auto"/>
              </w:rPr>
            </w:pPr>
          </w:p>
        </w:tc>
        <w:tc>
          <w:tcPr>
            <w:tcW w:w="1240" w:type="dxa"/>
            <w:vAlign w:val="bottom"/>
            <w:tcBorders>
              <w:top w:val="single" w:sz="8" w:color="auto"/>
            </w:tcBorders>
            <w:shd w:val="clear" w:color="auto" w:fill="97AAD0"/>
          </w:tcPr>
          <w:p>
            <w:pPr>
              <w:spacing w:after="0"/>
              <w:rPr>
                <w:sz w:val="24"/>
                <w:szCs w:val="24"/>
                <w:color w:val="auto"/>
              </w:rPr>
            </w:pPr>
          </w:p>
        </w:tc>
        <w:tc>
          <w:tcPr>
            <w:tcW w:w="1340" w:type="dxa"/>
            <w:vAlign w:val="bottom"/>
            <w:tcBorders>
              <w:top w:val="single" w:sz="8" w:color="auto"/>
            </w:tcBorders>
            <w:vMerge w:val="restart"/>
            <w:shd w:val="clear" w:color="auto" w:fill="97AAD0"/>
          </w:tcPr>
          <w:p>
            <w:pPr>
              <w:jc w:val="right"/>
              <w:ind w:right="313"/>
              <w:spacing w:after="0"/>
              <w:rPr>
                <w:sz w:val="20"/>
                <w:szCs w:val="20"/>
                <w:color w:val="auto"/>
              </w:rPr>
            </w:pPr>
            <w:r>
              <w:rPr>
                <w:rFonts w:ascii="Arial" w:cs="Arial" w:eastAsia="Arial" w:hAnsi="Arial"/>
                <w:sz w:val="16"/>
                <w:szCs w:val="16"/>
                <w:b w:val="1"/>
                <w:bCs w:val="1"/>
                <w:color w:val="auto"/>
              </w:rPr>
              <w:t>Variance in</w:t>
            </w:r>
          </w:p>
        </w:tc>
        <w:tc>
          <w:tcPr>
            <w:tcW w:w="1280" w:type="dxa"/>
            <w:vAlign w:val="bottom"/>
            <w:tcBorders>
              <w:top w:val="single" w:sz="8" w:color="auto"/>
            </w:tcBorders>
            <w:shd w:val="clear" w:color="auto" w:fill="97AAD0"/>
          </w:tcPr>
          <w:p>
            <w:pPr>
              <w:jc w:val="center"/>
              <w:ind w:right="155"/>
              <w:spacing w:after="0"/>
              <w:rPr>
                <w:sz w:val="20"/>
                <w:szCs w:val="20"/>
                <w:color w:val="auto"/>
              </w:rPr>
            </w:pPr>
            <w:r>
              <w:rPr>
                <w:rFonts w:ascii="Arial" w:cs="Arial" w:eastAsia="Arial" w:hAnsi="Arial"/>
                <w:sz w:val="16"/>
                <w:szCs w:val="16"/>
                <w:b w:val="1"/>
                <w:bCs w:val="1"/>
                <w:color w:val="auto"/>
                <w:w w:val="98"/>
              </w:rPr>
              <w:t>Variance in</w:t>
            </w:r>
          </w:p>
        </w:tc>
        <w:tc>
          <w:tcPr>
            <w:tcW w:w="0" w:type="dxa"/>
            <w:vAlign w:val="bottom"/>
          </w:tcPr>
          <w:p>
            <w:pPr>
              <w:spacing w:after="0"/>
              <w:rPr>
                <w:sz w:val="1"/>
                <w:szCs w:val="1"/>
                <w:color w:val="auto"/>
              </w:rPr>
            </w:pPr>
          </w:p>
        </w:tc>
      </w:tr>
      <w:tr>
        <w:trPr>
          <w:trHeight w:val="184"/>
        </w:trPr>
        <w:tc>
          <w:tcPr>
            <w:tcW w:w="4160" w:type="dxa"/>
            <w:vAlign w:val="bottom"/>
            <w:shd w:val="clear" w:color="auto" w:fill="97AAD0"/>
          </w:tcPr>
          <w:p>
            <w:pPr>
              <w:spacing w:after="0"/>
              <w:rPr>
                <w:sz w:val="15"/>
                <w:szCs w:val="15"/>
                <w:color w:val="auto"/>
              </w:rPr>
            </w:pPr>
          </w:p>
        </w:tc>
        <w:tc>
          <w:tcPr>
            <w:tcW w:w="48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060" w:type="dxa"/>
            <w:vAlign w:val="bottom"/>
            <w:shd w:val="clear" w:color="auto" w:fill="97AAD0"/>
          </w:tcPr>
          <w:p>
            <w:pPr>
              <w:spacing w:after="0"/>
              <w:rPr>
                <w:sz w:val="15"/>
                <w:szCs w:val="15"/>
                <w:color w:val="auto"/>
              </w:rPr>
            </w:pPr>
          </w:p>
        </w:tc>
        <w:tc>
          <w:tcPr>
            <w:tcW w:w="1240" w:type="dxa"/>
            <w:vAlign w:val="bottom"/>
            <w:vMerge w:val="restart"/>
            <w:shd w:val="clear" w:color="auto" w:fill="97AAD0"/>
          </w:tcPr>
          <w:p>
            <w:pPr>
              <w:jc w:val="right"/>
              <w:ind w:right="332"/>
              <w:spacing w:after="0"/>
              <w:rPr>
                <w:sz w:val="20"/>
                <w:szCs w:val="20"/>
                <w:color w:val="auto"/>
              </w:rPr>
            </w:pPr>
            <w:r>
              <w:rPr>
                <w:rFonts w:ascii="Arial" w:cs="Arial" w:eastAsia="Arial" w:hAnsi="Arial"/>
                <w:sz w:val="16"/>
                <w:szCs w:val="16"/>
                <w:b w:val="1"/>
                <w:bCs w:val="1"/>
                <w:color w:val="auto"/>
              </w:rPr>
              <w:t>Reported</w:t>
            </w:r>
          </w:p>
        </w:tc>
        <w:tc>
          <w:tcPr>
            <w:tcW w:w="1340" w:type="dxa"/>
            <w:vAlign w:val="bottom"/>
            <w:vMerge w:val="continue"/>
            <w:shd w:val="clear" w:color="auto" w:fill="97AAD0"/>
          </w:tcPr>
          <w:p>
            <w:pPr>
              <w:spacing w:after="0"/>
              <w:rPr>
                <w:sz w:val="15"/>
                <w:szCs w:val="15"/>
                <w:color w:val="auto"/>
              </w:rPr>
            </w:pPr>
          </w:p>
        </w:tc>
        <w:tc>
          <w:tcPr>
            <w:tcW w:w="1280" w:type="dxa"/>
            <w:vAlign w:val="bottom"/>
            <w:shd w:val="clear" w:color="auto" w:fill="97AAD0"/>
          </w:tcPr>
          <w:p>
            <w:pPr>
              <w:jc w:val="center"/>
              <w:ind w:right="155"/>
              <w:spacing w:after="0"/>
              <w:rPr>
                <w:sz w:val="20"/>
                <w:szCs w:val="20"/>
                <w:color w:val="auto"/>
              </w:rPr>
            </w:pPr>
            <w:r>
              <w:rPr>
                <w:rFonts w:ascii="Arial" w:cs="Arial" w:eastAsia="Arial" w:hAnsi="Arial"/>
                <w:sz w:val="16"/>
                <w:szCs w:val="16"/>
                <w:b w:val="1"/>
                <w:bCs w:val="1"/>
                <w:color w:val="auto"/>
                <w:w w:val="99"/>
              </w:rPr>
              <w:t>Organic</w:t>
            </w:r>
          </w:p>
        </w:tc>
        <w:tc>
          <w:tcPr>
            <w:tcW w:w="0" w:type="dxa"/>
            <w:vAlign w:val="bottom"/>
          </w:tcPr>
          <w:p>
            <w:pPr>
              <w:spacing w:after="0"/>
              <w:rPr>
                <w:sz w:val="1"/>
                <w:szCs w:val="1"/>
                <w:color w:val="auto"/>
              </w:rPr>
            </w:pPr>
          </w:p>
        </w:tc>
      </w:tr>
      <w:tr>
        <w:trPr>
          <w:trHeight w:val="184"/>
        </w:trPr>
        <w:tc>
          <w:tcPr>
            <w:tcW w:w="4160" w:type="dxa"/>
            <w:vAlign w:val="bottom"/>
            <w:shd w:val="clear" w:color="auto" w:fill="97AAD0"/>
          </w:tcPr>
          <w:p>
            <w:pPr>
              <w:spacing w:after="0"/>
              <w:rPr>
                <w:sz w:val="15"/>
                <w:szCs w:val="15"/>
                <w:color w:val="auto"/>
              </w:rPr>
            </w:pPr>
          </w:p>
        </w:tc>
        <w:tc>
          <w:tcPr>
            <w:tcW w:w="480" w:type="dxa"/>
            <w:vAlign w:val="bottom"/>
            <w:shd w:val="clear" w:color="auto" w:fill="97AAD0"/>
          </w:tcPr>
          <w:p>
            <w:pPr>
              <w:spacing w:after="0"/>
              <w:rPr>
                <w:sz w:val="15"/>
                <w:szCs w:val="15"/>
                <w:color w:val="auto"/>
              </w:rPr>
            </w:pPr>
          </w:p>
        </w:tc>
        <w:tc>
          <w:tcPr>
            <w:tcW w:w="780" w:type="dxa"/>
            <w:vAlign w:val="bottom"/>
            <w:vMerge w:val="restart"/>
            <w:shd w:val="clear" w:color="auto" w:fill="97AAD0"/>
          </w:tcPr>
          <w:p>
            <w:pPr>
              <w:jc w:val="right"/>
              <w:ind w:right="231"/>
              <w:spacing w:after="0"/>
              <w:rPr>
                <w:sz w:val="20"/>
                <w:szCs w:val="20"/>
                <w:color w:val="auto"/>
              </w:rPr>
            </w:pPr>
            <w:r>
              <w:rPr>
                <w:rFonts w:ascii="Arial" w:cs="Arial" w:eastAsia="Arial" w:hAnsi="Arial"/>
                <w:sz w:val="16"/>
                <w:szCs w:val="16"/>
                <w:b w:val="1"/>
                <w:bCs w:val="1"/>
                <w:color w:val="auto"/>
              </w:rPr>
              <w:t>2024</w:t>
            </w:r>
          </w:p>
        </w:tc>
        <w:tc>
          <w:tcPr>
            <w:tcW w:w="24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060" w:type="dxa"/>
            <w:vAlign w:val="bottom"/>
            <w:vMerge w:val="restart"/>
            <w:shd w:val="clear" w:color="auto" w:fill="97AAD0"/>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240" w:type="dxa"/>
            <w:vAlign w:val="bottom"/>
            <w:vMerge w:val="continue"/>
            <w:shd w:val="clear" w:color="auto" w:fill="97AAD0"/>
          </w:tcPr>
          <w:p>
            <w:pPr>
              <w:spacing w:after="0"/>
              <w:rPr>
                <w:sz w:val="15"/>
                <w:szCs w:val="15"/>
                <w:color w:val="auto"/>
              </w:rPr>
            </w:pPr>
          </w:p>
        </w:tc>
        <w:tc>
          <w:tcPr>
            <w:tcW w:w="1340" w:type="dxa"/>
            <w:vAlign w:val="bottom"/>
            <w:shd w:val="clear" w:color="auto" w:fill="97AAD0"/>
          </w:tcPr>
          <w:p>
            <w:pPr>
              <w:jc w:val="right"/>
              <w:ind w:right="393"/>
              <w:spacing w:after="0"/>
              <w:rPr>
                <w:sz w:val="20"/>
                <w:szCs w:val="20"/>
                <w:color w:val="auto"/>
              </w:rPr>
            </w:pPr>
            <w:r>
              <w:rPr>
                <w:rFonts w:ascii="Arial" w:cs="Arial" w:eastAsia="Arial" w:hAnsi="Arial"/>
                <w:sz w:val="16"/>
                <w:szCs w:val="16"/>
                <w:b w:val="1"/>
                <w:bCs w:val="1"/>
                <w:color w:val="auto"/>
              </w:rPr>
              <w:t>Constant</w:t>
            </w:r>
          </w:p>
        </w:tc>
        <w:tc>
          <w:tcPr>
            <w:tcW w:w="1280" w:type="dxa"/>
            <w:vAlign w:val="bottom"/>
            <w:shd w:val="clear" w:color="auto" w:fill="97AAD0"/>
          </w:tcPr>
          <w:p>
            <w:pPr>
              <w:jc w:val="center"/>
              <w:ind w:right="155"/>
              <w:spacing w:after="0"/>
              <w:rPr>
                <w:sz w:val="20"/>
                <w:szCs w:val="20"/>
                <w:color w:val="auto"/>
              </w:rPr>
            </w:pPr>
            <w:r>
              <w:rPr>
                <w:rFonts w:ascii="Arial" w:cs="Arial" w:eastAsia="Arial" w:hAnsi="Arial"/>
                <w:sz w:val="16"/>
                <w:szCs w:val="16"/>
                <w:b w:val="1"/>
                <w:bCs w:val="1"/>
                <w:color w:val="auto"/>
                <w:w w:val="98"/>
              </w:rPr>
              <w:t>Constant</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97AAD0"/>
            </w:tcBorders>
            <w:shd w:val="clear" w:color="auto" w:fill="97AAD0"/>
          </w:tcPr>
          <w:p>
            <w:pPr>
              <w:ind w:left="100"/>
              <w:spacing w:after="0"/>
              <w:rPr>
                <w:sz w:val="20"/>
                <w:szCs w:val="20"/>
                <w:color w:val="auto"/>
              </w:rPr>
            </w:pPr>
            <w:r>
              <w:rPr>
                <w:rFonts w:ascii="Arial" w:cs="Arial" w:eastAsia="Arial" w:hAnsi="Arial"/>
                <w:sz w:val="16"/>
                <w:szCs w:val="16"/>
                <w:b w:val="1"/>
                <w:bCs w:val="1"/>
                <w:i w:val="1"/>
                <w:iCs w:val="1"/>
                <w:color w:val="auto"/>
              </w:rPr>
              <w:t>(in millions, except per share data)</w:t>
            </w:r>
          </w:p>
        </w:tc>
        <w:tc>
          <w:tcPr>
            <w:tcW w:w="480" w:type="dxa"/>
            <w:vAlign w:val="bottom"/>
            <w:tcBorders>
              <w:bottom w:val="single" w:sz="8" w:color="97AAD0"/>
            </w:tcBorders>
            <w:shd w:val="clear" w:color="auto" w:fill="97AAD0"/>
          </w:tcPr>
          <w:p>
            <w:pPr>
              <w:spacing w:after="0"/>
              <w:rPr>
                <w:sz w:val="20"/>
                <w:szCs w:val="20"/>
                <w:color w:val="auto"/>
              </w:rPr>
            </w:pPr>
          </w:p>
        </w:tc>
        <w:tc>
          <w:tcPr>
            <w:tcW w:w="780" w:type="dxa"/>
            <w:vAlign w:val="bottom"/>
            <w:tcBorders>
              <w:bottom w:val="single" w:sz="8" w:color="97AAD0"/>
            </w:tcBorders>
            <w:vMerge w:val="continue"/>
            <w:shd w:val="clear" w:color="auto" w:fill="97AAD0"/>
          </w:tcPr>
          <w:p>
            <w:pPr>
              <w:spacing w:after="0"/>
              <w:rPr>
                <w:sz w:val="20"/>
                <w:szCs w:val="20"/>
                <w:color w:val="auto"/>
              </w:rPr>
            </w:pPr>
          </w:p>
        </w:tc>
        <w:tc>
          <w:tcPr>
            <w:tcW w:w="240" w:type="dxa"/>
            <w:vAlign w:val="bottom"/>
            <w:tcBorders>
              <w:bottom w:val="single" w:sz="8" w:color="97AAD0"/>
            </w:tcBorders>
            <w:shd w:val="clear" w:color="auto" w:fill="97AAD0"/>
          </w:tcPr>
          <w:p>
            <w:pPr>
              <w:spacing w:after="0"/>
              <w:rPr>
                <w:sz w:val="20"/>
                <w:szCs w:val="20"/>
                <w:color w:val="auto"/>
              </w:rPr>
            </w:pPr>
          </w:p>
        </w:tc>
        <w:tc>
          <w:tcPr>
            <w:tcW w:w="220" w:type="dxa"/>
            <w:vAlign w:val="bottom"/>
            <w:tcBorders>
              <w:bottom w:val="single" w:sz="8" w:color="97AAD0"/>
            </w:tcBorders>
            <w:shd w:val="clear" w:color="auto" w:fill="97AAD0"/>
          </w:tcPr>
          <w:p>
            <w:pPr>
              <w:spacing w:after="0"/>
              <w:rPr>
                <w:sz w:val="20"/>
                <w:szCs w:val="20"/>
                <w:color w:val="auto"/>
              </w:rPr>
            </w:pPr>
          </w:p>
        </w:tc>
        <w:tc>
          <w:tcPr>
            <w:tcW w:w="1060" w:type="dxa"/>
            <w:vAlign w:val="bottom"/>
            <w:tcBorders>
              <w:bottom w:val="single" w:sz="8" w:color="97AAD0"/>
            </w:tcBorders>
            <w:vMerge w:val="continue"/>
            <w:shd w:val="clear" w:color="auto" w:fill="97AAD0"/>
          </w:tcPr>
          <w:p>
            <w:pPr>
              <w:spacing w:after="0"/>
              <w:rPr>
                <w:sz w:val="20"/>
                <w:szCs w:val="20"/>
                <w:color w:val="auto"/>
              </w:rPr>
            </w:pPr>
          </w:p>
        </w:tc>
        <w:tc>
          <w:tcPr>
            <w:tcW w:w="1240" w:type="dxa"/>
            <w:vAlign w:val="bottom"/>
            <w:tcBorders>
              <w:bottom w:val="single" w:sz="8" w:color="97AAD0"/>
            </w:tcBorders>
            <w:shd w:val="clear" w:color="auto" w:fill="97AAD0"/>
          </w:tcPr>
          <w:p>
            <w:pPr>
              <w:jc w:val="right"/>
              <w:ind w:right="352"/>
              <w:spacing w:after="0"/>
              <w:rPr>
                <w:sz w:val="20"/>
                <w:szCs w:val="20"/>
                <w:color w:val="auto"/>
              </w:rPr>
            </w:pPr>
            <w:r>
              <w:rPr>
                <w:rFonts w:ascii="Arial" w:cs="Arial" w:eastAsia="Arial" w:hAnsi="Arial"/>
                <w:sz w:val="16"/>
                <w:szCs w:val="16"/>
                <w:b w:val="1"/>
                <w:bCs w:val="1"/>
                <w:color w:val="auto"/>
              </w:rPr>
              <w:t>Variance</w:t>
            </w:r>
          </w:p>
        </w:tc>
        <w:tc>
          <w:tcPr>
            <w:tcW w:w="1340" w:type="dxa"/>
            <w:vAlign w:val="bottom"/>
            <w:tcBorders>
              <w:bottom w:val="single" w:sz="8" w:color="97AAD0"/>
            </w:tcBorders>
            <w:shd w:val="clear" w:color="auto" w:fill="97AAD0"/>
          </w:tcPr>
          <w:p>
            <w:pPr>
              <w:jc w:val="right"/>
              <w:ind w:right="373"/>
              <w:spacing w:after="0"/>
              <w:rPr>
                <w:sz w:val="20"/>
                <w:szCs w:val="20"/>
                <w:color w:val="auto"/>
              </w:rPr>
            </w:pPr>
            <w:r>
              <w:rPr>
                <w:rFonts w:ascii="Arial" w:cs="Arial" w:eastAsia="Arial" w:hAnsi="Arial"/>
                <w:sz w:val="16"/>
                <w:szCs w:val="16"/>
                <w:b w:val="1"/>
                <w:bCs w:val="1"/>
                <w:color w:val="auto"/>
              </w:rPr>
              <w:t>Currency</w:t>
            </w:r>
          </w:p>
        </w:tc>
        <w:tc>
          <w:tcPr>
            <w:tcW w:w="1280" w:type="dxa"/>
            <w:vAlign w:val="bottom"/>
            <w:tcBorders>
              <w:bottom w:val="single" w:sz="8" w:color="97AAD0"/>
            </w:tcBorders>
            <w:shd w:val="clear" w:color="auto" w:fill="97AAD0"/>
          </w:tcPr>
          <w:p>
            <w:pPr>
              <w:jc w:val="center"/>
              <w:ind w:right="175"/>
              <w:spacing w:after="0"/>
              <w:rPr>
                <w:sz w:val="20"/>
                <w:szCs w:val="20"/>
                <w:color w:val="auto"/>
              </w:rPr>
            </w:pPr>
            <w:r>
              <w:rPr>
                <w:rFonts w:ascii="Arial" w:cs="Arial" w:eastAsia="Arial" w:hAnsi="Arial"/>
                <w:sz w:val="16"/>
                <w:szCs w:val="16"/>
                <w:b w:val="1"/>
                <w:bCs w:val="1"/>
                <w:color w:val="auto"/>
                <w:w w:val="99"/>
              </w:rPr>
              <w:t>Currency</w:t>
            </w:r>
          </w:p>
        </w:tc>
        <w:tc>
          <w:tcPr>
            <w:tcW w:w="0" w:type="dxa"/>
            <w:vAlign w:val="bottom"/>
          </w:tcPr>
          <w:p>
            <w:pPr>
              <w:spacing w:after="0"/>
              <w:rPr>
                <w:sz w:val="1"/>
                <w:szCs w:val="1"/>
                <w:color w:val="auto"/>
              </w:rPr>
            </w:pPr>
          </w:p>
        </w:tc>
      </w:tr>
      <w:tr>
        <w:trPr>
          <w:trHeight w:val="257"/>
        </w:trPr>
        <w:tc>
          <w:tcPr>
            <w:tcW w:w="416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Revenues from services</w:t>
            </w:r>
          </w:p>
        </w:tc>
        <w:tc>
          <w:tcPr>
            <w:tcW w:w="48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17,853.9</w:t>
            </w:r>
          </w:p>
        </w:tc>
        <w:tc>
          <w:tcPr>
            <w:tcW w:w="240" w:type="dxa"/>
            <w:vAlign w:val="bottom"/>
            <w:tcBorders>
              <w:top w:val="single" w:sz="8" w:color="auto"/>
            </w:tcBorders>
            <w:shd w:val="clear" w:color="auto" w:fill="E5E9F3"/>
          </w:tcPr>
          <w:p>
            <w:pPr>
              <w:spacing w:after="0"/>
              <w:rPr>
                <w:sz w:val="22"/>
                <w:szCs w:val="22"/>
                <w:color w:val="auto"/>
              </w:rPr>
            </w:pPr>
          </w:p>
        </w:tc>
        <w:tc>
          <w:tcPr>
            <w:tcW w:w="22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E5E9F3"/>
          </w:tcPr>
          <w:p>
            <w:pPr>
              <w:jc w:val="right"/>
              <w:ind w:right="211"/>
              <w:spacing w:after="0"/>
              <w:rPr>
                <w:sz w:val="20"/>
                <w:szCs w:val="20"/>
                <w:color w:val="auto"/>
              </w:rPr>
            </w:pPr>
            <w:r>
              <w:rPr>
                <w:rFonts w:ascii="Arial" w:cs="Arial" w:eastAsia="Arial" w:hAnsi="Arial"/>
                <w:sz w:val="18"/>
                <w:szCs w:val="18"/>
                <w:color w:val="auto"/>
              </w:rPr>
              <w:t>18,914.5</w:t>
            </w:r>
          </w:p>
        </w:tc>
        <w:tc>
          <w:tcPr>
            <w:tcW w:w="12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(5.6 )%</w:t>
            </w:r>
          </w:p>
        </w:tc>
        <w:tc>
          <w:tcPr>
            <w:tcW w:w="13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(3.4 )%</w:t>
            </w:r>
          </w:p>
        </w:tc>
        <w:tc>
          <w:tcPr>
            <w:tcW w:w="128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65"/>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Cost of services</w:t>
            </w: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14,767.1</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15,556.5</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(5.1 )</w:t>
            </w: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(2.8 )</w:t>
            </w: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E5E9F3"/>
          </w:tcPr>
          <w:p>
            <w:pPr>
              <w:spacing w:after="0"/>
              <w:rPr>
                <w:sz w:val="22"/>
                <w:szCs w:val="22"/>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3,086.8</w:t>
            </w:r>
          </w:p>
        </w:tc>
        <w:tc>
          <w:tcPr>
            <w:tcW w:w="24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211"/>
              <w:spacing w:after="0"/>
              <w:rPr>
                <w:sz w:val="20"/>
                <w:szCs w:val="20"/>
                <w:color w:val="auto"/>
              </w:rPr>
            </w:pPr>
            <w:r>
              <w:rPr>
                <w:rFonts w:ascii="Arial" w:cs="Arial" w:eastAsia="Arial" w:hAnsi="Arial"/>
                <w:sz w:val="18"/>
                <w:szCs w:val="18"/>
                <w:color w:val="auto"/>
              </w:rPr>
              <w:t>3,358.0</w:t>
            </w:r>
          </w:p>
        </w:tc>
        <w:tc>
          <w:tcPr>
            <w:tcW w:w="1240" w:type="dxa"/>
            <w:vAlign w:val="bottom"/>
            <w:shd w:val="clear" w:color="auto" w:fill="E5E9F3"/>
          </w:tcPr>
          <w:p>
            <w:pPr>
              <w:jc w:val="right"/>
              <w:ind w:right="152"/>
              <w:spacing w:after="0"/>
              <w:rPr>
                <w:sz w:val="20"/>
                <w:szCs w:val="20"/>
                <w:color w:val="auto"/>
              </w:rPr>
            </w:pPr>
            <w:r>
              <w:rPr>
                <w:rFonts w:ascii="Arial" w:cs="Arial" w:eastAsia="Arial" w:hAnsi="Arial"/>
                <w:sz w:val="18"/>
                <w:szCs w:val="18"/>
                <w:color w:val="auto"/>
              </w:rPr>
              <w:t>(8.1 )</w:t>
            </w:r>
          </w:p>
        </w:tc>
        <w:tc>
          <w:tcPr>
            <w:tcW w:w="1340" w:type="dxa"/>
            <w:vAlign w:val="bottom"/>
            <w:shd w:val="clear" w:color="auto" w:fill="E5E9F3"/>
          </w:tcPr>
          <w:p>
            <w:pPr>
              <w:jc w:val="right"/>
              <w:ind w:right="153"/>
              <w:spacing w:after="0"/>
              <w:rPr>
                <w:sz w:val="20"/>
                <w:szCs w:val="20"/>
                <w:color w:val="auto"/>
              </w:rPr>
            </w:pPr>
            <w:r>
              <w:rPr>
                <w:rFonts w:ascii="Arial" w:cs="Arial" w:eastAsia="Arial" w:hAnsi="Arial"/>
                <w:sz w:val="18"/>
                <w:szCs w:val="18"/>
                <w:color w:val="auto"/>
              </w:rPr>
              <w:t>(6.2 )</w:t>
            </w:r>
          </w:p>
        </w:tc>
        <w:tc>
          <w:tcPr>
            <w:tcW w:w="1280" w:type="dxa"/>
            <w:vAlign w:val="bottom"/>
            <w:shd w:val="clear" w:color="auto" w:fill="E5E9F3"/>
          </w:tcPr>
          <w:p>
            <w:pPr>
              <w:jc w:val="right"/>
              <w:ind w:right="115"/>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65"/>
        </w:trPr>
        <w:tc>
          <w:tcPr>
            <w:tcW w:w="4160" w:type="dxa"/>
            <w:vAlign w:val="bottom"/>
          </w:tcPr>
          <w:p>
            <w:pPr>
              <w:ind w:left="100"/>
              <w:spacing w:after="0"/>
              <w:rPr>
                <w:sz w:val="20"/>
                <w:szCs w:val="20"/>
                <w:color w:val="auto"/>
              </w:rPr>
            </w:pPr>
            <w:r>
              <w:rPr>
                <w:rFonts w:ascii="Arial" w:cs="Arial" w:eastAsia="Arial" w:hAnsi="Arial"/>
                <w:sz w:val="18"/>
                <w:szCs w:val="18"/>
                <w:i w:val="1"/>
                <w:iCs w:val="1"/>
                <w:color w:val="auto"/>
              </w:rPr>
              <w:t>Gross profit margin</w:t>
            </w:r>
          </w:p>
        </w:tc>
        <w:tc>
          <w:tcPr>
            <w:tcW w:w="4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17.3 %</w:t>
            </w:r>
          </w:p>
        </w:tc>
        <w:tc>
          <w:tcPr>
            <w:tcW w:w="2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i w:val="1"/>
                <w:iCs w:val="1"/>
                <w:color w:val="auto"/>
              </w:rPr>
              <w:t>17.8 %</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E5E9F3"/>
          </w:tcPr>
          <w:p>
            <w:pPr>
              <w:ind w:left="100"/>
              <w:spacing w:after="0" w:line="205" w:lineRule="exact"/>
              <w:rPr>
                <w:sz w:val="20"/>
                <w:szCs w:val="20"/>
                <w:color w:val="auto"/>
              </w:rPr>
            </w:pPr>
            <w:r>
              <w:rPr>
                <w:rFonts w:ascii="Arial" w:cs="Arial" w:eastAsia="Arial" w:hAnsi="Arial"/>
                <w:sz w:val="18"/>
                <w:szCs w:val="18"/>
                <w:color w:val="auto"/>
              </w:rPr>
              <w:t>Selling and administrative expenses, excluding</w:t>
            </w:r>
          </w:p>
        </w:tc>
        <w:tc>
          <w:tcPr>
            <w:tcW w:w="480" w:type="dxa"/>
            <w:vAlign w:val="bottom"/>
            <w:shd w:val="clear" w:color="auto" w:fill="E5E9F3"/>
          </w:tcPr>
          <w:p>
            <w:pPr>
              <w:spacing w:after="0"/>
              <w:rPr>
                <w:sz w:val="17"/>
                <w:szCs w:val="17"/>
                <w:color w:val="auto"/>
              </w:rPr>
            </w:pPr>
          </w:p>
        </w:tc>
        <w:tc>
          <w:tcPr>
            <w:tcW w:w="78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2,780.8</w:t>
            </w:r>
          </w:p>
        </w:tc>
        <w:tc>
          <w:tcPr>
            <w:tcW w:w="24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1060" w:type="dxa"/>
            <w:vAlign w:val="bottom"/>
            <w:vMerge w:val="restart"/>
            <w:shd w:val="clear" w:color="auto" w:fill="E5E9F3"/>
          </w:tcPr>
          <w:p>
            <w:pPr>
              <w:jc w:val="right"/>
              <w:ind w:right="211"/>
              <w:spacing w:after="0"/>
              <w:rPr>
                <w:sz w:val="20"/>
                <w:szCs w:val="20"/>
                <w:color w:val="auto"/>
              </w:rPr>
            </w:pPr>
            <w:r>
              <w:rPr>
                <w:rFonts w:ascii="Arial" w:cs="Arial" w:eastAsia="Arial" w:hAnsi="Arial"/>
                <w:sz w:val="18"/>
                <w:szCs w:val="18"/>
                <w:color w:val="auto"/>
              </w:rPr>
              <w:t>3,047.1</w:t>
            </w:r>
          </w:p>
        </w:tc>
        <w:tc>
          <w:tcPr>
            <w:tcW w:w="1240" w:type="dxa"/>
            <w:vAlign w:val="bottom"/>
            <w:vMerge w:val="restart"/>
            <w:shd w:val="clear" w:color="auto" w:fill="E5E9F3"/>
          </w:tcPr>
          <w:p>
            <w:pPr>
              <w:jc w:val="right"/>
              <w:ind w:right="152"/>
              <w:spacing w:after="0"/>
              <w:rPr>
                <w:sz w:val="20"/>
                <w:szCs w:val="20"/>
                <w:color w:val="auto"/>
              </w:rPr>
            </w:pPr>
            <w:r>
              <w:rPr>
                <w:rFonts w:ascii="Arial" w:cs="Arial" w:eastAsia="Arial" w:hAnsi="Arial"/>
                <w:sz w:val="18"/>
                <w:szCs w:val="18"/>
                <w:color w:val="auto"/>
              </w:rPr>
              <w:t>(8.7 )</w:t>
            </w:r>
          </w:p>
        </w:tc>
        <w:tc>
          <w:tcPr>
            <w:tcW w:w="1340" w:type="dxa"/>
            <w:vAlign w:val="bottom"/>
            <w:vMerge w:val="restart"/>
            <w:shd w:val="clear" w:color="auto" w:fill="E5E9F3"/>
          </w:tcPr>
          <w:p>
            <w:pPr>
              <w:jc w:val="right"/>
              <w:ind w:right="153"/>
              <w:spacing w:after="0"/>
              <w:rPr>
                <w:sz w:val="20"/>
                <w:szCs w:val="20"/>
                <w:color w:val="auto"/>
              </w:rPr>
            </w:pPr>
            <w:r>
              <w:rPr>
                <w:rFonts w:ascii="Arial" w:cs="Arial" w:eastAsia="Arial" w:hAnsi="Arial"/>
                <w:sz w:val="18"/>
                <w:szCs w:val="18"/>
                <w:color w:val="auto"/>
              </w:rPr>
              <w:t>(7.1 )</w:t>
            </w:r>
          </w:p>
        </w:tc>
        <w:tc>
          <w:tcPr>
            <w:tcW w:w="128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60" w:type="dxa"/>
            <w:vAlign w:val="bottom"/>
            <w:vMerge w:val="restart"/>
            <w:shd w:val="clear" w:color="auto" w:fill="E5E9F3"/>
          </w:tcPr>
          <w:p>
            <w:pPr>
              <w:ind w:left="100"/>
              <w:spacing w:after="0"/>
              <w:rPr>
                <w:sz w:val="20"/>
                <w:szCs w:val="20"/>
                <w:color w:val="auto"/>
              </w:rPr>
            </w:pPr>
            <w:r>
              <w:rPr>
                <w:rFonts w:ascii="Arial" w:cs="Arial" w:eastAsia="Arial" w:hAnsi="Arial"/>
                <w:sz w:val="18"/>
                <w:szCs w:val="18"/>
                <w:color w:val="auto"/>
              </w:rPr>
              <w:t>goodwill impairment charges</w:t>
            </w:r>
          </w:p>
        </w:tc>
        <w:tc>
          <w:tcPr>
            <w:tcW w:w="480" w:type="dxa"/>
            <w:vAlign w:val="bottom"/>
            <w:shd w:val="clear" w:color="auto" w:fill="E5E9F3"/>
          </w:tcPr>
          <w:p>
            <w:pPr>
              <w:spacing w:after="0"/>
              <w:rPr>
                <w:sz w:val="12"/>
                <w:szCs w:val="12"/>
                <w:color w:val="auto"/>
              </w:rPr>
            </w:pPr>
          </w:p>
        </w:tc>
        <w:tc>
          <w:tcPr>
            <w:tcW w:w="780" w:type="dxa"/>
            <w:vAlign w:val="bottom"/>
            <w:vMerge w:val="continue"/>
            <w:shd w:val="clear" w:color="auto" w:fill="E5E9F3"/>
          </w:tcPr>
          <w:p>
            <w:pPr>
              <w:spacing w:after="0"/>
              <w:rPr>
                <w:sz w:val="12"/>
                <w:szCs w:val="12"/>
                <w:color w:val="auto"/>
              </w:rPr>
            </w:pPr>
          </w:p>
        </w:tc>
        <w:tc>
          <w:tcPr>
            <w:tcW w:w="240" w:type="dxa"/>
            <w:vAlign w:val="bottom"/>
            <w:shd w:val="clear" w:color="auto" w:fill="E5E9F3"/>
          </w:tcPr>
          <w:p>
            <w:pPr>
              <w:spacing w:after="0"/>
              <w:rPr>
                <w:sz w:val="12"/>
                <w:szCs w:val="12"/>
                <w:color w:val="auto"/>
              </w:rPr>
            </w:pPr>
          </w:p>
        </w:tc>
        <w:tc>
          <w:tcPr>
            <w:tcW w:w="220" w:type="dxa"/>
            <w:vAlign w:val="bottom"/>
            <w:shd w:val="clear" w:color="auto" w:fill="E5E9F3"/>
          </w:tcPr>
          <w:p>
            <w:pPr>
              <w:spacing w:after="0"/>
              <w:rPr>
                <w:sz w:val="12"/>
                <w:szCs w:val="12"/>
                <w:color w:val="auto"/>
              </w:rPr>
            </w:pPr>
          </w:p>
        </w:tc>
        <w:tc>
          <w:tcPr>
            <w:tcW w:w="1060" w:type="dxa"/>
            <w:vAlign w:val="bottom"/>
            <w:vMerge w:val="continue"/>
            <w:shd w:val="clear" w:color="auto" w:fill="E5E9F3"/>
          </w:tcPr>
          <w:p>
            <w:pPr>
              <w:spacing w:after="0"/>
              <w:rPr>
                <w:sz w:val="12"/>
                <w:szCs w:val="12"/>
                <w:color w:val="auto"/>
              </w:rPr>
            </w:pPr>
          </w:p>
        </w:tc>
        <w:tc>
          <w:tcPr>
            <w:tcW w:w="1240" w:type="dxa"/>
            <w:vAlign w:val="bottom"/>
            <w:vMerge w:val="continue"/>
            <w:shd w:val="clear" w:color="auto" w:fill="E5E9F3"/>
          </w:tcPr>
          <w:p>
            <w:pPr>
              <w:spacing w:after="0"/>
              <w:rPr>
                <w:sz w:val="12"/>
                <w:szCs w:val="12"/>
                <w:color w:val="auto"/>
              </w:rPr>
            </w:pPr>
          </w:p>
        </w:tc>
        <w:tc>
          <w:tcPr>
            <w:tcW w:w="1340" w:type="dxa"/>
            <w:vAlign w:val="bottom"/>
            <w:vMerge w:val="continue"/>
            <w:shd w:val="clear" w:color="auto" w:fill="E5E9F3"/>
          </w:tcPr>
          <w:p>
            <w:pPr>
              <w:spacing w:after="0"/>
              <w:rPr>
                <w:sz w:val="12"/>
                <w:szCs w:val="12"/>
                <w:color w:val="auto"/>
              </w:rPr>
            </w:pPr>
          </w:p>
        </w:tc>
        <w:tc>
          <w:tcPr>
            <w:tcW w:w="1280" w:type="dxa"/>
            <w:vAlign w:val="bottom"/>
            <w:shd w:val="clear" w:color="auto" w:fill="E5E9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4160" w:type="dxa"/>
            <w:vAlign w:val="bottom"/>
            <w:vMerge w:val="continue"/>
            <w:shd w:val="clear" w:color="auto" w:fill="E5E9F3"/>
          </w:tcPr>
          <w:p>
            <w:pPr>
              <w:spacing w:after="0"/>
              <w:rPr>
                <w:sz w:val="7"/>
                <w:szCs w:val="7"/>
                <w:color w:val="auto"/>
              </w:rPr>
            </w:pPr>
          </w:p>
        </w:tc>
        <w:tc>
          <w:tcPr>
            <w:tcW w:w="480" w:type="dxa"/>
            <w:vAlign w:val="bottom"/>
            <w:shd w:val="clear" w:color="auto" w:fill="E5E9F3"/>
          </w:tcPr>
          <w:p>
            <w:pPr>
              <w:spacing w:after="0"/>
              <w:rPr>
                <w:sz w:val="7"/>
                <w:szCs w:val="7"/>
                <w:color w:val="auto"/>
              </w:rPr>
            </w:pPr>
          </w:p>
        </w:tc>
        <w:tc>
          <w:tcPr>
            <w:tcW w:w="780" w:type="dxa"/>
            <w:vAlign w:val="bottom"/>
            <w:shd w:val="clear" w:color="auto" w:fill="E5E9F3"/>
          </w:tcPr>
          <w:p>
            <w:pPr>
              <w:spacing w:after="0"/>
              <w:rPr>
                <w:sz w:val="7"/>
                <w:szCs w:val="7"/>
                <w:color w:val="auto"/>
              </w:rPr>
            </w:pPr>
          </w:p>
        </w:tc>
        <w:tc>
          <w:tcPr>
            <w:tcW w:w="240" w:type="dxa"/>
            <w:vAlign w:val="bottom"/>
            <w:shd w:val="clear" w:color="auto" w:fill="E5E9F3"/>
          </w:tcPr>
          <w:p>
            <w:pPr>
              <w:spacing w:after="0"/>
              <w:rPr>
                <w:sz w:val="7"/>
                <w:szCs w:val="7"/>
                <w:color w:val="auto"/>
              </w:rPr>
            </w:pPr>
          </w:p>
        </w:tc>
        <w:tc>
          <w:tcPr>
            <w:tcW w:w="220" w:type="dxa"/>
            <w:vAlign w:val="bottom"/>
            <w:shd w:val="clear" w:color="auto" w:fill="E5E9F3"/>
          </w:tcPr>
          <w:p>
            <w:pPr>
              <w:spacing w:after="0"/>
              <w:rPr>
                <w:sz w:val="7"/>
                <w:szCs w:val="7"/>
                <w:color w:val="auto"/>
              </w:rPr>
            </w:pPr>
          </w:p>
        </w:tc>
        <w:tc>
          <w:tcPr>
            <w:tcW w:w="1060" w:type="dxa"/>
            <w:vAlign w:val="bottom"/>
            <w:shd w:val="clear" w:color="auto" w:fill="E5E9F3"/>
          </w:tcPr>
          <w:p>
            <w:pPr>
              <w:spacing w:after="0"/>
              <w:rPr>
                <w:sz w:val="7"/>
                <w:szCs w:val="7"/>
                <w:color w:val="auto"/>
              </w:rPr>
            </w:pPr>
          </w:p>
        </w:tc>
        <w:tc>
          <w:tcPr>
            <w:tcW w:w="1240" w:type="dxa"/>
            <w:vAlign w:val="bottom"/>
            <w:shd w:val="clear" w:color="auto" w:fill="E5E9F3"/>
          </w:tcPr>
          <w:p>
            <w:pPr>
              <w:spacing w:after="0"/>
              <w:rPr>
                <w:sz w:val="7"/>
                <w:szCs w:val="7"/>
                <w:color w:val="auto"/>
              </w:rPr>
            </w:pPr>
          </w:p>
        </w:tc>
        <w:tc>
          <w:tcPr>
            <w:tcW w:w="1340" w:type="dxa"/>
            <w:vAlign w:val="bottom"/>
            <w:shd w:val="clear" w:color="auto" w:fill="E5E9F3"/>
          </w:tcPr>
          <w:p>
            <w:pPr>
              <w:spacing w:after="0"/>
              <w:rPr>
                <w:sz w:val="7"/>
                <w:szCs w:val="7"/>
                <w:color w:val="auto"/>
              </w:rPr>
            </w:pPr>
          </w:p>
        </w:tc>
        <w:tc>
          <w:tcPr>
            <w:tcW w:w="1280" w:type="dxa"/>
            <w:vAlign w:val="bottom"/>
            <w:shd w:val="clear" w:color="auto" w:fill="E5E9F3"/>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Goodwill impairment charges</w:t>
            </w: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55.1</w:t>
            </w:r>
          </w:p>
        </w:tc>
        <w:tc>
          <w:tcPr>
            <w:tcW w:w="1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Selling and administrative expenses</w:t>
            </w:r>
          </w:p>
        </w:tc>
        <w:tc>
          <w:tcPr>
            <w:tcW w:w="480" w:type="dxa"/>
            <w:vAlign w:val="bottom"/>
            <w:shd w:val="clear" w:color="auto" w:fill="E5E9F3"/>
          </w:tcPr>
          <w:p>
            <w:pPr>
              <w:spacing w:after="0"/>
              <w:rPr>
                <w:sz w:val="22"/>
                <w:szCs w:val="22"/>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2,780.8</w:t>
            </w:r>
          </w:p>
        </w:tc>
        <w:tc>
          <w:tcPr>
            <w:tcW w:w="24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211"/>
              <w:spacing w:after="0"/>
              <w:rPr>
                <w:sz w:val="20"/>
                <w:szCs w:val="20"/>
                <w:color w:val="auto"/>
              </w:rPr>
            </w:pPr>
            <w:r>
              <w:rPr>
                <w:rFonts w:ascii="Arial" w:cs="Arial" w:eastAsia="Arial" w:hAnsi="Arial"/>
                <w:sz w:val="18"/>
                <w:szCs w:val="18"/>
                <w:color w:val="auto"/>
              </w:rPr>
              <w:t>3,102.2</w:t>
            </w:r>
          </w:p>
        </w:tc>
        <w:tc>
          <w:tcPr>
            <w:tcW w:w="1240" w:type="dxa"/>
            <w:vAlign w:val="bottom"/>
            <w:shd w:val="clear" w:color="auto" w:fill="E5E9F3"/>
          </w:tcPr>
          <w:p>
            <w:pPr>
              <w:jc w:val="right"/>
              <w:ind w:right="152"/>
              <w:spacing w:after="0"/>
              <w:rPr>
                <w:sz w:val="20"/>
                <w:szCs w:val="20"/>
                <w:color w:val="auto"/>
              </w:rPr>
            </w:pPr>
            <w:r>
              <w:rPr>
                <w:rFonts w:ascii="Arial" w:cs="Arial" w:eastAsia="Arial" w:hAnsi="Arial"/>
                <w:sz w:val="18"/>
                <w:szCs w:val="18"/>
                <w:color w:val="auto"/>
              </w:rPr>
              <w:t>(10.4 )</w:t>
            </w:r>
          </w:p>
        </w:tc>
        <w:tc>
          <w:tcPr>
            <w:tcW w:w="1340" w:type="dxa"/>
            <w:vAlign w:val="bottom"/>
            <w:shd w:val="clear" w:color="auto" w:fill="E5E9F3"/>
          </w:tcPr>
          <w:p>
            <w:pPr>
              <w:jc w:val="right"/>
              <w:ind w:right="153"/>
              <w:spacing w:after="0"/>
              <w:rPr>
                <w:sz w:val="20"/>
                <w:szCs w:val="20"/>
                <w:color w:val="auto"/>
              </w:rPr>
            </w:pPr>
            <w:r>
              <w:rPr>
                <w:rFonts w:ascii="Arial" w:cs="Arial" w:eastAsia="Arial" w:hAnsi="Arial"/>
                <w:sz w:val="18"/>
                <w:szCs w:val="18"/>
                <w:color w:val="auto"/>
              </w:rPr>
              <w:t>(8.8 )</w:t>
            </w:r>
          </w:p>
        </w:tc>
        <w:tc>
          <w:tcPr>
            <w:tcW w:w="1280" w:type="dxa"/>
            <w:vAlign w:val="bottom"/>
            <w:shd w:val="clear" w:color="auto" w:fill="E5E9F3"/>
          </w:tcPr>
          <w:p>
            <w:pPr>
              <w:jc w:val="right"/>
              <w:ind w:right="115"/>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11"/>
        </w:trPr>
        <w:tc>
          <w:tcPr>
            <w:tcW w:w="4160" w:type="dxa"/>
            <w:vAlign w:val="bottom"/>
          </w:tcPr>
          <w:p>
            <w:pPr>
              <w:ind w:left="100"/>
              <w:spacing w:after="0"/>
              <w:rPr>
                <w:sz w:val="20"/>
                <w:szCs w:val="20"/>
                <w:color w:val="auto"/>
              </w:rPr>
            </w:pPr>
            <w:r>
              <w:rPr>
                <w:rFonts w:ascii="Arial" w:cs="Arial" w:eastAsia="Arial" w:hAnsi="Arial"/>
                <w:sz w:val="18"/>
                <w:szCs w:val="18"/>
                <w:i w:val="1"/>
                <w:iCs w:val="1"/>
                <w:color w:val="auto"/>
              </w:rPr>
              <w:t>Selling and administrative expenses as a % of</w:t>
            </w:r>
          </w:p>
        </w:tc>
        <w:tc>
          <w:tcPr>
            <w:tcW w:w="48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i w:val="1"/>
                <w:iCs w:val="1"/>
                <w:color w:val="auto"/>
              </w:rPr>
              <w:t>15.6 %</w:t>
            </w:r>
          </w:p>
        </w:tc>
        <w:tc>
          <w:tcPr>
            <w:tcW w:w="220" w:type="dxa"/>
            <w:vAlign w:val="bottom"/>
          </w:tcPr>
          <w:p>
            <w:pPr>
              <w:spacing w:after="0"/>
              <w:rPr>
                <w:sz w:val="18"/>
                <w:szCs w:val="18"/>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rPr>
              <w:t>16.4 %</w:t>
            </w: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1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revenues</w:t>
            </w: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16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Operating profit</w:t>
            </w:r>
          </w:p>
        </w:tc>
        <w:tc>
          <w:tcPr>
            <w:tcW w:w="480" w:type="dxa"/>
            <w:vAlign w:val="bottom"/>
            <w:shd w:val="clear" w:color="auto" w:fill="E5E9F3"/>
          </w:tcPr>
          <w:p>
            <w:pPr>
              <w:spacing w:after="0"/>
              <w:rPr>
                <w:sz w:val="22"/>
                <w:szCs w:val="22"/>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306.0</w:t>
            </w:r>
          </w:p>
        </w:tc>
        <w:tc>
          <w:tcPr>
            <w:tcW w:w="24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211"/>
              <w:spacing w:after="0"/>
              <w:rPr>
                <w:sz w:val="20"/>
                <w:szCs w:val="20"/>
                <w:color w:val="auto"/>
              </w:rPr>
            </w:pPr>
            <w:r>
              <w:rPr>
                <w:rFonts w:ascii="Arial" w:cs="Arial" w:eastAsia="Arial" w:hAnsi="Arial"/>
                <w:sz w:val="18"/>
                <w:szCs w:val="18"/>
                <w:color w:val="auto"/>
              </w:rPr>
              <w:t>255.8</w:t>
            </w:r>
          </w:p>
        </w:tc>
        <w:tc>
          <w:tcPr>
            <w:tcW w:w="1240" w:type="dxa"/>
            <w:vAlign w:val="bottom"/>
            <w:shd w:val="clear" w:color="auto" w:fill="E5E9F3"/>
          </w:tcPr>
          <w:p>
            <w:pPr>
              <w:jc w:val="right"/>
              <w:ind w:right="252"/>
              <w:spacing w:after="0"/>
              <w:rPr>
                <w:sz w:val="20"/>
                <w:szCs w:val="20"/>
                <w:color w:val="auto"/>
              </w:rPr>
            </w:pPr>
            <w:r>
              <w:rPr>
                <w:rFonts w:ascii="Arial" w:cs="Arial" w:eastAsia="Arial" w:hAnsi="Arial"/>
                <w:sz w:val="18"/>
                <w:szCs w:val="18"/>
                <w:color w:val="auto"/>
              </w:rPr>
              <w:t>19.6</w:t>
            </w:r>
          </w:p>
        </w:tc>
        <w:tc>
          <w:tcPr>
            <w:tcW w:w="1340" w:type="dxa"/>
            <w:vAlign w:val="bottom"/>
            <w:shd w:val="clear" w:color="auto" w:fill="E5E9F3"/>
          </w:tcPr>
          <w:p>
            <w:pPr>
              <w:jc w:val="right"/>
              <w:ind w:right="253"/>
              <w:spacing w:after="0"/>
              <w:rPr>
                <w:sz w:val="20"/>
                <w:szCs w:val="20"/>
                <w:color w:val="auto"/>
              </w:rPr>
            </w:pPr>
            <w:r>
              <w:rPr>
                <w:rFonts w:ascii="Arial" w:cs="Arial" w:eastAsia="Arial" w:hAnsi="Arial"/>
                <w:sz w:val="18"/>
                <w:szCs w:val="18"/>
                <w:color w:val="auto"/>
              </w:rPr>
              <w:t>25.2</w:t>
            </w:r>
          </w:p>
        </w:tc>
        <w:tc>
          <w:tcPr>
            <w:tcW w:w="1280" w:type="dxa"/>
            <w:vAlign w:val="bottom"/>
            <w:shd w:val="clear" w:color="auto" w:fill="E5E9F3"/>
          </w:tcPr>
          <w:p>
            <w:pPr>
              <w:jc w:val="right"/>
              <w:ind w:right="195"/>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65"/>
        </w:trPr>
        <w:tc>
          <w:tcPr>
            <w:tcW w:w="4160" w:type="dxa"/>
            <w:vAlign w:val="bottom"/>
          </w:tcPr>
          <w:p>
            <w:pPr>
              <w:ind w:left="100"/>
              <w:spacing w:after="0"/>
              <w:rPr>
                <w:sz w:val="20"/>
                <w:szCs w:val="20"/>
                <w:color w:val="auto"/>
              </w:rPr>
            </w:pPr>
            <w:r>
              <w:rPr>
                <w:rFonts w:ascii="Arial" w:cs="Arial" w:eastAsia="Arial" w:hAnsi="Arial"/>
                <w:sz w:val="18"/>
                <w:szCs w:val="18"/>
                <w:i w:val="1"/>
                <w:iCs w:val="1"/>
                <w:color w:val="auto"/>
              </w:rPr>
              <w:t>Operating profit margin</w:t>
            </w:r>
          </w:p>
        </w:tc>
        <w:tc>
          <w:tcPr>
            <w:tcW w:w="4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1.7 %</w:t>
            </w:r>
          </w:p>
        </w:tc>
        <w:tc>
          <w:tcPr>
            <w:tcW w:w="2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i w:val="1"/>
                <w:iCs w:val="1"/>
                <w:color w:val="auto"/>
              </w:rPr>
              <w:t>1.4 %</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160" w:type="dxa"/>
            <w:vAlign w:val="bottom"/>
            <w:shd w:val="clear" w:color="auto" w:fill="E5E9F3"/>
          </w:tcPr>
          <w:p>
            <w:pPr>
              <w:ind w:left="200"/>
              <w:spacing w:after="0"/>
              <w:rPr>
                <w:sz w:val="20"/>
                <w:szCs w:val="20"/>
                <w:color w:val="auto"/>
              </w:rPr>
            </w:pPr>
            <w:r>
              <w:rPr>
                <w:rFonts w:ascii="Arial" w:cs="Arial" w:eastAsia="Arial" w:hAnsi="Arial"/>
                <w:sz w:val="18"/>
                <w:szCs w:val="18"/>
                <w:color w:val="auto"/>
              </w:rPr>
              <w:t>Net interest expense</w:t>
            </w:r>
          </w:p>
        </w:tc>
        <w:tc>
          <w:tcPr>
            <w:tcW w:w="480" w:type="dxa"/>
            <w:vAlign w:val="bottom"/>
            <w:shd w:val="clear" w:color="auto" w:fill="E5E9F3"/>
          </w:tcPr>
          <w:p>
            <w:pPr>
              <w:spacing w:after="0"/>
              <w:rPr>
                <w:sz w:val="23"/>
                <w:szCs w:val="23"/>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E5E9F3"/>
          </w:tcPr>
          <w:p>
            <w:pPr>
              <w:spacing w:after="0"/>
              <w:rPr>
                <w:sz w:val="23"/>
                <w:szCs w:val="23"/>
                <w:color w:val="auto"/>
              </w:rPr>
            </w:pPr>
          </w:p>
        </w:tc>
        <w:tc>
          <w:tcPr>
            <w:tcW w:w="22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211"/>
              <w:spacing w:after="0"/>
              <w:rPr>
                <w:sz w:val="20"/>
                <w:szCs w:val="20"/>
                <w:color w:val="auto"/>
              </w:rPr>
            </w:pPr>
            <w:r>
              <w:rPr>
                <w:rFonts w:ascii="Arial" w:cs="Arial" w:eastAsia="Arial" w:hAnsi="Arial"/>
                <w:sz w:val="18"/>
                <w:szCs w:val="18"/>
                <w:color w:val="auto"/>
              </w:rPr>
              <w:t>45.5</w:t>
            </w:r>
          </w:p>
        </w:tc>
        <w:tc>
          <w:tcPr>
            <w:tcW w:w="1240" w:type="dxa"/>
            <w:vAlign w:val="bottom"/>
            <w:shd w:val="clear" w:color="auto" w:fill="E5E9F3"/>
          </w:tcPr>
          <w:p>
            <w:pPr>
              <w:spacing w:after="0"/>
              <w:rPr>
                <w:sz w:val="23"/>
                <w:szCs w:val="23"/>
                <w:color w:val="auto"/>
              </w:rPr>
            </w:pPr>
          </w:p>
        </w:tc>
        <w:tc>
          <w:tcPr>
            <w:tcW w:w="1340" w:type="dxa"/>
            <w:vAlign w:val="bottom"/>
            <w:shd w:val="clear" w:color="auto" w:fill="E5E9F3"/>
          </w:tcPr>
          <w:p>
            <w:pPr>
              <w:spacing w:after="0"/>
              <w:rPr>
                <w:sz w:val="23"/>
                <w:szCs w:val="23"/>
                <w:color w:val="auto"/>
              </w:rPr>
            </w:pPr>
          </w:p>
        </w:tc>
        <w:tc>
          <w:tcPr>
            <w:tcW w:w="128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expenses (income), net</w:t>
            </w: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(7.5 )</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4.4</w:t>
            </w:r>
          </w:p>
        </w:tc>
        <w:tc>
          <w:tcPr>
            <w:tcW w:w="1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Earnings before income taxes</w:t>
            </w:r>
          </w:p>
        </w:tc>
        <w:tc>
          <w:tcPr>
            <w:tcW w:w="480" w:type="dxa"/>
            <w:vAlign w:val="bottom"/>
            <w:shd w:val="clear" w:color="auto" w:fill="E5E9F3"/>
          </w:tcPr>
          <w:p>
            <w:pPr>
              <w:spacing w:after="0"/>
              <w:rPr>
                <w:sz w:val="22"/>
                <w:szCs w:val="22"/>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256.8</w:t>
            </w:r>
          </w:p>
        </w:tc>
        <w:tc>
          <w:tcPr>
            <w:tcW w:w="24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211"/>
              <w:spacing w:after="0"/>
              <w:rPr>
                <w:sz w:val="20"/>
                <w:szCs w:val="20"/>
                <w:color w:val="auto"/>
              </w:rPr>
            </w:pPr>
            <w:r>
              <w:rPr>
                <w:rFonts w:ascii="Arial" w:cs="Arial" w:eastAsia="Arial" w:hAnsi="Arial"/>
                <w:sz w:val="18"/>
                <w:szCs w:val="18"/>
                <w:color w:val="auto"/>
              </w:rPr>
              <w:t>205.9</w:t>
            </w:r>
          </w:p>
        </w:tc>
        <w:tc>
          <w:tcPr>
            <w:tcW w:w="1240" w:type="dxa"/>
            <w:vAlign w:val="bottom"/>
            <w:shd w:val="clear" w:color="auto" w:fill="E5E9F3"/>
          </w:tcPr>
          <w:p>
            <w:pPr>
              <w:jc w:val="right"/>
              <w:ind w:right="252"/>
              <w:spacing w:after="0"/>
              <w:rPr>
                <w:sz w:val="20"/>
                <w:szCs w:val="20"/>
                <w:color w:val="auto"/>
              </w:rPr>
            </w:pPr>
            <w:r>
              <w:rPr>
                <w:rFonts w:ascii="Arial" w:cs="Arial" w:eastAsia="Arial" w:hAnsi="Arial"/>
                <w:sz w:val="18"/>
                <w:szCs w:val="18"/>
                <w:color w:val="auto"/>
              </w:rPr>
              <w:t>24.7</w:t>
            </w:r>
          </w:p>
        </w:tc>
        <w:tc>
          <w:tcPr>
            <w:tcW w:w="1340" w:type="dxa"/>
            <w:vAlign w:val="bottom"/>
            <w:shd w:val="clear" w:color="auto" w:fill="E5E9F3"/>
          </w:tcPr>
          <w:p>
            <w:pPr>
              <w:jc w:val="right"/>
              <w:ind w:right="253"/>
              <w:spacing w:after="0"/>
              <w:rPr>
                <w:sz w:val="20"/>
                <w:szCs w:val="20"/>
                <w:color w:val="auto"/>
              </w:rPr>
            </w:pPr>
            <w:r>
              <w:rPr>
                <w:rFonts w:ascii="Arial" w:cs="Arial" w:eastAsia="Arial" w:hAnsi="Arial"/>
                <w:sz w:val="18"/>
                <w:szCs w:val="18"/>
                <w:color w:val="auto"/>
              </w:rPr>
              <w:t>31.1</w:t>
            </w:r>
          </w:p>
        </w:tc>
        <w:tc>
          <w:tcPr>
            <w:tcW w:w="128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6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211"/>
              <w:spacing w:after="0"/>
              <w:rPr>
                <w:sz w:val="20"/>
                <w:szCs w:val="20"/>
                <w:color w:val="auto"/>
              </w:rPr>
            </w:pPr>
            <w:r>
              <w:rPr>
                <w:rFonts w:ascii="Arial" w:cs="Arial" w:eastAsia="Arial" w:hAnsi="Arial"/>
                <w:sz w:val="18"/>
                <w:szCs w:val="18"/>
                <w:color w:val="auto"/>
              </w:rPr>
              <w:t>117.1</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(4.6 )</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16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i w:val="1"/>
                <w:iCs w:val="1"/>
                <w:color w:val="auto"/>
              </w:rPr>
              <w:t>Effective income tax rate</w:t>
            </w:r>
          </w:p>
        </w:tc>
        <w:tc>
          <w:tcPr>
            <w:tcW w:w="480" w:type="dxa"/>
            <w:vAlign w:val="bottom"/>
            <w:tcBorders>
              <w:bottom w:val="single" w:sz="8" w:color="auto"/>
            </w:tcBorders>
            <w:shd w:val="clear" w:color="auto" w:fill="E5E9F3"/>
          </w:tcPr>
          <w:p>
            <w:pPr>
              <w:spacing w:after="0"/>
              <w:rPr>
                <w:sz w:val="23"/>
                <w:szCs w:val="23"/>
                <w:color w:val="auto"/>
              </w:rPr>
            </w:pPr>
          </w:p>
        </w:tc>
        <w:tc>
          <w:tcPr>
            <w:tcW w:w="7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i w:val="1"/>
                <w:iCs w:val="1"/>
                <w:color w:val="auto"/>
              </w:rPr>
              <w:t>43.5</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i w:val="1"/>
                <w:iCs w:val="1"/>
                <w:color w:val="auto"/>
                <w:w w:val="87"/>
              </w:rPr>
              <w:t>%</w:t>
            </w:r>
          </w:p>
        </w:tc>
        <w:tc>
          <w:tcPr>
            <w:tcW w:w="22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i w:val="1"/>
                <w:iCs w:val="1"/>
                <w:color w:val="auto"/>
              </w:rPr>
              <w:t>56.9 %</w:t>
            </w:r>
          </w:p>
        </w:tc>
        <w:tc>
          <w:tcPr>
            <w:tcW w:w="1240" w:type="dxa"/>
            <w:vAlign w:val="bottom"/>
            <w:tcBorders>
              <w:bottom w:val="single" w:sz="8" w:color="auto"/>
            </w:tcBorders>
            <w:shd w:val="clear" w:color="auto" w:fill="E5E9F3"/>
          </w:tcPr>
          <w:p>
            <w:pPr>
              <w:spacing w:after="0"/>
              <w:rPr>
                <w:sz w:val="23"/>
                <w:szCs w:val="23"/>
                <w:color w:val="auto"/>
              </w:rPr>
            </w:pPr>
          </w:p>
        </w:tc>
        <w:tc>
          <w:tcPr>
            <w:tcW w:w="1340" w:type="dxa"/>
            <w:vAlign w:val="bottom"/>
            <w:tcBorders>
              <w:bottom w:val="single" w:sz="8" w:color="auto"/>
            </w:tcBorders>
            <w:shd w:val="clear" w:color="auto" w:fill="E5E9F3"/>
          </w:tcPr>
          <w:p>
            <w:pPr>
              <w:spacing w:after="0"/>
              <w:rPr>
                <w:sz w:val="23"/>
                <w:szCs w:val="23"/>
                <w:color w:val="auto"/>
              </w:rPr>
            </w:pPr>
          </w:p>
        </w:tc>
        <w:tc>
          <w:tcPr>
            <w:tcW w:w="1280" w:type="dxa"/>
            <w:vAlign w:val="bottom"/>
            <w:tcBorders>
              <w:bottom w:val="single" w:sz="8" w:color="auto"/>
            </w:tcBorders>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earnings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88.8</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63.5</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71.8</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Net earnings per share - diluted</w:t>
            </w:r>
          </w:p>
        </w:tc>
        <w:tc>
          <w:tcPr>
            <w:tcW w:w="4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auto"/>
            </w:tcBorders>
            <w:shd w:val="clear" w:color="auto" w:fill="E5E9F3"/>
          </w:tcPr>
          <w:p>
            <w:pPr>
              <w:spacing w:after="0"/>
              <w:rPr>
                <w:sz w:val="22"/>
                <w:szCs w:val="22"/>
                <w:color w:val="auto"/>
              </w:rPr>
            </w:pPr>
          </w:p>
        </w:tc>
        <w:tc>
          <w:tcPr>
            <w:tcW w:w="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9F3"/>
          </w:tcPr>
          <w:p>
            <w:pPr>
              <w:jc w:val="right"/>
              <w:ind w:right="211"/>
              <w:spacing w:after="0"/>
              <w:rPr>
                <w:sz w:val="20"/>
                <w:szCs w:val="20"/>
                <w:color w:val="auto"/>
              </w:rPr>
            </w:pPr>
            <w:r>
              <w:rPr>
                <w:rFonts w:ascii="Arial" w:cs="Arial" w:eastAsia="Arial" w:hAnsi="Arial"/>
                <w:sz w:val="18"/>
                <w:szCs w:val="18"/>
                <w:color w:val="auto"/>
              </w:rPr>
              <w:t>1.76</w:t>
            </w:r>
          </w:p>
        </w:tc>
        <w:tc>
          <w:tcPr>
            <w:tcW w:w="1240" w:type="dxa"/>
            <w:vAlign w:val="bottom"/>
            <w:tcBorders>
              <w:bottom w:val="single" w:sz="8" w:color="auto"/>
            </w:tcBorders>
            <w:shd w:val="clear" w:color="auto" w:fill="E5E9F3"/>
          </w:tcPr>
          <w:p>
            <w:pPr>
              <w:jc w:val="right"/>
              <w:ind w:right="252"/>
              <w:spacing w:after="0"/>
              <w:rPr>
                <w:sz w:val="20"/>
                <w:szCs w:val="20"/>
                <w:color w:val="auto"/>
              </w:rPr>
            </w:pPr>
            <w:r>
              <w:rPr>
                <w:rFonts w:ascii="Arial" w:cs="Arial" w:eastAsia="Arial" w:hAnsi="Arial"/>
                <w:sz w:val="18"/>
                <w:szCs w:val="18"/>
                <w:color w:val="auto"/>
              </w:rPr>
              <w:t>70.6</w:t>
            </w:r>
          </w:p>
        </w:tc>
        <w:tc>
          <w:tcPr>
            <w:tcW w:w="1340" w:type="dxa"/>
            <w:vAlign w:val="bottom"/>
            <w:tcBorders>
              <w:bottom w:val="single" w:sz="8" w:color="auto"/>
            </w:tcBorders>
            <w:shd w:val="clear" w:color="auto" w:fill="E5E9F3"/>
          </w:tcPr>
          <w:p>
            <w:pPr>
              <w:jc w:val="right"/>
              <w:ind w:right="253"/>
              <w:spacing w:after="0"/>
              <w:rPr>
                <w:sz w:val="20"/>
                <w:szCs w:val="20"/>
                <w:color w:val="auto"/>
              </w:rPr>
            </w:pPr>
            <w:r>
              <w:rPr>
                <w:rFonts w:ascii="Arial" w:cs="Arial" w:eastAsia="Arial" w:hAnsi="Arial"/>
                <w:sz w:val="18"/>
                <w:szCs w:val="18"/>
                <w:color w:val="auto"/>
              </w:rPr>
              <w:t>79.3</w:t>
            </w:r>
          </w:p>
        </w:tc>
        <w:tc>
          <w:tcPr>
            <w:tcW w:w="1280" w:type="dxa"/>
            <w:vAlign w:val="bottom"/>
            <w:tcBorders>
              <w:bottom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Weighted average shares - diluted</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year-over-year decrease in revenues from services of -5.6% (-3.4% in constant currency and -3.0% in organic constant currency) was attributed to:</w:t>
      </w:r>
    </w:p>
    <w:p>
      <w:pPr>
        <w:spacing w:after="0" w:line="33" w:lineRule="exact"/>
        <w:rPr>
          <w:sz w:val="20"/>
          <w:szCs w:val="20"/>
          <w:color w:val="auto"/>
        </w:rPr>
      </w:pPr>
    </w:p>
    <w:p>
      <w:pPr>
        <w:jc w:val="both"/>
        <w:ind w:left="360" w:hanging="360"/>
        <w:spacing w:after="0" w:line="247" w:lineRule="auto"/>
        <w:tabs>
          <w:tab w:leader="none" w:pos="360" w:val="left"/>
        </w:tabs>
        <w:numPr>
          <w:ilvl w:val="0"/>
          <w:numId w:val="27"/>
        </w:numPr>
        <w:rPr>
          <w:rFonts w:ascii="Arial" w:cs="Arial" w:eastAsia="Arial" w:hAnsi="Arial"/>
          <w:sz w:val="20"/>
          <w:szCs w:val="20"/>
          <w:color w:val="537BB5"/>
        </w:rPr>
      </w:pPr>
      <w:r>
        <w:rPr>
          <w:rFonts w:ascii="Arial" w:cs="Arial" w:eastAsia="Arial" w:hAnsi="Arial"/>
          <w:sz w:val="20"/>
          <w:szCs w:val="20"/>
          <w:color w:val="auto"/>
        </w:rPr>
        <w:t>a revenue decrease in the Americas of -4.3% (increase of 3.1% in constant currency) primarily driven by the $325.8 unfavorable impact of currency exchange rates and a $144.8 decrease in demand for our Experis interim services, partially offset by a $248.8 increase in demand for our Manpower staffing services, a $24.4 increase in demand for TBO and a $9.3 increase in demand for our Right Management outplacement services. The United States, our largest market in the Americas, experienced a revenue decrease of -3.5% primarily driven by a $105.4 decrease in demand for our Manpower and Experis staffing/interim services and a $6.7 decrease in demand for our permanent recruitment services, partially offset by a $7.9 increase in demand for our Right Management outplacement services;</w:t>
      </w:r>
    </w:p>
    <w:p>
      <w:pPr>
        <w:spacing w:after="0" w:line="66" w:lineRule="exact"/>
        <w:rPr>
          <w:rFonts w:ascii="Arial" w:cs="Arial" w:eastAsia="Arial" w:hAnsi="Arial"/>
          <w:sz w:val="20"/>
          <w:szCs w:val="20"/>
          <w:color w:val="537BB5"/>
        </w:rPr>
      </w:pPr>
    </w:p>
    <w:p>
      <w:pPr>
        <w:jc w:val="both"/>
        <w:ind w:left="360" w:hanging="360"/>
        <w:spacing w:after="0" w:line="245" w:lineRule="auto"/>
        <w:tabs>
          <w:tab w:leader="none" w:pos="360" w:val="left"/>
        </w:tabs>
        <w:numPr>
          <w:ilvl w:val="0"/>
          <w:numId w:val="27"/>
        </w:numPr>
        <w:rPr>
          <w:rFonts w:ascii="Arial" w:cs="Arial" w:eastAsia="Arial" w:hAnsi="Arial"/>
          <w:sz w:val="20"/>
          <w:szCs w:val="20"/>
          <w:color w:val="537BB5"/>
        </w:rPr>
      </w:pPr>
      <w:r>
        <w:rPr>
          <w:rFonts w:ascii="Arial" w:cs="Arial" w:eastAsia="Arial" w:hAnsi="Arial"/>
          <w:sz w:val="20"/>
          <w:szCs w:val="20"/>
          <w:color w:val="auto"/>
        </w:rPr>
        <w:t>a revenue decrease in Southern Europe of -3.5% (-3.3% in constant currency and -3.1% in organic constant currency) primarily driven by a $273.0 decrease in demand for our Manpower and Experis staffing/interim services and a $23.9 decrease in demand for our permanent recruitment services, partially offset by a $14.6 increase in demand for our Right Management outplacement services. France, the largest market in Southern Europe, experienced a revenue decrease of -5.1% (-5.1% in constant currency) primarily driven by a $248.2 decrease in demand for our Manpower staffing services, partially offset by a $12.6 increase in demand for our Right Management outplacement services. Italy, our second-largest market in Southern Europe, experienced a revenue decrease of -1.9% (-1.8% in constant currency) primarily driven by a $24.7 decrease in demand for our Manpower staffing services and a $7.0 decrease in demand for our permanent recruitment services;</w:t>
      </w:r>
    </w:p>
    <w:p>
      <w:pPr>
        <w:spacing w:after="0" w:line="70" w:lineRule="exact"/>
        <w:rPr>
          <w:rFonts w:ascii="Arial" w:cs="Arial" w:eastAsia="Arial" w:hAnsi="Arial"/>
          <w:sz w:val="20"/>
          <w:szCs w:val="20"/>
          <w:color w:val="537BB5"/>
        </w:rPr>
      </w:pPr>
    </w:p>
    <w:p>
      <w:pPr>
        <w:jc w:val="both"/>
        <w:ind w:left="360" w:hanging="360"/>
        <w:spacing w:after="0" w:line="246" w:lineRule="auto"/>
        <w:tabs>
          <w:tab w:leader="none" w:pos="360" w:val="left"/>
        </w:tabs>
        <w:numPr>
          <w:ilvl w:val="0"/>
          <w:numId w:val="27"/>
        </w:numPr>
        <w:rPr>
          <w:rFonts w:ascii="Arial" w:cs="Arial" w:eastAsia="Arial" w:hAnsi="Arial"/>
          <w:sz w:val="20"/>
          <w:szCs w:val="20"/>
          <w:color w:val="537BB5"/>
        </w:rPr>
      </w:pPr>
      <w:r>
        <w:rPr>
          <w:rFonts w:ascii="Arial" w:cs="Arial" w:eastAsia="Arial" w:hAnsi="Arial"/>
          <w:sz w:val="20"/>
          <w:szCs w:val="20"/>
          <w:color w:val="auto"/>
        </w:rPr>
        <w:t>a revenue decrease in Northern Europe of -11.8% (-12.9% in constant currency), primarily due to decreased demand of $390.1 for our Manpower and Experis staffing/interim services, decreased demand of $33.7 in our permanent recruitment business and decreased demand of $78.7 for our Experis solutions services, partially offset by the $39.5 favorable impact of currency exchange rates, increased demand of $11.9 within our MSP business and increased demand of $6.2 for our Right Management outplacement services. Within our Northern Europe segment, we experienced revenue decreases in the United Kingdom of $157.3, the Nordics of $175.2, Germany of $84.5, the Netherlands of $6.7 and Belgium of $10.9, which represented revenue decreases of -12.1%, -21.8%, -15.1%, -1.8% and -3.4%, respectively (-14.5%, -21.2%, -15.2%, -1.8% and -3.4%, respectively, in constant currency); and</w:t>
      </w:r>
    </w:p>
    <w:p>
      <w:pPr>
        <w:sectPr>
          <w:pgSz w:w="12240" w:h="15840" w:orient="portrait"/>
          <w:cols w:equalWidth="0" w:num="1">
            <w:col w:w="10800"/>
          </w:cols>
          <w:pgMar w:left="720" w:top="734" w:right="720" w:bottom="175"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10800"/>
          </w:cols>
          <w:pgMar w:left="720" w:top="734" w:right="720" w:bottom="175" w:gutter="0" w:footer="0" w:header="0"/>
          <w:type w:val="continuous"/>
        </w:sectPr>
      </w:pPr>
    </w:p>
    <w:bookmarkStart w:id="39" w:name="page40"/>
    <w:bookmarkEnd w:id="3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5" o:spid="_x0000_s107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48" w:lineRule="exact"/>
        <w:rPr>
          <w:sz w:val="20"/>
          <w:szCs w:val="20"/>
          <w:color w:val="auto"/>
        </w:rPr>
      </w:pPr>
    </w:p>
    <w:p>
      <w:pPr>
        <w:jc w:val="both"/>
        <w:ind w:left="360" w:hanging="360"/>
        <w:spacing w:after="0" w:line="254" w:lineRule="auto"/>
        <w:tabs>
          <w:tab w:leader="none" w:pos="360" w:val="left"/>
        </w:tabs>
        <w:numPr>
          <w:ilvl w:val="0"/>
          <w:numId w:val="28"/>
        </w:numPr>
        <w:rPr>
          <w:rFonts w:ascii="Arial" w:cs="Arial" w:eastAsia="Arial" w:hAnsi="Arial"/>
          <w:sz w:val="20"/>
          <w:szCs w:val="20"/>
          <w:color w:val="537BB5"/>
        </w:rPr>
      </w:pPr>
      <w:r>
        <w:rPr>
          <w:rFonts w:ascii="Arial" w:cs="Arial" w:eastAsia="Arial" w:hAnsi="Arial"/>
          <w:sz w:val="20"/>
          <w:szCs w:val="20"/>
          <w:color w:val="auto"/>
        </w:rPr>
        <w:t>a revenue decrease in APME of -6.9% (-2.3% in constant currency and an increase of 1.2% in organic constant currency) primarily driven by the $107.4 unfavorable impact of currency exchange rates, a $53.9 decrease in demand for our permanent recruitment services and a $44.3 decrease in demand in our TBO business, partially offset by a $46.3 increase in demand for our Manpower and Experis staffing/interim services.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The year-over-year 50 basis point decrease in gross profit margin was primarily attributed to:</w:t>
      </w:r>
    </w:p>
    <w:p>
      <w:pPr>
        <w:spacing w:after="0" w:line="133" w:lineRule="exact"/>
        <w:rPr>
          <w:sz w:val="20"/>
          <w:szCs w:val="20"/>
          <w:color w:val="auto"/>
        </w:rPr>
      </w:pPr>
    </w:p>
    <w:p>
      <w:pPr>
        <w:ind w:left="360" w:hanging="360"/>
        <w:spacing w:after="0" w:line="282" w:lineRule="auto"/>
        <w:tabs>
          <w:tab w:leader="none" w:pos="360" w:val="left"/>
        </w:tabs>
        <w:numPr>
          <w:ilvl w:val="0"/>
          <w:numId w:val="29"/>
        </w:numPr>
        <w:rPr>
          <w:rFonts w:ascii="Arial" w:cs="Arial" w:eastAsia="Arial" w:hAnsi="Arial"/>
          <w:sz w:val="20"/>
          <w:szCs w:val="20"/>
          <w:color w:val="537BB5"/>
        </w:rPr>
      </w:pPr>
      <w:r>
        <w:rPr>
          <w:rFonts w:ascii="Arial" w:cs="Arial" w:eastAsia="Arial" w:hAnsi="Arial"/>
          <w:sz w:val="20"/>
          <w:szCs w:val="20"/>
          <w:color w:val="auto"/>
        </w:rPr>
        <w:t>a 40 basis point unfavorable impact due to decreases in permanent recruitment, including Talent Solutions RPO, as permanent hiring demand continued to soften and experienced reduced levels from the prior year period; and</w:t>
      </w:r>
    </w:p>
    <w:p>
      <w:pPr>
        <w:spacing w:after="0" w:line="52" w:lineRule="exact"/>
        <w:rPr>
          <w:rFonts w:ascii="Arial" w:cs="Arial" w:eastAsia="Arial" w:hAnsi="Arial"/>
          <w:sz w:val="20"/>
          <w:szCs w:val="20"/>
          <w:color w:val="537BB5"/>
        </w:rPr>
      </w:pPr>
    </w:p>
    <w:p>
      <w:pPr>
        <w:ind w:left="360" w:hanging="360"/>
        <w:spacing w:after="0" w:line="282" w:lineRule="auto"/>
        <w:tabs>
          <w:tab w:leader="none" w:pos="360" w:val="left"/>
        </w:tabs>
        <w:numPr>
          <w:ilvl w:val="0"/>
          <w:numId w:val="29"/>
        </w:numPr>
        <w:rPr>
          <w:rFonts w:ascii="Arial" w:cs="Arial" w:eastAsia="Arial" w:hAnsi="Arial"/>
          <w:sz w:val="20"/>
          <w:szCs w:val="20"/>
          <w:color w:val="537BB5"/>
        </w:rPr>
      </w:pPr>
      <w:r>
        <w:rPr>
          <w:rFonts w:ascii="Arial" w:cs="Arial" w:eastAsia="Arial" w:hAnsi="Arial"/>
          <w:sz w:val="20"/>
          <w:szCs w:val="20"/>
          <w:color w:val="auto"/>
        </w:rPr>
        <w:t>a 20 basis point unfavorable impact from the decrease in staffing/interim margins due to mix shifts and lower volumes while pricing remained stable; partially offset by</w:t>
      </w:r>
    </w:p>
    <w:p>
      <w:pPr>
        <w:spacing w:after="0" w:line="52" w:lineRule="exact"/>
        <w:rPr>
          <w:rFonts w:ascii="Arial" w:cs="Arial" w:eastAsia="Arial" w:hAnsi="Arial"/>
          <w:sz w:val="20"/>
          <w:szCs w:val="20"/>
          <w:color w:val="537BB5"/>
        </w:rPr>
      </w:pPr>
    </w:p>
    <w:p>
      <w:pPr>
        <w:ind w:left="360" w:hanging="360"/>
        <w:spacing w:after="0" w:line="282" w:lineRule="auto"/>
        <w:tabs>
          <w:tab w:leader="none" w:pos="360" w:val="left"/>
        </w:tabs>
        <w:numPr>
          <w:ilvl w:val="0"/>
          <w:numId w:val="29"/>
        </w:numPr>
        <w:rPr>
          <w:rFonts w:ascii="Arial" w:cs="Arial" w:eastAsia="Arial" w:hAnsi="Arial"/>
          <w:sz w:val="20"/>
          <w:szCs w:val="20"/>
          <w:color w:val="537BB5"/>
        </w:rPr>
      </w:pPr>
      <w:r>
        <w:rPr>
          <w:rFonts w:ascii="Arial" w:cs="Arial" w:eastAsia="Arial" w:hAnsi="Arial"/>
          <w:sz w:val="20"/>
          <w:szCs w:val="20"/>
          <w:color w:val="auto"/>
        </w:rPr>
        <w:t>a 10 basis point favorable impact from increased career transition activity in Right Management as outplacement activity increased.</w:t>
      </w:r>
    </w:p>
    <w:p>
      <w:pPr>
        <w:spacing w:after="0" w:line="40"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-10.4% decrease in selling and administrative expenses in the year ended December 31, 2024 (-8.8% in constant currency; -8.5% in organic constant currency) was primarily attributed to:</w:t>
      </w:r>
    </w:p>
    <w:p>
      <w:pPr>
        <w:spacing w:after="0" w:line="53" w:lineRule="exact"/>
        <w:rPr>
          <w:sz w:val="20"/>
          <w:szCs w:val="20"/>
          <w:color w:val="auto"/>
        </w:rPr>
      </w:pPr>
    </w:p>
    <w:p>
      <w:pPr>
        <w:jc w:val="both"/>
        <w:ind w:left="360" w:hanging="360"/>
        <w:spacing w:after="0" w:line="261" w:lineRule="auto"/>
        <w:tabs>
          <w:tab w:leader="none" w:pos="360" w:val="left"/>
        </w:tabs>
        <w:numPr>
          <w:ilvl w:val="0"/>
          <w:numId w:val="30"/>
        </w:numPr>
        <w:rPr>
          <w:rFonts w:ascii="Arial" w:cs="Arial" w:eastAsia="Arial" w:hAnsi="Arial"/>
          <w:sz w:val="20"/>
          <w:szCs w:val="20"/>
          <w:color w:val="537BB5"/>
        </w:rPr>
      </w:pPr>
      <w:r>
        <w:rPr>
          <w:rFonts w:ascii="Arial" w:cs="Arial" w:eastAsia="Arial" w:hAnsi="Arial"/>
          <w:sz w:val="20"/>
          <w:szCs w:val="20"/>
          <w:color w:val="auto"/>
        </w:rPr>
        <w:t>a $72.8, or -5.3% decrease (-3.7% in constant currency and -3.4% in organic constant currency) in personnel costs primarily due to a $42.2 decrease in salary costs, a $15.7 decrease in bonuses and sales commissions and a $14.9 decrease in other personnel costs as we saw the effects of restructuring actions taken in 2023;</w:t>
      </w:r>
    </w:p>
    <w:p>
      <w:pPr>
        <w:spacing w:after="0" w:line="73" w:lineRule="exact"/>
        <w:rPr>
          <w:rFonts w:ascii="Arial" w:cs="Arial" w:eastAsia="Arial" w:hAnsi="Arial"/>
          <w:sz w:val="20"/>
          <w:szCs w:val="20"/>
          <w:color w:val="537BB5"/>
        </w:rPr>
      </w:pPr>
    </w:p>
    <w:p>
      <w:pPr>
        <w:ind w:left="360" w:hanging="360"/>
        <w:spacing w:after="0"/>
        <w:tabs>
          <w:tab w:leader="none" w:pos="360" w:val="left"/>
        </w:tabs>
        <w:numPr>
          <w:ilvl w:val="0"/>
          <w:numId w:val="30"/>
        </w:numPr>
        <w:rPr>
          <w:rFonts w:ascii="Arial" w:cs="Arial" w:eastAsia="Arial" w:hAnsi="Arial"/>
          <w:sz w:val="20"/>
          <w:szCs w:val="20"/>
          <w:color w:val="537BB5"/>
        </w:rPr>
      </w:pPr>
      <w:r>
        <w:rPr>
          <w:rFonts w:ascii="Arial" w:cs="Arial" w:eastAsia="Arial" w:hAnsi="Arial"/>
          <w:sz w:val="20"/>
          <w:szCs w:val="20"/>
          <w:color w:val="auto"/>
        </w:rPr>
        <w:t>a $55.1 decrease in goodwill impairment charges as no impairment was recorded in 2024;</w:t>
      </w:r>
    </w:p>
    <w:p>
      <w:pPr>
        <w:spacing w:after="0" w:line="133" w:lineRule="exact"/>
        <w:rPr>
          <w:rFonts w:ascii="Arial" w:cs="Arial" w:eastAsia="Arial" w:hAnsi="Arial"/>
          <w:sz w:val="20"/>
          <w:szCs w:val="20"/>
          <w:color w:val="537BB5"/>
        </w:rPr>
      </w:pPr>
    </w:p>
    <w:p>
      <w:pPr>
        <w:ind w:left="360" w:hanging="360"/>
        <w:spacing w:after="0"/>
        <w:tabs>
          <w:tab w:leader="none" w:pos="360" w:val="left"/>
        </w:tabs>
        <w:numPr>
          <w:ilvl w:val="0"/>
          <w:numId w:val="30"/>
        </w:numPr>
        <w:rPr>
          <w:rFonts w:ascii="Arial" w:cs="Arial" w:eastAsia="Arial" w:hAnsi="Arial"/>
          <w:sz w:val="20"/>
          <w:szCs w:val="20"/>
          <w:color w:val="537BB5"/>
        </w:rPr>
      </w:pPr>
      <w:r>
        <w:rPr>
          <w:rFonts w:ascii="Arial" w:cs="Arial" w:eastAsia="Arial" w:hAnsi="Arial"/>
          <w:sz w:val="20"/>
          <w:szCs w:val="20"/>
          <w:color w:val="auto"/>
        </w:rPr>
        <w:t>restructuring costs of $53.6 in 2024 compared to $149.2 incurred in 2023;</w:t>
      </w:r>
    </w:p>
    <w:p>
      <w:pPr>
        <w:spacing w:after="0" w:line="133" w:lineRule="exact"/>
        <w:rPr>
          <w:rFonts w:ascii="Arial" w:cs="Arial" w:eastAsia="Arial" w:hAnsi="Arial"/>
          <w:sz w:val="20"/>
          <w:szCs w:val="20"/>
          <w:color w:val="537BB5"/>
        </w:rPr>
      </w:pPr>
    </w:p>
    <w:p>
      <w:pPr>
        <w:ind w:left="360" w:hanging="360"/>
        <w:spacing w:after="0"/>
        <w:tabs>
          <w:tab w:leader="none" w:pos="360" w:val="left"/>
        </w:tabs>
        <w:numPr>
          <w:ilvl w:val="0"/>
          <w:numId w:val="30"/>
        </w:numPr>
        <w:rPr>
          <w:rFonts w:ascii="Arial" w:cs="Arial" w:eastAsia="Arial" w:hAnsi="Arial"/>
          <w:sz w:val="20"/>
          <w:szCs w:val="20"/>
          <w:color w:val="537BB5"/>
        </w:rPr>
      </w:pPr>
      <w:r>
        <w:rPr>
          <w:rFonts w:ascii="Arial" w:cs="Arial" w:eastAsia="Arial" w:hAnsi="Arial"/>
          <w:sz w:val="20"/>
          <w:szCs w:val="20"/>
          <w:color w:val="auto"/>
        </w:rPr>
        <w:t>a $49.9, or -1.6% decrease due to the impact of changes in currency exchange rates; and</w:t>
      </w:r>
    </w:p>
    <w:p>
      <w:pPr>
        <w:spacing w:after="0" w:line="133" w:lineRule="exact"/>
        <w:rPr>
          <w:rFonts w:ascii="Arial" w:cs="Arial" w:eastAsia="Arial" w:hAnsi="Arial"/>
          <w:sz w:val="20"/>
          <w:szCs w:val="20"/>
          <w:color w:val="537BB5"/>
        </w:rPr>
      </w:pPr>
    </w:p>
    <w:p>
      <w:pPr>
        <w:jc w:val="both"/>
        <w:ind w:left="360" w:hanging="360"/>
        <w:spacing w:after="0" w:line="261" w:lineRule="auto"/>
        <w:tabs>
          <w:tab w:leader="none" w:pos="360" w:val="left"/>
        </w:tabs>
        <w:numPr>
          <w:ilvl w:val="0"/>
          <w:numId w:val="30"/>
        </w:numPr>
        <w:rPr>
          <w:rFonts w:ascii="Arial" w:cs="Arial" w:eastAsia="Arial" w:hAnsi="Arial"/>
          <w:sz w:val="20"/>
          <w:szCs w:val="20"/>
          <w:color w:val="537BB5"/>
        </w:rPr>
      </w:pPr>
      <w:r>
        <w:rPr>
          <w:rFonts w:ascii="Arial" w:cs="Arial" w:eastAsia="Arial" w:hAnsi="Arial"/>
          <w:sz w:val="20"/>
          <w:szCs w:val="20"/>
          <w:color w:val="auto"/>
        </w:rPr>
        <w:t>a $24.7, or -4.0% decrease (-2.8% in constant currency and -2.4% in organic constant currency) in non-personnel costs, primarily due to a $15.1 decrease in office lease and other office costs and a $14.6 decrease in consulting and outside services costs.</w:t>
      </w:r>
    </w:p>
    <w:p>
      <w:pPr>
        <w:spacing w:after="0" w:line="60"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Selling and administrative expenses as a percent of revenues decreased 80 basis points in the year ended December 31, 2024 compared to the year ended December 31, 2023 due primarily to:</w:t>
      </w:r>
    </w:p>
    <w:p>
      <w:pPr>
        <w:spacing w:after="0" w:line="53" w:lineRule="exact"/>
        <w:rPr>
          <w:sz w:val="20"/>
          <w:szCs w:val="20"/>
          <w:color w:val="auto"/>
        </w:rPr>
      </w:pPr>
    </w:p>
    <w:p>
      <w:pPr>
        <w:ind w:left="360" w:hanging="360"/>
        <w:spacing w:after="0"/>
        <w:tabs>
          <w:tab w:leader="none" w:pos="360" w:val="left"/>
        </w:tabs>
        <w:numPr>
          <w:ilvl w:val="0"/>
          <w:numId w:val="31"/>
        </w:numPr>
        <w:rPr>
          <w:rFonts w:ascii="Arial" w:cs="Arial" w:eastAsia="Arial" w:hAnsi="Arial"/>
          <w:sz w:val="20"/>
          <w:szCs w:val="20"/>
          <w:color w:val="537BB5"/>
        </w:rPr>
      </w:pPr>
      <w:r>
        <w:rPr>
          <w:rFonts w:ascii="Arial" w:cs="Arial" w:eastAsia="Arial" w:hAnsi="Arial"/>
          <w:sz w:val="20"/>
          <w:szCs w:val="20"/>
          <w:color w:val="auto"/>
        </w:rPr>
        <w:t>a 50 basis point favorable impact as a result of lower restructuring costs incurred in 2024 compared to 2023; and</w:t>
      </w:r>
    </w:p>
    <w:p>
      <w:pPr>
        <w:spacing w:after="0" w:line="133" w:lineRule="exact"/>
        <w:rPr>
          <w:rFonts w:ascii="Arial" w:cs="Arial" w:eastAsia="Arial" w:hAnsi="Arial"/>
          <w:sz w:val="20"/>
          <w:szCs w:val="20"/>
          <w:color w:val="537BB5"/>
        </w:rPr>
      </w:pPr>
    </w:p>
    <w:p>
      <w:pPr>
        <w:ind w:left="360" w:hanging="360"/>
        <w:spacing w:after="0"/>
        <w:tabs>
          <w:tab w:leader="none" w:pos="360" w:val="left"/>
        </w:tabs>
        <w:numPr>
          <w:ilvl w:val="0"/>
          <w:numId w:val="31"/>
        </w:numPr>
        <w:rPr>
          <w:rFonts w:ascii="Arial" w:cs="Arial" w:eastAsia="Arial" w:hAnsi="Arial"/>
          <w:sz w:val="20"/>
          <w:szCs w:val="20"/>
          <w:color w:val="537BB5"/>
        </w:rPr>
      </w:pPr>
      <w:r>
        <w:rPr>
          <w:rFonts w:ascii="Arial" w:cs="Arial" w:eastAsia="Arial" w:hAnsi="Arial"/>
          <w:sz w:val="20"/>
          <w:szCs w:val="20"/>
          <w:color w:val="auto"/>
        </w:rPr>
        <w:t>a 30 basis point favorable impact as we anniversaried the impact of goodwill impairment charges in 2023.</w:t>
      </w:r>
    </w:p>
    <w:p>
      <w:pPr>
        <w:spacing w:after="0" w:line="335"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Interest and other expenses, net is comprised of interest, foreign exchange gains and losses and other miscellaneous non-operating income and expenses, including those associated with noncontrolling interests. Interest expense, net was $56.7 in 2024 compared to $45.5 in 2023 primarily due to increased revolver and other short-term borrowings at a higher interest rate during the period. Foreign exchange loss, net was $6.2 in 2024 compared to $21.8 in 2023 primarily due to a reduction in foreign currency exchange losses in Argentina. Miscellaneous income, net was $13.7 in 2024 compared to $17.4 in 2023.</w:t>
      </w:r>
    </w:p>
    <w:p>
      <w:pPr>
        <w:spacing w:after="0" w:line="6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We recorded income tax expense at an effective rate of 43.5% for 2024, as compared to an effective rate of 56.9% for 2023. The 2024 rate was lower than the 2023 rate primarily due to a higher level of pre-tax earnings with a more beneficial mix driven by fewer restructuring costs in certain countries for which we did not recognize a corresponding tax benefit due to valuation allowances and the Netherlands non-deductible goodwill impairment charge recorded in 2023. The 43.5% effective tax rate for 2024 was higher than the United States Federal statutory rate of 21% primarily due to restructuring costs in certain countries for which we did not recognize a corresponding tax benefit due to valuation allowances, the French business tax and the overall mix of earnings.</w:t>
      </w:r>
    </w:p>
    <w:p>
      <w:pPr>
        <w:spacing w:after="0" w:line="6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Net earnings per share - diluted was $3.01 in 2024 compared to $1.76 in 2023. Restructuring costs recorded in 2024 and 2023 negatively impacted net earnings per share - diluted by approximately $1.10 and $2.74 per share, net of tax, in 2024 and 2023, respectively. Losses related to our Proservia Germany wind down in 2024 unfavorably impacted net earnings per share - diluted by approximately $0.19, net of tax, in 2024. Foreign currency exchange rates in 2024 unfavorably impacted net earnings per share - diluted by approximately $0.15 per share, net of tax, in 2024. The pension settlement expense recorded in 2024 and 2023 negatively impacted net earnings per share - diluted by approximately $0.08 and $0.12, net of tax, in 2024 and 2023, respectively. Goodwill and other impairment charges recorded in 2023 negatively impacted net earnings per share - diluted by approximately $1.13 per share, net of tax, in 2023, respectively.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Weighted average shares - diluted decreased to 48.3 million in 2024 from 50.4 million in 2023. This decrease was due to the impact of share repurchases completed in 2024, partially offset by grants of share-based awards.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10800"/>
          </w:cols>
          <w:pgMar w:left="720" w:top="734" w:right="720" w:bottom="175" w:gutter="0" w:footer="0" w:header="0"/>
          <w:type w:val="continuous"/>
        </w:sectPr>
      </w:pPr>
    </w:p>
    <w:bookmarkStart w:id="40" w:name="page41"/>
    <w:bookmarkEnd w:id="40"/>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6" o:spid="_x0000_s107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Segment Results</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537BB5"/>
        </w:rPr>
        <w:t>Americas</w:t>
      </w:r>
    </w:p>
    <w:p>
      <w:pPr>
        <w:spacing w:after="0" w:line="9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In the Americas, revenues from services decreased -4.3% (increase of 3.1% in constant currency) in 2024 compared to 2023. In the United States, revenues from services decreased -3.5% in 2024 compared to 2023, primarily driven by a $105.4 decrease in demand for our Manpower and Experis staffing/interim services and a $6.7 decrease in demand for our permanent recruitment services, partially offset by a $7.9 increase in demand for our Right Management outplacement services. In Other Americas, revenues from services decreased -5.8% (increase of 15.2% in constant currency) in 2024 compared to 2023 primarily driven by the $325.8 unfavorable impact of foreign currency exchange rates, partially offset by a $202.1 increase in demand for our Manpower and Experis staffing/interim services and a $24.6 increase in demand for our TBO business. The constant currency increase in Other Americas was primarily due to inflation in Argentina. Within our Other Americas segment, we experienced decreases in Argentina and Canada of $60.6, or -32.4%, and $43.1, or -12.1%, respectively (125.3% and -10.8%, respectively, in constant currency), partially offset by a revenue increase in Mexico of $3.9, or 1.6% (4.5% in constant currency).</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profit margin decreased 50 basis points in 2024 compared to 2023. This decrease was primarily due to decreased margins in our Experis interim services, which contributed 120 basis points to the decrease. These decreases were partially offset by favorable impacts of currency exchange rates, which had a 50 basis point impact and increased margins in our Right Management outplacement business, which had a 20 basis point impact.</w:t>
      </w:r>
    </w:p>
    <w:p>
      <w:pPr>
        <w:spacing w:after="0" w:line="6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Selling and administrative expenses decreased -4.9% (increase of 0.1% in constant currency) in 2024 compared to 2023, primarily driven by the $43.1 favorable impact of currency exchange rates and a $9.5 decrease in consulting and outside services costs, partially offset by an $11.6 increase in salary related costs.</w:t>
      </w:r>
    </w:p>
    <w:p>
      <w:pPr>
        <w:spacing w:after="0" w:line="6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OUP decreased -14.5% (-8.9% in constant currency) in 2024, which represents a 3.4% OUP margin, a decrease from 3.8% in 2023. This decrease was primarily due to decreased profitability in our United States business of $16.7, which experienced decreased activity in our higher-margin permanent recruitment business, as noted above, partially offset by decreases to selling and administrative expenses as a percent of revenue. In the United States, OUP margin decreased to 2.8% in 2024 from 3.3% in 2023 primarily due to decreased activity in our higher-margin permanent recruitment and Manpower and Experis staffing/interim businesses, as noted above, partially offset by a decrease in our selling and administrative expenses as a percent of revenue. Other Americas OUP margin decreased to 4.4% in 2024 from 4.6% in 2023 primarily due to an increase in our selling and administrative expenses as a percent of revenue and decreased gross profit margins across our staffing and interim services.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537BB5"/>
        </w:rPr>
        <w:t>Southern Europe</w:t>
      </w:r>
    </w:p>
    <w:p>
      <w:pPr>
        <w:spacing w:after="0" w:line="9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In Southern Europe, revenues from services decreased -3.5% (-3.3% in constant currency and -3.1% in organic constant currency) in 2024 compared to 2023. In France, revenues from services decreased -5.1% (-5.1% in constant currency) in 2024 compared to 2023, primarily driven by a $248.2 decrease in demand for our Manpower staffing services, partially offset by a $12.6 increase in demand for our Right Management outplacement services. In Italy, revenues from services decreased -1.9% (-1.8% in constant currency) in 2024 compared to 2023, primarily driven by a $24.7 decrease in demand for our Manpower staffing services and a $7.0 decrease in demand for our permanent recruitment services. In Other Southern Europe, revenues from services decreased -0.9% (flat in constant currency and increase of 0.6% in organic constant currency) in 2024 compared to 2023, primarily driven by the $16.2 unfavorable impact of currency exchange rates and an $18.9 decrease in demand for our Experis solutions services, partially offset by a $13.5 increase in demand in our TBO business and an $8.8 increase in demand for our Manpower and Experis staffing/interim services. Within our Other Southern Europe segment, we experienced revenue decreases in Switzerland of $50.4, or -10.4% (-12.2% in constant currency), partially offset by a revenue increase in Spain of $18.1, or 3.7% (3.7% in constant currency).</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Gross profit margin decreased 50 basis points in 2024 compared to 2023. This decrease was primarily due to decreased activity in our higher margin Manpower staffing services, which contributed 30 basis points to the decrease, a decrease of activity in our permanent recruitment services, which contributed 20 basis points to the decrease and decreases across our Experis solutions services, which contributed 10 basis points to the decrease. These contributions were partially offset by increased demand in our higher-margin Right Management outplacement business which had a 10 basis point impact.</w:t>
      </w:r>
    </w:p>
    <w:p>
      <w:pPr>
        <w:spacing w:after="0" w:line="6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Selling and administrative expenses decreased -3.7% (-3.6% in constant currency and -3.3% in organic constant currency) during 2024 compared to 2023 primarily due to a $12.6 decrease in salary-related costs, a $7.5 decrease in restructuring related expenses, a $6.8 decrease in bonuses and sales commissions and a $4.3 decrease in consulting and outside services costs.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10800"/>
          </w:cols>
          <w:pgMar w:left="720" w:top="734" w:right="720" w:bottom="175" w:gutter="0" w:footer="0" w:header="0"/>
          <w:type w:val="continuous"/>
        </w:sectPr>
      </w:pPr>
    </w:p>
    <w:bookmarkStart w:id="41" w:name="page42"/>
    <w:bookmarkEnd w:id="4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7" o:spid="_x0000_s107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OUP decreased -15.0% (-14.8% in constant currency and -15.2% in organic constant currency) in 2024, which represents a 3.7% OUP margin, a decrease from 4.2% in 2023. This OUP decrease was primarily due to decreased profitability in the France reporting unit of $36.4. In France, the OUP margin decreased to 3.3% in 2024 compared to 3.9% in 2023 primarily driven by an increase in selling and administrative expenses as a percent of revenue and a decrease in our higher-margin permanent recruitment business. In Italy, the OUP margin decreased to 6.7% in 2024 from 7.3% in 2023 primarily driven by an increase in selling and administrative expenses as a percent of revenue and a decrease in our higher-margin permanent recruitment business. In Other Southern Europe, the OUP margin decreased to 2.0% in 2024 from 2.3% in 2023 primarily due to a decrease in gross profit margin as we saw decreased activity in higher-margin Experis solutions services, as noted above, partially offset by a decrease in selling and administrative expenses as a percent of revenue.</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537BB5"/>
        </w:rPr>
        <w:t>Northern Europe</w:t>
      </w:r>
    </w:p>
    <w:p>
      <w:pPr>
        <w:spacing w:after="0" w:line="9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Northern Europe, the largest country operations include the United Kingdom, the Nordics, Germany, the Netherlands and Belgium (comprising 35%, 19%, 14%, 11% and 9%, respectively, of Northern Europe’s revenues). In the Northern Europe region, revenues from services decreased -11.8% (-12.9% in constant currency) in 2024 compared to 2023, primarily due to decreased demand of $390.1 for our Manpower and Experis staffing/interim services, decreased demand of $33.7 in our permanent recruitment business and decreased demand of $78.7 for our Experis solutions services, partially offset by the $39.5 favorable impact of currency exchange rates, increased demand of $11.9 within our MSP business and increased demand of $6.2 for our Right Management outplacement services. Within our Northern Europe segment, we experienced revenue decreases in the United Kingdom of $157.3, the Nordics of $175.2, Germany of $84.5, the Netherlands of $6.7 and Belgium of $10.9, which represented revenue decreases of -12.1%, -21.8%, -15.1%, -1.8% and -3.4%, respectively (-14.5%, -21.2%, -15.2%, -1.8% and -3.4%, respectively, in constant currency).</w:t>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Gross profit margin increased by 10 basis points in 2024 compared to 2023 primarily due to increased activity in our MSP business, which contributed 40 basis points to the increase, a shift in business mix towards our higher-margin Right Management outplacement services, which contributed 30 basis points to the increase, and the wind down of our lower margin Germany Proservia business in 2023. These contributions were partially offset by decreased activity in our permanent recruitment business, which had a 40 basis point unfavorable impact and decreased activity in our higher margin Manpower staffing services, which had a 20 basis point unfavorable impact.</w:t>
      </w:r>
    </w:p>
    <w:p>
      <w:pPr>
        <w:spacing w:after="0" w:line="6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Selling and administrative expenses decreased -18.9% (-19.7% in constant currency) in 2024 compared to 2023. The decrease is primarily driven by a $45.3 decrease in total personnel costs as we experience the impacts of significant restructuring actions taken in 2023 and $30.6 in restructuring costs incurred in 2024 compared to $120.4 in 2023.</w:t>
      </w:r>
    </w:p>
    <w:p>
      <w:pPr>
        <w:spacing w:after="0" w:line="6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OUP in Northern Europe improved 61.8% (60.9% in constant currency) in 2024, which represents a -1.3% OUP margin, an increase from -3.1% in 2023. The OUP improvement was driven by an OUP improvement in Germany of $92.9, partially offset by a decrease in profitability in the Nordics, which experienced an aggregate decrease of $12.5. The OUP improvement was also driven by a decrease in selling and administrative expenses as we saw the effects of restructuring actions taken in the prior year period, as noted above.</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537BB5"/>
        </w:rPr>
        <w:t>APME</w:t>
      </w:r>
    </w:p>
    <w:p>
      <w:pPr>
        <w:spacing w:after="0" w:line="9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Revenues from services decreased -6.9% (-2.3% in constant currency and an increase of 1.2% in organic constant currency) in 2024 compared to 2023. In Japan, revenues from services increased 0.5% (8.4% in constant currency) primarily driven by a $94.1 increase in demand for our Manpower and Experis staffing/interim services, partially offset by the $89.1 unfavorable impact of currency exchange rates. In Australia, revenues from services decreased -39.3% (-38.9% in constant currency), primarily driven by a $57.0 decrease in our permanent recruitment business driven by the non-recurrence of a Talent Solutions RPO government contract from the prior year period and a $27.3 decrease in demand for our Manpower and Experis staffing/interim services.</w:t>
      </w:r>
    </w:p>
    <w:p>
      <w:pPr>
        <w:spacing w:after="0" w:line="6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Gross profit margin decreased 70 basis points in 2024 compared to 2023 primarily due to decreased activity in our permanent recruitment business, particularly Talent Solutions RPO, which contributed 140 basis points to the decrease, and a decrease in activity across our higher-margin outplacement services, which contributed 20 basis points to the decrease. These contributions were partially offset by improvement in our staffing/interim margins, which had a 90 basis point impact.</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Selling and administrative expenses decreased -11.0% (-6.7% in constant currency and -4.3% in organic constant currency) in 2024 compared 2023. The decrease is primarily driven by the $12.5 favorable impact of currency exchange rates, an $11.6 decrease in salary related costs from a reduction in headcount and a $9.3 decrease in office lease costs and other office related costs and a $4.4 decrease in consulting and outside services costs.</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OUP in APME decreased -9.7% (-4.0% in constant currency and -1.4% in organic constant currency), in 2024, which represents a 3.9% OUP margin, a decrease from 4.0% in 2023. This OUP decrease was primarily driven by the decreased activity in our permanent recruitment business, partially offset by a decrease in selling and administrative expenses, as noted above.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10800"/>
          </w:cols>
          <w:pgMar w:left="720" w:top="734" w:right="720" w:bottom="175" w:gutter="0" w:footer="0" w:header="0"/>
          <w:type w:val="continuous"/>
        </w:sectPr>
      </w:pPr>
    </w:p>
    <w:bookmarkStart w:id="42" w:name="page43"/>
    <w:bookmarkEnd w:id="4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48" o:spid="_x0000_s107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37BB5"/>
        </w:rPr>
        <w:t>Financial Measures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Constant Currency And Organic Constant Currency Reconciliation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Certain constant currency and organic constant currency percent variances are discussed throughout this report. A reconciliation of these Non-GAAP percent variances to the percent variances calculated based on our annual GAAP financial results is provided below. (See Financial Measures - Constant Currency and Organic Constant Currency on page 31 for information.)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520" w:type="dxa"/>
            <w:vAlign w:val="bottom"/>
            <w:tcBorders>
              <w:top w:val="single" w:sz="8" w:color="auto"/>
            </w:tcBorders>
            <w:shd w:val="clear" w:color="auto" w:fill="97AAD0"/>
          </w:tcPr>
          <w:p>
            <w:pPr>
              <w:spacing w:after="0"/>
              <w:rPr>
                <w:sz w:val="12"/>
                <w:szCs w:val="12"/>
                <w:color w:val="auto"/>
              </w:rPr>
            </w:pPr>
          </w:p>
        </w:tc>
        <w:tc>
          <w:tcPr>
            <w:tcW w:w="520" w:type="dxa"/>
            <w:vAlign w:val="bottom"/>
            <w:tcBorders>
              <w:top w:val="single" w:sz="8" w:color="auto"/>
            </w:tcBorders>
            <w:shd w:val="clear" w:color="auto" w:fill="97AAD0"/>
          </w:tcPr>
          <w:p>
            <w:pPr>
              <w:spacing w:after="0"/>
              <w:rPr>
                <w:sz w:val="12"/>
                <w:szCs w:val="12"/>
                <w:color w:val="auto"/>
              </w:rPr>
            </w:pPr>
          </w:p>
        </w:tc>
        <w:tc>
          <w:tcPr>
            <w:tcW w:w="920" w:type="dxa"/>
            <w:vAlign w:val="bottom"/>
            <w:tcBorders>
              <w:top w:val="single" w:sz="8" w:color="auto"/>
            </w:tcBorders>
            <w:shd w:val="clear" w:color="auto" w:fill="97AAD0"/>
          </w:tcPr>
          <w:p>
            <w:pPr>
              <w:spacing w:after="0"/>
              <w:rPr>
                <w:sz w:val="12"/>
                <w:szCs w:val="12"/>
                <w:color w:val="auto"/>
              </w:rPr>
            </w:pPr>
          </w:p>
        </w:tc>
        <w:tc>
          <w:tcPr>
            <w:tcW w:w="1140" w:type="dxa"/>
            <w:vAlign w:val="bottom"/>
            <w:tcBorders>
              <w:top w:val="single" w:sz="8" w:color="auto"/>
            </w:tcBorders>
            <w:shd w:val="clear" w:color="auto" w:fill="97AAD0"/>
          </w:tcPr>
          <w:p>
            <w:pPr>
              <w:spacing w:after="0"/>
              <w:rPr>
                <w:sz w:val="12"/>
                <w:szCs w:val="12"/>
                <w:color w:val="auto"/>
              </w:rPr>
            </w:pPr>
          </w:p>
        </w:tc>
        <w:tc>
          <w:tcPr>
            <w:tcW w:w="1120" w:type="dxa"/>
            <w:vAlign w:val="bottom"/>
            <w:tcBorders>
              <w:top w:val="single" w:sz="8" w:color="auto"/>
            </w:tcBorders>
            <w:shd w:val="clear" w:color="auto" w:fill="97AAD0"/>
          </w:tcPr>
          <w:p>
            <w:pPr>
              <w:spacing w:after="0"/>
              <w:rPr>
                <w:sz w:val="12"/>
                <w:szCs w:val="12"/>
                <w:color w:val="auto"/>
              </w:rPr>
            </w:pPr>
          </w:p>
        </w:tc>
        <w:tc>
          <w:tcPr>
            <w:tcW w:w="1160" w:type="dxa"/>
            <w:vAlign w:val="bottom"/>
            <w:tcBorders>
              <w:top w:val="single" w:sz="8" w:color="auto"/>
            </w:tcBorders>
            <w:shd w:val="clear" w:color="auto" w:fill="97AAD0"/>
          </w:tcPr>
          <w:p>
            <w:pPr>
              <w:spacing w:after="0"/>
              <w:rPr>
                <w:sz w:val="12"/>
                <w:szCs w:val="12"/>
                <w:color w:val="auto"/>
              </w:rPr>
            </w:pPr>
          </w:p>
        </w:tc>
        <w:tc>
          <w:tcPr>
            <w:tcW w:w="1260" w:type="dxa"/>
            <w:vAlign w:val="bottom"/>
            <w:tcBorders>
              <w:top w:val="single" w:sz="8" w:color="auto"/>
            </w:tcBorders>
            <w:shd w:val="clear" w:color="auto" w:fill="97AAD0"/>
          </w:tcPr>
          <w:p>
            <w:pPr>
              <w:jc w:val="center"/>
              <w:ind w:right="243"/>
              <w:spacing w:after="0" w:line="146" w:lineRule="exact"/>
              <w:rPr>
                <w:sz w:val="20"/>
                <w:szCs w:val="20"/>
                <w:color w:val="auto"/>
              </w:rPr>
            </w:pPr>
            <w:r>
              <w:rPr>
                <w:rFonts w:ascii="Arial" w:cs="Arial" w:eastAsia="Arial" w:hAnsi="Arial"/>
                <w:sz w:val="13"/>
                <w:szCs w:val="13"/>
                <w:b w:val="1"/>
                <w:bCs w:val="1"/>
                <w:color w:val="auto"/>
              </w:rPr>
              <w:t>Impact of</w:t>
            </w:r>
          </w:p>
        </w:tc>
        <w:tc>
          <w:tcPr>
            <w:tcW w:w="1160" w:type="dxa"/>
            <w:vAlign w:val="bottom"/>
            <w:tcBorders>
              <w:top w:val="single" w:sz="8" w:color="auto"/>
            </w:tcBorders>
            <w:shd w:val="clear" w:color="auto" w:fill="97AAD0"/>
          </w:tcPr>
          <w:p>
            <w:pPr>
              <w:spacing w:after="0"/>
              <w:rPr>
                <w:sz w:val="12"/>
                <w:szCs w:val="12"/>
                <w:color w:val="auto"/>
              </w:rPr>
            </w:pPr>
          </w:p>
        </w:tc>
      </w:tr>
      <w:tr>
        <w:trPr>
          <w:trHeight w:val="149"/>
        </w:trPr>
        <w:tc>
          <w:tcPr>
            <w:tcW w:w="3520" w:type="dxa"/>
            <w:vAlign w:val="bottom"/>
            <w:shd w:val="clear" w:color="auto" w:fill="97AAD0"/>
          </w:tcPr>
          <w:p>
            <w:pPr>
              <w:spacing w:after="0"/>
              <w:rPr>
                <w:sz w:val="12"/>
                <w:szCs w:val="12"/>
                <w:color w:val="auto"/>
              </w:rPr>
            </w:pPr>
          </w:p>
        </w:tc>
        <w:tc>
          <w:tcPr>
            <w:tcW w:w="520" w:type="dxa"/>
            <w:vAlign w:val="bottom"/>
            <w:shd w:val="clear" w:color="auto" w:fill="97AAD0"/>
          </w:tcPr>
          <w:p>
            <w:pPr>
              <w:spacing w:after="0"/>
              <w:rPr>
                <w:sz w:val="12"/>
                <w:szCs w:val="12"/>
                <w:color w:val="auto"/>
              </w:rPr>
            </w:pPr>
          </w:p>
        </w:tc>
        <w:tc>
          <w:tcPr>
            <w:tcW w:w="920" w:type="dxa"/>
            <w:vAlign w:val="bottom"/>
            <w:shd w:val="clear" w:color="auto" w:fill="97AAD0"/>
          </w:tcPr>
          <w:p>
            <w:pPr>
              <w:spacing w:after="0"/>
              <w:rPr>
                <w:sz w:val="12"/>
                <w:szCs w:val="12"/>
                <w:color w:val="auto"/>
              </w:rPr>
            </w:pPr>
          </w:p>
        </w:tc>
        <w:tc>
          <w:tcPr>
            <w:tcW w:w="1140" w:type="dxa"/>
            <w:vAlign w:val="bottom"/>
            <w:shd w:val="clear" w:color="auto" w:fill="97AAD0"/>
          </w:tcPr>
          <w:p>
            <w:pPr>
              <w:spacing w:after="0"/>
              <w:rPr>
                <w:sz w:val="12"/>
                <w:szCs w:val="12"/>
                <w:color w:val="auto"/>
              </w:rPr>
            </w:pPr>
          </w:p>
        </w:tc>
        <w:tc>
          <w:tcPr>
            <w:tcW w:w="1120" w:type="dxa"/>
            <w:vAlign w:val="bottom"/>
            <w:shd w:val="clear" w:color="auto" w:fill="97AAD0"/>
          </w:tcPr>
          <w:p>
            <w:pPr>
              <w:spacing w:after="0"/>
              <w:rPr>
                <w:sz w:val="12"/>
                <w:szCs w:val="12"/>
                <w:color w:val="auto"/>
              </w:rPr>
            </w:pPr>
          </w:p>
        </w:tc>
        <w:tc>
          <w:tcPr>
            <w:tcW w:w="1160" w:type="dxa"/>
            <w:vAlign w:val="bottom"/>
            <w:shd w:val="clear" w:color="auto" w:fill="97AAD0"/>
          </w:tcPr>
          <w:p>
            <w:pPr>
              <w:spacing w:after="0"/>
              <w:rPr>
                <w:sz w:val="12"/>
                <w:szCs w:val="12"/>
                <w:color w:val="auto"/>
              </w:rPr>
            </w:pPr>
          </w:p>
        </w:tc>
        <w:tc>
          <w:tcPr>
            <w:tcW w:w="1260" w:type="dxa"/>
            <w:vAlign w:val="bottom"/>
            <w:shd w:val="clear" w:color="auto" w:fill="97AAD0"/>
          </w:tcPr>
          <w:p>
            <w:pPr>
              <w:jc w:val="center"/>
              <w:ind w:right="243"/>
              <w:spacing w:after="0"/>
              <w:rPr>
                <w:sz w:val="20"/>
                <w:szCs w:val="20"/>
                <w:color w:val="auto"/>
              </w:rPr>
            </w:pPr>
            <w:r>
              <w:rPr>
                <w:rFonts w:ascii="Arial" w:cs="Arial" w:eastAsia="Arial" w:hAnsi="Arial"/>
                <w:sz w:val="13"/>
                <w:szCs w:val="13"/>
                <w:b w:val="1"/>
                <w:bCs w:val="1"/>
                <w:color w:val="auto"/>
                <w:w w:val="99"/>
              </w:rPr>
              <w:t>Acquisitions</w:t>
            </w:r>
          </w:p>
        </w:tc>
        <w:tc>
          <w:tcPr>
            <w:tcW w:w="1160" w:type="dxa"/>
            <w:vAlign w:val="bottom"/>
            <w:shd w:val="clear" w:color="auto" w:fill="97AAD0"/>
          </w:tcPr>
          <w:p>
            <w:pPr>
              <w:spacing w:after="0"/>
              <w:rPr>
                <w:sz w:val="12"/>
                <w:szCs w:val="12"/>
                <w:color w:val="auto"/>
              </w:rPr>
            </w:pPr>
          </w:p>
        </w:tc>
      </w:tr>
      <w:tr>
        <w:trPr>
          <w:trHeight w:val="149"/>
        </w:trPr>
        <w:tc>
          <w:tcPr>
            <w:tcW w:w="3520" w:type="dxa"/>
            <w:vAlign w:val="bottom"/>
            <w:shd w:val="clear" w:color="auto" w:fill="97AAD0"/>
          </w:tcPr>
          <w:p>
            <w:pPr>
              <w:spacing w:after="0"/>
              <w:rPr>
                <w:sz w:val="12"/>
                <w:szCs w:val="12"/>
                <w:color w:val="auto"/>
              </w:rPr>
            </w:pPr>
          </w:p>
        </w:tc>
        <w:tc>
          <w:tcPr>
            <w:tcW w:w="520" w:type="dxa"/>
            <w:vAlign w:val="bottom"/>
            <w:shd w:val="clear" w:color="auto" w:fill="97AAD0"/>
          </w:tcPr>
          <w:p>
            <w:pPr>
              <w:spacing w:after="0"/>
              <w:rPr>
                <w:sz w:val="12"/>
                <w:szCs w:val="12"/>
                <w:color w:val="auto"/>
              </w:rPr>
            </w:pPr>
          </w:p>
        </w:tc>
        <w:tc>
          <w:tcPr>
            <w:tcW w:w="920" w:type="dxa"/>
            <w:vAlign w:val="bottom"/>
            <w:shd w:val="clear" w:color="auto" w:fill="97AAD0"/>
          </w:tcPr>
          <w:p>
            <w:pPr>
              <w:spacing w:after="0"/>
              <w:rPr>
                <w:sz w:val="12"/>
                <w:szCs w:val="12"/>
                <w:color w:val="auto"/>
              </w:rPr>
            </w:pPr>
          </w:p>
        </w:tc>
        <w:tc>
          <w:tcPr>
            <w:tcW w:w="1140" w:type="dxa"/>
            <w:vAlign w:val="bottom"/>
            <w:shd w:val="clear" w:color="auto" w:fill="97AAD0"/>
          </w:tcPr>
          <w:p>
            <w:pPr>
              <w:spacing w:after="0"/>
              <w:rPr>
                <w:sz w:val="12"/>
                <w:szCs w:val="12"/>
                <w:color w:val="auto"/>
              </w:rPr>
            </w:pPr>
          </w:p>
        </w:tc>
        <w:tc>
          <w:tcPr>
            <w:tcW w:w="1120" w:type="dxa"/>
            <w:vAlign w:val="bottom"/>
            <w:shd w:val="clear" w:color="auto" w:fill="97AAD0"/>
          </w:tcPr>
          <w:p>
            <w:pPr>
              <w:spacing w:after="0"/>
              <w:rPr>
                <w:sz w:val="12"/>
                <w:szCs w:val="12"/>
                <w:color w:val="auto"/>
              </w:rPr>
            </w:pPr>
          </w:p>
        </w:tc>
        <w:tc>
          <w:tcPr>
            <w:tcW w:w="1160" w:type="dxa"/>
            <w:vAlign w:val="bottom"/>
            <w:shd w:val="clear" w:color="auto" w:fill="97AAD0"/>
          </w:tcPr>
          <w:p>
            <w:pPr>
              <w:spacing w:after="0"/>
              <w:rPr>
                <w:sz w:val="12"/>
                <w:szCs w:val="12"/>
                <w:color w:val="auto"/>
              </w:rPr>
            </w:pPr>
          </w:p>
        </w:tc>
        <w:tc>
          <w:tcPr>
            <w:tcW w:w="1260" w:type="dxa"/>
            <w:vAlign w:val="bottom"/>
            <w:shd w:val="clear" w:color="auto" w:fill="97AAD0"/>
          </w:tcPr>
          <w:p>
            <w:pPr>
              <w:jc w:val="center"/>
              <w:ind w:right="243"/>
              <w:spacing w:after="0"/>
              <w:rPr>
                <w:sz w:val="20"/>
                <w:szCs w:val="20"/>
                <w:color w:val="auto"/>
              </w:rPr>
            </w:pPr>
            <w:r>
              <w:rPr>
                <w:rFonts w:ascii="Arial" w:cs="Arial" w:eastAsia="Arial" w:hAnsi="Arial"/>
                <w:sz w:val="13"/>
                <w:szCs w:val="13"/>
                <w:b w:val="1"/>
                <w:bCs w:val="1"/>
                <w:color w:val="auto"/>
                <w:w w:val="94"/>
              </w:rPr>
              <w:t>and</w:t>
            </w:r>
          </w:p>
        </w:tc>
        <w:tc>
          <w:tcPr>
            <w:tcW w:w="1160" w:type="dxa"/>
            <w:vAlign w:val="bottom"/>
            <w:shd w:val="clear" w:color="auto" w:fill="97AAD0"/>
          </w:tcPr>
          <w:p>
            <w:pPr>
              <w:jc w:val="center"/>
              <w:ind w:right="202"/>
              <w:spacing w:after="0"/>
              <w:rPr>
                <w:sz w:val="20"/>
                <w:szCs w:val="20"/>
                <w:color w:val="auto"/>
              </w:rPr>
            </w:pPr>
            <w:r>
              <w:rPr>
                <w:rFonts w:ascii="Arial" w:cs="Arial" w:eastAsia="Arial" w:hAnsi="Arial"/>
                <w:sz w:val="13"/>
                <w:szCs w:val="13"/>
                <w:b w:val="1"/>
                <w:bCs w:val="1"/>
                <w:color w:val="auto"/>
                <w:w w:val="97"/>
              </w:rPr>
              <w:t>Organic</w:t>
            </w:r>
          </w:p>
        </w:tc>
      </w:tr>
      <w:tr>
        <w:trPr>
          <w:trHeight w:val="149"/>
        </w:trPr>
        <w:tc>
          <w:tcPr>
            <w:tcW w:w="3520" w:type="dxa"/>
            <w:vAlign w:val="bottom"/>
            <w:shd w:val="clear" w:color="auto" w:fill="97AAD0"/>
          </w:tcPr>
          <w:p>
            <w:pPr>
              <w:ind w:left="100"/>
              <w:spacing w:after="0"/>
              <w:rPr>
                <w:sz w:val="20"/>
                <w:szCs w:val="20"/>
                <w:color w:val="auto"/>
              </w:rPr>
            </w:pPr>
            <w:r>
              <w:rPr>
                <w:rFonts w:ascii="Arial" w:cs="Arial" w:eastAsia="Arial" w:hAnsi="Arial"/>
                <w:sz w:val="13"/>
                <w:szCs w:val="13"/>
                <w:b w:val="1"/>
                <w:bCs w:val="1"/>
                <w:i w:val="1"/>
                <w:iCs w:val="1"/>
                <w:color w:val="auto"/>
              </w:rPr>
              <w:t>Amounts represent 2024</w:t>
            </w:r>
          </w:p>
        </w:tc>
        <w:tc>
          <w:tcPr>
            <w:tcW w:w="520" w:type="dxa"/>
            <w:vAlign w:val="bottom"/>
            <w:shd w:val="clear" w:color="auto" w:fill="97AAD0"/>
          </w:tcPr>
          <w:p>
            <w:pPr>
              <w:spacing w:after="0"/>
              <w:rPr>
                <w:sz w:val="12"/>
                <w:szCs w:val="12"/>
                <w:color w:val="auto"/>
              </w:rPr>
            </w:pPr>
          </w:p>
        </w:tc>
        <w:tc>
          <w:tcPr>
            <w:tcW w:w="920" w:type="dxa"/>
            <w:vAlign w:val="bottom"/>
            <w:shd w:val="clear" w:color="auto" w:fill="97AAD0"/>
          </w:tcPr>
          <w:p>
            <w:pPr>
              <w:jc w:val="center"/>
              <w:ind w:right="221"/>
              <w:spacing w:after="0"/>
              <w:rPr>
                <w:sz w:val="20"/>
                <w:szCs w:val="20"/>
                <w:color w:val="auto"/>
              </w:rPr>
            </w:pPr>
            <w:r>
              <w:rPr>
                <w:rFonts w:ascii="Arial" w:cs="Arial" w:eastAsia="Arial" w:hAnsi="Arial"/>
                <w:sz w:val="13"/>
                <w:szCs w:val="13"/>
                <w:b w:val="1"/>
                <w:bCs w:val="1"/>
                <w:color w:val="auto"/>
              </w:rPr>
              <w:t>Reported</w:t>
            </w:r>
          </w:p>
        </w:tc>
        <w:tc>
          <w:tcPr>
            <w:tcW w:w="1140" w:type="dxa"/>
            <w:vAlign w:val="bottom"/>
            <w:shd w:val="clear" w:color="auto" w:fill="97AAD0"/>
          </w:tcPr>
          <w:p>
            <w:pPr>
              <w:spacing w:after="0"/>
              <w:rPr>
                <w:sz w:val="12"/>
                <w:szCs w:val="12"/>
                <w:color w:val="auto"/>
              </w:rPr>
            </w:pPr>
          </w:p>
        </w:tc>
        <w:tc>
          <w:tcPr>
            <w:tcW w:w="1120" w:type="dxa"/>
            <w:vAlign w:val="bottom"/>
            <w:shd w:val="clear" w:color="auto" w:fill="97AAD0"/>
          </w:tcPr>
          <w:p>
            <w:pPr>
              <w:spacing w:after="0"/>
              <w:rPr>
                <w:sz w:val="12"/>
                <w:szCs w:val="12"/>
                <w:color w:val="auto"/>
              </w:rPr>
            </w:pPr>
          </w:p>
        </w:tc>
        <w:tc>
          <w:tcPr>
            <w:tcW w:w="1160" w:type="dxa"/>
            <w:vAlign w:val="bottom"/>
            <w:shd w:val="clear" w:color="auto" w:fill="97AAD0"/>
          </w:tcPr>
          <w:p>
            <w:pPr>
              <w:jc w:val="right"/>
              <w:ind w:right="302"/>
              <w:spacing w:after="0"/>
              <w:rPr>
                <w:sz w:val="20"/>
                <w:szCs w:val="20"/>
                <w:color w:val="auto"/>
              </w:rPr>
            </w:pPr>
            <w:r>
              <w:rPr>
                <w:rFonts w:ascii="Arial" w:cs="Arial" w:eastAsia="Arial" w:hAnsi="Arial"/>
                <w:sz w:val="13"/>
                <w:szCs w:val="13"/>
                <w:b w:val="1"/>
                <w:bCs w:val="1"/>
                <w:color w:val="auto"/>
              </w:rPr>
              <w:t>Variance in</w:t>
            </w:r>
          </w:p>
        </w:tc>
        <w:tc>
          <w:tcPr>
            <w:tcW w:w="1260" w:type="dxa"/>
            <w:vAlign w:val="bottom"/>
            <w:shd w:val="clear" w:color="auto" w:fill="97AAD0"/>
          </w:tcPr>
          <w:p>
            <w:pPr>
              <w:jc w:val="center"/>
              <w:ind w:right="243"/>
              <w:spacing w:after="0"/>
              <w:rPr>
                <w:sz w:val="20"/>
                <w:szCs w:val="20"/>
                <w:color w:val="auto"/>
              </w:rPr>
            </w:pPr>
            <w:r>
              <w:rPr>
                <w:rFonts w:ascii="Arial" w:cs="Arial" w:eastAsia="Arial" w:hAnsi="Arial"/>
                <w:sz w:val="13"/>
                <w:szCs w:val="13"/>
                <w:b w:val="1"/>
                <w:bCs w:val="1"/>
                <w:color w:val="auto"/>
                <w:w w:val="99"/>
              </w:rPr>
              <w:t>Dispositions</w:t>
            </w:r>
          </w:p>
        </w:tc>
        <w:tc>
          <w:tcPr>
            <w:tcW w:w="1160" w:type="dxa"/>
            <w:vAlign w:val="bottom"/>
            <w:shd w:val="clear" w:color="auto" w:fill="97AAD0"/>
          </w:tcPr>
          <w:p>
            <w:pPr>
              <w:jc w:val="center"/>
              <w:ind w:right="202"/>
              <w:spacing w:after="0"/>
              <w:rPr>
                <w:sz w:val="20"/>
                <w:szCs w:val="20"/>
                <w:color w:val="auto"/>
              </w:rPr>
            </w:pPr>
            <w:r>
              <w:rPr>
                <w:rFonts w:ascii="Arial" w:cs="Arial" w:eastAsia="Arial" w:hAnsi="Arial"/>
                <w:sz w:val="13"/>
                <w:szCs w:val="13"/>
                <w:b w:val="1"/>
                <w:bCs w:val="1"/>
                <w:color w:val="auto"/>
                <w:w w:val="99"/>
              </w:rPr>
              <w:t>Constant</w:t>
            </w:r>
          </w:p>
        </w:tc>
      </w:tr>
      <w:tr>
        <w:trPr>
          <w:trHeight w:val="149"/>
        </w:trPr>
        <w:tc>
          <w:tcPr>
            <w:tcW w:w="3520" w:type="dxa"/>
            <w:vAlign w:val="bottom"/>
            <w:shd w:val="clear" w:color="auto" w:fill="97AAD0"/>
          </w:tcPr>
          <w:p>
            <w:pPr>
              <w:ind w:left="100"/>
              <w:spacing w:after="0"/>
              <w:rPr>
                <w:sz w:val="20"/>
                <w:szCs w:val="20"/>
                <w:color w:val="auto"/>
              </w:rPr>
            </w:pPr>
            <w:r>
              <w:rPr>
                <w:rFonts w:ascii="Arial" w:cs="Arial" w:eastAsia="Arial" w:hAnsi="Arial"/>
                <w:sz w:val="13"/>
                <w:szCs w:val="13"/>
                <w:b w:val="1"/>
                <w:bCs w:val="1"/>
                <w:i w:val="1"/>
                <w:iCs w:val="1"/>
                <w:color w:val="auto"/>
              </w:rPr>
              <w:t>Percentages represent 2024 compared</w:t>
            </w:r>
          </w:p>
        </w:tc>
        <w:tc>
          <w:tcPr>
            <w:tcW w:w="520" w:type="dxa"/>
            <w:vAlign w:val="bottom"/>
            <w:shd w:val="clear" w:color="auto" w:fill="97AAD0"/>
          </w:tcPr>
          <w:p>
            <w:pPr>
              <w:spacing w:after="0"/>
              <w:rPr>
                <w:sz w:val="12"/>
                <w:szCs w:val="12"/>
                <w:color w:val="auto"/>
              </w:rPr>
            </w:pPr>
          </w:p>
        </w:tc>
        <w:tc>
          <w:tcPr>
            <w:tcW w:w="920" w:type="dxa"/>
            <w:vAlign w:val="bottom"/>
            <w:shd w:val="clear" w:color="auto" w:fill="97AAD0"/>
          </w:tcPr>
          <w:p>
            <w:pPr>
              <w:jc w:val="center"/>
              <w:ind w:right="221"/>
              <w:spacing w:after="0"/>
              <w:rPr>
                <w:sz w:val="20"/>
                <w:szCs w:val="20"/>
                <w:color w:val="auto"/>
              </w:rPr>
            </w:pPr>
            <w:r>
              <w:rPr>
                <w:rFonts w:ascii="Arial" w:cs="Arial" w:eastAsia="Arial" w:hAnsi="Arial"/>
                <w:sz w:val="13"/>
                <w:szCs w:val="13"/>
                <w:b w:val="1"/>
                <w:bCs w:val="1"/>
                <w:color w:val="auto"/>
              </w:rPr>
              <w:t>Amount</w:t>
            </w:r>
          </w:p>
        </w:tc>
        <w:tc>
          <w:tcPr>
            <w:tcW w:w="1140" w:type="dxa"/>
            <w:vAlign w:val="bottom"/>
            <w:shd w:val="clear" w:color="auto" w:fill="97AAD0"/>
          </w:tcPr>
          <w:p>
            <w:pPr>
              <w:jc w:val="right"/>
              <w:ind w:right="361"/>
              <w:spacing w:after="0"/>
              <w:rPr>
                <w:sz w:val="20"/>
                <w:szCs w:val="20"/>
                <w:color w:val="auto"/>
              </w:rPr>
            </w:pPr>
            <w:r>
              <w:rPr>
                <w:rFonts w:ascii="Arial" w:cs="Arial" w:eastAsia="Arial" w:hAnsi="Arial"/>
                <w:sz w:val="13"/>
                <w:szCs w:val="13"/>
                <w:b w:val="1"/>
                <w:bCs w:val="1"/>
                <w:color w:val="auto"/>
              </w:rPr>
              <w:t>Reported</w:t>
            </w:r>
          </w:p>
        </w:tc>
        <w:tc>
          <w:tcPr>
            <w:tcW w:w="1120" w:type="dxa"/>
            <w:vAlign w:val="bottom"/>
            <w:shd w:val="clear" w:color="auto" w:fill="97AAD0"/>
          </w:tcPr>
          <w:p>
            <w:pPr>
              <w:jc w:val="right"/>
              <w:ind w:right="341"/>
              <w:spacing w:after="0"/>
              <w:rPr>
                <w:sz w:val="20"/>
                <w:szCs w:val="20"/>
                <w:color w:val="auto"/>
              </w:rPr>
            </w:pPr>
            <w:r>
              <w:rPr>
                <w:rFonts w:ascii="Arial" w:cs="Arial" w:eastAsia="Arial" w:hAnsi="Arial"/>
                <w:sz w:val="13"/>
                <w:szCs w:val="13"/>
                <w:b w:val="1"/>
                <w:bCs w:val="1"/>
                <w:color w:val="auto"/>
              </w:rPr>
              <w:t>Impact of</w:t>
            </w:r>
          </w:p>
        </w:tc>
        <w:tc>
          <w:tcPr>
            <w:tcW w:w="1160" w:type="dxa"/>
            <w:vAlign w:val="bottom"/>
            <w:shd w:val="clear" w:color="auto" w:fill="97AAD0"/>
          </w:tcPr>
          <w:p>
            <w:pPr>
              <w:jc w:val="right"/>
              <w:ind w:right="362"/>
              <w:spacing w:after="0"/>
              <w:rPr>
                <w:sz w:val="20"/>
                <w:szCs w:val="20"/>
                <w:color w:val="auto"/>
              </w:rPr>
            </w:pPr>
            <w:r>
              <w:rPr>
                <w:rFonts w:ascii="Arial" w:cs="Arial" w:eastAsia="Arial" w:hAnsi="Arial"/>
                <w:sz w:val="13"/>
                <w:szCs w:val="13"/>
                <w:b w:val="1"/>
                <w:bCs w:val="1"/>
                <w:color w:val="auto"/>
              </w:rPr>
              <w:t>Constant</w:t>
            </w:r>
          </w:p>
        </w:tc>
        <w:tc>
          <w:tcPr>
            <w:tcW w:w="1260" w:type="dxa"/>
            <w:vAlign w:val="bottom"/>
            <w:shd w:val="clear" w:color="auto" w:fill="97AAD0"/>
          </w:tcPr>
          <w:p>
            <w:pPr>
              <w:jc w:val="center"/>
              <w:ind w:right="263"/>
              <w:spacing w:after="0"/>
              <w:rPr>
                <w:sz w:val="20"/>
                <w:szCs w:val="20"/>
                <w:color w:val="auto"/>
              </w:rPr>
            </w:pPr>
            <w:r>
              <w:rPr>
                <w:rFonts w:ascii="Arial" w:cs="Arial" w:eastAsia="Arial" w:hAnsi="Arial"/>
                <w:sz w:val="13"/>
                <w:szCs w:val="13"/>
                <w:b w:val="1"/>
                <w:bCs w:val="1"/>
                <w:color w:val="auto"/>
              </w:rPr>
              <w:t>(in Constant</w:t>
            </w:r>
          </w:p>
        </w:tc>
        <w:tc>
          <w:tcPr>
            <w:tcW w:w="1160" w:type="dxa"/>
            <w:vAlign w:val="bottom"/>
            <w:shd w:val="clear" w:color="auto" w:fill="97AAD0"/>
          </w:tcPr>
          <w:p>
            <w:pPr>
              <w:jc w:val="center"/>
              <w:ind w:right="202"/>
              <w:spacing w:after="0"/>
              <w:rPr>
                <w:sz w:val="20"/>
                <w:szCs w:val="20"/>
                <w:color w:val="auto"/>
              </w:rPr>
            </w:pPr>
            <w:r>
              <w:rPr>
                <w:rFonts w:ascii="Arial" w:cs="Arial" w:eastAsia="Arial" w:hAnsi="Arial"/>
                <w:sz w:val="13"/>
                <w:szCs w:val="13"/>
                <w:b w:val="1"/>
                <w:bCs w:val="1"/>
                <w:color w:val="auto"/>
                <w:w w:val="98"/>
              </w:rPr>
              <w:t>Currency</w:t>
            </w:r>
          </w:p>
        </w:tc>
      </w:tr>
      <w:tr>
        <w:trPr>
          <w:trHeight w:val="191"/>
        </w:trPr>
        <w:tc>
          <w:tcPr>
            <w:tcW w:w="3520" w:type="dxa"/>
            <w:vAlign w:val="bottom"/>
            <w:tcBorders>
              <w:bottom w:val="single" w:sz="8" w:color="97AAD0"/>
            </w:tcBorders>
            <w:shd w:val="clear" w:color="auto" w:fill="97AAD0"/>
          </w:tcPr>
          <w:p>
            <w:pPr>
              <w:ind w:left="100"/>
              <w:spacing w:after="0"/>
              <w:rPr>
                <w:sz w:val="20"/>
                <w:szCs w:val="20"/>
                <w:color w:val="auto"/>
              </w:rPr>
            </w:pPr>
            <w:r>
              <w:rPr>
                <w:rFonts w:ascii="Arial" w:cs="Arial" w:eastAsia="Arial" w:hAnsi="Arial"/>
                <w:sz w:val="13"/>
                <w:szCs w:val="13"/>
                <w:b w:val="1"/>
                <w:bCs w:val="1"/>
                <w:i w:val="1"/>
                <w:iCs w:val="1"/>
                <w:color w:val="auto"/>
              </w:rPr>
              <w:t>to 2023</w:t>
            </w:r>
          </w:p>
        </w:tc>
        <w:tc>
          <w:tcPr>
            <w:tcW w:w="1440" w:type="dxa"/>
            <w:vAlign w:val="bottom"/>
            <w:tcBorders>
              <w:bottom w:val="single" w:sz="8" w:color="97AAD0"/>
            </w:tcBorders>
            <w:gridSpan w:val="2"/>
            <w:shd w:val="clear" w:color="auto" w:fill="97AAD0"/>
          </w:tcPr>
          <w:p>
            <w:pPr>
              <w:jc w:val="center"/>
              <w:ind w:left="143"/>
              <w:spacing w:after="0"/>
              <w:rPr>
                <w:sz w:val="20"/>
                <w:szCs w:val="20"/>
                <w:color w:val="auto"/>
              </w:rPr>
            </w:pPr>
            <w:r>
              <w:rPr>
                <w:rFonts w:ascii="Arial" w:cs="Arial" w:eastAsia="Arial" w:hAnsi="Arial"/>
                <w:sz w:val="13"/>
                <w:szCs w:val="13"/>
                <w:b w:val="1"/>
                <w:bCs w:val="1"/>
                <w:color w:val="auto"/>
              </w:rPr>
              <w:t>(in millions)</w:t>
            </w:r>
          </w:p>
        </w:tc>
        <w:tc>
          <w:tcPr>
            <w:tcW w:w="1140" w:type="dxa"/>
            <w:vAlign w:val="bottom"/>
            <w:tcBorders>
              <w:bottom w:val="single" w:sz="8" w:color="97AAD0"/>
            </w:tcBorders>
            <w:shd w:val="clear" w:color="auto" w:fill="97AAD0"/>
          </w:tcPr>
          <w:p>
            <w:pPr>
              <w:jc w:val="right"/>
              <w:ind w:right="361"/>
              <w:spacing w:after="0"/>
              <w:rPr>
                <w:sz w:val="20"/>
                <w:szCs w:val="20"/>
                <w:color w:val="auto"/>
              </w:rPr>
            </w:pPr>
            <w:r>
              <w:rPr>
                <w:rFonts w:ascii="Arial" w:cs="Arial" w:eastAsia="Arial" w:hAnsi="Arial"/>
                <w:sz w:val="13"/>
                <w:szCs w:val="13"/>
                <w:b w:val="1"/>
                <w:bCs w:val="1"/>
                <w:color w:val="auto"/>
              </w:rPr>
              <w:t>Variance</w:t>
            </w:r>
          </w:p>
        </w:tc>
        <w:tc>
          <w:tcPr>
            <w:tcW w:w="1120" w:type="dxa"/>
            <w:vAlign w:val="bottom"/>
            <w:tcBorders>
              <w:bottom w:val="single" w:sz="8" w:color="97AAD0"/>
            </w:tcBorders>
            <w:shd w:val="clear" w:color="auto" w:fill="97AAD0"/>
          </w:tcPr>
          <w:p>
            <w:pPr>
              <w:jc w:val="right"/>
              <w:ind w:right="361"/>
              <w:spacing w:after="0"/>
              <w:rPr>
                <w:sz w:val="20"/>
                <w:szCs w:val="20"/>
                <w:color w:val="auto"/>
              </w:rPr>
            </w:pPr>
            <w:r>
              <w:rPr>
                <w:rFonts w:ascii="Arial" w:cs="Arial" w:eastAsia="Arial" w:hAnsi="Arial"/>
                <w:sz w:val="13"/>
                <w:szCs w:val="13"/>
                <w:b w:val="1"/>
                <w:bCs w:val="1"/>
                <w:color w:val="auto"/>
              </w:rPr>
              <w:t>Currency</w:t>
            </w:r>
          </w:p>
        </w:tc>
        <w:tc>
          <w:tcPr>
            <w:tcW w:w="1160" w:type="dxa"/>
            <w:vAlign w:val="bottom"/>
            <w:tcBorders>
              <w:bottom w:val="single" w:sz="8" w:color="97AAD0"/>
            </w:tcBorders>
            <w:shd w:val="clear" w:color="auto" w:fill="97AAD0"/>
          </w:tcPr>
          <w:p>
            <w:pPr>
              <w:jc w:val="right"/>
              <w:ind w:right="362"/>
              <w:spacing w:after="0"/>
              <w:rPr>
                <w:sz w:val="20"/>
                <w:szCs w:val="20"/>
                <w:color w:val="auto"/>
              </w:rPr>
            </w:pPr>
            <w:r>
              <w:rPr>
                <w:rFonts w:ascii="Arial" w:cs="Arial" w:eastAsia="Arial" w:hAnsi="Arial"/>
                <w:sz w:val="13"/>
                <w:szCs w:val="13"/>
                <w:b w:val="1"/>
                <w:bCs w:val="1"/>
                <w:color w:val="auto"/>
              </w:rPr>
              <w:t>Currency</w:t>
            </w:r>
          </w:p>
        </w:tc>
        <w:tc>
          <w:tcPr>
            <w:tcW w:w="1260" w:type="dxa"/>
            <w:vAlign w:val="bottom"/>
            <w:tcBorders>
              <w:bottom w:val="single" w:sz="8" w:color="97AAD0"/>
            </w:tcBorders>
            <w:shd w:val="clear" w:color="auto" w:fill="97AAD0"/>
          </w:tcPr>
          <w:p>
            <w:pPr>
              <w:jc w:val="center"/>
              <w:ind w:right="243"/>
              <w:spacing w:after="0"/>
              <w:rPr>
                <w:sz w:val="20"/>
                <w:szCs w:val="20"/>
                <w:color w:val="auto"/>
              </w:rPr>
            </w:pPr>
            <w:r>
              <w:rPr>
                <w:rFonts w:ascii="Arial" w:cs="Arial" w:eastAsia="Arial" w:hAnsi="Arial"/>
                <w:sz w:val="13"/>
                <w:szCs w:val="13"/>
                <w:b w:val="1"/>
                <w:bCs w:val="1"/>
                <w:color w:val="auto"/>
              </w:rPr>
              <w:t>Currency)</w:t>
            </w:r>
          </w:p>
        </w:tc>
        <w:tc>
          <w:tcPr>
            <w:tcW w:w="1160" w:type="dxa"/>
            <w:vAlign w:val="bottom"/>
            <w:tcBorders>
              <w:bottom w:val="single" w:sz="8" w:color="97AAD0"/>
            </w:tcBorders>
            <w:shd w:val="clear" w:color="auto" w:fill="97AAD0"/>
          </w:tcPr>
          <w:p>
            <w:pPr>
              <w:jc w:val="center"/>
              <w:ind w:right="202"/>
              <w:spacing w:after="0"/>
              <w:rPr>
                <w:sz w:val="20"/>
                <w:szCs w:val="20"/>
                <w:color w:val="auto"/>
              </w:rPr>
            </w:pPr>
            <w:r>
              <w:rPr>
                <w:rFonts w:ascii="Arial" w:cs="Arial" w:eastAsia="Arial" w:hAnsi="Arial"/>
                <w:sz w:val="13"/>
                <w:szCs w:val="13"/>
                <w:b w:val="1"/>
                <w:bCs w:val="1"/>
                <w:color w:val="auto"/>
              </w:rPr>
              <w:t>Variance</w:t>
            </w:r>
          </w:p>
        </w:tc>
      </w:tr>
      <w:tr>
        <w:trPr>
          <w:trHeight w:val="220"/>
        </w:trPr>
        <w:tc>
          <w:tcPr>
            <w:tcW w:w="352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6"/>
                <w:szCs w:val="16"/>
                <w:b w:val="1"/>
                <w:bCs w:val="1"/>
                <w:color w:val="auto"/>
              </w:rPr>
              <w:t>Revenues from Services</w:t>
            </w:r>
          </w:p>
        </w:tc>
        <w:tc>
          <w:tcPr>
            <w:tcW w:w="520" w:type="dxa"/>
            <w:vAlign w:val="bottom"/>
            <w:tcBorders>
              <w:top w:val="single" w:sz="8" w:color="auto"/>
            </w:tcBorders>
            <w:shd w:val="clear" w:color="auto" w:fill="E5E9F3"/>
          </w:tcPr>
          <w:p>
            <w:pPr>
              <w:spacing w:after="0"/>
              <w:rPr>
                <w:sz w:val="19"/>
                <w:szCs w:val="19"/>
                <w:color w:val="auto"/>
              </w:rPr>
            </w:pPr>
          </w:p>
        </w:tc>
        <w:tc>
          <w:tcPr>
            <w:tcW w:w="920" w:type="dxa"/>
            <w:vAlign w:val="bottom"/>
            <w:tcBorders>
              <w:top w:val="single" w:sz="8" w:color="auto"/>
            </w:tcBorders>
            <w:shd w:val="clear" w:color="auto" w:fill="E5E9F3"/>
          </w:tcPr>
          <w:p>
            <w:pPr>
              <w:spacing w:after="0"/>
              <w:rPr>
                <w:sz w:val="19"/>
                <w:szCs w:val="19"/>
                <w:color w:val="auto"/>
              </w:rPr>
            </w:pPr>
          </w:p>
        </w:tc>
        <w:tc>
          <w:tcPr>
            <w:tcW w:w="1140" w:type="dxa"/>
            <w:vAlign w:val="bottom"/>
            <w:tcBorders>
              <w:top w:val="single" w:sz="8" w:color="auto"/>
            </w:tcBorders>
            <w:shd w:val="clear" w:color="auto" w:fill="E5E9F3"/>
          </w:tcPr>
          <w:p>
            <w:pPr>
              <w:spacing w:after="0"/>
              <w:rPr>
                <w:sz w:val="19"/>
                <w:szCs w:val="19"/>
                <w:color w:val="auto"/>
              </w:rPr>
            </w:pPr>
          </w:p>
        </w:tc>
        <w:tc>
          <w:tcPr>
            <w:tcW w:w="1120" w:type="dxa"/>
            <w:vAlign w:val="bottom"/>
            <w:tcBorders>
              <w:top w:val="single" w:sz="8" w:color="auto"/>
            </w:tcBorders>
            <w:shd w:val="clear" w:color="auto" w:fill="E5E9F3"/>
          </w:tcPr>
          <w:p>
            <w:pPr>
              <w:spacing w:after="0"/>
              <w:rPr>
                <w:sz w:val="19"/>
                <w:szCs w:val="19"/>
                <w:color w:val="auto"/>
              </w:rPr>
            </w:pPr>
          </w:p>
        </w:tc>
        <w:tc>
          <w:tcPr>
            <w:tcW w:w="1160" w:type="dxa"/>
            <w:vAlign w:val="bottom"/>
            <w:tcBorders>
              <w:top w:val="single" w:sz="8" w:color="auto"/>
            </w:tcBorders>
            <w:shd w:val="clear" w:color="auto" w:fill="E5E9F3"/>
          </w:tcPr>
          <w:p>
            <w:pPr>
              <w:spacing w:after="0"/>
              <w:rPr>
                <w:sz w:val="19"/>
                <w:szCs w:val="19"/>
                <w:color w:val="auto"/>
              </w:rPr>
            </w:pPr>
          </w:p>
        </w:tc>
        <w:tc>
          <w:tcPr>
            <w:tcW w:w="1260" w:type="dxa"/>
            <w:vAlign w:val="bottom"/>
            <w:tcBorders>
              <w:top w:val="single" w:sz="8" w:color="auto"/>
            </w:tcBorders>
            <w:shd w:val="clear" w:color="auto" w:fill="E5E9F3"/>
          </w:tcPr>
          <w:p>
            <w:pPr>
              <w:spacing w:after="0"/>
              <w:rPr>
                <w:sz w:val="19"/>
                <w:szCs w:val="19"/>
                <w:color w:val="auto"/>
              </w:rPr>
            </w:pPr>
          </w:p>
        </w:tc>
        <w:tc>
          <w:tcPr>
            <w:tcW w:w="1160" w:type="dxa"/>
            <w:vAlign w:val="bottom"/>
            <w:tcBorders>
              <w:top w:val="single" w:sz="8" w:color="auto"/>
            </w:tcBorders>
            <w:shd w:val="clear" w:color="auto" w:fill="E5E9F3"/>
          </w:tcPr>
          <w:p>
            <w:pPr>
              <w:spacing w:after="0"/>
              <w:rPr>
                <w:sz w:val="19"/>
                <w:szCs w:val="19"/>
                <w:color w:val="auto"/>
              </w:rPr>
            </w:pPr>
          </w:p>
        </w:tc>
      </w:tr>
      <w:tr>
        <w:trPr>
          <w:trHeight w:val="228"/>
        </w:trPr>
        <w:tc>
          <w:tcPr>
            <w:tcW w:w="3520" w:type="dxa"/>
            <w:vAlign w:val="bottom"/>
          </w:tcPr>
          <w:p>
            <w:pPr>
              <w:ind w:left="300"/>
              <w:spacing w:after="0"/>
              <w:rPr>
                <w:sz w:val="20"/>
                <w:szCs w:val="20"/>
                <w:color w:val="auto"/>
              </w:rPr>
            </w:pPr>
            <w:r>
              <w:rPr>
                <w:rFonts w:ascii="Arial" w:cs="Arial" w:eastAsia="Arial" w:hAnsi="Arial"/>
                <w:sz w:val="16"/>
                <w:szCs w:val="16"/>
                <w:color w:val="auto"/>
              </w:rPr>
              <w:t>Americas:</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3520" w:type="dxa"/>
            <w:vAlign w:val="bottom"/>
            <w:shd w:val="clear" w:color="auto" w:fill="E5E9F3"/>
          </w:tcPr>
          <w:p>
            <w:pPr>
              <w:ind w:left="500"/>
              <w:spacing w:after="0"/>
              <w:rPr>
                <w:sz w:val="20"/>
                <w:szCs w:val="20"/>
                <w:color w:val="auto"/>
              </w:rPr>
            </w:pPr>
            <w:r>
              <w:rPr>
                <w:rFonts w:ascii="Arial" w:cs="Arial" w:eastAsia="Arial" w:hAnsi="Arial"/>
                <w:sz w:val="16"/>
                <w:szCs w:val="16"/>
                <w:color w:val="auto"/>
              </w:rPr>
              <w:t>United States</w:t>
            </w:r>
          </w:p>
        </w:tc>
        <w:tc>
          <w:tcPr>
            <w:tcW w:w="520" w:type="dxa"/>
            <w:vAlign w:val="bottom"/>
            <w:shd w:val="clear" w:color="auto" w:fill="E5E9F3"/>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9F3"/>
          </w:tcPr>
          <w:p>
            <w:pPr>
              <w:jc w:val="right"/>
              <w:ind w:right="121"/>
              <w:spacing w:after="0"/>
              <w:rPr>
                <w:sz w:val="20"/>
                <w:szCs w:val="20"/>
                <w:color w:val="auto"/>
              </w:rPr>
            </w:pPr>
            <w:r>
              <w:rPr>
                <w:rFonts w:ascii="Arial" w:cs="Arial" w:eastAsia="Arial" w:hAnsi="Arial"/>
                <w:sz w:val="16"/>
                <w:szCs w:val="16"/>
                <w:color w:val="auto"/>
              </w:rPr>
              <w:t>2,766.6</w:t>
            </w:r>
          </w:p>
        </w:tc>
        <w:tc>
          <w:tcPr>
            <w:tcW w:w="1140" w:type="dxa"/>
            <w:vAlign w:val="bottom"/>
            <w:shd w:val="clear" w:color="auto" w:fill="E5E9F3"/>
          </w:tcPr>
          <w:p>
            <w:pPr>
              <w:jc w:val="right"/>
              <w:ind w:right="21"/>
              <w:spacing w:after="0"/>
              <w:rPr>
                <w:sz w:val="20"/>
                <w:szCs w:val="20"/>
                <w:color w:val="auto"/>
              </w:rPr>
            </w:pPr>
            <w:r>
              <w:rPr>
                <w:rFonts w:ascii="Arial" w:cs="Arial" w:eastAsia="Arial" w:hAnsi="Arial"/>
                <w:sz w:val="16"/>
                <w:szCs w:val="16"/>
                <w:color w:val="auto"/>
              </w:rPr>
              <w:t>(3.5)%</w:t>
            </w:r>
          </w:p>
        </w:tc>
        <w:tc>
          <w:tcPr>
            <w:tcW w:w="1120" w:type="dxa"/>
            <w:vAlign w:val="bottom"/>
            <w:shd w:val="clear" w:color="auto" w:fill="E5E9F3"/>
          </w:tcPr>
          <w:p>
            <w:pPr>
              <w:jc w:val="right"/>
              <w:ind w:right="2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2"/>
              <w:spacing w:after="0"/>
              <w:rPr>
                <w:sz w:val="20"/>
                <w:szCs w:val="20"/>
                <w:color w:val="auto"/>
              </w:rPr>
            </w:pPr>
            <w:r>
              <w:rPr>
                <w:rFonts w:ascii="Arial" w:cs="Arial" w:eastAsia="Arial" w:hAnsi="Arial"/>
                <w:sz w:val="16"/>
                <w:szCs w:val="16"/>
                <w:color w:val="auto"/>
              </w:rPr>
              <w:t>(3.5)%</w:t>
            </w:r>
          </w:p>
        </w:tc>
        <w:tc>
          <w:tcPr>
            <w:tcW w:w="1260" w:type="dxa"/>
            <w:vAlign w:val="bottom"/>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35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Americas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1,458.3</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(5.8)</w:t>
            </w: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(21.0)</w:t>
            </w: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15.2</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15.2</w:t>
            </w:r>
          </w:p>
        </w:tc>
      </w:tr>
      <w:tr>
        <w:trPr>
          <w:trHeight w:val="219"/>
        </w:trPr>
        <w:tc>
          <w:tcPr>
            <w:tcW w:w="3520" w:type="dxa"/>
            <w:vAlign w:val="bottom"/>
            <w:tcBorders>
              <w:bottom w:val="single" w:sz="8" w:color="auto"/>
            </w:tcBorders>
            <w:shd w:val="clear" w:color="auto" w:fill="E5E9F3"/>
          </w:tcPr>
          <w:p>
            <w:pPr>
              <w:spacing w:after="0"/>
              <w:rPr>
                <w:sz w:val="19"/>
                <w:szCs w:val="19"/>
                <w:color w:val="auto"/>
              </w:rPr>
            </w:pPr>
          </w:p>
        </w:tc>
        <w:tc>
          <w:tcPr>
            <w:tcW w:w="5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4,224.9</w:t>
            </w:r>
          </w:p>
        </w:tc>
        <w:tc>
          <w:tcPr>
            <w:tcW w:w="114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(4.3)</w:t>
            </w:r>
          </w:p>
        </w:tc>
        <w:tc>
          <w:tcPr>
            <w:tcW w:w="112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(7.4)</w:t>
            </w:r>
          </w:p>
        </w:tc>
        <w:tc>
          <w:tcPr>
            <w:tcW w:w="1160" w:type="dxa"/>
            <w:vAlign w:val="bottom"/>
            <w:tcBorders>
              <w:bottom w:val="single" w:sz="8" w:color="auto"/>
            </w:tcBorders>
            <w:shd w:val="clear" w:color="auto" w:fill="E5E9F3"/>
          </w:tcPr>
          <w:p>
            <w:pPr>
              <w:jc w:val="right"/>
              <w:ind w:right="202"/>
              <w:spacing w:after="0"/>
              <w:rPr>
                <w:sz w:val="20"/>
                <w:szCs w:val="20"/>
                <w:color w:val="auto"/>
              </w:rPr>
            </w:pPr>
            <w:r>
              <w:rPr>
                <w:rFonts w:ascii="Arial" w:cs="Arial" w:eastAsia="Arial" w:hAnsi="Arial"/>
                <w:sz w:val="16"/>
                <w:szCs w:val="16"/>
                <w:color w:val="auto"/>
              </w:rPr>
              <w:t>3.1</w:t>
            </w:r>
          </w:p>
        </w:tc>
        <w:tc>
          <w:tcPr>
            <w:tcW w:w="1260" w:type="dxa"/>
            <w:vAlign w:val="bottom"/>
            <w:tcBorders>
              <w:bottom w:val="single" w:sz="8" w:color="auto"/>
            </w:tcBorders>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5E9F3"/>
          </w:tcPr>
          <w:p>
            <w:pPr>
              <w:jc w:val="right"/>
              <w:ind w:right="162"/>
              <w:spacing w:after="0"/>
              <w:rPr>
                <w:sz w:val="20"/>
                <w:szCs w:val="20"/>
                <w:color w:val="auto"/>
              </w:rPr>
            </w:pPr>
            <w:r>
              <w:rPr>
                <w:rFonts w:ascii="Arial" w:cs="Arial" w:eastAsia="Arial" w:hAnsi="Arial"/>
                <w:sz w:val="16"/>
                <w:szCs w:val="16"/>
                <w:color w:val="auto"/>
              </w:rPr>
              <w:t>3.1</w:t>
            </w:r>
          </w:p>
        </w:tc>
      </w:tr>
      <w:tr>
        <w:trPr>
          <w:trHeight w:val="221"/>
        </w:trPr>
        <w:tc>
          <w:tcPr>
            <w:tcW w:w="3520" w:type="dxa"/>
            <w:vAlign w:val="bottom"/>
          </w:tcPr>
          <w:p>
            <w:pPr>
              <w:ind w:left="300"/>
              <w:spacing w:after="0"/>
              <w:rPr>
                <w:sz w:val="20"/>
                <w:szCs w:val="20"/>
                <w:color w:val="auto"/>
              </w:rPr>
            </w:pPr>
            <w:r>
              <w:rPr>
                <w:rFonts w:ascii="Arial" w:cs="Arial" w:eastAsia="Arial" w:hAnsi="Arial"/>
                <w:sz w:val="16"/>
                <w:szCs w:val="16"/>
                <w:color w:val="auto"/>
              </w:rPr>
              <w:t>Southern Europe:</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3520" w:type="dxa"/>
            <w:vAlign w:val="bottom"/>
            <w:shd w:val="clear" w:color="auto" w:fill="E5E9F3"/>
          </w:tcPr>
          <w:p>
            <w:pPr>
              <w:ind w:left="500"/>
              <w:spacing w:after="0"/>
              <w:rPr>
                <w:sz w:val="20"/>
                <w:szCs w:val="20"/>
                <w:color w:val="auto"/>
              </w:rPr>
            </w:pPr>
            <w:r>
              <w:rPr>
                <w:rFonts w:ascii="Arial" w:cs="Arial" w:eastAsia="Arial" w:hAnsi="Arial"/>
                <w:sz w:val="16"/>
                <w:szCs w:val="16"/>
                <w:color w:val="auto"/>
              </w:rPr>
              <w:t>France</w:t>
            </w:r>
          </w:p>
        </w:tc>
        <w:tc>
          <w:tcPr>
            <w:tcW w:w="520" w:type="dxa"/>
            <w:vAlign w:val="bottom"/>
            <w:shd w:val="clear" w:color="auto" w:fill="E5E9F3"/>
          </w:tcPr>
          <w:p>
            <w:pPr>
              <w:spacing w:after="0"/>
              <w:rPr>
                <w:sz w:val="20"/>
                <w:szCs w:val="20"/>
                <w:color w:val="auto"/>
              </w:rPr>
            </w:pPr>
          </w:p>
        </w:tc>
        <w:tc>
          <w:tcPr>
            <w:tcW w:w="920" w:type="dxa"/>
            <w:vAlign w:val="bottom"/>
            <w:shd w:val="clear" w:color="auto" w:fill="E5E9F3"/>
          </w:tcPr>
          <w:p>
            <w:pPr>
              <w:jc w:val="right"/>
              <w:ind w:right="121"/>
              <w:spacing w:after="0"/>
              <w:rPr>
                <w:sz w:val="20"/>
                <w:szCs w:val="20"/>
                <w:color w:val="auto"/>
              </w:rPr>
            </w:pPr>
            <w:r>
              <w:rPr>
                <w:rFonts w:ascii="Arial" w:cs="Arial" w:eastAsia="Arial" w:hAnsi="Arial"/>
                <w:sz w:val="16"/>
                <w:szCs w:val="16"/>
                <w:color w:val="auto"/>
              </w:rPr>
              <w:t>4,618.4</w:t>
            </w:r>
          </w:p>
        </w:tc>
        <w:tc>
          <w:tcPr>
            <w:tcW w:w="1140" w:type="dxa"/>
            <w:vAlign w:val="bottom"/>
            <w:shd w:val="clear" w:color="auto" w:fill="E5E9F3"/>
          </w:tcPr>
          <w:p>
            <w:pPr>
              <w:jc w:val="right"/>
              <w:ind w:right="161"/>
              <w:spacing w:after="0"/>
              <w:rPr>
                <w:sz w:val="20"/>
                <w:szCs w:val="20"/>
                <w:color w:val="auto"/>
              </w:rPr>
            </w:pPr>
            <w:r>
              <w:rPr>
                <w:rFonts w:ascii="Arial" w:cs="Arial" w:eastAsia="Arial" w:hAnsi="Arial"/>
                <w:sz w:val="16"/>
                <w:szCs w:val="16"/>
                <w:color w:val="auto"/>
              </w:rPr>
              <w:t>(5.1)</w:t>
            </w:r>
          </w:p>
        </w:tc>
        <w:tc>
          <w:tcPr>
            <w:tcW w:w="1120" w:type="dxa"/>
            <w:vAlign w:val="bottom"/>
            <w:shd w:val="clear" w:color="auto" w:fill="E5E9F3"/>
          </w:tcPr>
          <w:p>
            <w:pPr>
              <w:jc w:val="right"/>
              <w:ind w:right="2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142"/>
              <w:spacing w:after="0"/>
              <w:rPr>
                <w:sz w:val="20"/>
                <w:szCs w:val="20"/>
                <w:color w:val="auto"/>
              </w:rPr>
            </w:pPr>
            <w:r>
              <w:rPr>
                <w:rFonts w:ascii="Arial" w:cs="Arial" w:eastAsia="Arial" w:hAnsi="Arial"/>
                <w:sz w:val="16"/>
                <w:szCs w:val="16"/>
                <w:color w:val="auto"/>
              </w:rPr>
              <w:t>(5.1)</w:t>
            </w:r>
          </w:p>
        </w:tc>
        <w:tc>
          <w:tcPr>
            <w:tcW w:w="1260" w:type="dxa"/>
            <w:vAlign w:val="bottom"/>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82"/>
              <w:spacing w:after="0"/>
              <w:rPr>
                <w:sz w:val="20"/>
                <w:szCs w:val="20"/>
                <w:color w:val="auto"/>
              </w:rPr>
            </w:pPr>
            <w:r>
              <w:rPr>
                <w:rFonts w:ascii="Arial" w:cs="Arial" w:eastAsia="Arial" w:hAnsi="Arial"/>
                <w:sz w:val="16"/>
                <w:szCs w:val="16"/>
                <w:color w:val="auto"/>
              </w:rPr>
              <w:t>(5.1)</w:t>
            </w:r>
          </w:p>
        </w:tc>
      </w:tr>
      <w:tr>
        <w:trPr>
          <w:trHeight w:val="227"/>
        </w:trPr>
        <w:tc>
          <w:tcPr>
            <w:tcW w:w="3520" w:type="dxa"/>
            <w:vAlign w:val="bottom"/>
          </w:tcPr>
          <w:p>
            <w:pPr>
              <w:ind w:left="500"/>
              <w:spacing w:after="0"/>
              <w:rPr>
                <w:sz w:val="20"/>
                <w:szCs w:val="20"/>
                <w:color w:val="auto"/>
              </w:rPr>
            </w:pPr>
            <w:r>
              <w:rPr>
                <w:rFonts w:ascii="Arial" w:cs="Arial" w:eastAsia="Arial" w:hAnsi="Arial"/>
                <w:sz w:val="16"/>
                <w:szCs w:val="16"/>
                <w:color w:val="auto"/>
              </w:rPr>
              <w:t>Italy</w:t>
            </w:r>
          </w:p>
        </w:tc>
        <w:tc>
          <w:tcPr>
            <w:tcW w:w="520" w:type="dxa"/>
            <w:vAlign w:val="bottom"/>
          </w:tcPr>
          <w:p>
            <w:pPr>
              <w:spacing w:after="0"/>
              <w:rPr>
                <w:sz w:val="19"/>
                <w:szCs w:val="19"/>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1,677.0</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(0.1)</w:t>
            </w:r>
          </w:p>
        </w:tc>
        <w:tc>
          <w:tcPr>
            <w:tcW w:w="1160" w:type="dxa"/>
            <w:vAlign w:val="bottom"/>
          </w:tcPr>
          <w:p>
            <w:pPr>
              <w:jc w:val="right"/>
              <w:ind w:right="142"/>
              <w:spacing w:after="0"/>
              <w:rPr>
                <w:sz w:val="20"/>
                <w:szCs w:val="20"/>
                <w:color w:val="auto"/>
              </w:rPr>
            </w:pPr>
            <w:r>
              <w:rPr>
                <w:rFonts w:ascii="Arial" w:cs="Arial" w:eastAsia="Arial" w:hAnsi="Arial"/>
                <w:sz w:val="16"/>
                <w:szCs w:val="16"/>
                <w:color w:val="auto"/>
              </w:rPr>
              <w:t>(1.8)</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(1.8)</w:t>
            </w:r>
          </w:p>
        </w:tc>
      </w:tr>
      <w:tr>
        <w:trPr>
          <w:trHeight w:val="231"/>
        </w:trPr>
        <w:tc>
          <w:tcPr>
            <w:tcW w:w="352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6"/>
                <w:szCs w:val="16"/>
                <w:color w:val="auto"/>
              </w:rPr>
              <w:t>Other Southern Europe</w:t>
            </w:r>
          </w:p>
        </w:tc>
        <w:tc>
          <w:tcPr>
            <w:tcW w:w="520" w:type="dxa"/>
            <w:vAlign w:val="bottom"/>
            <w:tcBorders>
              <w:bottom w:val="single" w:sz="8" w:color="auto"/>
            </w:tcBorders>
            <w:shd w:val="clear" w:color="auto" w:fill="E5E9F3"/>
          </w:tcPr>
          <w:p>
            <w:pPr>
              <w:spacing w:after="0"/>
              <w:rPr>
                <w:sz w:val="20"/>
                <w:szCs w:val="20"/>
                <w:color w:val="auto"/>
              </w:rPr>
            </w:pP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1,922.9</w:t>
            </w:r>
          </w:p>
        </w:tc>
        <w:tc>
          <w:tcPr>
            <w:tcW w:w="114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(0.9)</w:t>
            </w:r>
          </w:p>
        </w:tc>
        <w:tc>
          <w:tcPr>
            <w:tcW w:w="112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(0.9)</w:t>
            </w:r>
          </w:p>
        </w:tc>
        <w:tc>
          <w:tcPr>
            <w:tcW w:w="1160" w:type="dxa"/>
            <w:vAlign w:val="bottom"/>
            <w:tcBorders>
              <w:bottom w:val="single" w:sz="8" w:color="auto"/>
            </w:tcBorders>
            <w:shd w:val="clear" w:color="auto" w:fill="E5E9F3"/>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5E9F3"/>
          </w:tcPr>
          <w:p>
            <w:pPr>
              <w:jc w:val="right"/>
              <w:ind w:right="223"/>
              <w:spacing w:after="0"/>
              <w:rPr>
                <w:sz w:val="20"/>
                <w:szCs w:val="20"/>
                <w:color w:val="auto"/>
              </w:rPr>
            </w:pPr>
            <w:r>
              <w:rPr>
                <w:rFonts w:ascii="Arial" w:cs="Arial" w:eastAsia="Arial" w:hAnsi="Arial"/>
                <w:sz w:val="16"/>
                <w:szCs w:val="16"/>
                <w:color w:val="auto"/>
              </w:rPr>
              <w:t>(0.6)</w:t>
            </w:r>
          </w:p>
        </w:tc>
        <w:tc>
          <w:tcPr>
            <w:tcW w:w="1160" w:type="dxa"/>
            <w:vAlign w:val="bottom"/>
            <w:tcBorders>
              <w:bottom w:val="single" w:sz="8" w:color="auto"/>
            </w:tcBorders>
            <w:shd w:val="clear" w:color="auto" w:fill="E5E9F3"/>
          </w:tcPr>
          <w:p>
            <w:pPr>
              <w:jc w:val="right"/>
              <w:ind w:right="162"/>
              <w:spacing w:after="0"/>
              <w:rPr>
                <w:sz w:val="20"/>
                <w:szCs w:val="20"/>
                <w:color w:val="auto"/>
              </w:rPr>
            </w:pPr>
            <w:r>
              <w:rPr>
                <w:rFonts w:ascii="Arial" w:cs="Arial" w:eastAsia="Arial" w:hAnsi="Arial"/>
                <w:sz w:val="16"/>
                <w:szCs w:val="16"/>
                <w:color w:val="auto"/>
              </w:rPr>
              <w:t>0.6</w:t>
            </w:r>
          </w:p>
        </w:tc>
      </w:tr>
      <w:tr>
        <w:trPr>
          <w:trHeight w:val="220"/>
        </w:trPr>
        <w:tc>
          <w:tcPr>
            <w:tcW w:w="3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8,218.3</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(3.5)</w:t>
            </w: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(0.2)</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(3.3)</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(0.2)</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(3.1)</w:t>
            </w:r>
          </w:p>
        </w:tc>
      </w:tr>
      <w:tr>
        <w:trPr>
          <w:trHeight w:val="222"/>
        </w:trPr>
        <w:tc>
          <w:tcPr>
            <w:tcW w:w="3520" w:type="dxa"/>
            <w:vAlign w:val="bottom"/>
            <w:shd w:val="clear" w:color="auto" w:fill="E5E9F3"/>
          </w:tcPr>
          <w:p>
            <w:pPr>
              <w:ind w:left="300"/>
              <w:spacing w:after="0"/>
              <w:rPr>
                <w:sz w:val="20"/>
                <w:szCs w:val="20"/>
                <w:color w:val="auto"/>
              </w:rPr>
            </w:pPr>
            <w:r>
              <w:rPr>
                <w:rFonts w:ascii="Arial" w:cs="Arial" w:eastAsia="Arial" w:hAnsi="Arial"/>
                <w:sz w:val="16"/>
                <w:szCs w:val="16"/>
                <w:color w:val="auto"/>
              </w:rPr>
              <w:t>Northern Europe</w:t>
            </w:r>
          </w:p>
        </w:tc>
        <w:tc>
          <w:tcPr>
            <w:tcW w:w="520" w:type="dxa"/>
            <w:vAlign w:val="bottom"/>
            <w:shd w:val="clear" w:color="auto" w:fill="E5E9F3"/>
          </w:tcPr>
          <w:p>
            <w:pPr>
              <w:spacing w:after="0"/>
              <w:rPr>
                <w:sz w:val="19"/>
                <w:szCs w:val="19"/>
                <w:color w:val="auto"/>
              </w:rPr>
            </w:pPr>
          </w:p>
        </w:tc>
        <w:tc>
          <w:tcPr>
            <w:tcW w:w="920" w:type="dxa"/>
            <w:vAlign w:val="bottom"/>
            <w:shd w:val="clear" w:color="auto" w:fill="E5E9F3"/>
          </w:tcPr>
          <w:p>
            <w:pPr>
              <w:jc w:val="right"/>
              <w:ind w:right="121"/>
              <w:spacing w:after="0"/>
              <w:rPr>
                <w:sz w:val="20"/>
                <w:szCs w:val="20"/>
                <w:color w:val="auto"/>
              </w:rPr>
            </w:pPr>
            <w:r>
              <w:rPr>
                <w:rFonts w:ascii="Arial" w:cs="Arial" w:eastAsia="Arial" w:hAnsi="Arial"/>
                <w:sz w:val="16"/>
                <w:szCs w:val="16"/>
                <w:color w:val="auto"/>
              </w:rPr>
              <w:t>3,304.3</w:t>
            </w:r>
          </w:p>
        </w:tc>
        <w:tc>
          <w:tcPr>
            <w:tcW w:w="1140" w:type="dxa"/>
            <w:vAlign w:val="bottom"/>
            <w:shd w:val="clear" w:color="auto" w:fill="E5E9F3"/>
          </w:tcPr>
          <w:p>
            <w:pPr>
              <w:jc w:val="right"/>
              <w:ind w:right="161"/>
              <w:spacing w:after="0"/>
              <w:rPr>
                <w:sz w:val="20"/>
                <w:szCs w:val="20"/>
                <w:color w:val="auto"/>
              </w:rPr>
            </w:pPr>
            <w:r>
              <w:rPr>
                <w:rFonts w:ascii="Arial" w:cs="Arial" w:eastAsia="Arial" w:hAnsi="Arial"/>
                <w:sz w:val="16"/>
                <w:szCs w:val="16"/>
                <w:color w:val="auto"/>
              </w:rPr>
              <w:t>(11.8)</w:t>
            </w:r>
          </w:p>
        </w:tc>
        <w:tc>
          <w:tcPr>
            <w:tcW w:w="1120" w:type="dxa"/>
            <w:vAlign w:val="bottom"/>
            <w:shd w:val="clear" w:color="auto" w:fill="E5E9F3"/>
          </w:tcPr>
          <w:p>
            <w:pPr>
              <w:jc w:val="right"/>
              <w:ind w:right="241"/>
              <w:spacing w:after="0"/>
              <w:rPr>
                <w:sz w:val="20"/>
                <w:szCs w:val="20"/>
                <w:color w:val="auto"/>
              </w:rPr>
            </w:pPr>
            <w:r>
              <w:rPr>
                <w:rFonts w:ascii="Arial" w:cs="Arial" w:eastAsia="Arial" w:hAnsi="Arial"/>
                <w:sz w:val="16"/>
                <w:szCs w:val="16"/>
                <w:color w:val="auto"/>
              </w:rPr>
              <w:t>1.1</w:t>
            </w:r>
          </w:p>
        </w:tc>
        <w:tc>
          <w:tcPr>
            <w:tcW w:w="1160" w:type="dxa"/>
            <w:vAlign w:val="bottom"/>
            <w:shd w:val="clear" w:color="auto" w:fill="E5E9F3"/>
          </w:tcPr>
          <w:p>
            <w:pPr>
              <w:jc w:val="right"/>
              <w:ind w:right="142"/>
              <w:spacing w:after="0"/>
              <w:rPr>
                <w:sz w:val="20"/>
                <w:szCs w:val="20"/>
                <w:color w:val="auto"/>
              </w:rPr>
            </w:pPr>
            <w:r>
              <w:rPr>
                <w:rFonts w:ascii="Arial" w:cs="Arial" w:eastAsia="Arial" w:hAnsi="Arial"/>
                <w:sz w:val="16"/>
                <w:szCs w:val="16"/>
                <w:color w:val="auto"/>
              </w:rPr>
              <w:t>(12.9)</w:t>
            </w:r>
          </w:p>
        </w:tc>
        <w:tc>
          <w:tcPr>
            <w:tcW w:w="1260" w:type="dxa"/>
            <w:vAlign w:val="bottom"/>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82"/>
              <w:spacing w:after="0"/>
              <w:rPr>
                <w:sz w:val="20"/>
                <w:szCs w:val="20"/>
                <w:color w:val="auto"/>
              </w:rPr>
            </w:pPr>
            <w:r>
              <w:rPr>
                <w:rFonts w:ascii="Arial" w:cs="Arial" w:eastAsia="Arial" w:hAnsi="Arial"/>
                <w:sz w:val="16"/>
                <w:szCs w:val="16"/>
                <w:color w:val="auto"/>
              </w:rPr>
              <w:t>(12.9)</w:t>
            </w:r>
          </w:p>
        </w:tc>
      </w:tr>
      <w:tr>
        <w:trPr>
          <w:trHeight w:val="228"/>
        </w:trPr>
        <w:tc>
          <w:tcPr>
            <w:tcW w:w="3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APME</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2,161.3</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(6.9)</w:t>
            </w: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(4.6)</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(2.3)</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(3.5)</w:t>
            </w: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w:t>
            </w:r>
          </w:p>
        </w:tc>
      </w:tr>
      <w:tr>
        <w:trPr>
          <w:trHeight w:val="220"/>
        </w:trPr>
        <w:tc>
          <w:tcPr>
            <w:tcW w:w="3520" w:type="dxa"/>
            <w:vAlign w:val="bottom"/>
            <w:tcBorders>
              <w:bottom w:val="single" w:sz="8" w:color="auto"/>
            </w:tcBorders>
            <w:shd w:val="clear" w:color="auto" w:fill="E5E9F3"/>
          </w:tcPr>
          <w:p>
            <w:pPr>
              <w:spacing w:after="0"/>
              <w:rPr>
                <w:sz w:val="19"/>
                <w:szCs w:val="19"/>
                <w:color w:val="auto"/>
              </w:rPr>
            </w:pPr>
          </w:p>
        </w:tc>
        <w:tc>
          <w:tcPr>
            <w:tcW w:w="5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17,908.8</w:t>
            </w:r>
          </w:p>
        </w:tc>
        <w:tc>
          <w:tcPr>
            <w:tcW w:w="1140" w:type="dxa"/>
            <w:vAlign w:val="bottom"/>
            <w:tcBorders>
              <w:bottom w:val="single" w:sz="8" w:color="auto"/>
            </w:tcBorders>
            <w:shd w:val="clear" w:color="auto" w:fill="E5E9F3"/>
          </w:tcPr>
          <w:p>
            <w:pPr>
              <w:spacing w:after="0"/>
              <w:rPr>
                <w:sz w:val="19"/>
                <w:szCs w:val="19"/>
                <w:color w:val="auto"/>
              </w:rPr>
            </w:pPr>
          </w:p>
        </w:tc>
        <w:tc>
          <w:tcPr>
            <w:tcW w:w="1120" w:type="dxa"/>
            <w:vAlign w:val="bottom"/>
            <w:tcBorders>
              <w:bottom w:val="single" w:sz="8" w:color="auto"/>
            </w:tcBorders>
            <w:shd w:val="clear" w:color="auto" w:fill="E5E9F3"/>
          </w:tcPr>
          <w:p>
            <w:pPr>
              <w:spacing w:after="0"/>
              <w:rPr>
                <w:sz w:val="19"/>
                <w:szCs w:val="19"/>
                <w:color w:val="auto"/>
              </w:rPr>
            </w:pPr>
          </w:p>
        </w:tc>
        <w:tc>
          <w:tcPr>
            <w:tcW w:w="1160" w:type="dxa"/>
            <w:vAlign w:val="bottom"/>
            <w:tcBorders>
              <w:bottom w:val="single" w:sz="8" w:color="auto"/>
            </w:tcBorders>
            <w:shd w:val="clear" w:color="auto" w:fill="E5E9F3"/>
          </w:tcPr>
          <w:p>
            <w:pPr>
              <w:spacing w:after="0"/>
              <w:rPr>
                <w:sz w:val="19"/>
                <w:szCs w:val="19"/>
                <w:color w:val="auto"/>
              </w:rPr>
            </w:pPr>
          </w:p>
        </w:tc>
        <w:tc>
          <w:tcPr>
            <w:tcW w:w="1260" w:type="dxa"/>
            <w:vAlign w:val="bottom"/>
            <w:tcBorders>
              <w:bottom w:val="single" w:sz="8" w:color="auto"/>
            </w:tcBorders>
            <w:shd w:val="clear" w:color="auto" w:fill="E5E9F3"/>
          </w:tcPr>
          <w:p>
            <w:pPr>
              <w:spacing w:after="0"/>
              <w:rPr>
                <w:sz w:val="19"/>
                <w:szCs w:val="19"/>
                <w:color w:val="auto"/>
              </w:rPr>
            </w:pPr>
          </w:p>
        </w:tc>
        <w:tc>
          <w:tcPr>
            <w:tcW w:w="1160" w:type="dxa"/>
            <w:vAlign w:val="bottom"/>
            <w:tcBorders>
              <w:bottom w:val="single" w:sz="8" w:color="auto"/>
            </w:tcBorders>
            <w:shd w:val="clear" w:color="auto" w:fill="E5E9F3"/>
          </w:tcPr>
          <w:p>
            <w:pPr>
              <w:spacing w:after="0"/>
              <w:rPr>
                <w:sz w:val="19"/>
                <w:szCs w:val="19"/>
                <w:color w:val="auto"/>
              </w:rPr>
            </w:pPr>
          </w:p>
        </w:tc>
      </w:tr>
      <w:tr>
        <w:trPr>
          <w:trHeight w:val="220"/>
        </w:trPr>
        <w:tc>
          <w:tcPr>
            <w:tcW w:w="3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Intercompany Eliminations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(54.9)</w:t>
            </w: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9"/>
        </w:trPr>
        <w:tc>
          <w:tcPr>
            <w:tcW w:w="35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6"/>
                <w:szCs w:val="16"/>
                <w:color w:val="auto"/>
              </w:rPr>
              <w:t>ManpowerGroup</w:t>
            </w:r>
          </w:p>
        </w:tc>
        <w:tc>
          <w:tcPr>
            <w:tcW w:w="5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17,853.9</w:t>
            </w:r>
          </w:p>
        </w:tc>
        <w:tc>
          <w:tcPr>
            <w:tcW w:w="1140" w:type="dxa"/>
            <w:vAlign w:val="bottom"/>
            <w:tcBorders>
              <w:bottom w:val="single" w:sz="8" w:color="auto"/>
            </w:tcBorders>
            <w:shd w:val="clear" w:color="auto" w:fill="E5E9F3"/>
          </w:tcPr>
          <w:p>
            <w:pPr>
              <w:jc w:val="right"/>
              <w:ind w:right="21"/>
              <w:spacing w:after="0"/>
              <w:rPr>
                <w:sz w:val="20"/>
                <w:szCs w:val="20"/>
                <w:color w:val="auto"/>
              </w:rPr>
            </w:pPr>
            <w:r>
              <w:rPr>
                <w:rFonts w:ascii="Arial" w:cs="Arial" w:eastAsia="Arial" w:hAnsi="Arial"/>
                <w:sz w:val="16"/>
                <w:szCs w:val="16"/>
                <w:color w:val="auto"/>
              </w:rPr>
              <w:t>(5.6)%</w:t>
            </w:r>
          </w:p>
        </w:tc>
        <w:tc>
          <w:tcPr>
            <w:tcW w:w="1120" w:type="dxa"/>
            <w:vAlign w:val="bottom"/>
            <w:tcBorders>
              <w:bottom w:val="single" w:sz="8" w:color="auto"/>
            </w:tcBorders>
            <w:shd w:val="clear" w:color="auto" w:fill="E5E9F3"/>
          </w:tcPr>
          <w:p>
            <w:pPr>
              <w:jc w:val="right"/>
              <w:ind w:right="21"/>
              <w:spacing w:after="0"/>
              <w:rPr>
                <w:sz w:val="20"/>
                <w:szCs w:val="20"/>
                <w:color w:val="auto"/>
              </w:rPr>
            </w:pPr>
            <w:r>
              <w:rPr>
                <w:rFonts w:ascii="Arial" w:cs="Arial" w:eastAsia="Arial" w:hAnsi="Arial"/>
                <w:sz w:val="16"/>
                <w:szCs w:val="16"/>
                <w:color w:val="auto"/>
              </w:rPr>
              <w:t>(2.2)%</w:t>
            </w:r>
          </w:p>
        </w:tc>
        <w:tc>
          <w:tcPr>
            <w:tcW w:w="1160" w:type="dxa"/>
            <w:vAlign w:val="bottom"/>
            <w:tcBorders>
              <w:bottom w:val="single" w:sz="8" w:color="auto"/>
            </w:tcBorders>
            <w:shd w:val="clear" w:color="auto" w:fill="E5E9F3"/>
          </w:tcPr>
          <w:p>
            <w:pPr>
              <w:jc w:val="right"/>
              <w:ind w:right="2"/>
              <w:spacing w:after="0"/>
              <w:rPr>
                <w:sz w:val="20"/>
                <w:szCs w:val="20"/>
                <w:color w:val="auto"/>
              </w:rPr>
            </w:pPr>
            <w:r>
              <w:rPr>
                <w:rFonts w:ascii="Arial" w:cs="Arial" w:eastAsia="Arial" w:hAnsi="Arial"/>
                <w:sz w:val="16"/>
                <w:szCs w:val="16"/>
                <w:color w:val="auto"/>
              </w:rPr>
              <w:t>(3.4)%</w:t>
            </w:r>
          </w:p>
        </w:tc>
        <w:tc>
          <w:tcPr>
            <w:tcW w:w="1260" w:type="dxa"/>
            <w:vAlign w:val="bottom"/>
            <w:tcBorders>
              <w:bottom w:val="single" w:sz="8" w:color="auto"/>
            </w:tcBorders>
            <w:shd w:val="clear" w:color="auto" w:fill="E5E9F3"/>
          </w:tcPr>
          <w:p>
            <w:pPr>
              <w:jc w:val="right"/>
              <w:ind w:right="63"/>
              <w:spacing w:after="0"/>
              <w:rPr>
                <w:sz w:val="20"/>
                <w:szCs w:val="20"/>
                <w:color w:val="auto"/>
              </w:rPr>
            </w:pPr>
            <w:r>
              <w:rPr>
                <w:rFonts w:ascii="Arial" w:cs="Arial" w:eastAsia="Arial" w:hAnsi="Arial"/>
                <w:sz w:val="16"/>
                <w:szCs w:val="16"/>
                <w:color w:val="auto"/>
              </w:rPr>
              <w:t>(0.4)%</w:t>
            </w:r>
          </w:p>
        </w:tc>
        <w:tc>
          <w:tcPr>
            <w:tcW w:w="11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3520" w:type="dxa"/>
            <w:vAlign w:val="bottom"/>
          </w:tcPr>
          <w:p>
            <w:pPr>
              <w:ind w:left="100"/>
              <w:spacing w:after="0"/>
              <w:rPr>
                <w:sz w:val="20"/>
                <w:szCs w:val="20"/>
                <w:color w:val="auto"/>
              </w:rPr>
            </w:pPr>
            <w:r>
              <w:rPr>
                <w:rFonts w:ascii="Arial" w:cs="Arial" w:eastAsia="Arial" w:hAnsi="Arial"/>
                <w:sz w:val="16"/>
                <w:szCs w:val="16"/>
                <w:b w:val="1"/>
                <w:bCs w:val="1"/>
                <w:color w:val="auto"/>
              </w:rPr>
              <w:t>Gross Profit - ManpowerGroup</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3,086.8</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(6.2)%</w:t>
            </w: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(0.3)%</w:t>
            </w: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0"/>
        </w:trPr>
        <w:tc>
          <w:tcPr>
            <w:tcW w:w="3520" w:type="dxa"/>
            <w:vAlign w:val="bottom"/>
            <w:shd w:val="clear" w:color="auto" w:fill="E5E9F3"/>
          </w:tcPr>
          <w:p>
            <w:pPr>
              <w:ind w:left="100"/>
              <w:spacing w:after="0"/>
              <w:rPr>
                <w:sz w:val="20"/>
                <w:szCs w:val="20"/>
                <w:color w:val="auto"/>
              </w:rPr>
            </w:pPr>
            <w:r>
              <w:rPr>
                <w:rFonts w:ascii="Arial" w:cs="Arial" w:eastAsia="Arial" w:hAnsi="Arial"/>
                <w:sz w:val="16"/>
                <w:szCs w:val="16"/>
                <w:b w:val="1"/>
                <w:bCs w:val="1"/>
                <w:color w:val="auto"/>
              </w:rPr>
              <w:t>Operating Unit Profit (Loss)</w:t>
            </w:r>
          </w:p>
        </w:tc>
        <w:tc>
          <w:tcPr>
            <w:tcW w:w="520" w:type="dxa"/>
            <w:vAlign w:val="bottom"/>
            <w:shd w:val="clear" w:color="auto" w:fill="E5E9F3"/>
          </w:tcPr>
          <w:p>
            <w:pPr>
              <w:spacing w:after="0"/>
              <w:rPr>
                <w:sz w:val="19"/>
                <w:szCs w:val="19"/>
                <w:color w:val="auto"/>
              </w:rPr>
            </w:pPr>
          </w:p>
        </w:tc>
        <w:tc>
          <w:tcPr>
            <w:tcW w:w="920" w:type="dxa"/>
            <w:vAlign w:val="bottom"/>
            <w:shd w:val="clear" w:color="auto" w:fill="E5E9F3"/>
          </w:tcPr>
          <w:p>
            <w:pPr>
              <w:spacing w:after="0"/>
              <w:rPr>
                <w:sz w:val="19"/>
                <w:szCs w:val="19"/>
                <w:color w:val="auto"/>
              </w:rPr>
            </w:pPr>
          </w:p>
        </w:tc>
        <w:tc>
          <w:tcPr>
            <w:tcW w:w="1140" w:type="dxa"/>
            <w:vAlign w:val="bottom"/>
            <w:shd w:val="clear" w:color="auto" w:fill="E5E9F3"/>
          </w:tcPr>
          <w:p>
            <w:pPr>
              <w:spacing w:after="0"/>
              <w:rPr>
                <w:sz w:val="19"/>
                <w:szCs w:val="19"/>
                <w:color w:val="auto"/>
              </w:rPr>
            </w:pPr>
          </w:p>
        </w:tc>
        <w:tc>
          <w:tcPr>
            <w:tcW w:w="1120" w:type="dxa"/>
            <w:vAlign w:val="bottom"/>
            <w:shd w:val="clear" w:color="auto" w:fill="E5E9F3"/>
          </w:tcPr>
          <w:p>
            <w:pPr>
              <w:spacing w:after="0"/>
              <w:rPr>
                <w:sz w:val="19"/>
                <w:szCs w:val="19"/>
                <w:color w:val="auto"/>
              </w:rPr>
            </w:pPr>
          </w:p>
        </w:tc>
        <w:tc>
          <w:tcPr>
            <w:tcW w:w="1160" w:type="dxa"/>
            <w:vAlign w:val="bottom"/>
            <w:shd w:val="clear" w:color="auto" w:fill="E5E9F3"/>
          </w:tcPr>
          <w:p>
            <w:pPr>
              <w:spacing w:after="0"/>
              <w:rPr>
                <w:sz w:val="19"/>
                <w:szCs w:val="19"/>
                <w:color w:val="auto"/>
              </w:rPr>
            </w:pPr>
          </w:p>
        </w:tc>
        <w:tc>
          <w:tcPr>
            <w:tcW w:w="1260" w:type="dxa"/>
            <w:vAlign w:val="bottom"/>
            <w:shd w:val="clear" w:color="auto" w:fill="E5E9F3"/>
          </w:tcPr>
          <w:p>
            <w:pPr>
              <w:spacing w:after="0"/>
              <w:rPr>
                <w:sz w:val="19"/>
                <w:szCs w:val="19"/>
                <w:color w:val="auto"/>
              </w:rPr>
            </w:pPr>
          </w:p>
        </w:tc>
        <w:tc>
          <w:tcPr>
            <w:tcW w:w="1160" w:type="dxa"/>
            <w:vAlign w:val="bottom"/>
            <w:shd w:val="clear" w:color="auto" w:fill="E5E9F3"/>
          </w:tcPr>
          <w:p>
            <w:pPr>
              <w:spacing w:after="0"/>
              <w:rPr>
                <w:sz w:val="19"/>
                <w:szCs w:val="19"/>
                <w:color w:val="auto"/>
              </w:rPr>
            </w:pPr>
          </w:p>
        </w:tc>
      </w:tr>
      <w:tr>
        <w:trPr>
          <w:trHeight w:val="228"/>
        </w:trPr>
        <w:tc>
          <w:tcPr>
            <w:tcW w:w="3520" w:type="dxa"/>
            <w:vAlign w:val="bottom"/>
          </w:tcPr>
          <w:p>
            <w:pPr>
              <w:ind w:left="300"/>
              <w:spacing w:after="0"/>
              <w:rPr>
                <w:sz w:val="20"/>
                <w:szCs w:val="20"/>
                <w:color w:val="auto"/>
              </w:rPr>
            </w:pPr>
            <w:r>
              <w:rPr>
                <w:rFonts w:ascii="Arial" w:cs="Arial" w:eastAsia="Arial" w:hAnsi="Arial"/>
                <w:sz w:val="16"/>
                <w:szCs w:val="16"/>
                <w:color w:val="auto"/>
              </w:rPr>
              <w:t>Americas:</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3520" w:type="dxa"/>
            <w:vAlign w:val="bottom"/>
            <w:shd w:val="clear" w:color="auto" w:fill="E5E9F3"/>
          </w:tcPr>
          <w:p>
            <w:pPr>
              <w:ind w:left="500"/>
              <w:spacing w:after="0"/>
              <w:rPr>
                <w:sz w:val="20"/>
                <w:szCs w:val="20"/>
                <w:color w:val="auto"/>
              </w:rPr>
            </w:pPr>
            <w:r>
              <w:rPr>
                <w:rFonts w:ascii="Arial" w:cs="Arial" w:eastAsia="Arial" w:hAnsi="Arial"/>
                <w:sz w:val="16"/>
                <w:szCs w:val="16"/>
                <w:color w:val="auto"/>
              </w:rPr>
              <w:t>United States</w:t>
            </w:r>
          </w:p>
        </w:tc>
        <w:tc>
          <w:tcPr>
            <w:tcW w:w="520" w:type="dxa"/>
            <w:vAlign w:val="bottom"/>
            <w:shd w:val="clear" w:color="auto" w:fill="E5E9F3"/>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9F3"/>
          </w:tcPr>
          <w:p>
            <w:pPr>
              <w:jc w:val="right"/>
              <w:ind w:right="121"/>
              <w:spacing w:after="0"/>
              <w:rPr>
                <w:sz w:val="20"/>
                <w:szCs w:val="20"/>
                <w:color w:val="auto"/>
              </w:rPr>
            </w:pPr>
            <w:r>
              <w:rPr>
                <w:rFonts w:ascii="Arial" w:cs="Arial" w:eastAsia="Arial" w:hAnsi="Arial"/>
                <w:sz w:val="16"/>
                <w:szCs w:val="16"/>
                <w:color w:val="auto"/>
              </w:rPr>
              <w:t>77.7</w:t>
            </w:r>
          </w:p>
        </w:tc>
        <w:tc>
          <w:tcPr>
            <w:tcW w:w="1140" w:type="dxa"/>
            <w:vAlign w:val="bottom"/>
            <w:shd w:val="clear" w:color="auto" w:fill="E5E9F3"/>
          </w:tcPr>
          <w:p>
            <w:pPr>
              <w:jc w:val="right"/>
              <w:ind w:right="21"/>
              <w:spacing w:after="0"/>
              <w:rPr>
                <w:sz w:val="20"/>
                <w:szCs w:val="20"/>
                <w:color w:val="auto"/>
              </w:rPr>
            </w:pPr>
            <w:r>
              <w:rPr>
                <w:rFonts w:ascii="Arial" w:cs="Arial" w:eastAsia="Arial" w:hAnsi="Arial"/>
                <w:sz w:val="16"/>
                <w:szCs w:val="16"/>
                <w:color w:val="auto"/>
              </w:rPr>
              <w:t>(17.6)%</w:t>
            </w:r>
          </w:p>
        </w:tc>
        <w:tc>
          <w:tcPr>
            <w:tcW w:w="1120" w:type="dxa"/>
            <w:vAlign w:val="bottom"/>
            <w:shd w:val="clear" w:color="auto" w:fill="E5E9F3"/>
          </w:tcPr>
          <w:p>
            <w:pPr>
              <w:jc w:val="right"/>
              <w:ind w:right="2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2"/>
              <w:spacing w:after="0"/>
              <w:rPr>
                <w:sz w:val="20"/>
                <w:szCs w:val="20"/>
                <w:color w:val="auto"/>
              </w:rPr>
            </w:pPr>
            <w:r>
              <w:rPr>
                <w:rFonts w:ascii="Arial" w:cs="Arial" w:eastAsia="Arial" w:hAnsi="Arial"/>
                <w:sz w:val="16"/>
                <w:szCs w:val="16"/>
                <w:color w:val="auto"/>
              </w:rPr>
              <w:t>(17.6)%</w:t>
            </w:r>
          </w:p>
        </w:tc>
        <w:tc>
          <w:tcPr>
            <w:tcW w:w="1260" w:type="dxa"/>
            <w:vAlign w:val="bottom"/>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spacing w:after="0"/>
              <w:rPr>
                <w:sz w:val="20"/>
                <w:szCs w:val="20"/>
                <w:color w:val="auto"/>
              </w:rPr>
            </w:pPr>
            <w:r>
              <w:rPr>
                <w:rFonts w:ascii="Arial" w:cs="Arial" w:eastAsia="Arial" w:hAnsi="Arial"/>
                <w:sz w:val="16"/>
                <w:szCs w:val="16"/>
                <w:color w:val="auto"/>
              </w:rPr>
              <w:t>(17.6)%</w:t>
            </w:r>
          </w:p>
        </w:tc>
      </w:tr>
      <w:tr>
        <w:trPr>
          <w:trHeight w:val="228"/>
        </w:trPr>
        <w:tc>
          <w:tcPr>
            <w:tcW w:w="35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Americas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63.9</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(10.3)</w:t>
            </w: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(12.9)</w:t>
            </w: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2.6</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2.6</w:t>
            </w:r>
          </w:p>
        </w:tc>
      </w:tr>
      <w:tr>
        <w:trPr>
          <w:trHeight w:val="220"/>
        </w:trPr>
        <w:tc>
          <w:tcPr>
            <w:tcW w:w="3520" w:type="dxa"/>
            <w:vAlign w:val="bottom"/>
            <w:tcBorders>
              <w:bottom w:val="single" w:sz="8" w:color="auto"/>
            </w:tcBorders>
            <w:shd w:val="clear" w:color="auto" w:fill="E5E9F3"/>
          </w:tcPr>
          <w:p>
            <w:pPr>
              <w:spacing w:after="0"/>
              <w:rPr>
                <w:sz w:val="19"/>
                <w:szCs w:val="19"/>
                <w:color w:val="auto"/>
              </w:rPr>
            </w:pPr>
          </w:p>
        </w:tc>
        <w:tc>
          <w:tcPr>
            <w:tcW w:w="5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141.6</w:t>
            </w:r>
          </w:p>
        </w:tc>
        <w:tc>
          <w:tcPr>
            <w:tcW w:w="114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(14.5)</w:t>
            </w:r>
          </w:p>
        </w:tc>
        <w:tc>
          <w:tcPr>
            <w:tcW w:w="112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(5.6)</w:t>
            </w:r>
          </w:p>
        </w:tc>
        <w:tc>
          <w:tcPr>
            <w:tcW w:w="1160" w:type="dxa"/>
            <w:vAlign w:val="bottom"/>
            <w:tcBorders>
              <w:bottom w:val="single" w:sz="8" w:color="auto"/>
            </w:tcBorders>
            <w:shd w:val="clear" w:color="auto" w:fill="E5E9F3"/>
          </w:tcPr>
          <w:p>
            <w:pPr>
              <w:jc w:val="right"/>
              <w:ind w:right="142"/>
              <w:spacing w:after="0"/>
              <w:rPr>
                <w:sz w:val="20"/>
                <w:szCs w:val="20"/>
                <w:color w:val="auto"/>
              </w:rPr>
            </w:pPr>
            <w:r>
              <w:rPr>
                <w:rFonts w:ascii="Arial" w:cs="Arial" w:eastAsia="Arial" w:hAnsi="Arial"/>
                <w:sz w:val="16"/>
                <w:szCs w:val="16"/>
                <w:color w:val="auto"/>
              </w:rPr>
              <w:t>(8.9)</w:t>
            </w:r>
          </w:p>
        </w:tc>
        <w:tc>
          <w:tcPr>
            <w:tcW w:w="1260" w:type="dxa"/>
            <w:vAlign w:val="bottom"/>
            <w:tcBorders>
              <w:bottom w:val="single" w:sz="8" w:color="auto"/>
            </w:tcBorders>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5E9F3"/>
          </w:tcPr>
          <w:p>
            <w:pPr>
              <w:jc w:val="right"/>
              <w:ind w:right="82"/>
              <w:spacing w:after="0"/>
              <w:rPr>
                <w:sz w:val="20"/>
                <w:szCs w:val="20"/>
                <w:color w:val="auto"/>
              </w:rPr>
            </w:pPr>
            <w:r>
              <w:rPr>
                <w:rFonts w:ascii="Arial" w:cs="Arial" w:eastAsia="Arial" w:hAnsi="Arial"/>
                <w:sz w:val="16"/>
                <w:szCs w:val="16"/>
                <w:color w:val="auto"/>
              </w:rPr>
              <w:t>(8.9)</w:t>
            </w:r>
          </w:p>
        </w:tc>
      </w:tr>
      <w:tr>
        <w:trPr>
          <w:trHeight w:val="219"/>
        </w:trPr>
        <w:tc>
          <w:tcPr>
            <w:tcW w:w="3520" w:type="dxa"/>
            <w:vAlign w:val="bottom"/>
          </w:tcPr>
          <w:p>
            <w:pPr>
              <w:ind w:left="300"/>
              <w:spacing w:after="0"/>
              <w:rPr>
                <w:sz w:val="20"/>
                <w:szCs w:val="20"/>
                <w:color w:val="auto"/>
              </w:rPr>
            </w:pPr>
            <w:r>
              <w:rPr>
                <w:rFonts w:ascii="Arial" w:cs="Arial" w:eastAsia="Arial" w:hAnsi="Arial"/>
                <w:sz w:val="16"/>
                <w:szCs w:val="16"/>
                <w:color w:val="auto"/>
              </w:rPr>
              <w:t>Southern Europe:</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3520" w:type="dxa"/>
            <w:vAlign w:val="bottom"/>
            <w:shd w:val="clear" w:color="auto" w:fill="E5E9F3"/>
          </w:tcPr>
          <w:p>
            <w:pPr>
              <w:ind w:left="500"/>
              <w:spacing w:after="0"/>
              <w:rPr>
                <w:sz w:val="20"/>
                <w:szCs w:val="20"/>
                <w:color w:val="auto"/>
              </w:rPr>
            </w:pPr>
            <w:r>
              <w:rPr>
                <w:rFonts w:ascii="Arial" w:cs="Arial" w:eastAsia="Arial" w:hAnsi="Arial"/>
                <w:sz w:val="16"/>
                <w:szCs w:val="16"/>
                <w:color w:val="auto"/>
              </w:rPr>
              <w:t>France</w:t>
            </w:r>
          </w:p>
        </w:tc>
        <w:tc>
          <w:tcPr>
            <w:tcW w:w="520" w:type="dxa"/>
            <w:vAlign w:val="bottom"/>
            <w:shd w:val="clear" w:color="auto" w:fill="E5E9F3"/>
          </w:tcPr>
          <w:p>
            <w:pPr>
              <w:spacing w:after="0"/>
              <w:rPr>
                <w:sz w:val="20"/>
                <w:szCs w:val="20"/>
                <w:color w:val="auto"/>
              </w:rPr>
            </w:pPr>
          </w:p>
        </w:tc>
        <w:tc>
          <w:tcPr>
            <w:tcW w:w="920" w:type="dxa"/>
            <w:vAlign w:val="bottom"/>
            <w:shd w:val="clear" w:color="auto" w:fill="E5E9F3"/>
          </w:tcPr>
          <w:p>
            <w:pPr>
              <w:jc w:val="right"/>
              <w:ind w:right="121"/>
              <w:spacing w:after="0"/>
              <w:rPr>
                <w:sz w:val="20"/>
                <w:szCs w:val="20"/>
                <w:color w:val="auto"/>
              </w:rPr>
            </w:pPr>
            <w:r>
              <w:rPr>
                <w:rFonts w:ascii="Arial" w:cs="Arial" w:eastAsia="Arial" w:hAnsi="Arial"/>
                <w:sz w:val="16"/>
                <w:szCs w:val="16"/>
                <w:color w:val="auto"/>
              </w:rPr>
              <w:t>151.8</w:t>
            </w:r>
          </w:p>
        </w:tc>
        <w:tc>
          <w:tcPr>
            <w:tcW w:w="1140" w:type="dxa"/>
            <w:vAlign w:val="bottom"/>
            <w:shd w:val="clear" w:color="auto" w:fill="E5E9F3"/>
          </w:tcPr>
          <w:p>
            <w:pPr>
              <w:jc w:val="right"/>
              <w:ind w:right="161"/>
              <w:spacing w:after="0"/>
              <w:rPr>
                <w:sz w:val="20"/>
                <w:szCs w:val="20"/>
                <w:color w:val="auto"/>
              </w:rPr>
            </w:pPr>
            <w:r>
              <w:rPr>
                <w:rFonts w:ascii="Arial" w:cs="Arial" w:eastAsia="Arial" w:hAnsi="Arial"/>
                <w:sz w:val="16"/>
                <w:szCs w:val="16"/>
                <w:color w:val="auto"/>
              </w:rPr>
              <w:t>(19.4)</w:t>
            </w:r>
          </w:p>
        </w:tc>
        <w:tc>
          <w:tcPr>
            <w:tcW w:w="1120" w:type="dxa"/>
            <w:vAlign w:val="bottom"/>
            <w:shd w:val="clear" w:color="auto" w:fill="E5E9F3"/>
          </w:tcPr>
          <w:p>
            <w:pPr>
              <w:jc w:val="right"/>
              <w:ind w:right="2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142"/>
              <w:spacing w:after="0"/>
              <w:rPr>
                <w:sz w:val="20"/>
                <w:szCs w:val="20"/>
                <w:color w:val="auto"/>
              </w:rPr>
            </w:pPr>
            <w:r>
              <w:rPr>
                <w:rFonts w:ascii="Arial" w:cs="Arial" w:eastAsia="Arial" w:hAnsi="Arial"/>
                <w:sz w:val="16"/>
                <w:szCs w:val="16"/>
                <w:color w:val="auto"/>
              </w:rPr>
              <w:t>(19.4)</w:t>
            </w:r>
          </w:p>
        </w:tc>
        <w:tc>
          <w:tcPr>
            <w:tcW w:w="1260" w:type="dxa"/>
            <w:vAlign w:val="bottom"/>
            <w:shd w:val="clear" w:color="auto" w:fill="E5E9F3"/>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9F3"/>
          </w:tcPr>
          <w:p>
            <w:pPr>
              <w:jc w:val="right"/>
              <w:ind w:right="82"/>
              <w:spacing w:after="0"/>
              <w:rPr>
                <w:sz w:val="20"/>
                <w:szCs w:val="20"/>
                <w:color w:val="auto"/>
              </w:rPr>
            </w:pPr>
            <w:r>
              <w:rPr>
                <w:rFonts w:ascii="Arial" w:cs="Arial" w:eastAsia="Arial" w:hAnsi="Arial"/>
                <w:sz w:val="16"/>
                <w:szCs w:val="16"/>
                <w:color w:val="auto"/>
              </w:rPr>
              <w:t>(19.4)</w:t>
            </w:r>
          </w:p>
        </w:tc>
      </w:tr>
      <w:tr>
        <w:trPr>
          <w:trHeight w:val="228"/>
        </w:trPr>
        <w:tc>
          <w:tcPr>
            <w:tcW w:w="3520" w:type="dxa"/>
            <w:vAlign w:val="bottom"/>
          </w:tcPr>
          <w:p>
            <w:pPr>
              <w:ind w:left="500"/>
              <w:spacing w:after="0"/>
              <w:rPr>
                <w:sz w:val="20"/>
                <w:szCs w:val="20"/>
                <w:color w:val="auto"/>
              </w:rPr>
            </w:pPr>
            <w:r>
              <w:rPr>
                <w:rFonts w:ascii="Arial" w:cs="Arial" w:eastAsia="Arial" w:hAnsi="Arial"/>
                <w:sz w:val="16"/>
                <w:szCs w:val="16"/>
                <w:color w:val="auto"/>
              </w:rPr>
              <w:t>Italy</w:t>
            </w:r>
          </w:p>
        </w:tc>
        <w:tc>
          <w:tcPr>
            <w:tcW w:w="520" w:type="dxa"/>
            <w:vAlign w:val="bottom"/>
          </w:tcPr>
          <w:p>
            <w:pPr>
              <w:spacing w:after="0"/>
              <w:rPr>
                <w:sz w:val="19"/>
                <w:szCs w:val="19"/>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113.1</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(9.3)</w:t>
            </w:r>
          </w:p>
        </w:tc>
        <w:tc>
          <w:tcPr>
            <w:tcW w:w="1120" w:type="dxa"/>
            <w:vAlign w:val="bottom"/>
          </w:tcPr>
          <w:p>
            <w:pPr>
              <w:jc w:val="right"/>
              <w:ind w:right="241"/>
              <w:spacing w:after="0"/>
              <w:rPr>
                <w:sz w:val="20"/>
                <w:szCs w:val="20"/>
                <w:color w:val="auto"/>
              </w:rPr>
            </w:pPr>
            <w:r>
              <w:rPr>
                <w:rFonts w:ascii="Arial" w:cs="Arial" w:eastAsia="Arial" w:hAnsi="Arial"/>
                <w:sz w:val="16"/>
                <w:szCs w:val="16"/>
                <w:color w:val="auto"/>
              </w:rPr>
              <w:t>0.1</w:t>
            </w:r>
          </w:p>
        </w:tc>
        <w:tc>
          <w:tcPr>
            <w:tcW w:w="1160" w:type="dxa"/>
            <w:vAlign w:val="bottom"/>
          </w:tcPr>
          <w:p>
            <w:pPr>
              <w:jc w:val="right"/>
              <w:ind w:right="142"/>
              <w:spacing w:after="0"/>
              <w:rPr>
                <w:sz w:val="20"/>
                <w:szCs w:val="20"/>
                <w:color w:val="auto"/>
              </w:rPr>
            </w:pPr>
            <w:r>
              <w:rPr>
                <w:rFonts w:ascii="Arial" w:cs="Arial" w:eastAsia="Arial" w:hAnsi="Arial"/>
                <w:sz w:val="16"/>
                <w:szCs w:val="16"/>
                <w:color w:val="auto"/>
              </w:rPr>
              <w:t>(9.4)</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(9.4)</w:t>
            </w:r>
          </w:p>
        </w:tc>
      </w:tr>
      <w:tr>
        <w:trPr>
          <w:trHeight w:val="230"/>
        </w:trPr>
        <w:tc>
          <w:tcPr>
            <w:tcW w:w="352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6"/>
                <w:szCs w:val="16"/>
                <w:color w:val="auto"/>
              </w:rPr>
              <w:t>Other Southern Europe</w:t>
            </w:r>
          </w:p>
        </w:tc>
        <w:tc>
          <w:tcPr>
            <w:tcW w:w="5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39.2</w:t>
            </w:r>
          </w:p>
        </w:tc>
        <w:tc>
          <w:tcPr>
            <w:tcW w:w="114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(12.5)</w:t>
            </w:r>
          </w:p>
        </w:tc>
        <w:tc>
          <w:tcPr>
            <w:tcW w:w="1120" w:type="dxa"/>
            <w:vAlign w:val="bottom"/>
            <w:tcBorders>
              <w:bottom w:val="single" w:sz="8" w:color="auto"/>
            </w:tcBorders>
            <w:shd w:val="clear" w:color="auto" w:fill="E5E9F3"/>
          </w:tcPr>
          <w:p>
            <w:pPr>
              <w:jc w:val="right"/>
              <w:ind w:right="161"/>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auto"/>
            </w:tcBorders>
            <w:shd w:val="clear" w:color="auto" w:fill="E5E9F3"/>
          </w:tcPr>
          <w:p>
            <w:pPr>
              <w:jc w:val="right"/>
              <w:ind w:right="142"/>
              <w:spacing w:after="0"/>
              <w:rPr>
                <w:sz w:val="20"/>
                <w:szCs w:val="20"/>
                <w:color w:val="auto"/>
              </w:rPr>
            </w:pPr>
            <w:r>
              <w:rPr>
                <w:rFonts w:ascii="Arial" w:cs="Arial" w:eastAsia="Arial" w:hAnsi="Arial"/>
                <w:sz w:val="16"/>
                <w:szCs w:val="16"/>
                <w:color w:val="auto"/>
              </w:rPr>
              <w:t>(10.9)</w:t>
            </w:r>
          </w:p>
        </w:tc>
        <w:tc>
          <w:tcPr>
            <w:tcW w:w="1260" w:type="dxa"/>
            <w:vAlign w:val="bottom"/>
            <w:tcBorders>
              <w:bottom w:val="single" w:sz="8" w:color="auto"/>
            </w:tcBorders>
            <w:shd w:val="clear" w:color="auto" w:fill="E5E9F3"/>
          </w:tcPr>
          <w:p>
            <w:pPr>
              <w:jc w:val="right"/>
              <w:ind w:right="283"/>
              <w:spacing w:after="0"/>
              <w:rPr>
                <w:sz w:val="20"/>
                <w:szCs w:val="20"/>
                <w:color w:val="auto"/>
              </w:rPr>
            </w:pPr>
            <w:r>
              <w:rPr>
                <w:rFonts w:ascii="Arial" w:cs="Arial" w:eastAsia="Arial" w:hAnsi="Arial"/>
                <w:sz w:val="16"/>
                <w:szCs w:val="16"/>
                <w:color w:val="auto"/>
              </w:rPr>
              <w:t>3.1</w:t>
            </w:r>
          </w:p>
        </w:tc>
        <w:tc>
          <w:tcPr>
            <w:tcW w:w="1160" w:type="dxa"/>
            <w:vAlign w:val="bottom"/>
            <w:tcBorders>
              <w:bottom w:val="single" w:sz="8" w:color="auto"/>
            </w:tcBorders>
            <w:shd w:val="clear" w:color="auto" w:fill="E5E9F3"/>
          </w:tcPr>
          <w:p>
            <w:pPr>
              <w:jc w:val="right"/>
              <w:ind w:right="82"/>
              <w:spacing w:after="0"/>
              <w:rPr>
                <w:sz w:val="20"/>
                <w:szCs w:val="20"/>
                <w:color w:val="auto"/>
              </w:rPr>
            </w:pPr>
            <w:r>
              <w:rPr>
                <w:rFonts w:ascii="Arial" w:cs="Arial" w:eastAsia="Arial" w:hAnsi="Arial"/>
                <w:sz w:val="16"/>
                <w:szCs w:val="16"/>
                <w:color w:val="auto"/>
              </w:rPr>
              <w:t>(14.0)</w:t>
            </w:r>
          </w:p>
        </w:tc>
      </w:tr>
      <w:tr>
        <w:trPr>
          <w:trHeight w:val="219"/>
        </w:trPr>
        <w:tc>
          <w:tcPr>
            <w:tcW w:w="3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304.1</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(15.0)</w:t>
            </w: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(0.2)</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(14.8)</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0.4</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(15.2)</w:t>
            </w:r>
          </w:p>
        </w:tc>
      </w:tr>
      <w:tr>
        <w:trPr>
          <w:trHeight w:val="219"/>
        </w:trPr>
        <w:tc>
          <w:tcPr>
            <w:tcW w:w="3520" w:type="dxa"/>
            <w:vAlign w:val="bottom"/>
          </w:tcPr>
          <w:p>
            <w:pPr>
              <w:ind w:left="300"/>
              <w:spacing w:after="0"/>
              <w:rPr>
                <w:sz w:val="20"/>
                <w:szCs w:val="20"/>
                <w:color w:val="auto"/>
              </w:rPr>
            </w:pPr>
            <w:r>
              <w:rPr>
                <w:rFonts w:ascii="Arial" w:cs="Arial" w:eastAsia="Arial" w:hAnsi="Arial"/>
                <w:sz w:val="16"/>
                <w:szCs w:val="16"/>
                <w:color w:val="auto"/>
              </w:rPr>
              <w:t>Northern Europe</w:t>
            </w:r>
          </w:p>
        </w:tc>
        <w:tc>
          <w:tcPr>
            <w:tcW w:w="5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(44.6)</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61.8</w:t>
            </w:r>
          </w:p>
        </w:tc>
        <w:tc>
          <w:tcPr>
            <w:tcW w:w="1120" w:type="dxa"/>
            <w:vAlign w:val="bottom"/>
          </w:tcPr>
          <w:p>
            <w:pPr>
              <w:jc w:val="right"/>
              <w:ind w:right="241"/>
              <w:spacing w:after="0"/>
              <w:rPr>
                <w:sz w:val="20"/>
                <w:szCs w:val="20"/>
                <w:color w:val="auto"/>
              </w:rPr>
            </w:pPr>
            <w:r>
              <w:rPr>
                <w:rFonts w:ascii="Arial" w:cs="Arial" w:eastAsia="Arial" w:hAnsi="Arial"/>
                <w:sz w:val="16"/>
                <w:szCs w:val="16"/>
                <w:color w:val="auto"/>
              </w:rPr>
              <w:t>0.9</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60.9</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60.9</w:t>
            </w:r>
          </w:p>
        </w:tc>
      </w:tr>
      <w:tr>
        <w:trPr>
          <w:trHeight w:val="231"/>
        </w:trPr>
        <w:tc>
          <w:tcPr>
            <w:tcW w:w="3520" w:type="dxa"/>
            <w:vAlign w:val="bottom"/>
          </w:tcPr>
          <w:p>
            <w:pPr>
              <w:ind w:left="300"/>
              <w:spacing w:after="0"/>
              <w:rPr>
                <w:sz w:val="20"/>
                <w:szCs w:val="20"/>
                <w:color w:val="auto"/>
              </w:rPr>
            </w:pPr>
            <w:r>
              <w:rPr>
                <w:rFonts w:ascii="Arial" w:cs="Arial" w:eastAsia="Arial" w:hAnsi="Arial"/>
                <w:sz w:val="16"/>
                <w:szCs w:val="16"/>
                <w:color w:val="auto"/>
              </w:rPr>
              <w:t>APME</w:t>
            </w:r>
          </w:p>
        </w:tc>
        <w:tc>
          <w:tcPr>
            <w:tcW w:w="520" w:type="dxa"/>
            <w:vAlign w:val="bottom"/>
          </w:tcPr>
          <w:p>
            <w:pPr>
              <w:spacing w:after="0"/>
              <w:rPr>
                <w:sz w:val="20"/>
                <w:szCs w:val="20"/>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83.7</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(9.7)</w:t>
            </w: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(6.0)</w:t>
            </w:r>
          </w:p>
        </w:tc>
        <w:tc>
          <w:tcPr>
            <w:tcW w:w="1160" w:type="dxa"/>
            <w:vAlign w:val="bottom"/>
          </w:tcPr>
          <w:p>
            <w:pPr>
              <w:jc w:val="right"/>
              <w:ind w:right="142"/>
              <w:spacing w:after="0"/>
              <w:rPr>
                <w:sz w:val="20"/>
                <w:szCs w:val="20"/>
                <w:color w:val="auto"/>
              </w:rPr>
            </w:pPr>
            <w:r>
              <w:rPr>
                <w:rFonts w:ascii="Arial" w:cs="Arial" w:eastAsia="Arial" w:hAnsi="Arial"/>
                <w:sz w:val="16"/>
                <w:szCs w:val="16"/>
                <w:color w:val="auto"/>
              </w:rPr>
              <w:t>(3.7)</w:t>
            </w:r>
          </w:p>
        </w:tc>
        <w:tc>
          <w:tcPr>
            <w:tcW w:w="1260" w:type="dxa"/>
            <w:vAlign w:val="bottom"/>
          </w:tcPr>
          <w:p>
            <w:pPr>
              <w:jc w:val="right"/>
              <w:ind w:right="223"/>
              <w:spacing w:after="0"/>
              <w:rPr>
                <w:sz w:val="20"/>
                <w:szCs w:val="20"/>
                <w:color w:val="auto"/>
              </w:rPr>
            </w:pPr>
            <w:r>
              <w:rPr>
                <w:rFonts w:ascii="Arial" w:cs="Arial" w:eastAsia="Arial" w:hAnsi="Arial"/>
                <w:sz w:val="16"/>
                <w:szCs w:val="16"/>
                <w:color w:val="auto"/>
              </w:rPr>
              <w:t>(2.3)</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(1.4)</w:t>
            </w:r>
          </w:p>
        </w:tc>
      </w:tr>
      <w:tr>
        <w:trPr>
          <w:trHeight w:val="233"/>
        </w:trPr>
        <w:tc>
          <w:tcPr>
            <w:tcW w:w="35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6"/>
                <w:szCs w:val="16"/>
                <w:b w:val="1"/>
                <w:bCs w:val="1"/>
                <w:color w:val="auto"/>
              </w:rPr>
              <w:t>Operating Unit Profit - ManpowerGroup</w:t>
            </w:r>
          </w:p>
        </w:tc>
        <w:tc>
          <w:tcPr>
            <w:tcW w:w="5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5E9F3"/>
          </w:tcPr>
          <w:p>
            <w:pPr>
              <w:jc w:val="right"/>
              <w:ind w:right="121"/>
              <w:spacing w:after="0"/>
              <w:rPr>
                <w:sz w:val="20"/>
                <w:szCs w:val="20"/>
                <w:color w:val="auto"/>
              </w:rPr>
            </w:pPr>
            <w:r>
              <w:rPr>
                <w:rFonts w:ascii="Arial" w:cs="Arial" w:eastAsia="Arial" w:hAnsi="Arial"/>
                <w:sz w:val="16"/>
                <w:szCs w:val="16"/>
                <w:color w:val="auto"/>
              </w:rPr>
              <w:t>484.8</w:t>
            </w:r>
          </w:p>
        </w:tc>
        <w:tc>
          <w:tcPr>
            <w:tcW w:w="1140" w:type="dxa"/>
            <w:vAlign w:val="bottom"/>
            <w:tcBorders>
              <w:bottom w:val="single" w:sz="8" w:color="auto"/>
            </w:tcBorders>
            <w:shd w:val="clear" w:color="auto" w:fill="E5E9F3"/>
          </w:tcPr>
          <w:p>
            <w:pPr>
              <w:jc w:val="right"/>
              <w:ind w:right="21"/>
              <w:spacing w:after="0"/>
              <w:rPr>
                <w:sz w:val="20"/>
                <w:szCs w:val="20"/>
                <w:color w:val="auto"/>
              </w:rPr>
            </w:pPr>
            <w:r>
              <w:rPr>
                <w:rFonts w:ascii="Arial" w:cs="Arial" w:eastAsia="Arial" w:hAnsi="Arial"/>
                <w:sz w:val="16"/>
                <w:szCs w:val="16"/>
                <w:color w:val="auto"/>
              </w:rPr>
              <w:t>(2.9)%</w:t>
            </w:r>
          </w:p>
        </w:tc>
        <w:tc>
          <w:tcPr>
            <w:tcW w:w="1120" w:type="dxa"/>
            <w:vAlign w:val="bottom"/>
            <w:tcBorders>
              <w:bottom w:val="single" w:sz="8" w:color="auto"/>
            </w:tcBorders>
            <w:shd w:val="clear" w:color="auto" w:fill="E5E9F3"/>
          </w:tcPr>
          <w:p>
            <w:pPr>
              <w:jc w:val="right"/>
              <w:ind w:right="21"/>
              <w:spacing w:after="0"/>
              <w:rPr>
                <w:sz w:val="20"/>
                <w:szCs w:val="20"/>
                <w:color w:val="auto"/>
              </w:rPr>
            </w:pPr>
            <w:r>
              <w:rPr>
                <w:rFonts w:ascii="Arial" w:cs="Arial" w:eastAsia="Arial" w:hAnsi="Arial"/>
                <w:sz w:val="16"/>
                <w:szCs w:val="16"/>
                <w:color w:val="auto"/>
              </w:rPr>
              <w:t>(2.9)%</w:t>
            </w:r>
          </w:p>
        </w:tc>
        <w:tc>
          <w:tcPr>
            <w:tcW w:w="1160" w:type="dxa"/>
            <w:vAlign w:val="bottom"/>
            <w:tcBorders>
              <w:bottom w:val="single" w:sz="8" w:color="auto"/>
            </w:tcBorders>
            <w:shd w:val="clear" w:color="auto" w:fill="E5E9F3"/>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5E9F3"/>
          </w:tcPr>
          <w:p>
            <w:pPr>
              <w:jc w:val="right"/>
              <w:ind w:right="63"/>
              <w:spacing w:after="0"/>
              <w:rPr>
                <w:sz w:val="20"/>
                <w:szCs w:val="20"/>
                <w:color w:val="auto"/>
              </w:rPr>
            </w:pPr>
            <w:r>
              <w:rPr>
                <w:rFonts w:ascii="Arial" w:cs="Arial" w:eastAsia="Arial" w:hAnsi="Arial"/>
                <w:sz w:val="16"/>
                <w:szCs w:val="16"/>
                <w:color w:val="auto"/>
              </w:rPr>
              <w:t>(0.1)%</w:t>
            </w:r>
          </w:p>
        </w:tc>
        <w:tc>
          <w:tcPr>
            <w:tcW w:w="1160" w:type="dxa"/>
            <w:vAlign w:val="bottom"/>
            <w:tcBorders>
              <w:bottom w:val="single" w:sz="8" w:color="auto"/>
            </w:tcBorders>
            <w:shd w:val="clear" w:color="auto" w:fill="E5E9F3"/>
          </w:tcPr>
          <w:p>
            <w:pPr>
              <w:jc w:val="right"/>
              <w:ind w:right="2"/>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-443865</wp:posOffset>
                </wp:positionV>
                <wp:extent cx="3029585" cy="146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9585" cy="146050"/>
                        </a:xfrm>
                        <a:prstGeom prst="rect">
                          <a:avLst/>
                        </a:prstGeom>
                        <a:solidFill>
                          <a:srgbClr val="E5E9F3"/>
                        </a:solidFill>
                      </wps:spPr>
                      <wps:bodyPr/>
                    </wps:wsp>
                  </a:graphicData>
                </a:graphic>
              </wp:anchor>
            </w:drawing>
          </mc:Choice>
          <mc:Fallback>
            <w:pict>
              <v:rect id="Shape 49" o:spid="_x0000_s1074" style="position:absolute;margin-left:0pt;margin-top:-34.9499pt;width:238.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mc:AlternateContent>
          <mc:Choice Requires="wps">
            <w:drawing>
              <wp:anchor simplePos="0" relativeHeight="251657728" behindDoc="1" locked="0" layoutInCell="0" allowOverlap="1">
                <wp:simplePos x="0" y="0"/>
                <wp:positionH relativeFrom="column">
                  <wp:posOffset>3029585</wp:posOffset>
                </wp:positionH>
                <wp:positionV relativeFrom="paragraph">
                  <wp:posOffset>-443865</wp:posOffset>
                </wp:positionV>
                <wp:extent cx="3828415"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8415" cy="146050"/>
                        </a:xfrm>
                        <a:prstGeom prst="rect">
                          <a:avLst/>
                        </a:prstGeom>
                        <a:solidFill>
                          <a:srgbClr val="E5E9F3"/>
                        </a:solidFill>
                      </wps:spPr>
                      <wps:bodyPr/>
                    </wps:wsp>
                  </a:graphicData>
                </a:graphic>
              </wp:anchor>
            </w:drawing>
          </mc:Choice>
          <mc:Fallback>
            <w:pict>
              <v:rect id="Shape 50" o:spid="_x0000_s1075" style="position:absolute;margin-left:238.55pt;margin-top:-34.9499pt;width:301.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Cash Sources and Uses</w:t>
      </w:r>
    </w:p>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2024, we had $348.8 of cash held by foreign subsidiaries. We have historically made and anticipate future cash repatriations to the United States from certain foreign subsidiaries to fund corporate activities. As of December 31, 2024, deferred taxes related to non-United States withholding and other taxes were provided on $1,353.5 of accumulated unremitted earnings of non-United States subsidiaries that may be remitted to the United States. As of December 31, 2024 and 2023, we have recorded a deferred tax liability of $25.9 and $23.1, respectively, related to these non-United States earnings that may be remitted. As of December 31, 2024, we had an additional $289.4 of accumulated unremitted earnings of non-United States subsidiaries for which we have not provided deferred taxes as amounts are deemed indefinitely reinvested. We have not estimated the deferred tax liability on these earnings as such estimation is not practicable to determine or immaterial to the financial statements.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10800"/>
          </w:cols>
          <w:pgMar w:left="720" w:top="734" w:right="720" w:bottom="175" w:gutter="0" w:footer="0" w:header="0"/>
          <w:type w:val="continuous"/>
        </w:sectPr>
      </w:pPr>
    </w:p>
    <w:bookmarkStart w:id="43" w:name="page44"/>
    <w:bookmarkEnd w:id="4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1" o:spid="_x0000_s107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Cash provided by operating activities was $309.2, $348.2 and $423.3 for 2024, 2023 and 2022, respectively. Changes in operating assets and liabilities generated $65.4 of cash, compared to $98.7 generated and $139.7 utilized in 2024, 2023 and 2022, respectively. The decrease in 2024 from 2023 was primarily attributable to decreased accounts receivable collections and an increase in capitalized implementation costs related to our cloud computing arrangements, partially offset by an increase in accounts payable. The change in 2023 from 2022 was primarily attributable to a decrease in accounts receivable due to the slowdown in the demand for our services.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Accounts receivable decreased to $4,297.2 as of December 31, 2024 from $4,830.0 as of December 31, 2023. The decrease was partly attributable to the impact of changes in currency exchange rates. DSO decreased by two and a half days from December 31, 2023 to 52 days as of December 31, 2024 due to an increased emphasis on cash collections.</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used in investing activities were $68.2, $74.1 and $85.3 for 2024, 2023 and 2022, respectively. Capital expenditures were $51.1, $78.2 and $75.6 during 2024, 2023 and 2022, respectively. These expenditures were comprised of purchases of computer equipment, office furniture and other costs related to office openings and refurbishments, as well as capitalized software costs of $10.1, $12.0 and $34.2 in 2024, 2023 and 2022, respectively. The higher expenditures in 2022 were primarily due to additional technology investments and the timing of capital expenditures.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used in financing activities were $282.4, $349.5 and $482.1 for 2024, 2023 and 2022, respectively. Net debt borrowings were $16.1 in 2024 as compared to net debt repayments of $16.2 and $58.7 in 2023 and 2022, respectively. The larger repayments in 2022 were mainly due to the $75.0 repayment of our revolving credit facility to clear the outstanding borrowings as of December 31, 2021 related to an Experis acquisition. The acquisition was funded through cash on hand and a $150.0 draw on our revolving credit facility on October 1, 2021 which was repaid in 2022.</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2024, we repurchased a total of 2.0 million shares under the 2023 authorization, at a total cost of $140.9 including excise tax on share repurchases of $0.9. In 2023, we repurchased a total of 2.4 million shares comprised of 2.0 million shares under the 2021 authorization and 0.4 million shares under the 2023 authorization, at a total cost of $181.5 including excise tax on share repurchases of $1.7. In 2022, we repurchased a total of 3.2 million shares comprised of 1.2 million shares under the 2019 authorization and 2.0 million shares under the 2021 authorization, at a total cost of $270.0. As of December 31, 2024, there were 2.6 million shares remaining authorized for repurchase under the 2023 authorization and no shares remaining authorized for repurchase under the 2021 authorization.</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During 2024, 2023 and 2022, the Board of Directors declared total cash dividends of $3.08, $2.94 and $2.72 per share, respectively, resulting in total dividend payments of $145.8, $144.3 and $139.9, respectively.</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have aggregate commitments of $2,268.2 related to debt, operating leases, purchase obligations for global technology and financial shared services, restructuring costs, transition tax resulting from the Tax Act and certain other commitments,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160" w:type="dxa"/>
            <w:vAlign w:val="bottom"/>
            <w:tcBorders>
              <w:top w:val="single" w:sz="8" w:color="auto"/>
              <w:bottom w:val="single" w:sz="8" w:color="97AAD0"/>
            </w:tcBorders>
            <w:shd w:val="clear" w:color="auto" w:fill="97AAD0"/>
          </w:tcPr>
          <w:p>
            <w:pPr>
              <w:ind w:left="100"/>
              <w:spacing w:after="0"/>
              <w:rPr>
                <w:sz w:val="20"/>
                <w:szCs w:val="20"/>
                <w:color w:val="auto"/>
              </w:rPr>
            </w:pPr>
            <w:r>
              <w:rPr>
                <w:rFonts w:ascii="Arial" w:cs="Arial" w:eastAsia="Arial" w:hAnsi="Arial"/>
                <w:sz w:val="16"/>
                <w:szCs w:val="16"/>
                <w:b w:val="1"/>
                <w:bCs w:val="1"/>
                <w:i w:val="1"/>
                <w:iCs w:val="1"/>
                <w:color w:val="auto"/>
              </w:rPr>
              <w:t>(in millions)</w:t>
            </w:r>
          </w:p>
        </w:tc>
        <w:tc>
          <w:tcPr>
            <w:tcW w:w="440" w:type="dxa"/>
            <w:vAlign w:val="bottom"/>
            <w:tcBorders>
              <w:top w:val="single" w:sz="8" w:color="auto"/>
              <w:bottom w:val="single" w:sz="8" w:color="97AAD0"/>
            </w:tcBorders>
            <w:shd w:val="clear" w:color="auto" w:fill="97AAD0"/>
          </w:tcPr>
          <w:p>
            <w:pPr>
              <w:spacing w:after="0"/>
              <w:rPr>
                <w:sz w:val="24"/>
                <w:szCs w:val="24"/>
                <w:color w:val="auto"/>
              </w:rPr>
            </w:pPr>
          </w:p>
        </w:tc>
        <w:tc>
          <w:tcPr>
            <w:tcW w:w="900" w:type="dxa"/>
            <w:vAlign w:val="bottom"/>
            <w:tcBorders>
              <w:top w:val="single" w:sz="8" w:color="auto"/>
              <w:bottom w:val="single" w:sz="8" w:color="97AAD0"/>
            </w:tcBorders>
            <w:shd w:val="clear" w:color="auto" w:fill="97AAD0"/>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top w:val="single" w:sz="8" w:color="auto"/>
              <w:bottom w:val="single" w:sz="8" w:color="97AAD0"/>
            </w:tcBorders>
            <w:shd w:val="clear" w:color="auto" w:fill="97AAD0"/>
          </w:tcPr>
          <w:p>
            <w:pPr>
              <w:spacing w:after="0"/>
              <w:rPr>
                <w:sz w:val="24"/>
                <w:szCs w:val="24"/>
                <w:color w:val="auto"/>
              </w:rPr>
            </w:pPr>
          </w:p>
        </w:tc>
        <w:tc>
          <w:tcPr>
            <w:tcW w:w="920" w:type="dxa"/>
            <w:vAlign w:val="bottom"/>
            <w:tcBorders>
              <w:top w:val="single" w:sz="8" w:color="auto"/>
              <w:bottom w:val="single" w:sz="8" w:color="97AAD0"/>
            </w:tcBorders>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bottom w:val="single" w:sz="8" w:color="97AAD0"/>
            </w:tcBorders>
            <w:shd w:val="clear" w:color="auto" w:fill="97AAD0"/>
          </w:tcPr>
          <w:p>
            <w:pPr>
              <w:spacing w:after="0"/>
              <w:rPr>
                <w:sz w:val="24"/>
                <w:szCs w:val="24"/>
                <w:color w:val="auto"/>
              </w:rPr>
            </w:pPr>
          </w:p>
        </w:tc>
        <w:tc>
          <w:tcPr>
            <w:tcW w:w="1020" w:type="dxa"/>
            <w:vAlign w:val="bottom"/>
            <w:tcBorders>
              <w:top w:val="single" w:sz="8" w:color="auto"/>
              <w:bottom w:val="single" w:sz="8" w:color="97AAD0"/>
            </w:tcBorders>
            <w:shd w:val="clear" w:color="auto" w:fill="97AAD0"/>
          </w:tcPr>
          <w:p>
            <w:pPr>
              <w:jc w:val="right"/>
              <w:ind w:right="151"/>
              <w:spacing w:after="0"/>
              <w:rPr>
                <w:sz w:val="20"/>
                <w:szCs w:val="20"/>
                <w:color w:val="auto"/>
              </w:rPr>
            </w:pPr>
            <w:r>
              <w:rPr>
                <w:rFonts w:ascii="Arial" w:cs="Arial" w:eastAsia="Arial" w:hAnsi="Arial"/>
                <w:sz w:val="16"/>
                <w:szCs w:val="16"/>
                <w:b w:val="1"/>
                <w:bCs w:val="1"/>
                <w:color w:val="auto"/>
                <w:w w:val="99"/>
              </w:rPr>
              <w:t>2026-2027</w:t>
            </w:r>
          </w:p>
        </w:tc>
        <w:tc>
          <w:tcPr>
            <w:tcW w:w="260" w:type="dxa"/>
            <w:vAlign w:val="bottom"/>
            <w:tcBorders>
              <w:top w:val="single" w:sz="8" w:color="auto"/>
              <w:bottom w:val="single" w:sz="8" w:color="97AAD0"/>
            </w:tcBorders>
            <w:shd w:val="clear" w:color="auto" w:fill="97AAD0"/>
          </w:tcPr>
          <w:p>
            <w:pPr>
              <w:spacing w:after="0"/>
              <w:rPr>
                <w:sz w:val="24"/>
                <w:szCs w:val="24"/>
                <w:color w:val="auto"/>
              </w:rPr>
            </w:pPr>
          </w:p>
        </w:tc>
        <w:tc>
          <w:tcPr>
            <w:tcW w:w="1080" w:type="dxa"/>
            <w:vAlign w:val="bottom"/>
            <w:tcBorders>
              <w:top w:val="single" w:sz="8" w:color="auto"/>
              <w:bottom w:val="single" w:sz="8" w:color="97AAD0"/>
            </w:tcBorders>
            <w:shd w:val="clear" w:color="auto" w:fill="97AAD0"/>
          </w:tcPr>
          <w:p>
            <w:pPr>
              <w:jc w:val="right"/>
              <w:ind w:right="191"/>
              <w:spacing w:after="0"/>
              <w:rPr>
                <w:sz w:val="20"/>
                <w:szCs w:val="20"/>
                <w:color w:val="auto"/>
              </w:rPr>
            </w:pPr>
            <w:r>
              <w:rPr>
                <w:rFonts w:ascii="Arial" w:cs="Arial" w:eastAsia="Arial" w:hAnsi="Arial"/>
                <w:sz w:val="16"/>
                <w:szCs w:val="16"/>
                <w:b w:val="1"/>
                <w:bCs w:val="1"/>
                <w:color w:val="auto"/>
              </w:rPr>
              <w:t>2028-2029</w:t>
            </w:r>
          </w:p>
        </w:tc>
        <w:tc>
          <w:tcPr>
            <w:tcW w:w="240" w:type="dxa"/>
            <w:vAlign w:val="bottom"/>
            <w:tcBorders>
              <w:top w:val="single" w:sz="8" w:color="auto"/>
              <w:bottom w:val="single" w:sz="8" w:color="97AAD0"/>
            </w:tcBorders>
            <w:shd w:val="clear" w:color="auto" w:fill="97AAD0"/>
          </w:tcPr>
          <w:p>
            <w:pPr>
              <w:spacing w:after="0"/>
              <w:rPr>
                <w:sz w:val="24"/>
                <w:szCs w:val="24"/>
                <w:color w:val="auto"/>
              </w:rPr>
            </w:pPr>
          </w:p>
        </w:tc>
        <w:tc>
          <w:tcPr>
            <w:tcW w:w="1080" w:type="dxa"/>
            <w:vAlign w:val="bottom"/>
            <w:tcBorders>
              <w:top w:val="single" w:sz="8" w:color="auto"/>
              <w:bottom w:val="single" w:sz="8" w:color="97AAD0"/>
            </w:tcBorders>
            <w:shd w:val="clear" w:color="auto" w:fill="97AAD0"/>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43"/>
        </w:trPr>
        <w:tc>
          <w:tcPr>
            <w:tcW w:w="416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Long-term debt including interest</w:t>
            </w:r>
          </w:p>
        </w:tc>
        <w:tc>
          <w:tcPr>
            <w:tcW w:w="4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1,017.1</w:t>
            </w:r>
          </w:p>
        </w:tc>
        <w:tc>
          <w:tcPr>
            <w:tcW w:w="460" w:type="dxa"/>
            <w:vAlign w:val="bottom"/>
            <w:tcBorders>
              <w:top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26.0</w:t>
            </w:r>
          </w:p>
        </w:tc>
        <w:tc>
          <w:tcPr>
            <w:tcW w:w="2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976.6</w:t>
            </w:r>
          </w:p>
        </w:tc>
        <w:tc>
          <w:tcPr>
            <w:tcW w:w="26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14.5</w:t>
            </w:r>
          </w:p>
        </w:tc>
        <w:tc>
          <w:tcPr>
            <w:tcW w:w="2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160" w:type="dxa"/>
            <w:vAlign w:val="bottom"/>
          </w:tcPr>
          <w:p>
            <w:pPr>
              <w:ind w:left="100"/>
              <w:spacing w:after="0"/>
              <w:rPr>
                <w:sz w:val="20"/>
                <w:szCs w:val="20"/>
                <w:color w:val="auto"/>
              </w:rPr>
            </w:pPr>
            <w:r>
              <w:rPr>
                <w:rFonts w:ascii="Arial" w:cs="Arial" w:eastAsia="Arial" w:hAnsi="Arial"/>
                <w:sz w:val="18"/>
                <w:szCs w:val="18"/>
                <w:color w:val="auto"/>
              </w:rPr>
              <w:t>Short-term borrowings</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shd w:val="clear" w:color="auto" w:fill="E5E9F3"/>
          </w:tcPr>
          <w:p>
            <w:pPr>
              <w:ind w:left="100"/>
              <w:spacing w:after="0" w:line="202" w:lineRule="exact"/>
              <w:rPr>
                <w:sz w:val="20"/>
                <w:szCs w:val="20"/>
                <w:color w:val="auto"/>
              </w:rPr>
            </w:pPr>
            <w:r>
              <w:rPr>
                <w:rFonts w:ascii="Arial" w:cs="Arial" w:eastAsia="Arial" w:hAnsi="Arial"/>
                <w:sz w:val="18"/>
                <w:szCs w:val="18"/>
                <w:color w:val="auto"/>
              </w:rPr>
              <w:t>Purchase obligations for global technology and</w:t>
            </w:r>
          </w:p>
        </w:tc>
        <w:tc>
          <w:tcPr>
            <w:tcW w:w="440" w:type="dxa"/>
            <w:vAlign w:val="bottom"/>
            <w:shd w:val="clear" w:color="auto" w:fill="E5E9F3"/>
          </w:tcPr>
          <w:p>
            <w:pPr>
              <w:spacing w:after="0"/>
              <w:rPr>
                <w:sz w:val="17"/>
                <w:szCs w:val="17"/>
                <w:color w:val="auto"/>
              </w:rPr>
            </w:pPr>
          </w:p>
        </w:tc>
        <w:tc>
          <w:tcPr>
            <w:tcW w:w="90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521.9</w:t>
            </w:r>
          </w:p>
        </w:tc>
        <w:tc>
          <w:tcPr>
            <w:tcW w:w="460" w:type="dxa"/>
            <w:vAlign w:val="bottom"/>
            <w:shd w:val="clear" w:color="auto" w:fill="E5E9F3"/>
          </w:tcPr>
          <w:p>
            <w:pPr>
              <w:spacing w:after="0"/>
              <w:rPr>
                <w:sz w:val="17"/>
                <w:szCs w:val="17"/>
                <w:color w:val="auto"/>
              </w:rPr>
            </w:pPr>
          </w:p>
        </w:tc>
        <w:tc>
          <w:tcPr>
            <w:tcW w:w="920" w:type="dxa"/>
            <w:vAlign w:val="bottom"/>
            <w:vMerge w:val="restart"/>
            <w:shd w:val="clear" w:color="auto" w:fill="E5E9F3"/>
          </w:tcPr>
          <w:p>
            <w:pPr>
              <w:jc w:val="right"/>
              <w:ind w:right="31"/>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E5E9F3"/>
          </w:tcPr>
          <w:p>
            <w:pPr>
              <w:spacing w:after="0"/>
              <w:rPr>
                <w:sz w:val="17"/>
                <w:szCs w:val="17"/>
                <w:color w:val="auto"/>
              </w:rPr>
            </w:pPr>
          </w:p>
        </w:tc>
        <w:tc>
          <w:tcPr>
            <w:tcW w:w="1020" w:type="dxa"/>
            <w:vAlign w:val="bottom"/>
            <w:vMerge w:val="restart"/>
            <w:shd w:val="clear" w:color="auto" w:fill="E5E9F3"/>
          </w:tcPr>
          <w:p>
            <w:pPr>
              <w:jc w:val="right"/>
              <w:ind w:right="31"/>
              <w:spacing w:after="0"/>
              <w:rPr>
                <w:sz w:val="20"/>
                <w:szCs w:val="20"/>
                <w:color w:val="auto"/>
              </w:rPr>
            </w:pPr>
            <w:r>
              <w:rPr>
                <w:rFonts w:ascii="Arial" w:cs="Arial" w:eastAsia="Arial" w:hAnsi="Arial"/>
                <w:sz w:val="18"/>
                <w:szCs w:val="18"/>
                <w:color w:val="auto"/>
              </w:rPr>
              <w:t>181.8</w:t>
            </w:r>
          </w:p>
        </w:tc>
        <w:tc>
          <w:tcPr>
            <w:tcW w:w="260" w:type="dxa"/>
            <w:vAlign w:val="bottom"/>
            <w:shd w:val="clear" w:color="auto" w:fill="E5E9F3"/>
          </w:tcPr>
          <w:p>
            <w:pPr>
              <w:spacing w:after="0"/>
              <w:rPr>
                <w:sz w:val="17"/>
                <w:szCs w:val="17"/>
                <w:color w:val="auto"/>
              </w:rPr>
            </w:pPr>
          </w:p>
        </w:tc>
        <w:tc>
          <w:tcPr>
            <w:tcW w:w="1080" w:type="dxa"/>
            <w:vAlign w:val="bottom"/>
            <w:vMerge w:val="restart"/>
            <w:shd w:val="clear" w:color="auto" w:fill="E5E9F3"/>
          </w:tcPr>
          <w:p>
            <w:pPr>
              <w:jc w:val="right"/>
              <w:ind w:right="51"/>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E5E9F3"/>
          </w:tcPr>
          <w:p>
            <w:pPr>
              <w:spacing w:after="0"/>
              <w:rPr>
                <w:sz w:val="17"/>
                <w:szCs w:val="17"/>
                <w:color w:val="auto"/>
              </w:rPr>
            </w:pPr>
          </w:p>
        </w:tc>
        <w:tc>
          <w:tcPr>
            <w:tcW w:w="1080" w:type="dxa"/>
            <w:vAlign w:val="bottom"/>
            <w:vMerge w:val="restart"/>
            <w:shd w:val="clear" w:color="auto" w:fill="E5E9F3"/>
          </w:tcPr>
          <w:p>
            <w:pPr>
              <w:jc w:val="right"/>
              <w:ind w:right="31"/>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141"/>
        </w:trPr>
        <w:tc>
          <w:tcPr>
            <w:tcW w:w="4160" w:type="dxa"/>
            <w:vAlign w:val="bottom"/>
            <w:vMerge w:val="restart"/>
            <w:shd w:val="clear" w:color="auto" w:fill="E5E9F3"/>
          </w:tcPr>
          <w:p>
            <w:pPr>
              <w:ind w:left="260"/>
              <w:spacing w:after="0"/>
              <w:rPr>
                <w:sz w:val="20"/>
                <w:szCs w:val="20"/>
                <w:color w:val="auto"/>
              </w:rPr>
            </w:pPr>
            <w:r>
              <w:rPr>
                <w:rFonts w:ascii="Arial" w:cs="Arial" w:eastAsia="Arial" w:hAnsi="Arial"/>
                <w:sz w:val="18"/>
                <w:szCs w:val="18"/>
                <w:color w:val="auto"/>
              </w:rPr>
              <w:t>financial shared services</w:t>
            </w:r>
          </w:p>
        </w:tc>
        <w:tc>
          <w:tcPr>
            <w:tcW w:w="440" w:type="dxa"/>
            <w:vAlign w:val="bottom"/>
            <w:shd w:val="clear" w:color="auto" w:fill="E5E9F3"/>
          </w:tcPr>
          <w:p>
            <w:pPr>
              <w:spacing w:after="0"/>
              <w:rPr>
                <w:sz w:val="12"/>
                <w:szCs w:val="12"/>
                <w:color w:val="auto"/>
              </w:rPr>
            </w:pPr>
          </w:p>
        </w:tc>
        <w:tc>
          <w:tcPr>
            <w:tcW w:w="900" w:type="dxa"/>
            <w:vAlign w:val="bottom"/>
            <w:vMerge w:val="continue"/>
            <w:shd w:val="clear" w:color="auto" w:fill="E5E9F3"/>
          </w:tcPr>
          <w:p>
            <w:pPr>
              <w:spacing w:after="0"/>
              <w:rPr>
                <w:sz w:val="12"/>
                <w:szCs w:val="12"/>
                <w:color w:val="auto"/>
              </w:rPr>
            </w:pPr>
          </w:p>
        </w:tc>
        <w:tc>
          <w:tcPr>
            <w:tcW w:w="460" w:type="dxa"/>
            <w:vAlign w:val="bottom"/>
            <w:shd w:val="clear" w:color="auto" w:fill="E5E9F3"/>
          </w:tcPr>
          <w:p>
            <w:pPr>
              <w:spacing w:after="0"/>
              <w:rPr>
                <w:sz w:val="12"/>
                <w:szCs w:val="12"/>
                <w:color w:val="auto"/>
              </w:rPr>
            </w:pPr>
          </w:p>
        </w:tc>
        <w:tc>
          <w:tcPr>
            <w:tcW w:w="920" w:type="dxa"/>
            <w:vAlign w:val="bottom"/>
            <w:vMerge w:val="continue"/>
            <w:shd w:val="clear" w:color="auto" w:fill="E5E9F3"/>
          </w:tcPr>
          <w:p>
            <w:pPr>
              <w:spacing w:after="0"/>
              <w:rPr>
                <w:sz w:val="12"/>
                <w:szCs w:val="12"/>
                <w:color w:val="auto"/>
              </w:rPr>
            </w:pPr>
          </w:p>
        </w:tc>
        <w:tc>
          <w:tcPr>
            <w:tcW w:w="240" w:type="dxa"/>
            <w:vAlign w:val="bottom"/>
            <w:shd w:val="clear" w:color="auto" w:fill="E5E9F3"/>
          </w:tcPr>
          <w:p>
            <w:pPr>
              <w:spacing w:after="0"/>
              <w:rPr>
                <w:sz w:val="12"/>
                <w:szCs w:val="12"/>
                <w:color w:val="auto"/>
              </w:rPr>
            </w:pPr>
          </w:p>
        </w:tc>
        <w:tc>
          <w:tcPr>
            <w:tcW w:w="1020" w:type="dxa"/>
            <w:vAlign w:val="bottom"/>
            <w:vMerge w:val="continue"/>
            <w:shd w:val="clear" w:color="auto" w:fill="E5E9F3"/>
          </w:tcPr>
          <w:p>
            <w:pPr>
              <w:spacing w:after="0"/>
              <w:rPr>
                <w:sz w:val="12"/>
                <w:szCs w:val="12"/>
                <w:color w:val="auto"/>
              </w:rPr>
            </w:pPr>
          </w:p>
        </w:tc>
        <w:tc>
          <w:tcPr>
            <w:tcW w:w="260" w:type="dxa"/>
            <w:vAlign w:val="bottom"/>
            <w:shd w:val="clear" w:color="auto" w:fill="E5E9F3"/>
          </w:tcPr>
          <w:p>
            <w:pPr>
              <w:spacing w:after="0"/>
              <w:rPr>
                <w:sz w:val="12"/>
                <w:szCs w:val="12"/>
                <w:color w:val="auto"/>
              </w:rPr>
            </w:pPr>
          </w:p>
        </w:tc>
        <w:tc>
          <w:tcPr>
            <w:tcW w:w="1080" w:type="dxa"/>
            <w:vAlign w:val="bottom"/>
            <w:vMerge w:val="continue"/>
            <w:shd w:val="clear" w:color="auto" w:fill="E5E9F3"/>
          </w:tcPr>
          <w:p>
            <w:pPr>
              <w:spacing w:after="0"/>
              <w:rPr>
                <w:sz w:val="12"/>
                <w:szCs w:val="12"/>
                <w:color w:val="auto"/>
              </w:rPr>
            </w:pPr>
          </w:p>
        </w:tc>
        <w:tc>
          <w:tcPr>
            <w:tcW w:w="240" w:type="dxa"/>
            <w:vAlign w:val="bottom"/>
            <w:shd w:val="clear" w:color="auto" w:fill="E5E9F3"/>
          </w:tcPr>
          <w:p>
            <w:pPr>
              <w:spacing w:after="0"/>
              <w:rPr>
                <w:sz w:val="12"/>
                <w:szCs w:val="12"/>
                <w:color w:val="auto"/>
              </w:rPr>
            </w:pPr>
          </w:p>
        </w:tc>
        <w:tc>
          <w:tcPr>
            <w:tcW w:w="1080" w:type="dxa"/>
            <w:vAlign w:val="bottom"/>
            <w:vMerge w:val="continue"/>
            <w:shd w:val="clear" w:color="auto" w:fill="E5E9F3"/>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160" w:type="dxa"/>
            <w:vAlign w:val="bottom"/>
            <w:vMerge w:val="continue"/>
            <w:shd w:val="clear" w:color="auto" w:fill="E5E9F3"/>
          </w:tcPr>
          <w:p>
            <w:pPr>
              <w:spacing w:after="0"/>
              <w:rPr>
                <w:sz w:val="8"/>
                <w:szCs w:val="8"/>
                <w:color w:val="auto"/>
              </w:rPr>
            </w:pPr>
          </w:p>
        </w:tc>
        <w:tc>
          <w:tcPr>
            <w:tcW w:w="440" w:type="dxa"/>
            <w:vAlign w:val="bottom"/>
            <w:shd w:val="clear" w:color="auto" w:fill="E5E9F3"/>
          </w:tcPr>
          <w:p>
            <w:pPr>
              <w:spacing w:after="0"/>
              <w:rPr>
                <w:sz w:val="8"/>
                <w:szCs w:val="8"/>
                <w:color w:val="auto"/>
              </w:rPr>
            </w:pPr>
          </w:p>
        </w:tc>
        <w:tc>
          <w:tcPr>
            <w:tcW w:w="900" w:type="dxa"/>
            <w:vAlign w:val="bottom"/>
            <w:shd w:val="clear" w:color="auto" w:fill="E5E9F3"/>
          </w:tcPr>
          <w:p>
            <w:pPr>
              <w:spacing w:after="0"/>
              <w:rPr>
                <w:sz w:val="8"/>
                <w:szCs w:val="8"/>
                <w:color w:val="auto"/>
              </w:rPr>
            </w:pPr>
          </w:p>
        </w:tc>
        <w:tc>
          <w:tcPr>
            <w:tcW w:w="460" w:type="dxa"/>
            <w:vAlign w:val="bottom"/>
            <w:shd w:val="clear" w:color="auto" w:fill="E5E9F3"/>
          </w:tcPr>
          <w:p>
            <w:pPr>
              <w:spacing w:after="0"/>
              <w:rPr>
                <w:sz w:val="8"/>
                <w:szCs w:val="8"/>
                <w:color w:val="auto"/>
              </w:rPr>
            </w:pPr>
          </w:p>
        </w:tc>
        <w:tc>
          <w:tcPr>
            <w:tcW w:w="920" w:type="dxa"/>
            <w:vAlign w:val="bottom"/>
            <w:shd w:val="clear" w:color="auto" w:fill="E5E9F3"/>
          </w:tcPr>
          <w:p>
            <w:pPr>
              <w:spacing w:after="0"/>
              <w:rPr>
                <w:sz w:val="8"/>
                <w:szCs w:val="8"/>
                <w:color w:val="auto"/>
              </w:rPr>
            </w:pPr>
          </w:p>
        </w:tc>
        <w:tc>
          <w:tcPr>
            <w:tcW w:w="240" w:type="dxa"/>
            <w:vAlign w:val="bottom"/>
            <w:shd w:val="clear" w:color="auto" w:fill="E5E9F3"/>
          </w:tcPr>
          <w:p>
            <w:pPr>
              <w:spacing w:after="0"/>
              <w:rPr>
                <w:sz w:val="8"/>
                <w:szCs w:val="8"/>
                <w:color w:val="auto"/>
              </w:rPr>
            </w:pPr>
          </w:p>
        </w:tc>
        <w:tc>
          <w:tcPr>
            <w:tcW w:w="1020" w:type="dxa"/>
            <w:vAlign w:val="bottom"/>
            <w:shd w:val="clear" w:color="auto" w:fill="E5E9F3"/>
          </w:tcPr>
          <w:p>
            <w:pPr>
              <w:spacing w:after="0"/>
              <w:rPr>
                <w:sz w:val="8"/>
                <w:szCs w:val="8"/>
                <w:color w:val="auto"/>
              </w:rPr>
            </w:pPr>
          </w:p>
        </w:tc>
        <w:tc>
          <w:tcPr>
            <w:tcW w:w="260" w:type="dxa"/>
            <w:vAlign w:val="bottom"/>
            <w:shd w:val="clear" w:color="auto" w:fill="E5E9F3"/>
          </w:tcPr>
          <w:p>
            <w:pPr>
              <w:spacing w:after="0"/>
              <w:rPr>
                <w:sz w:val="8"/>
                <w:szCs w:val="8"/>
                <w:color w:val="auto"/>
              </w:rPr>
            </w:pPr>
          </w:p>
        </w:tc>
        <w:tc>
          <w:tcPr>
            <w:tcW w:w="1080" w:type="dxa"/>
            <w:vAlign w:val="bottom"/>
            <w:shd w:val="clear" w:color="auto" w:fill="E5E9F3"/>
          </w:tcPr>
          <w:p>
            <w:pPr>
              <w:spacing w:after="0"/>
              <w:rPr>
                <w:sz w:val="8"/>
                <w:szCs w:val="8"/>
                <w:color w:val="auto"/>
              </w:rPr>
            </w:pPr>
          </w:p>
        </w:tc>
        <w:tc>
          <w:tcPr>
            <w:tcW w:w="240" w:type="dxa"/>
            <w:vAlign w:val="bottom"/>
            <w:shd w:val="clear" w:color="auto" w:fill="E5E9F3"/>
          </w:tcPr>
          <w:p>
            <w:pPr>
              <w:spacing w:after="0"/>
              <w:rPr>
                <w:sz w:val="8"/>
                <w:szCs w:val="8"/>
                <w:color w:val="auto"/>
              </w:rPr>
            </w:pPr>
          </w:p>
        </w:tc>
        <w:tc>
          <w:tcPr>
            <w:tcW w:w="1080" w:type="dxa"/>
            <w:vAlign w:val="bottom"/>
            <w:shd w:val="clear" w:color="auto" w:fill="E5E9F3"/>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41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420.4</w:t>
            </w: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55"/>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Pension funding commitments</w:t>
            </w:r>
          </w:p>
        </w:tc>
        <w:tc>
          <w:tcPr>
            <w:tcW w:w="440" w:type="dxa"/>
            <w:vAlign w:val="bottom"/>
            <w:shd w:val="clear" w:color="auto" w:fill="E5E9F3"/>
          </w:tcPr>
          <w:p>
            <w:pPr>
              <w:spacing w:after="0"/>
              <w:rPr>
                <w:sz w:val="22"/>
                <w:szCs w:val="22"/>
                <w:color w:val="auto"/>
              </w:rPr>
            </w:pPr>
          </w:p>
        </w:tc>
        <w:tc>
          <w:tcPr>
            <w:tcW w:w="9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73.7</w:t>
            </w:r>
          </w:p>
        </w:tc>
        <w:tc>
          <w:tcPr>
            <w:tcW w:w="46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8.0</w:t>
            </w:r>
          </w:p>
        </w:tc>
        <w:tc>
          <w:tcPr>
            <w:tcW w:w="24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7.7</w:t>
            </w:r>
          </w:p>
        </w:tc>
        <w:tc>
          <w:tcPr>
            <w:tcW w:w="26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9.0</w:t>
            </w:r>
          </w:p>
        </w:tc>
        <w:tc>
          <w:tcPr>
            <w:tcW w:w="24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51"/>
        </w:trPr>
        <w:tc>
          <w:tcPr>
            <w:tcW w:w="4160" w:type="dxa"/>
            <w:vAlign w:val="bottom"/>
          </w:tcPr>
          <w:p>
            <w:pPr>
              <w:ind w:left="100"/>
              <w:spacing w:after="0"/>
              <w:rPr>
                <w:sz w:val="20"/>
                <w:szCs w:val="20"/>
                <w:color w:val="auto"/>
              </w:rPr>
            </w:pPr>
            <w:r>
              <w:rPr>
                <w:rFonts w:ascii="Arial" w:cs="Arial" w:eastAsia="Arial" w:hAnsi="Arial"/>
                <w:sz w:val="18"/>
                <w:szCs w:val="18"/>
                <w:color w:val="auto"/>
              </w:rPr>
              <w:t>Restructuring costs</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Transition tax resulting from the Tax Act</w:t>
            </w:r>
          </w:p>
        </w:tc>
        <w:tc>
          <w:tcPr>
            <w:tcW w:w="440" w:type="dxa"/>
            <w:vAlign w:val="bottom"/>
            <w:shd w:val="clear" w:color="auto" w:fill="E5E9F3"/>
          </w:tcPr>
          <w:p>
            <w:pPr>
              <w:spacing w:after="0"/>
              <w:rPr>
                <w:sz w:val="22"/>
                <w:szCs w:val="22"/>
                <w:color w:val="auto"/>
              </w:rPr>
            </w:pPr>
          </w:p>
        </w:tc>
        <w:tc>
          <w:tcPr>
            <w:tcW w:w="9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37.2</w:t>
            </w:r>
          </w:p>
        </w:tc>
        <w:tc>
          <w:tcPr>
            <w:tcW w:w="46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4160" w:type="dxa"/>
            <w:vAlign w:val="bottom"/>
            <w:tcBorders>
              <w:bottom w:val="single" w:sz="8" w:color="auto"/>
            </w:tcBorders>
          </w:tcPr>
          <w:p>
            <w:pPr>
              <w:ind w:left="100"/>
              <w:spacing w:after="0" w:line="253"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(a)</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98.6</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160" w:type="dxa"/>
            <w:vAlign w:val="bottom"/>
            <w:tcBorders>
              <w:bottom w:val="single" w:sz="8" w:color="auto"/>
            </w:tcBorders>
            <w:shd w:val="clear" w:color="auto" w:fill="E5E9F3"/>
          </w:tcPr>
          <w:p>
            <w:pPr>
              <w:spacing w:after="0"/>
              <w:rPr>
                <w:sz w:val="20"/>
                <w:szCs w:val="20"/>
                <w:color w:val="auto"/>
              </w:rPr>
            </w:pPr>
          </w:p>
        </w:tc>
        <w:tc>
          <w:tcPr>
            <w:tcW w:w="4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2,268.2</w:t>
            </w:r>
          </w:p>
        </w:tc>
        <w:tc>
          <w:tcPr>
            <w:tcW w:w="46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462.8</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1,355.1</w:t>
            </w: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249.5</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tabs>
          <w:tab w:leader="none" w:pos="320" w:val="left"/>
        </w:tabs>
        <w:numPr>
          <w:ilvl w:val="0"/>
          <w:numId w:val="32"/>
        </w:numPr>
        <w:rPr>
          <w:rFonts w:ascii="Arial" w:cs="Arial" w:eastAsia="Arial" w:hAnsi="Arial"/>
          <w:sz w:val="10"/>
          <w:szCs w:val="10"/>
          <w:color w:val="auto"/>
        </w:rPr>
      </w:pPr>
      <w:r>
        <w:rPr>
          <w:rFonts w:ascii="Arial" w:cs="Arial" w:eastAsia="Arial" w:hAnsi="Arial"/>
          <w:sz w:val="16"/>
          <w:szCs w:val="16"/>
          <w:color w:val="auto"/>
        </w:rPr>
        <w:t>Includes local information technology contracts and other vendor commitments.</w:t>
      </w:r>
    </w:p>
    <w:p>
      <w:pPr>
        <w:spacing w:after="0" w:line="115"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Our liability for unrecognized tax benefits, including related interest and penalties, of $11.4 is excluded from the commitments above as we cannot determine the years in which these positions might ultimately be settled.</w:t>
      </w:r>
    </w:p>
    <w:p>
      <w:pPr>
        <w:sectPr>
          <w:pgSz w:w="12240" w:h="15840" w:orient="portrait"/>
          <w:cols w:equalWidth="0" w:num="1">
            <w:col w:w="10800"/>
          </w:cols>
          <w:pgMar w:left="720" w:top="734" w:right="720" w:bottom="175"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10800"/>
          </w:cols>
          <w:pgMar w:left="720" w:top="734" w:right="720" w:bottom="175" w:gutter="0" w:footer="0" w:header="0"/>
          <w:type w:val="continuous"/>
        </w:sectPr>
      </w:pPr>
    </w:p>
    <w:bookmarkStart w:id="44" w:name="page45"/>
    <w:bookmarkEnd w:id="44"/>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2" o:spid="_x0000_s107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recorded net restructuring costs of $53.6, $149.2 and $3.6 in 2024, 2023 and 2022, respectively, in selling and administrative expenses, primarily related to severance, office closures and consolidations, and professional and other fees related to restructuring in multiple countries and territories. The costs paid out of our restructuring reserve were $93.7 in 2024.</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have entered into guarantee contracts and stand-by letters of credit that total $571.0 as of December 31, 2024 ($524.2 for guarantees and $46.8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$1.4 for 2024.</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Total capitalization as of December 31, 2024 was $3,079.7, comprised of $952.8 in debt and $2,126.9 in equity. Debt as a percentage of total capitalization was 31%, 31% and 29% as of December 31, 2024, 2023 and 2022, respectively.</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Acquisitions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From time to time, we acquire and invest in companies throughout the world, including franchises. The total cash consideration paid for acquisitions, net of cash acquired, for the years ended December 31, 2024, 2023, and 2022 was $7.7, $0.0 and $20.2, respectively. The 2024 payments represent a consideration payment for a franchise in the United States and contingent consideration payments related to a previous acquisition. The 2022 payments primarily represent a consideration payment for the acquisition of Tingari, a talent solutions company in France. Also included in the 2022 payments are consideration payments for franchises in the United States and contingent consideration payments related to previous acquisitions, of which $3.8 had been recognized as a liability at the acquisition date.</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of December 31, 2024, goodwill and other intangible assets resulting from the 2024 acquisitions were $1.4 and $3.1, respectively. We did not make any acquisitions in 2023.</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Dispositions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Occasionally, we dispose of parts of our operations based on risk considerations and to optimize our global strategic and geographic footprint, as well as improve our overall efficiency. 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and $324.2 of revenues for the year ended December 31, 2023 and 2022, respectively.</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800"/>
          </w:cols>
          <w:pgMar w:left="720" w:top="734" w:right="720" w:bottom="175" w:gutter="0" w:footer="0" w:header="0"/>
          <w:type w:val="continuous"/>
        </w:sectPr>
      </w:pPr>
    </w:p>
    <w:bookmarkStart w:id="45" w:name="page46"/>
    <w:bookmarkEnd w:id="4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3" o:spid="_x0000_s107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Euro Notes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June 30, 2022, we offered and sold €400.0 aggregate principal amount of the Company’s 3.50% notes due June 30, 2027 (the “€400.0 notes”). The proceeds from the €400.0 notes were used in July 2022 to repay our €400.0 1.875% notes due September 11, 2022. The €400.0 notes were issued at a price of 99.465% to yield an effective interest rate of 3.514%, net of a favorable impact of a forward starting interest rate swap. Interest on the €400.0 notes is payable in arrears on June 30 of each year. The Notes are unsecured senior obligations and rank equally with all of the Company’s existing and future senior unsecured debt and other liabilities.</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2024. Since our net investment in these subsidiaries exceeds the respective amount of the designated borrowings,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Revolving Credit Agreement</w:t>
      </w:r>
    </w:p>
    <w:p>
      <w:pPr>
        <w:spacing w:after="0" w:line="1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the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2024 and 2023. Outstanding letters of credit issued totaled $0.4, hence additional borrowings of $599.6 were available to us under the facility as of both December 31, 2024 and 2023.</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A downgrade from both credit agencies would unfavorably impact our interest and facility fees and result in additional costs ranging from approximately $0.2 to $0.5 annually.</w:t>
      </w:r>
    </w:p>
    <w:p>
      <w:pPr>
        <w:spacing w:after="0" w:line="7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defined in the Credit Agreement, we had a net Debt-to-EBITDA ratio of 1.97 to 1 (compared to the maximum allowable ratio of 3.5 to 1) and a Fixed Charge Coverage ratio of 3.27 to 1 (compared to the minimum required ratio of 1.5 to 1) as of December 31, 2024.</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Other</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the previously mentioned facilities, we maintain separate bank credit lines with financial institutions to meet working capital needs of our subsidiary operations. As of December 31, 2024, such uncommitted credit lines totaled $290.5, of which $266.1 was unused. Under the Credit Agreement, total subsidiary borrowings cannot exceed $300.0 in the first, second and fourth quarters, and $600.0 in the third quarter of each year. Additional borrowings of $266.1 could have been made under these lines as of December 31, 2024.</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10800"/>
          </w:cols>
          <w:pgMar w:left="720" w:top="734" w:right="720" w:bottom="175" w:gutter="0" w:footer="0" w:header="0"/>
          <w:type w:val="continuous"/>
        </w:sectPr>
      </w:pPr>
    </w:p>
    <w:bookmarkStart w:id="46" w:name="page47"/>
    <w:bookmarkEnd w:id="46"/>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4" o:spid="_x0000_s107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long-term debt has a rating of Baa1 with stable outlook from Moody's Investor Services and BBB from Standard and Poor's with negative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Assessment of the Liquidity Position</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assessed our liquidity position as of December 31, 2024 and for the near future. As of December 31, 2024, our cash and cash equivalents balance was $509.4.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Furthermore, we have access to the previously mentioned credit lines of up to $300.0 ($600.0 in the third quarter) to meet the working capital needs of our subsidiaries, of which $266.1 was available to use, in addition to $150.0 of uncommitted credit facilities at our parent company, as of December 31, 2024. Our €500.0 ($516.6) notes mature in June 2026, and our €400.0 ($411.8) notes mature in June 2027. Based on the above, we believe we have sufficient liquidity and capital resources to satisfy future requirements and meet our obligations currently and in the near future.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537BB5"/>
        </w:rPr>
        <w:t>Application of Critical Accounting Policies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Defined Benefit Pension Plans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sponsor several qualified and nonqualified pension plans covering permanent employees. The most significant plans are located in Switzerland, the United Kingdom, the Netherlands, Germany and France. Annual expense relating to these plans was $18.0, $21.7 and $18.6 in 2024, 2023 and 2022, respectively. Pension expense is estimated to be approximately $15.0 in 2025.</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determining the estimated 2025 pension expense for non-United States plans, we used a weighted-average discount rate of 2.7% and weighted-average expected return on plan assets of 3.4%, both of which are unchanged from 2024. Absent any other changes, a 25 basis point increase in the weighted-average discount rate would increase our 2025 consolidated pension expense by $0.1, and a 25 basis point decrease in the weighted-average discount rate would increase our 2025 consolidated pension expense by $3.0. Absent any other changes, a 25 basis point increase or decrease in the weighted-average expected return on plan assets would decrease or increase our 2025 consolidated pension expense by $1.4. (See Note 9 to the Consolidated Financial Statements found in Item 8. "Financial Statements and Supplementary Data" for further information.)</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20"/>
          <w:szCs w:val="20"/>
          <w:i w:val="1"/>
          <w:iCs w:val="1"/>
          <w:color w:val="537BB5"/>
        </w:rPr>
        <w:t>Income Taxes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800"/>
          </w:cols>
          <w:pgMar w:left="720" w:top="734" w:right="720" w:bottom="175" w:gutter="0" w:footer="0" w:header="0"/>
          <w:type w:val="continuous"/>
        </w:sectPr>
      </w:pPr>
    </w:p>
    <w:bookmarkStart w:id="47" w:name="page48"/>
    <w:bookmarkEnd w:id="4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5" o:spid="_x0000_s108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20"/>
          <w:szCs w:val="20"/>
          <w:i w:val="1"/>
          <w:iCs w:val="1"/>
          <w:color w:val="537BB5"/>
        </w:rPr>
        <w:t>Goodwill Impairment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performed our annual impairment test of our goodwill and indefinite-lived intangible assets during the third quarter of 2024, and determined that there was no impairment of our goodwill or indefinite-lived intangible assets as a result of our annual test. The excess of fair value over carrying amount for our goodwill reporting units, which exceeded 15% or more of the respective carrying amounts, was sufficient to conclude that no impairment was indicated.</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While the excess of fair value over carrying amount exceeded 15% for our reporting units, we did see a lower level of excess fair value year over year in many of our North America and Europe reporting units including three of these reporting units which approximate $1,243.0 of the consolidated goodwill balance. Given the current macroeconomic conditions in these regions, our assumptions on near-term expected future revenue growth rates and operating profit margins were lower than in the prior year assessment. Market conditions in North America and Europe continue to remain challenging given the economic uncertainty including the uncertainty surrounding the timing of an inflection point for improving market conditions. 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During the fourth quarter of 2024, in connection with the preparation of our annual financial statements, we assessed the changes in circumstances that occurred during the quarter to determine if it was more likely than not that the fair value of any reporting unit or indefinite-lived intangible assets were below its carrying amount. While we continued to see challenging market conditions in Europe which led to lower levels of revenue and OUP in certain of our reporting units than we had forecasted at the time of our impairment testing, we concluded based on our analysis performed, that the fair value of these reporting units continued to exceed the carrying value and did not identify a triggering event.</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537BB5"/>
        </w:rPr>
        <w:t>Significant Matters Affecting Results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Market Risks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the impact of foreign currency exchange rate fluctuations and interest rate changes.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Exchange Rates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800"/>
          </w:cols>
          <w:pgMar w:left="720" w:top="734" w:right="720" w:bottom="175" w:gutter="0" w:footer="0" w:header="0"/>
          <w:type w:val="continuous"/>
        </w:sectPr>
      </w:pPr>
    </w:p>
    <w:bookmarkStart w:id="48" w:name="page49"/>
    <w:bookmarkEnd w:id="48"/>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6" o:spid="_x0000_s108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Approximately 85% of our revenues are generated outside of the United States, with 48%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United States dollar strengthened in 2024 on average, where as it was generally stable relative to the currencies of our major markets during 2023. Revenues from services in constant currency were 2.2% higher than reported revenues in 2024. In 2023, revenues from services in constant currency were 0.6% higher than reported revenues. A change in the strength of the United States dollar by an additional 10% would have impacted our revenues from services by approximately 8.5% and 8.4% from the amounts reported in 2024 and 2023, respectively.</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2024 compared to December 31, 2023. Consequently, shareholders’ equity decreased by $4.0 as a result of the foreign currency translation as of December 31, 2024. If the United States dollar had strengthened an additional 10% as of December 31, 2024, resulting translation adjustments recorded in shareholders’ equity would have decreased by approximately $6.0 from the amounts reported.</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United States dollar weakened relative to many foreign currencies as of December 31, 2023 compared to December 31, 2022. Consequently, shareholders’ equity increased by $17.1 as a result of the foreign currency translation as of December 31, 2023. If the United States dollar had weakened an additional 10% as of December 31, 2023, resulting translation adjustments recorded in shareholders’ equity would have increased by approximately $60.0 from the amounts reported.</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As of December 31, 2024, we had outstanding $928.4 in principal amount of Euro-denominated notes (€900.0). These notes have been designated as a hedge of our net investment in subsidiaries with a Euro-functional currency as of December 31, 2024. Since our net investment in these subsidiaries exceeds the respective amount of the designated borrowings, both net of tax, the related translation gains or losses are included as a component of accumulated other comprehensive loss. Shareholders’ equity decreased by $61.5, net of tax, due to changes in accumulated other comprehensive loss during 2024, due to the currency impact on these designated borrowings.</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hypothetical impact of the stated change in rates on 2024 total other comprehensive income (loss) for the Euro Notes and forward contracts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Borders>
              <w:top w:val="single" w:sz="8" w:color="auto"/>
            </w:tcBorders>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16"/>
                <w:szCs w:val="16"/>
                <w:b w:val="1"/>
                <w:bCs w:val="1"/>
                <w:i w:val="1"/>
                <w:iCs w:val="1"/>
                <w:color w:val="auto"/>
              </w:rPr>
              <w:t>(in millions)</w:t>
            </w:r>
          </w:p>
        </w:tc>
        <w:tc>
          <w:tcPr>
            <w:tcW w:w="3760" w:type="dxa"/>
            <w:vAlign w:val="bottom"/>
            <w:tcBorders>
              <w:top w:val="single" w:sz="8" w:color="auto"/>
            </w:tcBorders>
            <w:gridSpan w:val="2"/>
            <w:shd w:val="clear" w:color="auto" w:fill="97AAD0"/>
          </w:tcPr>
          <w:p>
            <w:pPr>
              <w:jc w:val="center"/>
              <w:ind w:left="2095"/>
              <w:spacing w:after="0"/>
              <w:rPr>
                <w:sz w:val="20"/>
                <w:szCs w:val="20"/>
                <w:color w:val="auto"/>
              </w:rPr>
            </w:pPr>
            <w:r>
              <w:rPr>
                <w:rFonts w:ascii="Arial" w:cs="Arial" w:eastAsia="Arial" w:hAnsi="Arial"/>
                <w:sz w:val="16"/>
                <w:szCs w:val="16"/>
                <w:b w:val="1"/>
                <w:bCs w:val="1"/>
                <w:color w:val="auto"/>
              </w:rPr>
              <w:t>10% Depreciation</w:t>
            </w:r>
          </w:p>
        </w:tc>
        <w:tc>
          <w:tcPr>
            <w:tcW w:w="240" w:type="dxa"/>
            <w:vAlign w:val="bottom"/>
            <w:tcBorders>
              <w:top w:val="single" w:sz="8" w:color="auto"/>
            </w:tcBorders>
            <w:shd w:val="clear" w:color="auto" w:fill="97AAD0"/>
          </w:tcPr>
          <w:p>
            <w:pPr>
              <w:spacing w:after="0"/>
              <w:rPr>
                <w:sz w:val="16"/>
                <w:szCs w:val="16"/>
                <w:color w:val="auto"/>
              </w:rPr>
            </w:pPr>
          </w:p>
        </w:tc>
        <w:tc>
          <w:tcPr>
            <w:tcW w:w="1520" w:type="dxa"/>
            <w:vAlign w:val="bottom"/>
            <w:tcBorders>
              <w:top w:val="single" w:sz="8" w:color="auto"/>
            </w:tcBorders>
            <w:vMerge w:val="restart"/>
            <w:shd w:val="clear" w:color="auto" w:fill="97AAD0"/>
          </w:tcPr>
          <w:p>
            <w:pPr>
              <w:jc w:val="right"/>
              <w:ind w:right="72"/>
              <w:spacing w:after="0"/>
              <w:rPr>
                <w:sz w:val="20"/>
                <w:szCs w:val="20"/>
                <w:color w:val="auto"/>
              </w:rPr>
            </w:pPr>
            <w:r>
              <w:rPr>
                <w:rFonts w:ascii="Arial" w:cs="Arial" w:eastAsia="Arial" w:hAnsi="Arial"/>
                <w:sz w:val="16"/>
                <w:szCs w:val="16"/>
                <w:b w:val="1"/>
                <w:bCs w:val="1"/>
                <w:color w:val="auto"/>
                <w:w w:val="99"/>
              </w:rPr>
              <w:t>10% Appreciation</w:t>
            </w:r>
          </w:p>
        </w:tc>
        <w:tc>
          <w:tcPr>
            <w:tcW w:w="0" w:type="dxa"/>
            <w:vAlign w:val="bottom"/>
          </w:tcPr>
          <w:p>
            <w:pPr>
              <w:spacing w:after="0"/>
              <w:rPr>
                <w:sz w:val="1"/>
                <w:szCs w:val="1"/>
                <w:color w:val="auto"/>
              </w:rPr>
            </w:pPr>
          </w:p>
        </w:tc>
      </w:tr>
      <w:tr>
        <w:trPr>
          <w:trHeight w:val="184"/>
        </w:trPr>
        <w:tc>
          <w:tcPr>
            <w:tcW w:w="5280" w:type="dxa"/>
            <w:vAlign w:val="bottom"/>
            <w:vMerge w:val="continue"/>
            <w:shd w:val="clear" w:color="auto" w:fill="97AAD0"/>
          </w:tcPr>
          <w:p>
            <w:pPr>
              <w:spacing w:after="0"/>
              <w:rPr>
                <w:sz w:val="15"/>
                <w:szCs w:val="15"/>
                <w:color w:val="auto"/>
              </w:rPr>
            </w:pPr>
          </w:p>
        </w:tc>
        <w:tc>
          <w:tcPr>
            <w:tcW w:w="2440" w:type="dxa"/>
            <w:vAlign w:val="bottom"/>
            <w:shd w:val="clear" w:color="auto" w:fill="97AAD0"/>
          </w:tcPr>
          <w:p>
            <w:pPr>
              <w:spacing w:after="0"/>
              <w:rPr>
                <w:sz w:val="15"/>
                <w:szCs w:val="15"/>
                <w:color w:val="auto"/>
              </w:rPr>
            </w:pPr>
          </w:p>
        </w:tc>
        <w:tc>
          <w:tcPr>
            <w:tcW w:w="1320" w:type="dxa"/>
            <w:vAlign w:val="bottom"/>
            <w:shd w:val="clear" w:color="auto" w:fill="97AAD0"/>
          </w:tcPr>
          <w:p>
            <w:pPr>
              <w:jc w:val="center"/>
              <w:ind w:right="173"/>
              <w:spacing w:after="0"/>
              <w:rPr>
                <w:sz w:val="20"/>
                <w:szCs w:val="20"/>
                <w:color w:val="auto"/>
              </w:rPr>
            </w:pPr>
            <w:r>
              <w:rPr>
                <w:rFonts w:ascii="Arial" w:cs="Arial" w:eastAsia="Arial" w:hAnsi="Arial"/>
                <w:sz w:val="16"/>
                <w:szCs w:val="16"/>
                <w:b w:val="1"/>
                <w:bCs w:val="1"/>
                <w:color w:val="auto"/>
                <w:w w:val="99"/>
              </w:rPr>
              <w:t>in Exchange</w:t>
            </w:r>
          </w:p>
        </w:tc>
        <w:tc>
          <w:tcPr>
            <w:tcW w:w="240" w:type="dxa"/>
            <w:vAlign w:val="bottom"/>
            <w:shd w:val="clear" w:color="auto" w:fill="97AAD0"/>
          </w:tcPr>
          <w:p>
            <w:pPr>
              <w:spacing w:after="0"/>
              <w:rPr>
                <w:sz w:val="15"/>
                <w:szCs w:val="15"/>
                <w:color w:val="auto"/>
              </w:rPr>
            </w:pPr>
          </w:p>
        </w:tc>
        <w:tc>
          <w:tcPr>
            <w:tcW w:w="152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Market Sensitive Instrument</w:t>
            </w:r>
          </w:p>
        </w:tc>
        <w:tc>
          <w:tcPr>
            <w:tcW w:w="2440" w:type="dxa"/>
            <w:vAlign w:val="bottom"/>
            <w:tcBorders>
              <w:bottom w:val="single" w:sz="8" w:color="auto"/>
            </w:tcBorders>
            <w:shd w:val="clear" w:color="auto" w:fill="97AAD0"/>
          </w:tcPr>
          <w:p>
            <w:pPr>
              <w:spacing w:after="0"/>
              <w:rPr>
                <w:sz w:val="20"/>
                <w:szCs w:val="20"/>
                <w:color w:val="auto"/>
              </w:rPr>
            </w:pPr>
          </w:p>
        </w:tc>
        <w:tc>
          <w:tcPr>
            <w:tcW w:w="1320" w:type="dxa"/>
            <w:vAlign w:val="bottom"/>
            <w:tcBorders>
              <w:bottom w:val="single" w:sz="8" w:color="auto"/>
            </w:tcBorders>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Rates</w:t>
            </w:r>
          </w:p>
        </w:tc>
        <w:tc>
          <w:tcPr>
            <w:tcW w:w="1760" w:type="dxa"/>
            <w:vAlign w:val="bottom"/>
            <w:tcBorders>
              <w:bottom w:val="single" w:sz="8" w:color="auto"/>
            </w:tcBorders>
            <w:gridSpan w:val="2"/>
            <w:shd w:val="clear" w:color="auto" w:fill="97AAD0"/>
          </w:tcPr>
          <w:p>
            <w:pPr>
              <w:jc w:val="right"/>
              <w:ind w:right="32"/>
              <w:spacing w:after="0"/>
              <w:rPr>
                <w:sz w:val="20"/>
                <w:szCs w:val="20"/>
                <w:color w:val="auto"/>
              </w:rPr>
            </w:pPr>
            <w:r>
              <w:rPr>
                <w:rFonts w:ascii="Arial" w:cs="Arial" w:eastAsia="Arial" w:hAnsi="Arial"/>
                <w:sz w:val="16"/>
                <w:szCs w:val="16"/>
                <w:b w:val="1"/>
                <w:bCs w:val="1"/>
                <w:color w:val="auto"/>
              </w:rPr>
              <w:t>in Exchange Rates</w:t>
            </w:r>
          </w:p>
        </w:tc>
        <w:tc>
          <w:tcPr>
            <w:tcW w:w="0" w:type="dxa"/>
            <w:vAlign w:val="bottom"/>
          </w:tcPr>
          <w:p>
            <w:pPr>
              <w:spacing w:after="0"/>
              <w:rPr>
                <w:sz w:val="1"/>
                <w:szCs w:val="1"/>
                <w:color w:val="auto"/>
              </w:rPr>
            </w:pPr>
          </w:p>
        </w:tc>
      </w:tr>
      <w:tr>
        <w:trPr>
          <w:trHeight w:val="262"/>
        </w:trPr>
        <w:tc>
          <w:tcPr>
            <w:tcW w:w="528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Euro Notes:</w:t>
            </w:r>
          </w:p>
        </w:tc>
        <w:tc>
          <w:tcPr>
            <w:tcW w:w="2440" w:type="dxa"/>
            <w:vAlign w:val="bottom"/>
            <w:shd w:val="clear" w:color="auto" w:fill="E5E9F3"/>
          </w:tcPr>
          <w:p>
            <w:pPr>
              <w:spacing w:after="0"/>
              <w:rPr>
                <w:sz w:val="22"/>
                <w:szCs w:val="22"/>
                <w:color w:val="auto"/>
              </w:rPr>
            </w:pPr>
          </w:p>
        </w:tc>
        <w:tc>
          <w:tcPr>
            <w:tcW w:w="1320" w:type="dxa"/>
            <w:vAlign w:val="bottom"/>
            <w:shd w:val="clear" w:color="auto" w:fill="E5E9F3"/>
          </w:tcPr>
          <w:p>
            <w:pPr>
              <w:spacing w:after="0"/>
              <w:rPr>
                <w:sz w:val="22"/>
                <w:szCs w:val="22"/>
                <w:color w:val="auto"/>
              </w:rPr>
            </w:pPr>
          </w:p>
        </w:tc>
        <w:tc>
          <w:tcPr>
            <w:tcW w:w="240" w:type="dxa"/>
            <w:vAlign w:val="bottom"/>
            <w:shd w:val="clear" w:color="auto" w:fill="E5E9F3"/>
          </w:tcPr>
          <w:p>
            <w:pPr>
              <w:spacing w:after="0"/>
              <w:rPr>
                <w:sz w:val="22"/>
                <w:szCs w:val="22"/>
                <w:color w:val="auto"/>
              </w:rPr>
            </w:pPr>
          </w:p>
        </w:tc>
        <w:tc>
          <w:tcPr>
            <w:tcW w:w="152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280" w:type="dxa"/>
            <w:vAlign w:val="bottom"/>
          </w:tcPr>
          <w:p>
            <w:pPr>
              <w:ind w:left="100"/>
              <w:spacing w:after="0"/>
              <w:rPr>
                <w:sz w:val="20"/>
                <w:szCs w:val="20"/>
                <w:color w:val="auto"/>
              </w:rPr>
            </w:pPr>
            <w:r>
              <w:rPr>
                <w:rFonts w:ascii="Arial" w:cs="Arial" w:eastAsia="Arial" w:hAnsi="Arial"/>
                <w:sz w:val="18"/>
                <w:szCs w:val="18"/>
                <w:color w:val="auto"/>
              </w:rPr>
              <w:t>€500.0, 1.81% Notes due June 2026</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3"/>
              <w:spacing w:after="0"/>
              <w:rPr>
                <w:sz w:val="20"/>
                <w:szCs w:val="20"/>
                <w:color w:val="auto"/>
              </w:rPr>
            </w:pPr>
            <w:r>
              <w:rPr>
                <w:rFonts w:ascii="Arial" w:cs="Arial" w:eastAsia="Arial" w:hAnsi="Arial"/>
                <w:sz w:val="18"/>
                <w:szCs w:val="18"/>
                <w:color w:val="auto"/>
              </w:rPr>
              <w:t>51.8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69"/>
        </w:trPr>
        <w:tc>
          <w:tcPr>
            <w:tcW w:w="52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€400.0, 3.50% Notes due June 2027</w:t>
            </w:r>
          </w:p>
        </w:tc>
        <w:tc>
          <w:tcPr>
            <w:tcW w:w="2440" w:type="dxa"/>
            <w:vAlign w:val="bottom"/>
            <w:shd w:val="clear" w:color="auto" w:fill="E5E9F3"/>
          </w:tcPr>
          <w:p>
            <w:pPr>
              <w:spacing w:after="0"/>
              <w:rPr>
                <w:sz w:val="23"/>
                <w:szCs w:val="23"/>
                <w:color w:val="auto"/>
              </w:rPr>
            </w:pPr>
          </w:p>
        </w:tc>
        <w:tc>
          <w:tcPr>
            <w:tcW w:w="1320" w:type="dxa"/>
            <w:vAlign w:val="bottom"/>
            <w:shd w:val="clear" w:color="auto" w:fill="E5E9F3"/>
          </w:tcPr>
          <w:p>
            <w:pPr>
              <w:jc w:val="right"/>
              <w:ind w:right="413"/>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E5E9F3"/>
          </w:tcPr>
          <w:p>
            <w:pPr>
              <w:spacing w:after="0"/>
              <w:rPr>
                <w:sz w:val="23"/>
                <w:szCs w:val="23"/>
                <w:color w:val="auto"/>
              </w:rPr>
            </w:pPr>
          </w:p>
        </w:tc>
        <w:tc>
          <w:tcPr>
            <w:tcW w:w="1520" w:type="dxa"/>
            <w:vAlign w:val="bottom"/>
            <w:shd w:val="clear" w:color="auto" w:fill="E5E9F3"/>
          </w:tcPr>
          <w:p>
            <w:pPr>
              <w:jc w:val="right"/>
              <w:ind w:right="352"/>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67"/>
        </w:trPr>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Forward contracts:</w:t>
            </w:r>
          </w:p>
        </w:tc>
        <w:tc>
          <w:tcPr>
            <w:tcW w:w="2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2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€(126.7) to $(131.9)</w:t>
            </w:r>
          </w:p>
        </w:tc>
        <w:tc>
          <w:tcPr>
            <w:tcW w:w="2440" w:type="dxa"/>
            <w:vAlign w:val="bottom"/>
            <w:shd w:val="clear" w:color="auto" w:fill="E5E9F3"/>
          </w:tcPr>
          <w:p>
            <w:pPr>
              <w:spacing w:after="0"/>
              <w:rPr>
                <w:sz w:val="23"/>
                <w:szCs w:val="23"/>
                <w:color w:val="auto"/>
              </w:rPr>
            </w:pPr>
          </w:p>
        </w:tc>
        <w:tc>
          <w:tcPr>
            <w:tcW w:w="1320" w:type="dxa"/>
            <w:vAlign w:val="bottom"/>
            <w:shd w:val="clear" w:color="auto" w:fill="E5E9F3"/>
          </w:tcPr>
          <w:p>
            <w:pPr>
              <w:jc w:val="right"/>
              <w:ind w:right="413"/>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5E9F3"/>
          </w:tcPr>
          <w:p>
            <w:pPr>
              <w:spacing w:after="0"/>
              <w:rPr>
                <w:sz w:val="23"/>
                <w:szCs w:val="23"/>
                <w:color w:val="auto"/>
              </w:rPr>
            </w:pPr>
          </w:p>
        </w:tc>
        <w:tc>
          <w:tcPr>
            <w:tcW w:w="1520" w:type="dxa"/>
            <w:vAlign w:val="bottom"/>
            <w:shd w:val="clear" w:color="auto" w:fill="E5E9F3"/>
          </w:tcPr>
          <w:p>
            <w:pPr>
              <w:jc w:val="right"/>
              <w:ind w:right="352"/>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64"/>
        </w:trPr>
        <w:tc>
          <w:tcPr>
            <w:tcW w:w="5280" w:type="dxa"/>
            <w:vAlign w:val="bottom"/>
          </w:tcPr>
          <w:p>
            <w:pPr>
              <w:ind w:left="100"/>
              <w:spacing w:after="0"/>
              <w:rPr>
                <w:sz w:val="20"/>
                <w:szCs w:val="20"/>
                <w:color w:val="auto"/>
              </w:rPr>
            </w:pPr>
            <w:r>
              <w:rPr>
                <w:rFonts w:ascii="Arial" w:cs="Arial" w:eastAsia="Arial" w:hAnsi="Arial"/>
                <w:sz w:val="18"/>
                <w:szCs w:val="18"/>
                <w:color w:val="auto"/>
              </w:rPr>
              <w:t>¥340.0 to $2.2</w:t>
            </w:r>
          </w:p>
        </w:tc>
        <w:tc>
          <w:tcPr>
            <w:tcW w:w="2440" w:type="dxa"/>
            <w:vAlign w:val="bottom"/>
          </w:tcPr>
          <w:p>
            <w:pPr>
              <w:spacing w:after="0"/>
              <w:rPr>
                <w:sz w:val="22"/>
                <w:szCs w:val="22"/>
                <w:color w:val="auto"/>
              </w:rPr>
            </w:pPr>
          </w:p>
        </w:tc>
        <w:tc>
          <w:tcPr>
            <w:tcW w:w="1320" w:type="dxa"/>
            <w:vAlign w:val="bottom"/>
          </w:tcPr>
          <w:p>
            <w:pPr>
              <w:jc w:val="right"/>
              <w:ind w:right="313"/>
              <w:spacing w:after="0"/>
              <w:rPr>
                <w:sz w:val="20"/>
                <w:szCs w:val="20"/>
                <w:color w:val="auto"/>
              </w:rPr>
            </w:pPr>
            <w:r>
              <w:rPr>
                <w:rFonts w:ascii="Arial" w:cs="Arial" w:eastAsia="Arial" w:hAnsi="Arial"/>
                <w:sz w:val="18"/>
                <w:szCs w:val="18"/>
                <w:color w:val="auto"/>
              </w:rPr>
              <w:t>(0.2 )</w:t>
            </w:r>
          </w:p>
        </w:tc>
        <w:tc>
          <w:tcPr>
            <w:tcW w:w="240" w:type="dxa"/>
            <w:vAlign w:val="bottom"/>
          </w:tcPr>
          <w:p>
            <w:pPr>
              <w:spacing w:after="0"/>
              <w:rPr>
                <w:sz w:val="22"/>
                <w:szCs w:val="22"/>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10800"/>
          </w:cols>
          <w:pgMar w:left="720" w:top="734" w:right="720" w:bottom="175" w:gutter="0" w:footer="0" w:header="0"/>
          <w:type w:val="continuous"/>
        </w:sectPr>
      </w:pPr>
    </w:p>
    <w:bookmarkStart w:id="49" w:name="page50"/>
    <w:bookmarkEnd w:id="4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7" o:spid="_x0000_s108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Interest Rates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exposure to market risk for changes in interest rates relates primarily to our variable rate debt obligations. We have historically managed interest rates through the use of a combination of fixed- and variable-rate borrowings. As of December 31, 2024, we had the following fixed- and variable-rate borrowings: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0" w:type="dxa"/>
            <w:vAlign w:val="bottom"/>
            <w:tcBorders>
              <w:top w:val="single" w:sz="8" w:color="auto"/>
            </w:tcBorders>
            <w:shd w:val="clear" w:color="auto" w:fill="97AAD0"/>
          </w:tcPr>
          <w:p>
            <w:pPr>
              <w:spacing w:after="0"/>
              <w:rPr>
                <w:sz w:val="21"/>
                <w:szCs w:val="21"/>
                <w:color w:val="auto"/>
              </w:rPr>
            </w:pPr>
          </w:p>
        </w:tc>
        <w:tc>
          <w:tcPr>
            <w:tcW w:w="3000" w:type="dxa"/>
            <w:vAlign w:val="bottom"/>
            <w:tcBorders>
              <w:top w:val="single" w:sz="8" w:color="auto"/>
            </w:tcBorders>
            <w:shd w:val="clear" w:color="auto" w:fill="97AAD0"/>
          </w:tcPr>
          <w:p>
            <w:pPr>
              <w:spacing w:after="0"/>
              <w:rPr>
                <w:sz w:val="21"/>
                <w:szCs w:val="21"/>
                <w:color w:val="auto"/>
              </w:rPr>
            </w:pPr>
          </w:p>
        </w:tc>
        <w:tc>
          <w:tcPr>
            <w:tcW w:w="1180" w:type="dxa"/>
            <w:vAlign w:val="bottom"/>
            <w:tcBorders>
              <w:top w:val="single" w:sz="8" w:color="auto"/>
            </w:tcBorders>
            <w:shd w:val="clear" w:color="auto" w:fill="97AAD0"/>
          </w:tcPr>
          <w:p>
            <w:pPr>
              <w:spacing w:after="0"/>
              <w:rPr>
                <w:sz w:val="21"/>
                <w:szCs w:val="21"/>
                <w:color w:val="auto"/>
              </w:rPr>
            </w:pPr>
          </w:p>
        </w:tc>
        <w:tc>
          <w:tcPr>
            <w:tcW w:w="1820" w:type="dxa"/>
            <w:vAlign w:val="bottom"/>
            <w:tcBorders>
              <w:top w:val="single" w:sz="8" w:color="auto"/>
            </w:tcBorders>
            <w:shd w:val="clear" w:color="auto" w:fill="97AAD0"/>
          </w:tcPr>
          <w:p>
            <w:pPr>
              <w:jc w:val="center"/>
              <w:ind w:left="36"/>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4"/>
        </w:trPr>
        <w:tc>
          <w:tcPr>
            <w:tcW w:w="4800" w:type="dxa"/>
            <w:vAlign w:val="bottom"/>
            <w:shd w:val="clear" w:color="auto" w:fill="97AAD0"/>
          </w:tcPr>
          <w:p>
            <w:pPr>
              <w:spacing w:after="0"/>
              <w:rPr>
                <w:sz w:val="15"/>
                <w:szCs w:val="15"/>
                <w:color w:val="auto"/>
              </w:rPr>
            </w:pPr>
          </w:p>
        </w:tc>
        <w:tc>
          <w:tcPr>
            <w:tcW w:w="3000" w:type="dxa"/>
            <w:vAlign w:val="bottom"/>
            <w:shd w:val="clear" w:color="auto" w:fill="97AAD0"/>
          </w:tcPr>
          <w:p>
            <w:pPr>
              <w:spacing w:after="0"/>
              <w:rPr>
                <w:sz w:val="15"/>
                <w:szCs w:val="15"/>
                <w:color w:val="auto"/>
              </w:rPr>
            </w:pPr>
          </w:p>
        </w:tc>
        <w:tc>
          <w:tcPr>
            <w:tcW w:w="1180" w:type="dxa"/>
            <w:vAlign w:val="bottom"/>
            <w:vMerge w:val="restart"/>
            <w:shd w:val="clear" w:color="auto" w:fill="97AAD0"/>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1820" w:type="dxa"/>
            <w:vAlign w:val="bottom"/>
            <w:shd w:val="clear" w:color="auto" w:fill="97AAD0"/>
          </w:tcPr>
          <w:p>
            <w:pPr>
              <w:jc w:val="center"/>
              <w:ind w:left="36"/>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i w:val="1"/>
                <w:iCs w:val="1"/>
                <w:color w:val="auto"/>
              </w:rPr>
              <w:t>(in millions)</w:t>
            </w:r>
          </w:p>
        </w:tc>
        <w:tc>
          <w:tcPr>
            <w:tcW w:w="3000" w:type="dxa"/>
            <w:vAlign w:val="bottom"/>
            <w:tcBorders>
              <w:bottom w:val="single" w:sz="8" w:color="auto"/>
            </w:tcBorders>
            <w:shd w:val="clear" w:color="auto" w:fill="97AAD0"/>
          </w:tcPr>
          <w:p>
            <w:pPr>
              <w:spacing w:after="0"/>
              <w:rPr>
                <w:sz w:val="19"/>
                <w:szCs w:val="19"/>
                <w:color w:val="auto"/>
              </w:rPr>
            </w:pPr>
          </w:p>
        </w:tc>
        <w:tc>
          <w:tcPr>
            <w:tcW w:w="1180" w:type="dxa"/>
            <w:vAlign w:val="bottom"/>
            <w:tcBorders>
              <w:bottom w:val="single" w:sz="8" w:color="auto"/>
            </w:tcBorders>
            <w:vMerge w:val="continue"/>
            <w:shd w:val="clear" w:color="auto" w:fill="97AAD0"/>
          </w:tcPr>
          <w:p>
            <w:pPr>
              <w:spacing w:after="0"/>
              <w:rPr>
                <w:sz w:val="19"/>
                <w:szCs w:val="19"/>
                <w:color w:val="auto"/>
              </w:rPr>
            </w:pPr>
          </w:p>
        </w:tc>
        <w:tc>
          <w:tcPr>
            <w:tcW w:w="1820" w:type="dxa"/>
            <w:vAlign w:val="bottom"/>
            <w:tcBorders>
              <w:bottom w:val="single" w:sz="8" w:color="auto"/>
            </w:tcBorders>
            <w:shd w:val="clear" w:color="auto" w:fill="97AAD0"/>
          </w:tcPr>
          <w:p>
            <w:pPr>
              <w:jc w:val="center"/>
              <w:ind w:left="36"/>
              <w:spacing w:after="0"/>
              <w:rPr>
                <w:sz w:val="20"/>
                <w:szCs w:val="20"/>
                <w:color w:val="auto"/>
              </w:rPr>
            </w:pPr>
            <w:r>
              <w:rPr>
                <w:rFonts w:ascii="Arial" w:cs="Arial" w:eastAsia="Arial" w:hAnsi="Arial"/>
                <w:sz w:val="16"/>
                <w:szCs w:val="16"/>
                <w:b w:val="1"/>
                <w:bCs w:val="1"/>
                <w:color w:val="auto"/>
              </w:rPr>
              <w:t>Interest Rate</w:t>
            </w:r>
            <w:r>
              <w:rPr>
                <w:rFonts w:ascii="Arial" w:cs="Arial" w:eastAsia="Arial" w:hAnsi="Arial"/>
                <w:sz w:val="10"/>
                <w:szCs w:val="10"/>
                <w:b w:val="1"/>
                <w:bCs w:val="1"/>
                <w:color w:val="auto"/>
              </w:rPr>
              <w:t>(a)</w:t>
            </w:r>
          </w:p>
        </w:tc>
        <w:tc>
          <w:tcPr>
            <w:tcW w:w="0" w:type="dxa"/>
            <w:vAlign w:val="bottom"/>
          </w:tcPr>
          <w:p>
            <w:pPr>
              <w:spacing w:after="0"/>
              <w:rPr>
                <w:sz w:val="1"/>
                <w:szCs w:val="1"/>
                <w:color w:val="auto"/>
              </w:rPr>
            </w:pPr>
          </w:p>
        </w:tc>
      </w:tr>
      <w:tr>
        <w:trPr>
          <w:trHeight w:val="243"/>
        </w:trPr>
        <w:tc>
          <w:tcPr>
            <w:tcW w:w="48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Variable-rate borrowings</w:t>
            </w:r>
          </w:p>
        </w:tc>
        <w:tc>
          <w:tcPr>
            <w:tcW w:w="300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9F3"/>
          </w:tcPr>
          <w:p>
            <w:pPr>
              <w:jc w:val="right"/>
              <w:ind w:right="333"/>
              <w:spacing w:after="0"/>
              <w:rPr>
                <w:sz w:val="20"/>
                <w:szCs w:val="20"/>
                <w:color w:val="auto"/>
              </w:rPr>
            </w:pPr>
            <w:r>
              <w:rPr>
                <w:rFonts w:ascii="Arial" w:cs="Arial" w:eastAsia="Arial" w:hAnsi="Arial"/>
                <w:sz w:val="18"/>
                <w:szCs w:val="18"/>
                <w:color w:val="auto"/>
              </w:rPr>
              <w:t>21.0</w:t>
            </w:r>
          </w:p>
        </w:tc>
        <w:tc>
          <w:tcPr>
            <w:tcW w:w="1820" w:type="dxa"/>
            <w:vAlign w:val="bottom"/>
            <w:shd w:val="clear" w:color="auto" w:fill="E5E9F3"/>
          </w:tcPr>
          <w:p>
            <w:pPr>
              <w:jc w:val="right"/>
              <w:ind w:right="336"/>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1"/>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Fixed-rate borrowings</w:t>
            </w:r>
          </w:p>
        </w:tc>
        <w:tc>
          <w:tcPr>
            <w:tcW w:w="30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931.8</w:t>
            </w:r>
          </w:p>
        </w:tc>
        <w:tc>
          <w:tcPr>
            <w:tcW w:w="18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 debt</w:t>
            </w:r>
          </w:p>
        </w:tc>
        <w:tc>
          <w:tcPr>
            <w:tcW w:w="300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ind w:right="333"/>
              <w:spacing w:after="0"/>
              <w:rPr>
                <w:sz w:val="20"/>
                <w:szCs w:val="20"/>
                <w:color w:val="auto"/>
              </w:rPr>
            </w:pPr>
            <w:r>
              <w:rPr>
                <w:rFonts w:ascii="Arial" w:cs="Arial" w:eastAsia="Arial" w:hAnsi="Arial"/>
                <w:sz w:val="18"/>
                <w:szCs w:val="18"/>
                <w:color w:val="auto"/>
              </w:rPr>
              <w:t>952.8</w:t>
            </w:r>
          </w:p>
        </w:tc>
        <w:tc>
          <w:tcPr>
            <w:tcW w:w="1820" w:type="dxa"/>
            <w:vAlign w:val="bottom"/>
            <w:tcBorders>
              <w:bottom w:val="single" w:sz="8" w:color="auto"/>
            </w:tcBorders>
            <w:shd w:val="clear" w:color="auto" w:fill="E5E9F3"/>
          </w:tcPr>
          <w:p>
            <w:pPr>
              <w:spacing w:after="0"/>
              <w:rPr>
                <w:sz w:val="21"/>
                <w:szCs w:val="2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tabs>
          <w:tab w:leader="none" w:pos="320" w:val="left"/>
        </w:tabs>
        <w:numPr>
          <w:ilvl w:val="0"/>
          <w:numId w:val="33"/>
        </w:numPr>
        <w:rPr>
          <w:rFonts w:ascii="Arial" w:cs="Arial" w:eastAsia="Arial" w:hAnsi="Arial"/>
          <w:sz w:val="10"/>
          <w:szCs w:val="10"/>
          <w:color w:val="auto"/>
        </w:rPr>
      </w:pPr>
      <w:r>
        <w:rPr>
          <w:rFonts w:ascii="Arial" w:cs="Arial" w:eastAsia="Arial" w:hAnsi="Arial"/>
          <w:sz w:val="16"/>
          <w:szCs w:val="16"/>
          <w:color w:val="auto"/>
        </w:rPr>
        <w:t>The rates are impacted by currency exchange rate movements.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Impact of Economic Conditions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537BB5"/>
        </w:rPr>
        <w:t>Recently Issued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See Note 1 to the Consolidated Financial Statements found in Item 8. "Financial Statements and Supplementary Data."</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10800"/>
          </w:cols>
          <w:pgMar w:left="720" w:top="734" w:right="720" w:bottom="175"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84"/>
        </w:trPr>
        <w:tc>
          <w:tcPr>
            <w:tcW w:w="9660" w:type="dxa"/>
            <w:vAlign w:val="bottom"/>
            <w:shd w:val="clear" w:color="auto" w:fill="537BB5"/>
          </w:tcPr>
          <w:p>
            <w:pPr>
              <w:spacing w:after="0"/>
              <w:rPr>
                <w:sz w:val="24"/>
                <w:szCs w:val="24"/>
                <w:color w:val="auto"/>
              </w:rPr>
            </w:pPr>
          </w:p>
        </w:tc>
        <w:tc>
          <w:tcPr>
            <w:tcW w:w="1140" w:type="dxa"/>
            <w:vAlign w:val="bottom"/>
            <w:shd w:val="clear" w:color="auto" w:fill="537BB5"/>
          </w:tcPr>
          <w:p>
            <w:pPr>
              <w:ind w:left="520"/>
              <w:spacing w:after="0"/>
              <w:rPr>
                <w:sz w:val="20"/>
                <w:szCs w:val="20"/>
                <w:color w:val="auto"/>
              </w:rPr>
            </w:pPr>
            <w:r>
              <w:rPr>
                <w:rFonts w:ascii="Arial" w:cs="Arial" w:eastAsia="Arial" w:hAnsi="Arial"/>
                <w:sz w:val="20"/>
                <w:szCs w:val="20"/>
                <w:color w:val="FFFFFF"/>
              </w:rPr>
              <w:t>Part II</w:t>
            </w:r>
          </w:p>
        </w:tc>
      </w:tr>
      <w:tr>
        <w:trPr>
          <w:trHeight w:val="482"/>
        </w:trPr>
        <w:tc>
          <w:tcPr>
            <w:tcW w:w="9660" w:type="dxa"/>
            <w:vAlign w:val="bottom"/>
          </w:tcPr>
          <w:p>
            <w:pPr>
              <w:spacing w:after="0"/>
              <w:rPr>
                <w:sz w:val="20"/>
                <w:szCs w:val="20"/>
                <w:color w:val="auto"/>
              </w:rPr>
            </w:pPr>
            <w:r>
              <w:rPr>
                <w:rFonts w:ascii="Arial" w:cs="Arial" w:eastAsia="Arial" w:hAnsi="Arial"/>
                <w:sz w:val="28"/>
                <w:szCs w:val="28"/>
                <w:b w:val="1"/>
                <w:bCs w:val="1"/>
                <w:color w:val="537BB5"/>
              </w:rPr>
              <w:t>Item 8. Financial Statements and Supplementary Data</w:t>
            </w:r>
          </w:p>
        </w:tc>
        <w:tc>
          <w:tcPr>
            <w:tcW w:w="1140" w:type="dxa"/>
            <w:vAlign w:val="bottom"/>
          </w:tcPr>
          <w:p>
            <w:pPr>
              <w:spacing w:after="0"/>
              <w:rPr>
                <w:sz w:val="24"/>
                <w:szCs w:val="24"/>
                <w:color w:val="auto"/>
              </w:rPr>
            </w:pPr>
          </w:p>
        </w:tc>
      </w:tr>
      <w:tr>
        <w:trPr>
          <w:trHeight w:val="259"/>
        </w:trPr>
        <w:tc>
          <w:tcPr>
            <w:tcW w:w="96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229"/>
        </w:trPr>
        <w:tc>
          <w:tcPr>
            <w:tcW w:w="96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r>
      <w:tr>
        <w:trPr>
          <w:trHeight w:val="94"/>
        </w:trPr>
        <w:tc>
          <w:tcPr>
            <w:tcW w:w="9660" w:type="dxa"/>
            <w:vAlign w:val="bottom"/>
            <w:tcBorders>
              <w:bottom w:val="single" w:sz="8" w:color="537BB5"/>
            </w:tcBorders>
          </w:tcPr>
          <w:p>
            <w:pPr>
              <w:spacing w:after="0"/>
              <w:rPr>
                <w:sz w:val="8"/>
                <w:szCs w:val="8"/>
                <w:color w:val="auto"/>
              </w:rPr>
            </w:pPr>
          </w:p>
        </w:tc>
        <w:tc>
          <w:tcPr>
            <w:tcW w:w="1140" w:type="dxa"/>
            <w:vAlign w:val="bottom"/>
            <w:tcBorders>
              <w:bottom w:val="single" w:sz="8" w:color="537BB5"/>
            </w:tcBorders>
          </w:tcPr>
          <w:p>
            <w:pPr>
              <w:spacing w:after="0"/>
              <w:rPr>
                <w:sz w:val="8"/>
                <w:szCs w:val="8"/>
                <w:color w:val="auto"/>
              </w:rPr>
            </w:pPr>
          </w:p>
        </w:tc>
      </w:tr>
      <w:tr>
        <w:trPr>
          <w:trHeight w:val="261"/>
        </w:trPr>
        <w:tc>
          <w:tcPr>
            <w:tcW w:w="9660" w:type="dxa"/>
            <w:vAlign w:val="bottom"/>
          </w:tcPr>
          <w:p>
            <w:pPr>
              <w:ind w:left="100"/>
              <w:spacing w:after="0"/>
              <w:rPr>
                <w:sz w:val="20"/>
                <w:szCs w:val="20"/>
                <w:color w:val="auto"/>
              </w:rPr>
            </w:pPr>
            <w:r>
              <w:rPr>
                <w:rFonts w:ascii="Arial" w:cs="Arial" w:eastAsia="Arial" w:hAnsi="Arial"/>
                <w:sz w:val="20"/>
                <w:szCs w:val="20"/>
                <w:color w:val="auto"/>
              </w:rPr>
              <w:t>Index to Consolidated Financial Statements:</w:t>
            </w:r>
          </w:p>
        </w:tc>
        <w:tc>
          <w:tcPr>
            <w:tcW w:w="1140" w:type="dxa"/>
            <w:vAlign w:val="bottom"/>
          </w:tcPr>
          <w:p>
            <w:pPr>
              <w:spacing w:after="0"/>
              <w:rPr>
                <w:sz w:val="22"/>
                <w:szCs w:val="22"/>
                <w:color w:val="auto"/>
              </w:rPr>
            </w:pPr>
          </w:p>
        </w:tc>
      </w:tr>
      <w:tr>
        <w:trPr>
          <w:trHeight w:val="270"/>
        </w:trPr>
        <w:tc>
          <w:tcPr>
            <w:tcW w:w="9660" w:type="dxa"/>
            <w:vAlign w:val="bottom"/>
          </w:tcPr>
          <w:p>
            <w:pPr>
              <w:ind w:left="240"/>
              <w:spacing w:after="0"/>
              <w:rPr>
                <w:sz w:val="20"/>
                <w:szCs w:val="20"/>
                <w:color w:val="auto"/>
              </w:rPr>
            </w:pPr>
            <w:r>
              <w:rPr>
                <w:rFonts w:ascii="Arial" w:cs="Arial" w:eastAsia="Arial" w:hAnsi="Arial"/>
                <w:sz w:val="20"/>
                <w:szCs w:val="20"/>
                <w:color w:val="auto"/>
              </w:rPr>
              <w:t>Report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46</w:t>
            </w:r>
          </w:p>
        </w:tc>
      </w:tr>
      <w:tr>
        <w:trPr>
          <w:trHeight w:val="270"/>
        </w:trPr>
        <w:tc>
          <w:tcPr>
            <w:tcW w:w="9660" w:type="dxa"/>
            <w:vAlign w:val="bottom"/>
          </w:tcPr>
          <w:p>
            <w:pPr>
              <w:ind w:left="240"/>
              <w:spacing w:after="0"/>
              <w:rPr>
                <w:sz w:val="20"/>
                <w:szCs w:val="20"/>
                <w:color w:val="auto"/>
              </w:rPr>
            </w:pPr>
            <w:r>
              <w:rPr>
                <w:rFonts w:ascii="Arial" w:cs="Arial" w:eastAsia="Arial" w:hAnsi="Arial"/>
                <w:sz w:val="20"/>
                <w:szCs w:val="20"/>
                <w:color w:val="auto"/>
              </w:rPr>
              <w:t>Consolidated Statements of Operations for the years ended December 31, 2024, 2023 and 2022</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49</w:t>
            </w:r>
          </w:p>
        </w:tc>
      </w:tr>
      <w:tr>
        <w:trPr>
          <w:trHeight w:val="230"/>
        </w:trPr>
        <w:tc>
          <w:tcPr>
            <w:tcW w:w="9660" w:type="dxa"/>
            <w:vAlign w:val="bottom"/>
          </w:tcPr>
          <w:p>
            <w:pPr>
              <w:ind w:left="240"/>
              <w:spacing w:after="0"/>
              <w:rPr>
                <w:sz w:val="20"/>
                <w:szCs w:val="20"/>
                <w:color w:val="auto"/>
              </w:rPr>
            </w:pPr>
            <w:r>
              <w:rPr>
                <w:rFonts w:ascii="Arial" w:cs="Arial" w:eastAsia="Arial" w:hAnsi="Arial"/>
                <w:sz w:val="20"/>
                <w:szCs w:val="20"/>
                <w:color w:val="auto"/>
              </w:rPr>
              <w:t>Consolidated Statements of Comprehensive Income for the years ended December 31, 2024, 2023 and</w:t>
            </w:r>
          </w:p>
        </w:tc>
        <w:tc>
          <w:tcPr>
            <w:tcW w:w="1140" w:type="dxa"/>
            <w:vAlign w:val="bottom"/>
          </w:tcPr>
          <w:p>
            <w:pPr>
              <w:spacing w:after="0"/>
              <w:rPr>
                <w:sz w:val="19"/>
                <w:szCs w:val="19"/>
                <w:color w:val="auto"/>
              </w:rPr>
            </w:pPr>
          </w:p>
        </w:tc>
      </w:tr>
      <w:tr>
        <w:trPr>
          <w:trHeight w:val="270"/>
        </w:trPr>
        <w:tc>
          <w:tcPr>
            <w:tcW w:w="9660" w:type="dxa"/>
            <w:vAlign w:val="bottom"/>
          </w:tcPr>
          <w:p>
            <w:pPr>
              <w:ind w:left="420"/>
              <w:spacing w:after="0"/>
              <w:rPr>
                <w:sz w:val="20"/>
                <w:szCs w:val="20"/>
                <w:color w:val="auto"/>
              </w:rPr>
            </w:pPr>
            <w:r>
              <w:rPr>
                <w:rFonts w:ascii="Arial" w:cs="Arial" w:eastAsia="Arial" w:hAnsi="Arial"/>
                <w:sz w:val="20"/>
                <w:szCs w:val="20"/>
                <w:color w:val="auto"/>
              </w:rPr>
              <w:t>2022</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50</w:t>
            </w:r>
          </w:p>
        </w:tc>
      </w:tr>
      <w:tr>
        <w:trPr>
          <w:trHeight w:val="270"/>
        </w:trPr>
        <w:tc>
          <w:tcPr>
            <w:tcW w:w="9660" w:type="dxa"/>
            <w:vAlign w:val="bottom"/>
          </w:tcPr>
          <w:p>
            <w:pPr>
              <w:ind w:left="240"/>
              <w:spacing w:after="0"/>
              <w:rPr>
                <w:sz w:val="20"/>
                <w:szCs w:val="20"/>
                <w:color w:val="auto"/>
              </w:rPr>
            </w:pPr>
            <w:r>
              <w:rPr>
                <w:rFonts w:ascii="Arial" w:cs="Arial" w:eastAsia="Arial" w:hAnsi="Arial"/>
                <w:sz w:val="20"/>
                <w:szCs w:val="20"/>
                <w:color w:val="auto"/>
              </w:rPr>
              <w:t>Consolidated Balance Sheets as of December 31, 2024 and 2023</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51</w:t>
            </w:r>
          </w:p>
        </w:tc>
      </w:tr>
      <w:tr>
        <w:trPr>
          <w:trHeight w:val="270"/>
        </w:trPr>
        <w:tc>
          <w:tcPr>
            <w:tcW w:w="9660" w:type="dxa"/>
            <w:vAlign w:val="bottom"/>
          </w:tcPr>
          <w:p>
            <w:pPr>
              <w:ind w:left="240"/>
              <w:spacing w:after="0"/>
              <w:rPr>
                <w:sz w:val="20"/>
                <w:szCs w:val="20"/>
                <w:color w:val="auto"/>
              </w:rPr>
            </w:pPr>
            <w:r>
              <w:rPr>
                <w:rFonts w:ascii="Arial" w:cs="Arial" w:eastAsia="Arial" w:hAnsi="Arial"/>
                <w:sz w:val="20"/>
                <w:szCs w:val="20"/>
                <w:color w:val="auto"/>
              </w:rPr>
              <w:t>Consolidated Statements of Cash Flows for the years ended December 31, 2024, 2023 and 2022</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52</w:t>
            </w:r>
          </w:p>
        </w:tc>
      </w:tr>
      <w:tr>
        <w:trPr>
          <w:trHeight w:val="230"/>
        </w:trPr>
        <w:tc>
          <w:tcPr>
            <w:tcW w:w="9660" w:type="dxa"/>
            <w:vAlign w:val="bottom"/>
          </w:tcPr>
          <w:p>
            <w:pPr>
              <w:ind w:left="240"/>
              <w:spacing w:after="0"/>
              <w:rPr>
                <w:sz w:val="20"/>
                <w:szCs w:val="20"/>
                <w:color w:val="auto"/>
              </w:rPr>
            </w:pPr>
            <w:r>
              <w:rPr>
                <w:rFonts w:ascii="Arial" w:cs="Arial" w:eastAsia="Arial" w:hAnsi="Arial"/>
                <w:sz w:val="20"/>
                <w:szCs w:val="20"/>
                <w:color w:val="auto"/>
              </w:rPr>
              <w:t>Consolidated Statements of Shareholders’ Equity for the years ended December 31, 2024, 2023 and</w:t>
            </w:r>
          </w:p>
        </w:tc>
        <w:tc>
          <w:tcPr>
            <w:tcW w:w="1140" w:type="dxa"/>
            <w:vAlign w:val="bottom"/>
          </w:tcPr>
          <w:p>
            <w:pPr>
              <w:spacing w:after="0"/>
              <w:rPr>
                <w:sz w:val="19"/>
                <w:szCs w:val="19"/>
                <w:color w:val="auto"/>
              </w:rPr>
            </w:pPr>
          </w:p>
        </w:tc>
      </w:tr>
      <w:tr>
        <w:trPr>
          <w:trHeight w:val="270"/>
        </w:trPr>
        <w:tc>
          <w:tcPr>
            <w:tcW w:w="9660" w:type="dxa"/>
            <w:vAlign w:val="bottom"/>
          </w:tcPr>
          <w:p>
            <w:pPr>
              <w:ind w:left="420"/>
              <w:spacing w:after="0"/>
              <w:rPr>
                <w:sz w:val="20"/>
                <w:szCs w:val="20"/>
                <w:color w:val="auto"/>
              </w:rPr>
            </w:pPr>
            <w:r>
              <w:rPr>
                <w:rFonts w:ascii="Arial" w:cs="Arial" w:eastAsia="Arial" w:hAnsi="Arial"/>
                <w:sz w:val="20"/>
                <w:szCs w:val="20"/>
                <w:color w:val="auto"/>
              </w:rPr>
              <w:t>2022</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53</w:t>
            </w:r>
          </w:p>
        </w:tc>
      </w:tr>
      <w:tr>
        <w:trPr>
          <w:trHeight w:val="271"/>
        </w:trPr>
        <w:tc>
          <w:tcPr>
            <w:tcW w:w="9660" w:type="dxa"/>
            <w:vAlign w:val="bottom"/>
          </w:tcPr>
          <w:p>
            <w:pPr>
              <w:ind w:left="80"/>
              <w:spacing w:after="0"/>
              <w:rPr>
                <w:sz w:val="20"/>
                <w:szCs w:val="20"/>
                <w:color w:val="auto"/>
              </w:rPr>
            </w:pPr>
            <w:r>
              <w:rPr>
                <w:rFonts w:ascii="Arial" w:cs="Arial" w:eastAsia="Arial" w:hAnsi="Arial"/>
                <w:sz w:val="20"/>
                <w:szCs w:val="20"/>
                <w:color w:val="auto"/>
              </w:rPr>
              <w:t>Notes to Consolidated Financial Statements</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54</w:t>
            </w:r>
          </w:p>
        </w:tc>
      </w:tr>
      <w:tr>
        <w:trPr>
          <w:trHeight w:val="98"/>
        </w:trPr>
        <w:tc>
          <w:tcPr>
            <w:tcW w:w="9660" w:type="dxa"/>
            <w:vAlign w:val="bottom"/>
            <w:tcBorders>
              <w:bottom w:val="single" w:sz="8" w:color="537BB5"/>
            </w:tcBorders>
          </w:tcPr>
          <w:p>
            <w:pPr>
              <w:spacing w:after="0"/>
              <w:rPr>
                <w:sz w:val="8"/>
                <w:szCs w:val="8"/>
                <w:color w:val="auto"/>
              </w:rPr>
            </w:pPr>
          </w:p>
        </w:tc>
        <w:tc>
          <w:tcPr>
            <w:tcW w:w="1140" w:type="dxa"/>
            <w:vAlign w:val="bottom"/>
            <w:tcBorders>
              <w:bottom w:val="single" w:sz="8" w:color="537BB5"/>
            </w:tcBorders>
          </w:tcPr>
          <w:p>
            <w:pPr>
              <w:spacing w:after="0"/>
              <w:rPr>
                <w:sz w:val="8"/>
                <w:szCs w:val="8"/>
                <w:color w:val="auto"/>
              </w:rPr>
            </w:pPr>
          </w:p>
        </w:tc>
      </w:tr>
    </w:tbl>
    <w:p>
      <w:pPr>
        <w:spacing w:after="0" w:line="200" w:lineRule="exact"/>
        <w:rPr>
          <w:sz w:val="20"/>
          <w:szCs w:val="20"/>
          <w:color w:val="auto"/>
        </w:rPr>
      </w:pPr>
    </w:p>
    <w:p>
      <w:pPr>
        <w:sectPr>
          <w:pgSz w:w="12240" w:h="15840" w:orient="portrait"/>
          <w:cols w:equalWidth="0" w:num="1">
            <w:col w:w="10800"/>
          </w:cols>
          <w:pgMar w:left="720" w:top="7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10800"/>
          </w:cols>
          <w:pgMar w:left="720" w:top="720" w:right="720" w:bottom="175" w:gutter="0" w:footer="0" w:header="0"/>
          <w:type w:val="continuous"/>
        </w:sectPr>
      </w:pPr>
    </w:p>
    <w:bookmarkStart w:id="51" w:name="page52"/>
    <w:bookmarkEnd w:id="5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8" o:spid="_x0000_s108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ManpowerGroup Inc.</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Opinion on Internal Control over Financial Reporting</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audited the internal control over financial reporting of ManpowerGroup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Basis for Opinion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537BB5"/>
        </w:rPr>
        <w:t>Definition and Limitations of Internal Control over Financial Reporting</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Milwaukee, Wisconsin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2025</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10800"/>
          </w:cols>
          <w:pgMar w:left="720" w:top="734" w:right="720" w:bottom="175" w:gutter="0" w:footer="0" w:header="0"/>
          <w:type w:val="continuous"/>
        </w:sectPr>
      </w:pPr>
    </w:p>
    <w:bookmarkStart w:id="52" w:name="page53"/>
    <w:bookmarkEnd w:id="5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59" o:spid="_x0000_s108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ManpowerGroup Inc.</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Opinion on the Financial Statements</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We have audited the accompanying consolidated balance sheets of ManpowerGroup Inc. and subsidiaries (the "Company") as of December 31, 2024 and 2023, the related consolidated statements of operations, comprehensive income, shareholders' equity, and cash flows, for each of the three years in the period ended December 31, 2024, and the related notes and the schedule listed in the Index at Item 15(a)(2)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19, 2025, expressed an unqualified opinion on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Basis for Opinion</w:t>
      </w:r>
    </w:p>
    <w:p>
      <w:pPr>
        <w:spacing w:after="0" w:line="196"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Critical Audit Matter</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ind w:right="2620"/>
        <w:spacing w:after="0" w:line="425" w:lineRule="auto"/>
        <w:rPr>
          <w:sz w:val="20"/>
          <w:szCs w:val="20"/>
          <w:color w:val="auto"/>
        </w:rPr>
      </w:pPr>
      <w:r>
        <w:rPr>
          <w:rFonts w:ascii="Arial" w:cs="Arial" w:eastAsia="Arial" w:hAnsi="Arial"/>
          <w:sz w:val="20"/>
          <w:szCs w:val="20"/>
          <w:b w:val="1"/>
          <w:bCs w:val="1"/>
          <w:i w:val="1"/>
          <w:iCs w:val="1"/>
          <w:color w:val="537BB5"/>
        </w:rPr>
        <w:t xml:space="preserve">Goodwill – Certain Reporting Units - Refer to Notes 1 and 7 to the financial statements </w:t>
      </w:r>
      <w:r>
        <w:rPr>
          <w:rFonts w:ascii="Arial" w:cs="Arial" w:eastAsia="Arial" w:hAnsi="Arial"/>
          <w:sz w:val="20"/>
          <w:szCs w:val="20"/>
          <w:i w:val="1"/>
          <w:iCs w:val="1"/>
          <w:color w:val="537BB5"/>
        </w:rPr>
        <w:t>Critical Audit Matter Description</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Company’s evaluation of goodwill for impairment involves the comparison of the estimated fair value of each reporting unit to its carrying value. The annual impairment test of goodwill at a reporting unit level is performed annually as of July 1, or more frequently if events or circumstances indicate the fair value of a reporting unit may be below its respective carrying value. The Company uses the income approach that estimates the fair value of the future discounted cash flows method. This method requires management to make significant estimates and assumptions related to discount rates, revenue growth rates, and operating unit profit margins for each reporting unit. Changes in these assumptions could have a significant impact on either the fair value, the amount of any goodwill impairment charge, or both.</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10800"/>
          </w:cols>
          <w:pgMar w:left="720" w:top="734" w:right="720" w:bottom="175" w:gutter="0" w:footer="0" w:header="0"/>
          <w:type w:val="continuous"/>
        </w:sectPr>
      </w:pPr>
    </w:p>
    <w:bookmarkStart w:id="53" w:name="page54"/>
    <w:bookmarkEnd w:id="5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60" o:spid="_x0000_s108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three reporting units we identified as a critical audit matter are within North America and Europe, have fair values exceeding their carrying values as of the annual assessment, and represent $1,243.0 million of the consolidated Goodwill balance. Revenue growth rates, operating unit profit margins, and discount rates for these three reporting units are sensitive to significant and long-term deterioration in the macroeconomic environment, industry or market conditions. The goodwill for these three reporting units was identified as a critical audit matter considering the quantitative significance of recorded goodwill, the lower level of excess fair value, and the sensitivity of management’s estimates and assumptions to changes in the macroeconomic environment, industry or market conditions. Therefore, minor changes to the significant estimates and assumptions could result in an impairment. This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operating unit margins, and selection of the discount rates.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How the Critical Audit Matter Was Addressed in the Audit</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20"/>
          <w:szCs w:val="20"/>
          <w:color w:val="auto"/>
        </w:rPr>
        <w:t>Our audit procedures related to the revenue growth rates, operating unit profit margins, and the selection of discount rates for the three reporting units included the following, among others:</w:t>
      </w:r>
    </w:p>
    <w:p>
      <w:pPr>
        <w:spacing w:after="0" w:line="53" w:lineRule="exact"/>
        <w:rPr>
          <w:sz w:val="20"/>
          <w:szCs w:val="20"/>
          <w:color w:val="auto"/>
        </w:rPr>
      </w:pPr>
    </w:p>
    <w:p>
      <w:pPr>
        <w:ind w:left="520" w:right="420" w:hanging="319"/>
        <w:spacing w:after="0" w:line="282" w:lineRule="auto"/>
        <w:tabs>
          <w:tab w:leader="none" w:pos="520" w:val="left"/>
        </w:tabs>
        <w:numPr>
          <w:ilvl w:val="0"/>
          <w:numId w:val="34"/>
        </w:numPr>
        <w:rPr>
          <w:rFonts w:ascii="Arial" w:cs="Arial" w:eastAsia="Arial" w:hAnsi="Arial"/>
          <w:sz w:val="20"/>
          <w:szCs w:val="20"/>
          <w:color w:val="537BB5"/>
        </w:rPr>
      </w:pPr>
      <w:r>
        <w:rPr>
          <w:rFonts w:ascii="Arial" w:cs="Arial" w:eastAsia="Arial" w:hAnsi="Arial"/>
          <w:sz w:val="20"/>
          <w:szCs w:val="20"/>
          <w:color w:val="auto"/>
        </w:rPr>
        <w:t>We tested the design and operating effectiveness of controls over goodwill, including controls over the review of forecasts related to revenue and operating unit profit margins and selection of discount rates.</w:t>
      </w:r>
    </w:p>
    <w:p>
      <w:pPr>
        <w:spacing w:after="0" w:line="52" w:lineRule="exact"/>
        <w:rPr>
          <w:rFonts w:ascii="Arial" w:cs="Arial" w:eastAsia="Arial" w:hAnsi="Arial"/>
          <w:sz w:val="20"/>
          <w:szCs w:val="20"/>
          <w:color w:val="537BB5"/>
        </w:rPr>
      </w:pPr>
    </w:p>
    <w:p>
      <w:pPr>
        <w:ind w:left="520" w:right="20" w:hanging="319"/>
        <w:spacing w:after="0" w:line="282" w:lineRule="auto"/>
        <w:tabs>
          <w:tab w:leader="none" w:pos="520" w:val="left"/>
        </w:tabs>
        <w:numPr>
          <w:ilvl w:val="0"/>
          <w:numId w:val="34"/>
        </w:numPr>
        <w:rPr>
          <w:rFonts w:ascii="Arial" w:cs="Arial" w:eastAsia="Arial" w:hAnsi="Arial"/>
          <w:sz w:val="20"/>
          <w:szCs w:val="20"/>
          <w:color w:val="537BB5"/>
        </w:rPr>
      </w:pPr>
      <w:r>
        <w:rPr>
          <w:rFonts w:ascii="Arial" w:cs="Arial" w:eastAsia="Arial" w:hAnsi="Arial"/>
          <w:sz w:val="20"/>
          <w:szCs w:val="20"/>
          <w:color w:val="auto"/>
        </w:rPr>
        <w:t>We evaluated management’s ability to accurately forecast revenue and operating unit profit margins by performing a retrospective comparison of prior forecasts to actual results.</w:t>
      </w:r>
    </w:p>
    <w:p>
      <w:pPr>
        <w:spacing w:after="0" w:line="52" w:lineRule="exact"/>
        <w:rPr>
          <w:rFonts w:ascii="Arial" w:cs="Arial" w:eastAsia="Arial" w:hAnsi="Arial"/>
          <w:sz w:val="20"/>
          <w:szCs w:val="20"/>
          <w:color w:val="537BB5"/>
        </w:rPr>
      </w:pPr>
    </w:p>
    <w:p>
      <w:pPr>
        <w:ind w:left="520" w:right="360" w:hanging="319"/>
        <w:spacing w:after="0" w:line="282" w:lineRule="auto"/>
        <w:tabs>
          <w:tab w:leader="none" w:pos="520" w:val="left"/>
        </w:tabs>
        <w:numPr>
          <w:ilvl w:val="0"/>
          <w:numId w:val="34"/>
        </w:numPr>
        <w:rPr>
          <w:rFonts w:ascii="Arial" w:cs="Arial" w:eastAsia="Arial" w:hAnsi="Arial"/>
          <w:sz w:val="20"/>
          <w:szCs w:val="20"/>
          <w:color w:val="537BB5"/>
        </w:rPr>
      </w:pPr>
      <w:r>
        <w:rPr>
          <w:rFonts w:ascii="Arial" w:cs="Arial" w:eastAsia="Arial" w:hAnsi="Arial"/>
          <w:sz w:val="20"/>
          <w:szCs w:val="20"/>
          <w:color w:val="auto"/>
        </w:rPr>
        <w:t>We reviewed the reconciliation of the fair value of the reporting units to the market capitalization of the Company and assessed the resulting control premium.</w:t>
      </w:r>
    </w:p>
    <w:p>
      <w:pPr>
        <w:spacing w:after="0" w:line="52" w:lineRule="exact"/>
        <w:rPr>
          <w:rFonts w:ascii="Arial" w:cs="Arial" w:eastAsia="Arial" w:hAnsi="Arial"/>
          <w:sz w:val="20"/>
          <w:szCs w:val="20"/>
          <w:color w:val="537BB5"/>
        </w:rPr>
      </w:pPr>
    </w:p>
    <w:p>
      <w:pPr>
        <w:ind w:left="520" w:right="300" w:hanging="319"/>
        <w:spacing w:after="0" w:line="254" w:lineRule="auto"/>
        <w:tabs>
          <w:tab w:leader="none" w:pos="520" w:val="left"/>
        </w:tabs>
        <w:numPr>
          <w:ilvl w:val="0"/>
          <w:numId w:val="34"/>
        </w:numPr>
        <w:rPr>
          <w:rFonts w:ascii="Arial" w:cs="Arial" w:eastAsia="Arial" w:hAnsi="Arial"/>
          <w:sz w:val="20"/>
          <w:szCs w:val="20"/>
          <w:color w:val="537BB5"/>
        </w:rPr>
      </w:pPr>
      <w:r>
        <w:rPr>
          <w:rFonts w:ascii="Arial" w:cs="Arial" w:eastAsia="Arial" w:hAnsi="Arial"/>
          <w:sz w:val="20"/>
          <w:szCs w:val="20"/>
          <w:color w:val="auto"/>
        </w:rPr>
        <w:t>We evaluated the reasonableness of management’s revenue and operating unit profit margin forecasts by comparing the forecasts to (1) historical results (2) internal communications to management and the Board of Directors, and (3) forecasted information included in Company press releases, analyst and industry reports of the Company and companies in its peer group.</w:t>
      </w:r>
    </w:p>
    <w:p>
      <w:pPr>
        <w:spacing w:after="0" w:line="79" w:lineRule="exact"/>
        <w:rPr>
          <w:rFonts w:ascii="Arial" w:cs="Arial" w:eastAsia="Arial" w:hAnsi="Arial"/>
          <w:sz w:val="20"/>
          <w:szCs w:val="20"/>
          <w:color w:val="537BB5"/>
        </w:rPr>
      </w:pPr>
    </w:p>
    <w:p>
      <w:pPr>
        <w:ind w:left="520" w:right="580" w:hanging="319"/>
        <w:spacing w:after="0" w:line="282" w:lineRule="auto"/>
        <w:tabs>
          <w:tab w:leader="none" w:pos="520" w:val="left"/>
        </w:tabs>
        <w:numPr>
          <w:ilvl w:val="0"/>
          <w:numId w:val="34"/>
        </w:numPr>
        <w:rPr>
          <w:rFonts w:ascii="Arial" w:cs="Arial" w:eastAsia="Arial" w:hAnsi="Arial"/>
          <w:sz w:val="20"/>
          <w:szCs w:val="20"/>
          <w:color w:val="537BB5"/>
        </w:rPr>
      </w:pPr>
      <w:r>
        <w:rPr>
          <w:rFonts w:ascii="Arial" w:cs="Arial" w:eastAsia="Arial" w:hAnsi="Arial"/>
          <w:sz w:val="20"/>
          <w:szCs w:val="20"/>
          <w:color w:val="auto"/>
        </w:rPr>
        <w:t>With the assistance of our fair value specialists, we evaluated the reasonableness of management’s fair value estimate by:</w:t>
      </w:r>
    </w:p>
    <w:p>
      <w:pPr>
        <w:spacing w:after="0" w:line="52" w:lineRule="exact"/>
        <w:rPr>
          <w:rFonts w:ascii="Arial" w:cs="Arial" w:eastAsia="Arial" w:hAnsi="Arial"/>
          <w:sz w:val="20"/>
          <w:szCs w:val="20"/>
          <w:color w:val="537BB5"/>
        </w:rPr>
      </w:pPr>
    </w:p>
    <w:p>
      <w:pPr>
        <w:ind w:left="1460" w:right="340" w:hanging="481"/>
        <w:spacing w:after="0" w:line="282" w:lineRule="auto"/>
        <w:tabs>
          <w:tab w:leader="none" w:pos="14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Testing the source information underlying the determination of the discount rate and the mathematical accuracy of the calculation.</w:t>
      </w:r>
    </w:p>
    <w:p>
      <w:pPr>
        <w:spacing w:after="0" w:line="52" w:lineRule="exact"/>
        <w:rPr>
          <w:rFonts w:ascii="Arial" w:cs="Arial" w:eastAsia="Arial" w:hAnsi="Arial"/>
          <w:sz w:val="20"/>
          <w:szCs w:val="20"/>
          <w:color w:val="auto"/>
        </w:rPr>
      </w:pPr>
    </w:p>
    <w:p>
      <w:pPr>
        <w:ind w:left="1460" w:hanging="481"/>
        <w:spacing w:after="0" w:line="282" w:lineRule="auto"/>
        <w:tabs>
          <w:tab w:leader="none" w:pos="14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Developing a range of independent estimates of discount rates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Milwaukee, Wisconsin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2025</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2005.</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10800"/>
          </w:cols>
          <w:pgMar w:left="720" w:top="734" w:right="720" w:bottom="175"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84"/>
        </w:trPr>
        <w:tc>
          <w:tcPr>
            <w:tcW w:w="6900" w:type="dxa"/>
            <w:vAlign w:val="bottom"/>
            <w:shd w:val="clear" w:color="auto" w:fill="537BB5"/>
          </w:tcPr>
          <w:p>
            <w:pPr>
              <w:spacing w:after="0"/>
              <w:rPr>
                <w:sz w:val="24"/>
                <w:szCs w:val="24"/>
                <w:color w:val="auto"/>
              </w:rPr>
            </w:pPr>
          </w:p>
        </w:tc>
        <w:tc>
          <w:tcPr>
            <w:tcW w:w="480" w:type="dxa"/>
            <w:vAlign w:val="bottom"/>
            <w:shd w:val="clear" w:color="auto" w:fill="537BB5"/>
          </w:tcPr>
          <w:p>
            <w:pPr>
              <w:spacing w:after="0"/>
              <w:rPr>
                <w:sz w:val="24"/>
                <w:szCs w:val="24"/>
                <w:color w:val="auto"/>
              </w:rPr>
            </w:pPr>
          </w:p>
        </w:tc>
        <w:tc>
          <w:tcPr>
            <w:tcW w:w="920" w:type="dxa"/>
            <w:vAlign w:val="bottom"/>
            <w:shd w:val="clear" w:color="auto" w:fill="537BB5"/>
          </w:tcPr>
          <w:p>
            <w:pPr>
              <w:spacing w:after="0"/>
              <w:rPr>
                <w:sz w:val="24"/>
                <w:szCs w:val="24"/>
                <w:color w:val="auto"/>
              </w:rPr>
            </w:pPr>
          </w:p>
        </w:tc>
        <w:tc>
          <w:tcPr>
            <w:tcW w:w="320" w:type="dxa"/>
            <w:vAlign w:val="bottom"/>
            <w:shd w:val="clear" w:color="auto" w:fill="537BB5"/>
          </w:tcPr>
          <w:p>
            <w:pPr>
              <w:spacing w:after="0"/>
              <w:rPr>
                <w:sz w:val="24"/>
                <w:szCs w:val="24"/>
                <w:color w:val="auto"/>
              </w:rPr>
            </w:pPr>
          </w:p>
        </w:tc>
        <w:tc>
          <w:tcPr>
            <w:tcW w:w="920" w:type="dxa"/>
            <w:vAlign w:val="bottom"/>
            <w:shd w:val="clear" w:color="auto" w:fill="537BB5"/>
          </w:tcPr>
          <w:p>
            <w:pPr>
              <w:spacing w:after="0"/>
              <w:rPr>
                <w:sz w:val="24"/>
                <w:szCs w:val="24"/>
                <w:color w:val="auto"/>
              </w:rPr>
            </w:pPr>
          </w:p>
        </w:tc>
        <w:tc>
          <w:tcPr>
            <w:tcW w:w="320" w:type="dxa"/>
            <w:vAlign w:val="bottom"/>
            <w:shd w:val="clear" w:color="auto" w:fill="537BB5"/>
          </w:tcPr>
          <w:p>
            <w:pPr>
              <w:spacing w:after="0"/>
              <w:rPr>
                <w:sz w:val="24"/>
                <w:szCs w:val="24"/>
                <w:color w:val="auto"/>
              </w:rPr>
            </w:pPr>
          </w:p>
        </w:tc>
        <w:tc>
          <w:tcPr>
            <w:tcW w:w="940" w:type="dxa"/>
            <w:vAlign w:val="bottom"/>
            <w:shd w:val="clear" w:color="auto" w:fill="537BB5"/>
          </w:tcPr>
          <w:p>
            <w:pPr>
              <w:jc w:val="right"/>
              <w:ind w:right="10"/>
              <w:spacing w:after="0"/>
              <w:rPr>
                <w:sz w:val="20"/>
                <w:szCs w:val="20"/>
                <w:color w:val="auto"/>
              </w:rPr>
            </w:pPr>
            <w:r>
              <w:rPr>
                <w:rFonts w:ascii="Arial" w:cs="Arial" w:eastAsia="Arial" w:hAnsi="Arial"/>
                <w:sz w:val="20"/>
                <w:szCs w:val="20"/>
                <w:color w:val="FFFFFF"/>
              </w:rPr>
              <w:t>Part II</w:t>
            </w:r>
          </w:p>
        </w:tc>
      </w:tr>
      <w:tr>
        <w:trPr>
          <w:trHeight w:val="422"/>
        </w:trPr>
        <w:tc>
          <w:tcPr>
            <w:tcW w:w="6900" w:type="dxa"/>
            <w:vAlign w:val="bottom"/>
          </w:tcPr>
          <w:p>
            <w:pPr>
              <w:spacing w:after="0"/>
              <w:rPr>
                <w:sz w:val="20"/>
                <w:szCs w:val="20"/>
                <w:color w:val="auto"/>
              </w:rPr>
            </w:pPr>
            <w:r>
              <w:rPr>
                <w:rFonts w:ascii="Arial" w:cs="Arial" w:eastAsia="Arial" w:hAnsi="Arial"/>
                <w:sz w:val="28"/>
                <w:szCs w:val="28"/>
                <w:b w:val="1"/>
                <w:bCs w:val="1"/>
                <w:color w:val="537BB5"/>
              </w:rPr>
              <w:t>CONSOLIDATED STATEMENTS OF OPERATIONS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7"/>
        </w:trPr>
        <w:tc>
          <w:tcPr>
            <w:tcW w:w="6900" w:type="dxa"/>
            <w:vAlign w:val="bottom"/>
          </w:tcPr>
          <w:p>
            <w:pPr>
              <w:spacing w:after="0"/>
              <w:rPr>
                <w:sz w:val="20"/>
                <w:szCs w:val="20"/>
                <w:color w:val="auto"/>
              </w:rPr>
            </w:pPr>
            <w:r>
              <w:rPr>
                <w:rFonts w:ascii="Arial" w:cs="Arial" w:eastAsia="Arial" w:hAnsi="Arial"/>
                <w:sz w:val="20"/>
                <w:szCs w:val="20"/>
                <w:b w:val="1"/>
                <w:bCs w:val="1"/>
                <w:i w:val="1"/>
                <w:iCs w:val="1"/>
                <w:color w:val="537BB5"/>
              </w:rPr>
              <w:t>in millions, except per share data</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6"/>
        </w:trPr>
        <w:tc>
          <w:tcPr>
            <w:tcW w:w="6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12"/>
        </w:trPr>
        <w:tc>
          <w:tcPr>
            <w:tcW w:w="690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shd w:val="clear" w:color="auto" w:fill="97AAD0"/>
          </w:tcPr>
          <w:p>
            <w:pPr>
              <w:spacing w:after="0"/>
              <w:rPr>
                <w:sz w:val="24"/>
                <w:szCs w:val="24"/>
                <w:color w:val="auto"/>
              </w:rPr>
            </w:pPr>
          </w:p>
        </w:tc>
        <w:tc>
          <w:tcPr>
            <w:tcW w:w="920" w:type="dxa"/>
            <w:vAlign w:val="bottom"/>
            <w:tcBorders>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shd w:val="clear" w:color="auto" w:fill="97AAD0"/>
          </w:tcPr>
          <w:p>
            <w:pPr>
              <w:spacing w:after="0"/>
              <w:rPr>
                <w:sz w:val="24"/>
                <w:szCs w:val="24"/>
                <w:color w:val="auto"/>
              </w:rPr>
            </w:pPr>
          </w:p>
        </w:tc>
        <w:tc>
          <w:tcPr>
            <w:tcW w:w="920" w:type="dxa"/>
            <w:vAlign w:val="bottom"/>
            <w:tcBorders>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shd w:val="clear" w:color="auto" w:fill="97AAD0"/>
          </w:tcPr>
          <w:p>
            <w:pPr>
              <w:spacing w:after="0"/>
              <w:rPr>
                <w:sz w:val="24"/>
                <w:szCs w:val="24"/>
                <w:color w:val="auto"/>
              </w:rPr>
            </w:pPr>
          </w:p>
        </w:tc>
        <w:tc>
          <w:tcPr>
            <w:tcW w:w="940" w:type="dxa"/>
            <w:vAlign w:val="bottom"/>
            <w:tcBorders>
              <w:bottom w:val="single" w:sz="8" w:color="auto"/>
            </w:tcBorders>
            <w:shd w:val="clear" w:color="auto" w:fill="97AAD0"/>
          </w:tcPr>
          <w:p>
            <w:pPr>
              <w:jc w:val="right"/>
              <w:ind w:right="370"/>
              <w:spacing w:after="0"/>
              <w:rPr>
                <w:sz w:val="20"/>
                <w:szCs w:val="20"/>
                <w:color w:val="auto"/>
              </w:rPr>
            </w:pPr>
            <w:r>
              <w:rPr>
                <w:rFonts w:ascii="Arial" w:cs="Arial" w:eastAsia="Arial" w:hAnsi="Arial"/>
                <w:sz w:val="16"/>
                <w:szCs w:val="16"/>
                <w:b w:val="1"/>
                <w:bCs w:val="1"/>
                <w:color w:val="auto"/>
              </w:rPr>
              <w:t>2022</w:t>
            </w:r>
          </w:p>
        </w:tc>
      </w:tr>
      <w:tr>
        <w:trPr>
          <w:trHeight w:val="262"/>
        </w:trPr>
        <w:tc>
          <w:tcPr>
            <w:tcW w:w="69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Revenues from services</w:t>
            </w:r>
          </w:p>
        </w:tc>
        <w:tc>
          <w:tcPr>
            <w:tcW w:w="48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17,853.9</w:t>
            </w:r>
          </w:p>
        </w:tc>
        <w:tc>
          <w:tcPr>
            <w:tcW w:w="32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18,914.5</w:t>
            </w:r>
          </w:p>
        </w:tc>
        <w:tc>
          <w:tcPr>
            <w:tcW w:w="32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19,827.5</w:t>
            </w:r>
          </w:p>
        </w:tc>
      </w:tr>
      <w:tr>
        <w:trPr>
          <w:trHeight w:val="26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Cost of services</w:t>
            </w: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14,767.1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15,556.5</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16,255.1</w:t>
            </w:r>
          </w:p>
        </w:tc>
      </w:tr>
      <w:tr>
        <w:trPr>
          <w:trHeight w:val="257"/>
        </w:trPr>
        <w:tc>
          <w:tcPr>
            <w:tcW w:w="69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3,086.8</w:t>
            </w:r>
          </w:p>
        </w:tc>
        <w:tc>
          <w:tcPr>
            <w:tcW w:w="32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3,358.0</w:t>
            </w:r>
          </w:p>
        </w:tc>
        <w:tc>
          <w:tcPr>
            <w:tcW w:w="320" w:type="dxa"/>
            <w:vAlign w:val="bottom"/>
            <w:tcBorders>
              <w:bottom w:val="single" w:sz="8" w:color="auto"/>
            </w:tcBorders>
            <w:shd w:val="clear" w:color="auto" w:fill="E5E9F3"/>
          </w:tcPr>
          <w:p>
            <w:pPr>
              <w:spacing w:after="0"/>
              <w:rPr>
                <w:sz w:val="22"/>
                <w:szCs w:val="22"/>
                <w:color w:val="auto"/>
              </w:rPr>
            </w:pPr>
          </w:p>
        </w:tc>
        <w:tc>
          <w:tcPr>
            <w:tcW w:w="9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3,572.4</w:t>
            </w:r>
          </w:p>
        </w:tc>
      </w:tr>
      <w:tr>
        <w:trPr>
          <w:trHeight w:val="257"/>
        </w:trPr>
        <w:tc>
          <w:tcPr>
            <w:tcW w:w="6900" w:type="dxa"/>
            <w:vAlign w:val="bottom"/>
          </w:tcPr>
          <w:p>
            <w:pPr>
              <w:ind w:left="100"/>
              <w:spacing w:after="0"/>
              <w:rPr>
                <w:sz w:val="20"/>
                <w:szCs w:val="20"/>
                <w:color w:val="auto"/>
              </w:rPr>
            </w:pPr>
            <w:r>
              <w:rPr>
                <w:rFonts w:ascii="Arial" w:cs="Arial" w:eastAsia="Arial" w:hAnsi="Arial"/>
                <w:sz w:val="18"/>
                <w:szCs w:val="18"/>
                <w:color w:val="auto"/>
              </w:rPr>
              <w:t>Selling and administrative expenses, excluding goodwill impairment charges</w:t>
            </w:r>
          </w:p>
        </w:tc>
        <w:tc>
          <w:tcPr>
            <w:tcW w:w="4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2,780.8</w:t>
            </w:r>
          </w:p>
        </w:tc>
        <w:tc>
          <w:tcPr>
            <w:tcW w:w="32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3,047.1</w:t>
            </w:r>
          </w:p>
        </w:tc>
        <w:tc>
          <w:tcPr>
            <w:tcW w:w="32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2,940.7</w:t>
            </w:r>
          </w:p>
        </w:tc>
      </w:tr>
      <w:tr>
        <w:trPr>
          <w:trHeight w:val="267"/>
        </w:trPr>
        <w:tc>
          <w:tcPr>
            <w:tcW w:w="69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Goodwill impairment charges</w:t>
            </w:r>
          </w:p>
        </w:tc>
        <w:tc>
          <w:tcPr>
            <w:tcW w:w="480" w:type="dxa"/>
            <w:vAlign w:val="bottom"/>
            <w:tcBorders>
              <w:bottom w:val="single" w:sz="8" w:color="auto"/>
            </w:tcBorders>
            <w:shd w:val="clear" w:color="auto" w:fill="E5E9F3"/>
          </w:tcPr>
          <w:p>
            <w:pPr>
              <w:spacing w:after="0"/>
              <w:rPr>
                <w:sz w:val="23"/>
                <w:szCs w:val="23"/>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9F3"/>
          </w:tcPr>
          <w:p>
            <w:pPr>
              <w:spacing w:after="0"/>
              <w:rPr>
                <w:sz w:val="23"/>
                <w:szCs w:val="23"/>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55.1</w:t>
            </w:r>
          </w:p>
        </w:tc>
        <w:tc>
          <w:tcPr>
            <w:tcW w:w="320" w:type="dxa"/>
            <w:vAlign w:val="bottom"/>
            <w:tcBorders>
              <w:bottom w:val="single" w:sz="8" w:color="auto"/>
            </w:tcBorders>
            <w:shd w:val="clear" w:color="auto" w:fill="E5E9F3"/>
          </w:tcPr>
          <w:p>
            <w:pPr>
              <w:spacing w:after="0"/>
              <w:rPr>
                <w:sz w:val="23"/>
                <w:szCs w:val="23"/>
                <w:color w:val="auto"/>
              </w:rPr>
            </w:pPr>
          </w:p>
        </w:tc>
        <w:tc>
          <w:tcPr>
            <w:tcW w:w="9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50.0</w:t>
            </w:r>
          </w:p>
        </w:tc>
      </w:tr>
      <w:tr>
        <w:trPr>
          <w:trHeight w:val="257"/>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Selling and administrative expenses</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2,780.8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3,102.2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2,990.7</w:t>
            </w:r>
          </w:p>
        </w:tc>
      </w:tr>
      <w:tr>
        <w:trPr>
          <w:trHeight w:val="259"/>
        </w:trPr>
        <w:tc>
          <w:tcPr>
            <w:tcW w:w="69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Operating profit</w:t>
            </w:r>
          </w:p>
        </w:tc>
        <w:tc>
          <w:tcPr>
            <w:tcW w:w="48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306.0</w:t>
            </w:r>
          </w:p>
        </w:tc>
        <w:tc>
          <w:tcPr>
            <w:tcW w:w="32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255.8</w:t>
            </w:r>
          </w:p>
        </w:tc>
        <w:tc>
          <w:tcPr>
            <w:tcW w:w="320" w:type="dxa"/>
            <w:vAlign w:val="bottom"/>
            <w:shd w:val="clear" w:color="auto" w:fill="E5E9F3"/>
          </w:tcPr>
          <w:p>
            <w:pPr>
              <w:spacing w:after="0"/>
              <w:rPr>
                <w:sz w:val="22"/>
                <w:szCs w:val="22"/>
                <w:color w:val="auto"/>
              </w:rPr>
            </w:pPr>
          </w:p>
        </w:tc>
        <w:tc>
          <w:tcPr>
            <w:tcW w:w="94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581.7</w:t>
            </w:r>
          </w:p>
        </w:tc>
      </w:tr>
      <w:tr>
        <w:trPr>
          <w:trHeight w:val="26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Interest and other expenses, net</w:t>
            </w: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w:t>
            </w:r>
          </w:p>
        </w:tc>
      </w:tr>
      <w:tr>
        <w:trPr>
          <w:trHeight w:val="259"/>
        </w:trPr>
        <w:tc>
          <w:tcPr>
            <w:tcW w:w="69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Earnings before income taxes</w:t>
            </w:r>
          </w:p>
        </w:tc>
        <w:tc>
          <w:tcPr>
            <w:tcW w:w="48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256.8</w:t>
            </w:r>
          </w:p>
        </w:tc>
        <w:tc>
          <w:tcPr>
            <w:tcW w:w="32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205.9</w:t>
            </w:r>
          </w:p>
        </w:tc>
        <w:tc>
          <w:tcPr>
            <w:tcW w:w="320" w:type="dxa"/>
            <w:vAlign w:val="bottom"/>
            <w:shd w:val="clear" w:color="auto" w:fill="E5E9F3"/>
          </w:tcPr>
          <w:p>
            <w:pPr>
              <w:spacing w:after="0"/>
              <w:rPr>
                <w:sz w:val="22"/>
                <w:szCs w:val="22"/>
                <w:color w:val="auto"/>
              </w:rPr>
            </w:pPr>
          </w:p>
        </w:tc>
        <w:tc>
          <w:tcPr>
            <w:tcW w:w="94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557.1</w:t>
            </w:r>
          </w:p>
        </w:tc>
      </w:tr>
      <w:tr>
        <w:trPr>
          <w:trHeight w:val="265"/>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117.1</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183.3</w:t>
            </w:r>
          </w:p>
        </w:tc>
      </w:tr>
      <w:tr>
        <w:trPr>
          <w:trHeight w:val="257"/>
        </w:trPr>
        <w:tc>
          <w:tcPr>
            <w:tcW w:w="69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Net earnings</w:t>
            </w:r>
          </w:p>
        </w:tc>
        <w:tc>
          <w:tcPr>
            <w:tcW w:w="48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145.1</w:t>
            </w:r>
          </w:p>
        </w:tc>
        <w:tc>
          <w:tcPr>
            <w:tcW w:w="32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88.8</w:t>
            </w:r>
          </w:p>
        </w:tc>
        <w:tc>
          <w:tcPr>
            <w:tcW w:w="32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373.8</w:t>
            </w:r>
          </w:p>
        </w:tc>
      </w:tr>
      <w:tr>
        <w:trPr>
          <w:trHeight w:val="257"/>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earnings per share – basic</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w:t>
            </w:r>
          </w:p>
        </w:tc>
      </w:tr>
      <w:tr>
        <w:trPr>
          <w:trHeight w:val="257"/>
        </w:trPr>
        <w:tc>
          <w:tcPr>
            <w:tcW w:w="69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Net earnings per share – diluted</w:t>
            </w:r>
          </w:p>
        </w:tc>
        <w:tc>
          <w:tcPr>
            <w:tcW w:w="48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3.01</w:t>
            </w:r>
          </w:p>
        </w:tc>
        <w:tc>
          <w:tcPr>
            <w:tcW w:w="32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7.08</w:t>
            </w:r>
          </w:p>
        </w:tc>
      </w:tr>
      <w:tr>
        <w:trPr>
          <w:trHeight w:val="257"/>
        </w:trPr>
        <w:tc>
          <w:tcPr>
            <w:tcW w:w="6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Weighted average shares – basic</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52.2</w:t>
            </w:r>
          </w:p>
        </w:tc>
      </w:tr>
      <w:tr>
        <w:trPr>
          <w:trHeight w:val="257"/>
        </w:trPr>
        <w:tc>
          <w:tcPr>
            <w:tcW w:w="69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Weighted average shares – diluted</w:t>
            </w:r>
          </w:p>
        </w:tc>
        <w:tc>
          <w:tcPr>
            <w:tcW w:w="48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48.3</w:t>
            </w:r>
          </w:p>
        </w:tc>
        <w:tc>
          <w:tcPr>
            <w:tcW w:w="32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50.4</w:t>
            </w:r>
          </w:p>
        </w:tc>
        <w:tc>
          <w:tcPr>
            <w:tcW w:w="320" w:type="dxa"/>
            <w:vAlign w:val="bottom"/>
            <w:tcBorders>
              <w:bottom w:val="single" w:sz="8" w:color="auto"/>
            </w:tcBorders>
            <w:shd w:val="clear" w:color="auto" w:fill="E5E9F3"/>
          </w:tcPr>
          <w:p>
            <w:pPr>
              <w:spacing w:after="0"/>
              <w:rPr>
                <w:sz w:val="22"/>
                <w:szCs w:val="22"/>
                <w:color w:val="auto"/>
              </w:rPr>
            </w:pPr>
          </w:p>
        </w:tc>
        <w:tc>
          <w:tcPr>
            <w:tcW w:w="9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52.8</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2240" w:h="15840" w:orient="portrait"/>
          <w:cols w:equalWidth="0" w:num="1">
            <w:col w:w="10800"/>
          </w:cols>
          <w:pgMar w:left="720" w:top="7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10800"/>
          </w:cols>
          <w:pgMar w:left="720" w:top="720" w:right="720" w:bottom="175" w:gutter="0" w:footer="0" w:header="0"/>
          <w:type w:val="continuous"/>
        </w:sectPr>
      </w:pPr>
    </w:p>
    <w:bookmarkStart w:id="55" w:name="page56"/>
    <w:bookmarkEnd w:id="5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61" o:spid="_x0000_s108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CONSOLIDATED STATEMENTS OF COMPREHENSIVE INCOME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668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top w:val="single" w:sz="8" w:color="auto"/>
              <w:bottom w:val="single" w:sz="8" w:color="auto"/>
            </w:tcBorders>
            <w:shd w:val="clear" w:color="auto" w:fill="97AAD0"/>
          </w:tcPr>
          <w:p>
            <w:pPr>
              <w:spacing w:after="0"/>
              <w:rPr>
                <w:sz w:val="24"/>
                <w:szCs w:val="24"/>
                <w:color w:val="auto"/>
              </w:rPr>
            </w:pPr>
          </w:p>
        </w:tc>
        <w:tc>
          <w:tcPr>
            <w:tcW w:w="980" w:type="dxa"/>
            <w:vAlign w:val="bottom"/>
            <w:tcBorders>
              <w:top w:val="single" w:sz="8" w:color="auto"/>
              <w:bottom w:val="single" w:sz="8" w:color="auto"/>
            </w:tcBorders>
            <w:shd w:val="clear" w:color="auto" w:fill="97AAD0"/>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top w:val="single" w:sz="8" w:color="auto"/>
              <w:bottom w:val="single" w:sz="8" w:color="auto"/>
            </w:tcBorders>
            <w:shd w:val="clear" w:color="auto" w:fill="97AAD0"/>
          </w:tcPr>
          <w:p>
            <w:pPr>
              <w:spacing w:after="0"/>
              <w:rPr>
                <w:sz w:val="24"/>
                <w:szCs w:val="24"/>
                <w:color w:val="auto"/>
              </w:rPr>
            </w:pPr>
          </w:p>
        </w:tc>
        <w:tc>
          <w:tcPr>
            <w:tcW w:w="980" w:type="dxa"/>
            <w:vAlign w:val="bottom"/>
            <w:tcBorders>
              <w:top w:val="single" w:sz="8" w:color="auto"/>
              <w:bottom w:val="single" w:sz="8" w:color="auto"/>
            </w:tcBorders>
            <w:shd w:val="clear" w:color="auto" w:fill="97AAD0"/>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shd w:val="clear" w:color="auto" w:fill="97AAD0"/>
          </w:tcPr>
          <w:p>
            <w:pPr>
              <w:spacing w:after="0"/>
              <w:rPr>
                <w:sz w:val="24"/>
                <w:szCs w:val="24"/>
                <w:color w:val="auto"/>
              </w:rPr>
            </w:pPr>
          </w:p>
        </w:tc>
        <w:tc>
          <w:tcPr>
            <w:tcW w:w="920" w:type="dxa"/>
            <w:vAlign w:val="bottom"/>
            <w:tcBorders>
              <w:top w:val="single" w:sz="8" w:color="auto"/>
              <w:bottom w:val="single" w:sz="8" w:color="auto"/>
            </w:tcBorders>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3"/>
        </w:trPr>
        <w:tc>
          <w:tcPr>
            <w:tcW w:w="66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Net earnings</w:t>
            </w:r>
          </w:p>
        </w:tc>
        <w:tc>
          <w:tcPr>
            <w:tcW w:w="56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145.1</w:t>
            </w:r>
          </w:p>
        </w:tc>
        <w:tc>
          <w:tcPr>
            <w:tcW w:w="3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53"/>
        </w:trPr>
        <w:tc>
          <w:tcPr>
            <w:tcW w:w="6680" w:type="dxa"/>
            <w:vAlign w:val="bottom"/>
          </w:tcPr>
          <w:p>
            <w:pPr>
              <w:ind w:left="100"/>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680" w:type="dxa"/>
            <w:vAlign w:val="bottom"/>
            <w:shd w:val="clear" w:color="auto" w:fill="E5E9F3"/>
          </w:tcPr>
          <w:p>
            <w:pPr>
              <w:ind w:left="200"/>
              <w:spacing w:after="0"/>
              <w:rPr>
                <w:sz w:val="20"/>
                <w:szCs w:val="20"/>
                <w:color w:val="auto"/>
              </w:rPr>
            </w:pPr>
            <w:r>
              <w:rPr>
                <w:rFonts w:ascii="Arial" w:cs="Arial" w:eastAsia="Arial" w:hAnsi="Arial"/>
                <w:sz w:val="18"/>
                <w:szCs w:val="18"/>
                <w:color w:val="auto"/>
              </w:rPr>
              <w:t>Foreign currency translation</w:t>
            </w:r>
          </w:p>
        </w:tc>
        <w:tc>
          <w:tcPr>
            <w:tcW w:w="560" w:type="dxa"/>
            <w:vAlign w:val="bottom"/>
            <w:shd w:val="clear" w:color="auto" w:fill="E5E9F3"/>
          </w:tcPr>
          <w:p>
            <w:pPr>
              <w:spacing w:after="0"/>
              <w:rPr>
                <w:sz w:val="22"/>
                <w:szCs w:val="22"/>
                <w:color w:val="auto"/>
              </w:rPr>
            </w:pPr>
          </w:p>
        </w:tc>
        <w:tc>
          <w:tcPr>
            <w:tcW w:w="98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(81.0)</w:t>
            </w:r>
          </w:p>
        </w:tc>
        <w:tc>
          <w:tcPr>
            <w:tcW w:w="340" w:type="dxa"/>
            <w:vAlign w:val="bottom"/>
            <w:shd w:val="clear" w:color="auto" w:fill="E5E9F3"/>
          </w:tcPr>
          <w:p>
            <w:pPr>
              <w:spacing w:after="0"/>
              <w:rPr>
                <w:sz w:val="22"/>
                <w:szCs w:val="22"/>
                <w:color w:val="auto"/>
              </w:rPr>
            </w:pPr>
          </w:p>
        </w:tc>
        <w:tc>
          <w:tcPr>
            <w:tcW w:w="9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108.5</w:t>
            </w:r>
          </w:p>
        </w:tc>
        <w:tc>
          <w:tcPr>
            <w:tcW w:w="340" w:type="dxa"/>
            <w:vAlign w:val="bottom"/>
            <w:shd w:val="clear" w:color="auto" w:fill="E5E9F3"/>
          </w:tcPr>
          <w:p>
            <w:pPr>
              <w:spacing w:after="0"/>
              <w:rPr>
                <w:sz w:val="22"/>
                <w:szCs w:val="22"/>
                <w:color w:val="auto"/>
              </w:rPr>
            </w:pPr>
          </w:p>
        </w:tc>
        <w:tc>
          <w:tcPr>
            <w:tcW w:w="9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189"/>
        </w:trPr>
        <w:tc>
          <w:tcPr>
            <w:tcW w:w="6680" w:type="dxa"/>
            <w:vAlign w:val="bottom"/>
          </w:tcPr>
          <w:p>
            <w:pPr>
              <w:ind w:left="200"/>
              <w:spacing w:after="0" w:line="189" w:lineRule="exact"/>
              <w:rPr>
                <w:sz w:val="20"/>
                <w:szCs w:val="20"/>
                <w:color w:val="auto"/>
              </w:rPr>
            </w:pPr>
            <w:r>
              <w:rPr>
                <w:rFonts w:ascii="Arial" w:cs="Arial" w:eastAsia="Arial" w:hAnsi="Arial"/>
                <w:sz w:val="18"/>
                <w:szCs w:val="18"/>
                <w:color w:val="auto"/>
              </w:rPr>
              <w:t>Translation adjustments on long-term intercompany loans, net of income</w:t>
            </w:r>
          </w:p>
        </w:tc>
        <w:tc>
          <w:tcPr>
            <w:tcW w:w="560" w:type="dxa"/>
            <w:vAlign w:val="bottom"/>
          </w:tcPr>
          <w:p>
            <w:pPr>
              <w:spacing w:after="0"/>
              <w:rPr>
                <w:sz w:val="16"/>
                <w:szCs w:val="16"/>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6"/>
                <w:szCs w:val="16"/>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6"/>
                <w:szCs w:val="16"/>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6680" w:type="dxa"/>
            <w:vAlign w:val="bottom"/>
          </w:tcPr>
          <w:p>
            <w:pPr>
              <w:ind w:left="360"/>
              <w:spacing w:after="0"/>
              <w:rPr>
                <w:sz w:val="20"/>
                <w:szCs w:val="20"/>
                <w:color w:val="auto"/>
              </w:rPr>
            </w:pPr>
            <w:r>
              <w:rPr>
                <w:rFonts w:ascii="Arial" w:cs="Arial" w:eastAsia="Arial" w:hAnsi="Arial"/>
                <w:sz w:val="18"/>
                <w:szCs w:val="18"/>
                <w:color w:val="auto"/>
              </w:rPr>
              <w:t>taxes of $0.0, $0.0 and $(0.8), respectively</w:t>
            </w:r>
          </w:p>
        </w:tc>
        <w:tc>
          <w:tcPr>
            <w:tcW w:w="5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E5E9F3"/>
          </w:tcPr>
          <w:p>
            <w:pPr>
              <w:ind w:left="200"/>
              <w:spacing w:after="0"/>
              <w:rPr>
                <w:sz w:val="20"/>
                <w:szCs w:val="20"/>
                <w:color w:val="auto"/>
              </w:rPr>
            </w:pPr>
            <w:r>
              <w:rPr>
                <w:rFonts w:ascii="Arial" w:cs="Arial" w:eastAsia="Arial" w:hAnsi="Arial"/>
                <w:sz w:val="18"/>
                <w:szCs w:val="18"/>
                <w:color w:val="auto"/>
              </w:rPr>
              <w:t>Adjustments on derivative instruments, net of income taxes of $22.0,</w:t>
            </w:r>
          </w:p>
        </w:tc>
        <w:tc>
          <w:tcPr>
            <w:tcW w:w="560" w:type="dxa"/>
            <w:vAlign w:val="bottom"/>
            <w:shd w:val="clear" w:color="auto" w:fill="E5E9F3"/>
          </w:tcPr>
          <w:p>
            <w:pPr>
              <w:spacing w:after="0"/>
              <w:rPr>
                <w:sz w:val="18"/>
                <w:szCs w:val="18"/>
                <w:color w:val="auto"/>
              </w:rPr>
            </w:pPr>
          </w:p>
        </w:tc>
        <w:tc>
          <w:tcPr>
            <w:tcW w:w="980" w:type="dxa"/>
            <w:vAlign w:val="bottom"/>
            <w:vMerge w:val="restart"/>
            <w:shd w:val="clear" w:color="auto" w:fill="E5E9F3"/>
          </w:tcPr>
          <w:p>
            <w:pPr>
              <w:jc w:val="right"/>
              <w:ind w:right="91"/>
              <w:spacing w:after="0"/>
              <w:rPr>
                <w:sz w:val="20"/>
                <w:szCs w:val="20"/>
                <w:color w:val="auto"/>
              </w:rPr>
            </w:pPr>
            <w:r>
              <w:rPr>
                <w:rFonts w:ascii="Arial" w:cs="Arial" w:eastAsia="Arial" w:hAnsi="Arial"/>
                <w:sz w:val="18"/>
                <w:szCs w:val="18"/>
                <w:color w:val="auto"/>
              </w:rPr>
              <w:t>76.6</w:t>
            </w:r>
          </w:p>
        </w:tc>
        <w:tc>
          <w:tcPr>
            <w:tcW w:w="340" w:type="dxa"/>
            <w:vAlign w:val="bottom"/>
            <w:shd w:val="clear" w:color="auto" w:fill="E5E9F3"/>
          </w:tcPr>
          <w:p>
            <w:pPr>
              <w:spacing w:after="0"/>
              <w:rPr>
                <w:sz w:val="18"/>
                <w:szCs w:val="18"/>
                <w:color w:val="auto"/>
              </w:rPr>
            </w:pPr>
          </w:p>
        </w:tc>
        <w:tc>
          <w:tcPr>
            <w:tcW w:w="980" w:type="dxa"/>
            <w:vAlign w:val="bottom"/>
            <w:vMerge w:val="restart"/>
            <w:shd w:val="clear" w:color="auto" w:fill="E5E9F3"/>
          </w:tcPr>
          <w:p>
            <w:pPr>
              <w:jc w:val="right"/>
              <w:ind w:right="11"/>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E5E9F3"/>
          </w:tcPr>
          <w:p>
            <w:pPr>
              <w:spacing w:after="0"/>
              <w:rPr>
                <w:sz w:val="18"/>
                <w:szCs w:val="18"/>
                <w:color w:val="auto"/>
              </w:rPr>
            </w:pPr>
          </w:p>
        </w:tc>
        <w:tc>
          <w:tcPr>
            <w:tcW w:w="920" w:type="dxa"/>
            <w:vAlign w:val="bottom"/>
            <w:vMerge w:val="restart"/>
            <w:shd w:val="clear" w:color="auto" w:fill="E5E9F3"/>
          </w:tcPr>
          <w:p>
            <w:pPr>
              <w:jc w:val="right"/>
              <w:ind w:right="3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5"/>
        </w:trPr>
        <w:tc>
          <w:tcPr>
            <w:tcW w:w="6680" w:type="dxa"/>
            <w:vAlign w:val="bottom"/>
            <w:shd w:val="clear" w:color="auto" w:fill="E5E9F3"/>
          </w:tcPr>
          <w:p>
            <w:pPr>
              <w:ind w:left="360"/>
              <w:spacing w:after="0"/>
              <w:rPr>
                <w:sz w:val="20"/>
                <w:szCs w:val="20"/>
                <w:color w:val="auto"/>
              </w:rPr>
            </w:pPr>
            <w:r>
              <w:rPr>
                <w:rFonts w:ascii="Arial" w:cs="Arial" w:eastAsia="Arial" w:hAnsi="Arial"/>
                <w:sz w:val="18"/>
                <w:szCs w:val="18"/>
                <w:color w:val="auto"/>
              </w:rPr>
              <w:t>$(17.4) and $11.1, respectively</w:t>
            </w:r>
          </w:p>
        </w:tc>
        <w:tc>
          <w:tcPr>
            <w:tcW w:w="560" w:type="dxa"/>
            <w:vAlign w:val="bottom"/>
            <w:shd w:val="clear" w:color="auto" w:fill="E5E9F3"/>
          </w:tcPr>
          <w:p>
            <w:pPr>
              <w:spacing w:after="0"/>
              <w:rPr>
                <w:sz w:val="19"/>
                <w:szCs w:val="19"/>
                <w:color w:val="auto"/>
              </w:rPr>
            </w:pPr>
          </w:p>
        </w:tc>
        <w:tc>
          <w:tcPr>
            <w:tcW w:w="980" w:type="dxa"/>
            <w:vAlign w:val="bottom"/>
            <w:vMerge w:val="continue"/>
            <w:shd w:val="clear" w:color="auto" w:fill="E5E9F3"/>
          </w:tcPr>
          <w:p>
            <w:pPr>
              <w:spacing w:after="0"/>
              <w:rPr>
                <w:sz w:val="19"/>
                <w:szCs w:val="19"/>
                <w:color w:val="auto"/>
              </w:rPr>
            </w:pPr>
          </w:p>
        </w:tc>
        <w:tc>
          <w:tcPr>
            <w:tcW w:w="340" w:type="dxa"/>
            <w:vAlign w:val="bottom"/>
            <w:shd w:val="clear" w:color="auto" w:fill="E5E9F3"/>
          </w:tcPr>
          <w:p>
            <w:pPr>
              <w:spacing w:after="0"/>
              <w:rPr>
                <w:sz w:val="19"/>
                <w:szCs w:val="19"/>
                <w:color w:val="auto"/>
              </w:rPr>
            </w:pPr>
          </w:p>
        </w:tc>
        <w:tc>
          <w:tcPr>
            <w:tcW w:w="980" w:type="dxa"/>
            <w:vAlign w:val="bottom"/>
            <w:vMerge w:val="continue"/>
            <w:shd w:val="clear" w:color="auto" w:fill="E5E9F3"/>
          </w:tcPr>
          <w:p>
            <w:pPr>
              <w:spacing w:after="0"/>
              <w:rPr>
                <w:sz w:val="19"/>
                <w:szCs w:val="19"/>
                <w:color w:val="auto"/>
              </w:rPr>
            </w:pPr>
          </w:p>
        </w:tc>
        <w:tc>
          <w:tcPr>
            <w:tcW w:w="340" w:type="dxa"/>
            <w:vAlign w:val="bottom"/>
            <w:shd w:val="clear" w:color="auto" w:fill="E5E9F3"/>
          </w:tcPr>
          <w:p>
            <w:pPr>
              <w:spacing w:after="0"/>
              <w:rPr>
                <w:sz w:val="19"/>
                <w:szCs w:val="19"/>
                <w:color w:val="auto"/>
              </w:rPr>
            </w:pPr>
          </w:p>
        </w:tc>
        <w:tc>
          <w:tcPr>
            <w:tcW w:w="920" w:type="dxa"/>
            <w:vAlign w:val="bottom"/>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00"/>
              <w:spacing w:after="0"/>
              <w:rPr>
                <w:sz w:val="20"/>
                <w:szCs w:val="20"/>
                <w:color w:val="auto"/>
              </w:rPr>
            </w:pPr>
            <w:r>
              <w:rPr>
                <w:rFonts w:ascii="Arial" w:cs="Arial" w:eastAsia="Arial" w:hAnsi="Arial"/>
                <w:sz w:val="18"/>
                <w:szCs w:val="18"/>
                <w:color w:val="auto"/>
              </w:rPr>
              <w:t>Unrealized adjustments on interest rate swap, net of income taxes of</w:t>
            </w:r>
          </w:p>
        </w:tc>
        <w:tc>
          <w:tcPr>
            <w:tcW w:w="560" w:type="dxa"/>
            <w:vAlign w:val="bottom"/>
          </w:tcPr>
          <w:p>
            <w:pPr>
              <w:spacing w:after="0"/>
              <w:rPr>
                <w:sz w:val="18"/>
                <w:szCs w:val="18"/>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6680" w:type="dxa"/>
            <w:vAlign w:val="bottom"/>
          </w:tcPr>
          <w:p>
            <w:pPr>
              <w:ind w:left="360"/>
              <w:spacing w:after="0"/>
              <w:rPr>
                <w:sz w:val="20"/>
                <w:szCs w:val="20"/>
                <w:color w:val="auto"/>
              </w:rPr>
            </w:pPr>
            <w:r>
              <w:rPr>
                <w:rFonts w:ascii="Arial" w:cs="Arial" w:eastAsia="Arial" w:hAnsi="Arial"/>
                <w:sz w:val="18"/>
                <w:szCs w:val="18"/>
                <w:color w:val="auto"/>
              </w:rPr>
              <w:t>$(0.1), $(0.1) and $0.4, respectively</w:t>
            </w:r>
          </w:p>
        </w:tc>
        <w:tc>
          <w:tcPr>
            <w:tcW w:w="5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E5E9F3"/>
          </w:tcPr>
          <w:p>
            <w:pPr>
              <w:ind w:left="200"/>
              <w:spacing w:after="0"/>
              <w:rPr>
                <w:sz w:val="20"/>
                <w:szCs w:val="20"/>
                <w:color w:val="auto"/>
              </w:rPr>
            </w:pPr>
            <w:r>
              <w:rPr>
                <w:rFonts w:ascii="Arial" w:cs="Arial" w:eastAsia="Arial" w:hAnsi="Arial"/>
                <w:sz w:val="18"/>
                <w:szCs w:val="18"/>
                <w:color w:val="auto"/>
              </w:rPr>
              <w:t>Defined benefit pension plans and retiree health care plan, net of income</w:t>
            </w:r>
          </w:p>
        </w:tc>
        <w:tc>
          <w:tcPr>
            <w:tcW w:w="560" w:type="dxa"/>
            <w:vAlign w:val="bottom"/>
            <w:shd w:val="clear" w:color="auto" w:fill="E5E9F3"/>
          </w:tcPr>
          <w:p>
            <w:pPr>
              <w:spacing w:after="0"/>
              <w:rPr>
                <w:sz w:val="18"/>
                <w:szCs w:val="18"/>
                <w:color w:val="auto"/>
              </w:rPr>
            </w:pPr>
          </w:p>
        </w:tc>
        <w:tc>
          <w:tcPr>
            <w:tcW w:w="980" w:type="dxa"/>
            <w:vAlign w:val="bottom"/>
            <w:shd w:val="clear" w:color="auto" w:fill="E5E9F3"/>
          </w:tcPr>
          <w:p>
            <w:pPr>
              <w:spacing w:after="0"/>
              <w:rPr>
                <w:sz w:val="18"/>
                <w:szCs w:val="18"/>
                <w:color w:val="auto"/>
              </w:rPr>
            </w:pPr>
          </w:p>
        </w:tc>
        <w:tc>
          <w:tcPr>
            <w:tcW w:w="340" w:type="dxa"/>
            <w:vAlign w:val="bottom"/>
            <w:shd w:val="clear" w:color="auto" w:fill="E5E9F3"/>
          </w:tcPr>
          <w:p>
            <w:pPr>
              <w:spacing w:after="0"/>
              <w:rPr>
                <w:sz w:val="18"/>
                <w:szCs w:val="18"/>
                <w:color w:val="auto"/>
              </w:rPr>
            </w:pPr>
          </w:p>
        </w:tc>
        <w:tc>
          <w:tcPr>
            <w:tcW w:w="980" w:type="dxa"/>
            <w:vAlign w:val="bottom"/>
            <w:shd w:val="clear" w:color="auto" w:fill="E5E9F3"/>
          </w:tcPr>
          <w:p>
            <w:pPr>
              <w:spacing w:after="0"/>
              <w:rPr>
                <w:sz w:val="18"/>
                <w:szCs w:val="18"/>
                <w:color w:val="auto"/>
              </w:rPr>
            </w:pPr>
          </w:p>
        </w:tc>
        <w:tc>
          <w:tcPr>
            <w:tcW w:w="340" w:type="dxa"/>
            <w:vAlign w:val="bottom"/>
            <w:shd w:val="clear" w:color="auto" w:fill="E5E9F3"/>
          </w:tcPr>
          <w:p>
            <w:pPr>
              <w:spacing w:after="0"/>
              <w:rPr>
                <w:sz w:val="18"/>
                <w:szCs w:val="18"/>
                <w:color w:val="auto"/>
              </w:rPr>
            </w:pPr>
          </w:p>
        </w:tc>
        <w:tc>
          <w:tcPr>
            <w:tcW w:w="920" w:type="dxa"/>
            <w:vAlign w:val="bottom"/>
            <w:shd w:val="clear" w:color="auto" w:fill="E5E9F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5E9F3"/>
          </w:tcPr>
          <w:p>
            <w:pPr>
              <w:ind w:left="360"/>
              <w:spacing w:after="0"/>
              <w:rPr>
                <w:sz w:val="20"/>
                <w:szCs w:val="20"/>
                <w:color w:val="auto"/>
              </w:rPr>
            </w:pPr>
            <w:r>
              <w:rPr>
                <w:rFonts w:ascii="Arial" w:cs="Arial" w:eastAsia="Arial" w:hAnsi="Arial"/>
                <w:sz w:val="18"/>
                <w:szCs w:val="18"/>
                <w:color w:val="auto"/>
              </w:rPr>
              <w:t>taxes of $1.7, $(3.7) and $2.2, respectively</w:t>
            </w:r>
          </w:p>
        </w:tc>
        <w:tc>
          <w:tcPr>
            <w:tcW w:w="560" w:type="dxa"/>
            <w:vAlign w:val="bottom"/>
            <w:shd w:val="clear" w:color="auto" w:fill="E5E9F3"/>
          </w:tcPr>
          <w:p>
            <w:pPr>
              <w:spacing w:after="0"/>
              <w:rPr>
                <w:sz w:val="19"/>
                <w:szCs w:val="19"/>
                <w:color w:val="auto"/>
              </w:rPr>
            </w:pPr>
          </w:p>
        </w:tc>
        <w:tc>
          <w:tcPr>
            <w:tcW w:w="9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E5E9F3"/>
          </w:tcPr>
          <w:p>
            <w:pPr>
              <w:spacing w:after="0"/>
              <w:rPr>
                <w:sz w:val="19"/>
                <w:szCs w:val="19"/>
                <w:color w:val="auto"/>
              </w:rPr>
            </w:pPr>
          </w:p>
        </w:tc>
        <w:tc>
          <w:tcPr>
            <w:tcW w:w="98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E5E9F3"/>
          </w:tcPr>
          <w:p>
            <w:pPr>
              <w:spacing w:after="0"/>
              <w:rPr>
                <w:sz w:val="19"/>
                <w:szCs w:val="19"/>
                <w:color w:val="auto"/>
              </w:rPr>
            </w:pPr>
          </w:p>
        </w:tc>
        <w:tc>
          <w:tcPr>
            <w:tcW w:w="9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3"/>
        </w:trPr>
        <w:tc>
          <w:tcPr>
            <w:tcW w:w="6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Pension settlements, net of income taxes of $0.8, $1.2 and $0.5, respectively</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 other comprehensive income (loss)</w:t>
            </w:r>
          </w:p>
        </w:tc>
        <w:tc>
          <w:tcPr>
            <w:tcW w:w="56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Comprehensive income</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168.1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81.5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10800"/>
          </w:cols>
          <w:pgMar w:left="720" w:top="734" w:right="720" w:bottom="175"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84"/>
        </w:trPr>
        <w:tc>
          <w:tcPr>
            <w:tcW w:w="8000" w:type="dxa"/>
            <w:vAlign w:val="bottom"/>
            <w:shd w:val="clear" w:color="auto" w:fill="537BB5"/>
          </w:tcPr>
          <w:p>
            <w:pPr>
              <w:spacing w:after="0"/>
              <w:rPr>
                <w:sz w:val="24"/>
                <w:szCs w:val="24"/>
                <w:color w:val="auto"/>
              </w:rPr>
            </w:pPr>
          </w:p>
        </w:tc>
        <w:tc>
          <w:tcPr>
            <w:tcW w:w="460" w:type="dxa"/>
            <w:vAlign w:val="bottom"/>
            <w:shd w:val="clear" w:color="auto" w:fill="537BB5"/>
          </w:tcPr>
          <w:p>
            <w:pPr>
              <w:spacing w:after="0"/>
              <w:rPr>
                <w:sz w:val="24"/>
                <w:szCs w:val="24"/>
                <w:color w:val="auto"/>
              </w:rPr>
            </w:pPr>
          </w:p>
        </w:tc>
        <w:tc>
          <w:tcPr>
            <w:tcW w:w="1020" w:type="dxa"/>
            <w:vAlign w:val="bottom"/>
            <w:shd w:val="clear" w:color="auto" w:fill="537BB5"/>
          </w:tcPr>
          <w:p>
            <w:pPr>
              <w:spacing w:after="0"/>
              <w:rPr>
                <w:sz w:val="24"/>
                <w:szCs w:val="24"/>
                <w:color w:val="auto"/>
              </w:rPr>
            </w:pPr>
          </w:p>
        </w:tc>
        <w:tc>
          <w:tcPr>
            <w:tcW w:w="320" w:type="dxa"/>
            <w:vAlign w:val="bottom"/>
            <w:shd w:val="clear" w:color="auto" w:fill="537BB5"/>
          </w:tcPr>
          <w:p>
            <w:pPr>
              <w:spacing w:after="0"/>
              <w:rPr>
                <w:sz w:val="24"/>
                <w:szCs w:val="24"/>
                <w:color w:val="auto"/>
              </w:rPr>
            </w:pPr>
          </w:p>
        </w:tc>
        <w:tc>
          <w:tcPr>
            <w:tcW w:w="1000" w:type="dxa"/>
            <w:vAlign w:val="bottom"/>
            <w:shd w:val="clear" w:color="auto" w:fill="537BB5"/>
          </w:tcPr>
          <w:p>
            <w:pPr>
              <w:jc w:val="right"/>
              <w:ind w:right="10"/>
              <w:spacing w:after="0"/>
              <w:rPr>
                <w:sz w:val="20"/>
                <w:szCs w:val="20"/>
                <w:color w:val="auto"/>
              </w:rPr>
            </w:pPr>
            <w:r>
              <w:rPr>
                <w:rFonts w:ascii="Arial" w:cs="Arial" w:eastAsia="Arial" w:hAnsi="Arial"/>
                <w:sz w:val="20"/>
                <w:szCs w:val="20"/>
                <w:color w:val="FFFFFF"/>
              </w:rPr>
              <w:t>Part II</w:t>
            </w:r>
          </w:p>
        </w:tc>
      </w:tr>
      <w:tr>
        <w:trPr>
          <w:trHeight w:val="422"/>
        </w:trPr>
        <w:tc>
          <w:tcPr>
            <w:tcW w:w="8000" w:type="dxa"/>
            <w:vAlign w:val="bottom"/>
          </w:tcPr>
          <w:p>
            <w:pPr>
              <w:spacing w:after="0"/>
              <w:rPr>
                <w:sz w:val="20"/>
                <w:szCs w:val="20"/>
                <w:color w:val="auto"/>
              </w:rPr>
            </w:pPr>
            <w:r>
              <w:rPr>
                <w:rFonts w:ascii="Arial" w:cs="Arial" w:eastAsia="Arial" w:hAnsi="Arial"/>
                <w:sz w:val="28"/>
                <w:szCs w:val="28"/>
                <w:b w:val="1"/>
                <w:bCs w:val="1"/>
                <w:color w:val="537BB5"/>
              </w:rPr>
              <w:t>CONSOLIDATED BALANCE SHEETS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7"/>
        </w:trPr>
        <w:tc>
          <w:tcPr>
            <w:tcW w:w="8000" w:type="dxa"/>
            <w:vAlign w:val="bottom"/>
          </w:tcPr>
          <w:p>
            <w:pPr>
              <w:spacing w:after="0"/>
              <w:rPr>
                <w:sz w:val="20"/>
                <w:szCs w:val="20"/>
                <w:color w:val="auto"/>
              </w:rPr>
            </w:pPr>
            <w:r>
              <w:rPr>
                <w:rFonts w:ascii="Arial" w:cs="Arial" w:eastAsia="Arial" w:hAnsi="Arial"/>
                <w:sz w:val="20"/>
                <w:szCs w:val="20"/>
                <w:b w:val="1"/>
                <w:bCs w:val="1"/>
                <w:i w:val="1"/>
                <w:iCs w:val="1"/>
                <w:color w:val="537BB5"/>
              </w:rPr>
              <w:t>in millions, except share and per share data</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6"/>
        </w:trPr>
        <w:tc>
          <w:tcPr>
            <w:tcW w:w="80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289"/>
        </w:trPr>
        <w:tc>
          <w:tcPr>
            <w:tcW w:w="800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shd w:val="clear" w:color="auto" w:fill="97AAD0"/>
          </w:tcPr>
          <w:p>
            <w:pPr>
              <w:spacing w:after="0"/>
              <w:rPr>
                <w:sz w:val="24"/>
                <w:szCs w:val="24"/>
                <w:color w:val="auto"/>
              </w:rPr>
            </w:pPr>
          </w:p>
        </w:tc>
        <w:tc>
          <w:tcPr>
            <w:tcW w:w="1020" w:type="dxa"/>
            <w:vAlign w:val="bottom"/>
            <w:tcBorders>
              <w:bottom w:val="single" w:sz="8" w:color="auto"/>
            </w:tcBorders>
            <w:shd w:val="clear" w:color="auto" w:fill="97AAD0"/>
          </w:tcPr>
          <w:p>
            <w:pPr>
              <w:jc w:val="right"/>
              <w:ind w:right="450"/>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shd w:val="clear" w:color="auto" w:fill="97AAD0"/>
          </w:tcPr>
          <w:p>
            <w:pPr>
              <w:spacing w:after="0"/>
              <w:rPr>
                <w:sz w:val="24"/>
                <w:szCs w:val="24"/>
                <w:color w:val="auto"/>
              </w:rPr>
            </w:pPr>
          </w:p>
        </w:tc>
        <w:tc>
          <w:tcPr>
            <w:tcW w:w="1000" w:type="dxa"/>
            <w:vAlign w:val="bottom"/>
            <w:tcBorders>
              <w:bottom w:val="single" w:sz="8" w:color="auto"/>
            </w:tcBorders>
            <w:shd w:val="clear" w:color="auto" w:fill="97AAD0"/>
          </w:tcPr>
          <w:p>
            <w:pPr>
              <w:jc w:val="right"/>
              <w:ind w:right="410"/>
              <w:spacing w:after="0"/>
              <w:rPr>
                <w:sz w:val="20"/>
                <w:szCs w:val="20"/>
                <w:color w:val="auto"/>
              </w:rPr>
            </w:pPr>
            <w:r>
              <w:rPr>
                <w:rFonts w:ascii="Arial" w:cs="Arial" w:eastAsia="Arial" w:hAnsi="Arial"/>
                <w:sz w:val="16"/>
                <w:szCs w:val="16"/>
                <w:b w:val="1"/>
                <w:bCs w:val="1"/>
                <w:color w:val="auto"/>
              </w:rPr>
              <w:t>2023</w:t>
            </w:r>
          </w:p>
        </w:tc>
      </w:tr>
      <w:tr>
        <w:trPr>
          <w:trHeight w:val="24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E5E9F3"/>
          </w:tcPr>
          <w:p>
            <w:pPr>
              <w:spacing w:after="0"/>
              <w:rPr>
                <w:sz w:val="21"/>
                <w:szCs w:val="21"/>
                <w:color w:val="auto"/>
              </w:rPr>
            </w:pPr>
          </w:p>
        </w:tc>
        <w:tc>
          <w:tcPr>
            <w:tcW w:w="102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r>
      <w:tr>
        <w:trPr>
          <w:trHeight w:val="253"/>
        </w:trPr>
        <w:tc>
          <w:tcPr>
            <w:tcW w:w="800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509.4</w:t>
            </w:r>
          </w:p>
        </w:tc>
        <w:tc>
          <w:tcPr>
            <w:tcW w:w="32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581.3</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expected credit losses of $67.6 and $99.2, respectively</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4,297.2</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4,830.0</w:t>
            </w:r>
          </w:p>
        </w:tc>
      </w:tr>
      <w:tr>
        <w:trPr>
          <w:trHeight w:val="253"/>
        </w:trPr>
        <w:tc>
          <w:tcPr>
            <w:tcW w:w="80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Borders>
              <w:bottom w:val="single" w:sz="8" w:color="auto"/>
            </w:tcBorders>
            <w:shd w:val="clear" w:color="auto" w:fill="E5E9F3"/>
          </w:tcPr>
          <w:p>
            <w:pPr>
              <w:spacing w:after="0"/>
              <w:rPr>
                <w:sz w:val="22"/>
                <w:szCs w:val="22"/>
                <w:color w:val="auto"/>
              </w:rPr>
            </w:pP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163.7</w:t>
            </w:r>
          </w:p>
        </w:tc>
        <w:tc>
          <w:tcPr>
            <w:tcW w:w="320" w:type="dxa"/>
            <w:vAlign w:val="bottom"/>
            <w:tcBorders>
              <w:bottom w:val="single" w:sz="8" w:color="auto"/>
            </w:tcBorders>
            <w:shd w:val="clear" w:color="auto" w:fill="E5E9F3"/>
          </w:tcPr>
          <w:p>
            <w:pPr>
              <w:spacing w:after="0"/>
              <w:rPr>
                <w:sz w:val="22"/>
                <w:szCs w:val="22"/>
                <w:color w:val="auto"/>
              </w:rPr>
            </w:pP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160.8</w:t>
            </w: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4,970.3</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5,572.1</w:t>
            </w:r>
          </w:p>
        </w:tc>
      </w:tr>
      <w:tr>
        <w:trPr>
          <w:trHeight w:val="25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spacing w:after="0"/>
              <w:rPr>
                <w:sz w:val="22"/>
                <w:szCs w:val="22"/>
                <w:color w:val="auto"/>
              </w:rPr>
            </w:pP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1,563.4</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1,586.8</w:t>
            </w: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Intangible assets, less accumulated amortization of $530.4 and $507.2, respectively</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486.1</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519.6</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361.3</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414.0</w:t>
            </w:r>
          </w:p>
        </w:tc>
      </w:tr>
      <w:tr>
        <w:trPr>
          <w:trHeight w:val="253"/>
        </w:trPr>
        <w:tc>
          <w:tcPr>
            <w:tcW w:w="80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shd w:val="clear" w:color="auto" w:fill="E5E9F3"/>
          </w:tcPr>
          <w:p>
            <w:pPr>
              <w:spacing w:after="0"/>
              <w:rPr>
                <w:sz w:val="22"/>
                <w:szCs w:val="22"/>
                <w:color w:val="auto"/>
              </w:rPr>
            </w:pP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701.5</w:t>
            </w:r>
          </w:p>
        </w:tc>
        <w:tc>
          <w:tcPr>
            <w:tcW w:w="320" w:type="dxa"/>
            <w:vAlign w:val="bottom"/>
            <w:tcBorders>
              <w:bottom w:val="single" w:sz="8" w:color="auto"/>
            </w:tcBorders>
            <w:shd w:val="clear" w:color="auto" w:fill="E5E9F3"/>
          </w:tcPr>
          <w:p>
            <w:pPr>
              <w:spacing w:after="0"/>
              <w:rPr>
                <w:sz w:val="22"/>
                <w:szCs w:val="22"/>
                <w:color w:val="auto"/>
              </w:rPr>
            </w:pP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607.8</w:t>
            </w: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Total other assets</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3,112.3</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3,128.2</w:t>
            </w:r>
          </w:p>
        </w:tc>
      </w:tr>
      <w:tr>
        <w:trPr>
          <w:trHeight w:val="25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spacing w:after="0"/>
              <w:rPr>
                <w:sz w:val="22"/>
                <w:szCs w:val="22"/>
                <w:color w:val="auto"/>
              </w:rPr>
            </w:pP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Land, buildings, leasehold improvements and equipment</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488.2</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526.5</w:t>
            </w:r>
          </w:p>
        </w:tc>
      </w:tr>
      <w:tr>
        <w:trPr>
          <w:trHeight w:val="253"/>
        </w:trPr>
        <w:tc>
          <w:tcPr>
            <w:tcW w:w="80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Borders>
              <w:bottom w:val="single" w:sz="8" w:color="auto"/>
            </w:tcBorders>
            <w:shd w:val="clear" w:color="auto" w:fill="E5E9F3"/>
          </w:tcPr>
          <w:p>
            <w:pPr>
              <w:spacing w:after="0"/>
              <w:rPr>
                <w:sz w:val="21"/>
                <w:szCs w:val="21"/>
                <w:color w:val="auto"/>
              </w:rPr>
            </w:pP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369.8</w:t>
            </w:r>
          </w:p>
        </w:tc>
        <w:tc>
          <w:tcPr>
            <w:tcW w:w="320" w:type="dxa"/>
            <w:vAlign w:val="bottom"/>
            <w:tcBorders>
              <w:bottom w:val="single" w:sz="8" w:color="auto"/>
            </w:tcBorders>
            <w:shd w:val="clear" w:color="auto" w:fill="E5E9F3"/>
          </w:tcPr>
          <w:p>
            <w:pPr>
              <w:spacing w:after="0"/>
              <w:rPr>
                <w:sz w:val="21"/>
                <w:szCs w:val="21"/>
                <w:color w:val="auto"/>
              </w:rPr>
            </w:pP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396.6</w:t>
            </w:r>
          </w:p>
        </w:tc>
      </w:tr>
      <w:tr>
        <w:trPr>
          <w:trHeight w:val="243"/>
        </w:trPr>
        <w:tc>
          <w:tcPr>
            <w:tcW w:w="8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Net property and equipment</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129.9</w:t>
            </w:r>
          </w:p>
        </w:tc>
      </w:tr>
      <w:tr>
        <w:trPr>
          <w:trHeight w:val="243"/>
        </w:trPr>
        <w:tc>
          <w:tcPr>
            <w:tcW w:w="8000" w:type="dxa"/>
            <w:vAlign w:val="bottom"/>
            <w:tcBorders>
              <w:bottom w:val="single" w:sz="8" w:color="auto"/>
            </w:tcBorders>
            <w:shd w:val="clear" w:color="auto" w:fill="E5E9F3"/>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8,201.0</w:t>
            </w:r>
          </w:p>
        </w:tc>
        <w:tc>
          <w:tcPr>
            <w:tcW w:w="3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8,830.2</w:t>
            </w:r>
          </w:p>
        </w:tc>
      </w:tr>
      <w:tr>
        <w:trPr>
          <w:trHeight w:val="243"/>
        </w:trPr>
        <w:tc>
          <w:tcPr>
            <w:tcW w:w="80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spacing w:after="0"/>
              <w:rPr>
                <w:sz w:val="22"/>
                <w:szCs w:val="22"/>
                <w:color w:val="auto"/>
              </w:rPr>
            </w:pP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2,612.9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2,723.0</w:t>
            </w: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Employee compensation payable</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241.1</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243.1</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573.7</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693.0</w:t>
            </w: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Accrued payroll taxes and insurance</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615.2</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695.8</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Value added taxes payable</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370.8</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432.7</w:t>
            </w:r>
          </w:p>
        </w:tc>
      </w:tr>
      <w:tr>
        <w:trPr>
          <w:trHeight w:val="253"/>
        </w:trPr>
        <w:tc>
          <w:tcPr>
            <w:tcW w:w="80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Short-term borrowings and current maturities of long-term debt</w:t>
            </w:r>
          </w:p>
        </w:tc>
        <w:tc>
          <w:tcPr>
            <w:tcW w:w="460" w:type="dxa"/>
            <w:vAlign w:val="bottom"/>
            <w:tcBorders>
              <w:bottom w:val="single" w:sz="8" w:color="auto"/>
            </w:tcBorders>
            <w:shd w:val="clear" w:color="auto" w:fill="E5E9F3"/>
          </w:tcPr>
          <w:p>
            <w:pPr>
              <w:spacing w:after="0"/>
              <w:rPr>
                <w:sz w:val="21"/>
                <w:szCs w:val="21"/>
                <w:color w:val="auto"/>
              </w:rPr>
            </w:pP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shd w:val="clear" w:color="auto" w:fill="E5E9F3"/>
          </w:tcPr>
          <w:p>
            <w:pPr>
              <w:spacing w:after="0"/>
              <w:rPr>
                <w:sz w:val="21"/>
                <w:szCs w:val="21"/>
                <w:color w:val="auto"/>
              </w:rPr>
            </w:pP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12.1</w:t>
            </w: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4,437.1</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4,799.7</w:t>
            </w:r>
          </w:p>
        </w:tc>
      </w:tr>
      <w:tr>
        <w:trPr>
          <w:trHeight w:val="25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spacing w:after="0"/>
              <w:rPr>
                <w:sz w:val="22"/>
                <w:szCs w:val="22"/>
                <w:color w:val="auto"/>
              </w:rPr>
            </w:pP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929.4</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990.5</w:t>
            </w: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Long-term operating lease liability</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323.2</w:t>
            </w:r>
          </w:p>
        </w:tc>
      </w:tr>
      <w:tr>
        <w:trPr>
          <w:trHeight w:val="253"/>
        </w:trPr>
        <w:tc>
          <w:tcPr>
            <w:tcW w:w="8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428.6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482.7</w:t>
            </w:r>
          </w:p>
        </w:tc>
      </w:tr>
      <w:tr>
        <w:trPr>
          <w:trHeight w:val="243"/>
        </w:trPr>
        <w:tc>
          <w:tcPr>
            <w:tcW w:w="80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Total other liabilities</w:t>
            </w:r>
          </w:p>
        </w:tc>
        <w:tc>
          <w:tcPr>
            <w:tcW w:w="460" w:type="dxa"/>
            <w:vAlign w:val="bottom"/>
            <w:shd w:val="clear" w:color="auto" w:fill="E5E9F3"/>
          </w:tcPr>
          <w:p>
            <w:pPr>
              <w:spacing w:after="0"/>
              <w:rPr>
                <w:sz w:val="21"/>
                <w:szCs w:val="21"/>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1,637.0</w:t>
            </w: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1,796.4</w:t>
            </w:r>
          </w:p>
        </w:tc>
      </w:tr>
      <w:tr>
        <w:trPr>
          <w:trHeight w:val="253"/>
        </w:trPr>
        <w:tc>
          <w:tcPr>
            <w:tcW w:w="8000" w:type="dxa"/>
            <w:vAlign w:val="bottom"/>
          </w:tcPr>
          <w:p>
            <w:pPr>
              <w:ind w:left="100"/>
              <w:spacing w:after="0"/>
              <w:rPr>
                <w:sz w:val="20"/>
                <w:szCs w:val="20"/>
                <w:color w:val="auto"/>
              </w:rPr>
            </w:pPr>
            <w:r>
              <w:rPr>
                <w:rFonts w:ascii="Arial" w:cs="Arial" w:eastAsia="Arial" w:hAnsi="Arial"/>
                <w:sz w:val="18"/>
                <w:szCs w:val="18"/>
                <w:color w:val="auto"/>
              </w:rPr>
              <w:t>Commitments and contingencies (Note 15)</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3"/>
        </w:trPr>
        <w:tc>
          <w:tcPr>
            <w:tcW w:w="8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spacing w:after="0"/>
              <w:rPr>
                <w:sz w:val="22"/>
                <w:szCs w:val="22"/>
                <w:color w:val="auto"/>
              </w:rPr>
            </w:pP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2"/>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Common stock, $.01 par value, authorized 125,000,000 shares, issued 118,853,620</w:t>
            </w:r>
          </w:p>
        </w:tc>
        <w:tc>
          <w:tcPr>
            <w:tcW w:w="460" w:type="dxa"/>
            <w:vAlign w:val="bottom"/>
            <w:shd w:val="clear" w:color="auto" w:fill="E5E9F3"/>
          </w:tcPr>
          <w:p>
            <w:pPr>
              <w:spacing w:after="0"/>
              <w:rPr>
                <w:sz w:val="18"/>
                <w:szCs w:val="18"/>
                <w:color w:val="auto"/>
              </w:rPr>
            </w:pPr>
          </w:p>
        </w:tc>
        <w:tc>
          <w:tcPr>
            <w:tcW w:w="1020" w:type="dxa"/>
            <w:vAlign w:val="bottom"/>
            <w:shd w:val="clear" w:color="auto" w:fill="E5E9F3"/>
          </w:tcPr>
          <w:p>
            <w:pPr>
              <w:spacing w:after="0"/>
              <w:rPr>
                <w:sz w:val="18"/>
                <w:szCs w:val="18"/>
                <w:color w:val="auto"/>
              </w:rPr>
            </w:pPr>
          </w:p>
        </w:tc>
        <w:tc>
          <w:tcPr>
            <w:tcW w:w="320" w:type="dxa"/>
            <w:vAlign w:val="bottom"/>
            <w:shd w:val="clear" w:color="auto" w:fill="E5E9F3"/>
          </w:tcPr>
          <w:p>
            <w:pPr>
              <w:spacing w:after="0"/>
              <w:rPr>
                <w:sz w:val="18"/>
                <w:szCs w:val="18"/>
                <w:color w:val="auto"/>
              </w:rPr>
            </w:pPr>
          </w:p>
        </w:tc>
        <w:tc>
          <w:tcPr>
            <w:tcW w:w="1000" w:type="dxa"/>
            <w:vAlign w:val="bottom"/>
            <w:shd w:val="clear" w:color="auto" w:fill="E5E9F3"/>
          </w:tcPr>
          <w:p>
            <w:pPr>
              <w:spacing w:after="0"/>
              <w:rPr>
                <w:sz w:val="18"/>
                <w:szCs w:val="18"/>
                <w:color w:val="auto"/>
              </w:rPr>
            </w:pPr>
          </w:p>
        </w:tc>
      </w:tr>
      <w:tr>
        <w:trPr>
          <w:trHeight w:val="225"/>
        </w:trPr>
        <w:tc>
          <w:tcPr>
            <w:tcW w:w="8000" w:type="dxa"/>
            <w:vAlign w:val="bottom"/>
            <w:shd w:val="clear" w:color="auto" w:fill="E5E9F3"/>
          </w:tcPr>
          <w:p>
            <w:pPr>
              <w:ind w:left="360"/>
              <w:spacing w:after="0"/>
              <w:rPr>
                <w:sz w:val="20"/>
                <w:szCs w:val="20"/>
                <w:color w:val="auto"/>
              </w:rPr>
            </w:pPr>
            <w:r>
              <w:rPr>
                <w:rFonts w:ascii="Arial" w:cs="Arial" w:eastAsia="Arial" w:hAnsi="Arial"/>
                <w:sz w:val="18"/>
                <w:szCs w:val="18"/>
                <w:color w:val="auto"/>
              </w:rPr>
              <w:t>and 118,387,641 shares, respectively</w:t>
            </w:r>
          </w:p>
        </w:tc>
        <w:tc>
          <w:tcPr>
            <w:tcW w:w="460" w:type="dxa"/>
            <w:vAlign w:val="bottom"/>
            <w:shd w:val="clear" w:color="auto" w:fill="E5E9F3"/>
          </w:tcPr>
          <w:p>
            <w:pPr>
              <w:spacing w:after="0"/>
              <w:rPr>
                <w:sz w:val="19"/>
                <w:szCs w:val="19"/>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5E9F3"/>
          </w:tcPr>
          <w:p>
            <w:pPr>
              <w:spacing w:after="0"/>
              <w:rPr>
                <w:sz w:val="19"/>
                <w:szCs w:val="19"/>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1.2</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Capital in excess of par value</w:t>
            </w:r>
          </w:p>
        </w:tc>
        <w:tc>
          <w:tcPr>
            <w:tcW w:w="4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3,546.1</w:t>
            </w:r>
          </w:p>
        </w:tc>
        <w:tc>
          <w:tcPr>
            <w:tcW w:w="3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3,514.9</w:t>
            </w:r>
          </w:p>
        </w:tc>
      </w:tr>
      <w:tr>
        <w:trPr>
          <w:trHeight w:val="253"/>
        </w:trPr>
        <w:tc>
          <w:tcPr>
            <w:tcW w:w="80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3,812.3</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3,813.0</w:t>
            </w:r>
          </w:p>
        </w:tc>
      </w:tr>
      <w:tr>
        <w:trPr>
          <w:trHeight w:val="253"/>
        </w:trPr>
        <w:tc>
          <w:tcPr>
            <w:tcW w:w="80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(443.0)</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(466.0)</w:t>
            </w:r>
          </w:p>
        </w:tc>
      </w:tr>
      <w:tr>
        <w:trPr>
          <w:trHeight w:val="253"/>
        </w:trPr>
        <w:tc>
          <w:tcPr>
            <w:tcW w:w="80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Treasury stock at cost, 72,105,407 and 69,963,649 shares, respectively</w:t>
            </w:r>
          </w:p>
        </w:tc>
        <w:tc>
          <w:tcPr>
            <w:tcW w:w="460" w:type="dxa"/>
            <w:vAlign w:val="bottom"/>
            <w:tcBorders>
              <w:bottom w:val="single" w:sz="8" w:color="auto"/>
            </w:tcBorders>
            <w:shd w:val="clear" w:color="auto" w:fill="E5E9F3"/>
          </w:tcPr>
          <w:p>
            <w:pPr>
              <w:spacing w:after="0"/>
              <w:rPr>
                <w:sz w:val="21"/>
                <w:szCs w:val="21"/>
                <w:color w:val="auto"/>
              </w:rPr>
            </w:pPr>
          </w:p>
        </w:tc>
        <w:tc>
          <w:tcPr>
            <w:tcW w:w="10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(4,791.4)</w:t>
            </w:r>
          </w:p>
        </w:tc>
        <w:tc>
          <w:tcPr>
            <w:tcW w:w="320" w:type="dxa"/>
            <w:vAlign w:val="bottom"/>
            <w:tcBorders>
              <w:bottom w:val="single" w:sz="8" w:color="auto"/>
            </w:tcBorders>
            <w:shd w:val="clear" w:color="auto" w:fill="E5E9F3"/>
          </w:tcPr>
          <w:p>
            <w:pPr>
              <w:spacing w:after="0"/>
              <w:rPr>
                <w:sz w:val="21"/>
                <w:szCs w:val="21"/>
                <w:color w:val="auto"/>
              </w:rPr>
            </w:pPr>
          </w:p>
        </w:tc>
        <w:tc>
          <w:tcPr>
            <w:tcW w:w="10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(4,639.8)</w:t>
            </w:r>
          </w:p>
        </w:tc>
      </w:tr>
      <w:tr>
        <w:trPr>
          <w:trHeight w:val="243"/>
        </w:trPr>
        <w:tc>
          <w:tcPr>
            <w:tcW w:w="8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 ManpowerGroup shareholders' equity</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2,125.2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2,223.3</w:t>
            </w:r>
          </w:p>
        </w:tc>
      </w:tr>
      <w:tr>
        <w:trPr>
          <w:trHeight w:val="243"/>
        </w:trPr>
        <w:tc>
          <w:tcPr>
            <w:tcW w:w="80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shd w:val="clear" w:color="auto" w:fill="E5E9F3"/>
          </w:tcPr>
          <w:p>
            <w:pPr>
              <w:spacing w:after="0"/>
              <w:rPr>
                <w:sz w:val="21"/>
                <w:szCs w:val="21"/>
                <w:color w:val="auto"/>
              </w:rPr>
            </w:pP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E5E9F3"/>
          </w:tcPr>
          <w:p>
            <w:pPr>
              <w:spacing w:after="0"/>
              <w:rPr>
                <w:sz w:val="21"/>
                <w:szCs w:val="21"/>
                <w:color w:val="auto"/>
              </w:rPr>
            </w:pP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10.8</w:t>
            </w:r>
          </w:p>
        </w:tc>
      </w:tr>
      <w:tr>
        <w:trPr>
          <w:trHeight w:val="243"/>
        </w:trPr>
        <w:tc>
          <w:tcPr>
            <w:tcW w:w="8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2,126.9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2,234.1</w:t>
            </w:r>
          </w:p>
        </w:tc>
      </w:tr>
      <w:tr>
        <w:trPr>
          <w:trHeight w:val="243"/>
        </w:trPr>
        <w:tc>
          <w:tcPr>
            <w:tcW w:w="8000" w:type="dxa"/>
            <w:vAlign w:val="bottom"/>
            <w:tcBorders>
              <w:bottom w:val="single" w:sz="8" w:color="auto"/>
            </w:tcBorders>
            <w:shd w:val="clear" w:color="auto" w:fill="E5E9F3"/>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8,201.0</w:t>
            </w:r>
          </w:p>
        </w:tc>
        <w:tc>
          <w:tcPr>
            <w:tcW w:w="3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8,830.2</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2240" w:h="15840" w:orient="portrait"/>
          <w:cols w:equalWidth="0" w:num="1">
            <w:col w:w="10800"/>
          </w:cols>
          <w:pgMar w:left="720" w:top="7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10800"/>
          </w:cols>
          <w:pgMar w:left="720" w:top="720" w:right="720" w:bottom="175" w:gutter="0" w:footer="0" w:header="0"/>
          <w:type w:val="continuous"/>
        </w:sectPr>
      </w:pPr>
    </w:p>
    <w:bookmarkStart w:id="57" w:name="page58"/>
    <w:bookmarkEnd w:id="5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62" o:spid="_x0000_s108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CONSOLIDATED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 millions</w:t>
      </w:r>
    </w:p>
    <w:tbl>
      <w:tblPr>
        <w:tblLayout w:type="fixed"/>
        <w:tblInd w:w="0" w:type="dxa"/>
        <w:tblCellMar>
          <w:top w:w="0" w:type="dxa"/>
          <w:left w:w="0" w:type="dxa"/>
          <w:bottom w:w="0" w:type="dxa"/>
          <w:right w:w="0" w:type="dxa"/>
        </w:tblCellMar>
      </w:tblPr>
      <w:tr>
        <w:trPr>
          <w:trHeight w:val="312"/>
        </w:trPr>
        <w:tc>
          <w:tcPr>
            <w:tcW w:w="704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top w:val="single" w:sz="8" w:color="auto"/>
              <w:bottom w:val="single" w:sz="8" w:color="auto"/>
            </w:tcBorders>
            <w:shd w:val="clear" w:color="auto" w:fill="97AAD0"/>
          </w:tcPr>
          <w:p>
            <w:pPr>
              <w:spacing w:after="0"/>
              <w:rPr>
                <w:sz w:val="24"/>
                <w:szCs w:val="24"/>
                <w:color w:val="auto"/>
              </w:rPr>
            </w:pPr>
          </w:p>
        </w:tc>
        <w:tc>
          <w:tcPr>
            <w:tcW w:w="880" w:type="dxa"/>
            <w:vAlign w:val="bottom"/>
            <w:tcBorders>
              <w:top w:val="single" w:sz="8" w:color="auto"/>
              <w:bottom w:val="single" w:sz="8" w:color="auto"/>
            </w:tcBorders>
            <w:shd w:val="clear" w:color="auto" w:fill="97AAD0"/>
          </w:tcPr>
          <w:p>
            <w:pPr>
              <w:jc w:val="right"/>
              <w:ind w:right="350"/>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80" w:type="dxa"/>
            <w:vAlign w:val="bottom"/>
            <w:tcBorders>
              <w:top w:val="single" w:sz="8" w:color="auto"/>
              <w:bottom w:val="single" w:sz="8" w:color="auto"/>
            </w:tcBorders>
            <w:shd w:val="clear" w:color="auto" w:fill="97AAD0"/>
          </w:tcPr>
          <w:p>
            <w:pPr>
              <w:jc w:val="right"/>
              <w:ind w:right="350"/>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30"/>
              <w:spacing w:after="0"/>
              <w:rPr>
                <w:sz w:val="20"/>
                <w:szCs w:val="20"/>
                <w:color w:val="auto"/>
              </w:rPr>
            </w:pPr>
            <w:r>
              <w:rPr>
                <w:rFonts w:ascii="Arial" w:cs="Arial" w:eastAsia="Arial" w:hAnsi="Arial"/>
                <w:sz w:val="16"/>
                <w:szCs w:val="16"/>
                <w:b w:val="1"/>
                <w:bCs w:val="1"/>
                <w:color w:val="auto"/>
              </w:rPr>
              <w:t>2022</w:t>
            </w:r>
          </w:p>
        </w:tc>
      </w:tr>
      <w:tr>
        <w:trPr>
          <w:trHeight w:val="262"/>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c>
          <w:tcPr>
            <w:tcW w:w="28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860" w:type="dxa"/>
            <w:vAlign w:val="bottom"/>
            <w:shd w:val="clear" w:color="auto" w:fill="E5E9F3"/>
          </w:tcPr>
          <w:p>
            <w:pPr>
              <w:spacing w:after="0"/>
              <w:rPr>
                <w:sz w:val="22"/>
                <w:szCs w:val="22"/>
                <w:color w:val="auto"/>
              </w:rPr>
            </w:pP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Net earnings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145.1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373.8</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spacing w:after="0"/>
              <w:rPr>
                <w:sz w:val="23"/>
                <w:szCs w:val="23"/>
                <w:color w:val="auto"/>
              </w:rPr>
            </w:pPr>
          </w:p>
        </w:tc>
      </w:tr>
      <w:tr>
        <w:trPr>
          <w:trHeight w:val="267"/>
        </w:trPr>
        <w:tc>
          <w:tcPr>
            <w:tcW w:w="704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84.6</w:t>
            </w:r>
          </w:p>
        </w:tc>
      </w:tr>
      <w:tr>
        <w:trPr>
          <w:trHeight w:val="267"/>
        </w:trPr>
        <w:tc>
          <w:tcPr>
            <w:tcW w:w="70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Loss on sales of subsidiaries, net</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6.0</w:t>
            </w:r>
          </w:p>
        </w:tc>
      </w:tr>
      <w:tr>
        <w:trPr>
          <w:trHeight w:val="267"/>
        </w:trPr>
        <w:tc>
          <w:tcPr>
            <w:tcW w:w="7040" w:type="dxa"/>
            <w:vAlign w:val="bottom"/>
          </w:tcPr>
          <w:p>
            <w:pPr>
              <w:ind w:left="300"/>
              <w:spacing w:after="0"/>
              <w:rPr>
                <w:sz w:val="20"/>
                <w:szCs w:val="20"/>
                <w:color w:val="auto"/>
              </w:rPr>
            </w:pPr>
            <w:r>
              <w:rPr>
                <w:rFonts w:ascii="Arial" w:cs="Arial" w:eastAsia="Arial" w:hAnsi="Arial"/>
                <w:sz w:val="18"/>
                <w:szCs w:val="18"/>
                <w:color w:val="auto"/>
              </w:rPr>
              <w:t>Non-cash goodwill and other impairment charges</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57.3</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50.0</w:t>
            </w:r>
          </w:p>
        </w:tc>
      </w:tr>
      <w:tr>
        <w:trPr>
          <w:trHeight w:val="267"/>
        </w:trPr>
        <w:tc>
          <w:tcPr>
            <w:tcW w:w="70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(32.4 )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(20.6 )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4.8</w:t>
            </w:r>
          </w:p>
        </w:tc>
      </w:tr>
      <w:tr>
        <w:trPr>
          <w:trHeight w:val="267"/>
        </w:trPr>
        <w:tc>
          <w:tcPr>
            <w:tcW w:w="7040" w:type="dxa"/>
            <w:vAlign w:val="bottom"/>
          </w:tcPr>
          <w:p>
            <w:pPr>
              <w:ind w:left="300"/>
              <w:spacing w:after="0"/>
              <w:rPr>
                <w:sz w:val="20"/>
                <w:szCs w:val="20"/>
                <w:color w:val="auto"/>
              </w:rPr>
            </w:pPr>
            <w:r>
              <w:rPr>
                <w:rFonts w:ascii="Arial" w:cs="Arial" w:eastAsia="Arial" w:hAnsi="Arial"/>
                <w:sz w:val="18"/>
                <w:szCs w:val="18"/>
                <w:color w:val="auto"/>
              </w:rPr>
              <w:t>Allowance for expected credit losses</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6.2</w:t>
            </w:r>
          </w:p>
        </w:tc>
      </w:tr>
      <w:tr>
        <w:trPr>
          <w:trHeight w:val="267"/>
        </w:trPr>
        <w:tc>
          <w:tcPr>
            <w:tcW w:w="70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Share-based compensation</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37.6</w:t>
            </w:r>
          </w:p>
        </w:tc>
      </w:tr>
      <w:tr>
        <w:trPr>
          <w:trHeight w:val="267"/>
        </w:trPr>
        <w:tc>
          <w:tcPr>
            <w:tcW w:w="7040" w:type="dxa"/>
            <w:vAlign w:val="bottom"/>
          </w:tcPr>
          <w:p>
            <w:pPr>
              <w:ind w:left="300"/>
              <w:spacing w:after="0"/>
              <w:rPr>
                <w:sz w:val="20"/>
                <w:szCs w:val="20"/>
                <w:color w:val="auto"/>
              </w:rPr>
            </w:pPr>
            <w:r>
              <w:rPr>
                <w:rFonts w:ascii="Arial" w:cs="Arial" w:eastAsia="Arial" w:hAnsi="Arial"/>
                <w:sz w:val="18"/>
                <w:szCs w:val="18"/>
                <w:color w:val="auto"/>
              </w:rPr>
              <w:t>Change in operating assets and liabilities:</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7"/>
        </w:trPr>
        <w:tc>
          <w:tcPr>
            <w:tcW w:w="7040" w:type="dxa"/>
            <w:vAlign w:val="bottom"/>
            <w:shd w:val="clear" w:color="auto" w:fill="E5E9F3"/>
          </w:tcPr>
          <w:p>
            <w:pPr>
              <w:ind w:left="50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261.1</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391.8</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28.8</w:t>
            </w:r>
          </w:p>
        </w:tc>
      </w:tr>
      <w:tr>
        <w:trPr>
          <w:trHeight w:val="267"/>
        </w:trPr>
        <w:tc>
          <w:tcPr>
            <w:tcW w:w="70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(131.8 )</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(45.2 )</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47.5</w:t>
            </w:r>
          </w:p>
        </w:tc>
      </w:tr>
      <w:tr>
        <w:trPr>
          <w:trHeight w:val="267"/>
        </w:trPr>
        <w:tc>
          <w:tcPr>
            <w:tcW w:w="7040" w:type="dxa"/>
            <w:vAlign w:val="bottom"/>
            <w:shd w:val="clear" w:color="auto" w:fill="E5E9F3"/>
          </w:tcPr>
          <w:p>
            <w:pPr>
              <w:ind w:left="50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(144.7 )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(80.9 )</w:t>
            </w:r>
          </w:p>
        </w:tc>
      </w:tr>
      <w:tr>
        <w:trPr>
          <w:trHeight w:val="267"/>
        </w:trPr>
        <w:tc>
          <w:tcPr>
            <w:tcW w:w="7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(79.6 )</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(103.2 )</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(135.1 )</w:t>
            </w:r>
          </w:p>
        </w:tc>
      </w:tr>
      <w:tr>
        <w:trPr>
          <w:trHeight w:val="257"/>
        </w:trPr>
        <w:tc>
          <w:tcPr>
            <w:tcW w:w="7040" w:type="dxa"/>
            <w:vAlign w:val="bottom"/>
            <w:tcBorders>
              <w:bottom w:val="single" w:sz="8" w:color="auto"/>
            </w:tcBorders>
            <w:shd w:val="clear" w:color="auto" w:fill="E5E9F3"/>
          </w:tcPr>
          <w:p>
            <w:pPr>
              <w:ind w:left="700"/>
              <w:spacing w:after="0"/>
              <w:rPr>
                <w:sz w:val="20"/>
                <w:szCs w:val="20"/>
                <w:color w:val="auto"/>
              </w:rPr>
            </w:pPr>
            <w:r>
              <w:rPr>
                <w:rFonts w:ascii="Arial" w:cs="Arial" w:eastAsia="Arial" w:hAnsi="Arial"/>
                <w:sz w:val="18"/>
                <w:szCs w:val="18"/>
                <w:color w:val="auto"/>
              </w:rPr>
              <w:t>Cash provided by operating activities</w:t>
            </w:r>
          </w:p>
        </w:tc>
        <w:tc>
          <w:tcPr>
            <w:tcW w:w="600" w:type="dxa"/>
            <w:vAlign w:val="bottom"/>
            <w:tcBorders>
              <w:bottom w:val="single" w:sz="8" w:color="auto"/>
            </w:tcBorders>
            <w:shd w:val="clear" w:color="auto" w:fill="E5E9F3"/>
          </w:tcPr>
          <w:p>
            <w:pPr>
              <w:spacing w:after="0"/>
              <w:rPr>
                <w:sz w:val="22"/>
                <w:szCs w:val="22"/>
                <w:color w:val="auto"/>
              </w:rPr>
            </w:pPr>
          </w:p>
        </w:tc>
        <w:tc>
          <w:tcPr>
            <w:tcW w:w="8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309.2</w:t>
            </w:r>
          </w:p>
        </w:tc>
        <w:tc>
          <w:tcPr>
            <w:tcW w:w="280" w:type="dxa"/>
            <w:vAlign w:val="bottom"/>
            <w:tcBorders>
              <w:bottom w:val="single" w:sz="8" w:color="auto"/>
            </w:tcBorders>
            <w:shd w:val="clear" w:color="auto" w:fill="E5E9F3"/>
          </w:tcPr>
          <w:p>
            <w:pPr>
              <w:spacing w:after="0"/>
              <w:rPr>
                <w:sz w:val="22"/>
                <w:szCs w:val="22"/>
                <w:color w:val="auto"/>
              </w:rPr>
            </w:pPr>
          </w:p>
        </w:tc>
        <w:tc>
          <w:tcPr>
            <w:tcW w:w="8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348.2</w:t>
            </w:r>
          </w:p>
        </w:tc>
        <w:tc>
          <w:tcPr>
            <w:tcW w:w="26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423.3</w:t>
            </w:r>
          </w:p>
        </w:tc>
      </w:tr>
      <w:tr>
        <w:trPr>
          <w:trHeight w:val="257"/>
        </w:trPr>
        <w:tc>
          <w:tcPr>
            <w:tcW w:w="7040" w:type="dxa"/>
            <w:vAlign w:val="bottom"/>
          </w:tcPr>
          <w:p>
            <w:pPr>
              <w:ind w:left="100"/>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(51.1 )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(78.2 )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(75.6 )</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Impact to cash resulting from sales of subsidiaries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(14.6 )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r>
      <w:tr>
        <w:trPr>
          <w:trHeight w:val="267"/>
        </w:trPr>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Proceeds from the sale of subsidiaries and property and equipment</w:t>
            </w: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w:t>
            </w:r>
          </w:p>
        </w:tc>
      </w:tr>
      <w:tr>
        <w:trPr>
          <w:trHeight w:val="257"/>
        </w:trPr>
        <w:tc>
          <w:tcPr>
            <w:tcW w:w="7040" w:type="dxa"/>
            <w:vAlign w:val="bottom"/>
            <w:tcBorders>
              <w:bottom w:val="single" w:sz="8" w:color="auto"/>
            </w:tcBorders>
            <w:shd w:val="clear" w:color="auto" w:fill="E5E9F3"/>
          </w:tcPr>
          <w:p>
            <w:pPr>
              <w:ind w:left="700"/>
              <w:spacing w:after="0"/>
              <w:rPr>
                <w:sz w:val="20"/>
                <w:szCs w:val="20"/>
                <w:color w:val="auto"/>
              </w:rPr>
            </w:pPr>
            <w:r>
              <w:rPr>
                <w:rFonts w:ascii="Arial" w:cs="Arial" w:eastAsia="Arial" w:hAnsi="Arial"/>
                <w:sz w:val="18"/>
                <w:szCs w:val="18"/>
                <w:color w:val="auto"/>
              </w:rPr>
              <w:t>Cash used in investing activities</w:t>
            </w:r>
          </w:p>
        </w:tc>
        <w:tc>
          <w:tcPr>
            <w:tcW w:w="600" w:type="dxa"/>
            <w:vAlign w:val="bottom"/>
            <w:tcBorders>
              <w:bottom w:val="single" w:sz="8" w:color="auto"/>
            </w:tcBorders>
            <w:shd w:val="clear" w:color="auto" w:fill="E5E9F3"/>
          </w:tcPr>
          <w:p>
            <w:pPr>
              <w:spacing w:after="0"/>
              <w:rPr>
                <w:sz w:val="22"/>
                <w:szCs w:val="22"/>
                <w:color w:val="auto"/>
              </w:rPr>
            </w:pPr>
          </w:p>
        </w:tc>
        <w:tc>
          <w:tcPr>
            <w:tcW w:w="8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(68.2 )</w:t>
            </w:r>
          </w:p>
        </w:tc>
        <w:tc>
          <w:tcPr>
            <w:tcW w:w="280" w:type="dxa"/>
            <w:vAlign w:val="bottom"/>
            <w:tcBorders>
              <w:bottom w:val="single" w:sz="8" w:color="auto"/>
            </w:tcBorders>
            <w:shd w:val="clear" w:color="auto" w:fill="E5E9F3"/>
          </w:tcPr>
          <w:p>
            <w:pPr>
              <w:spacing w:after="0"/>
              <w:rPr>
                <w:sz w:val="22"/>
                <w:szCs w:val="22"/>
                <w:color w:val="auto"/>
              </w:rPr>
            </w:pPr>
          </w:p>
        </w:tc>
        <w:tc>
          <w:tcPr>
            <w:tcW w:w="8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(74.1 )</w:t>
            </w:r>
          </w:p>
        </w:tc>
        <w:tc>
          <w:tcPr>
            <w:tcW w:w="26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(85.3 )</w:t>
            </w:r>
          </w:p>
        </w:tc>
      </w:tr>
      <w:tr>
        <w:trPr>
          <w:trHeight w:val="257"/>
        </w:trPr>
        <w:tc>
          <w:tcPr>
            <w:tcW w:w="7040" w:type="dxa"/>
            <w:vAlign w:val="bottom"/>
          </w:tcPr>
          <w:p>
            <w:pPr>
              <w:ind w:left="100"/>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Net change in short-term borrowings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(12.8 )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7.2</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Net repayments of revolving debt facility</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(75.0 )</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Proceeds from long-term debt</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421.3</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Repayments of long-term debt</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(1.6 )</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(4.4 )</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(412.2 )</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Payments for debt issuance costs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(2.4 )</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Proceeds from derivative settlement</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Payments of contingent consideration for acquisitions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(2.8 )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(3.8 )</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Proceeds from share-based awards</w:t>
            </w:r>
          </w:p>
        </w:tc>
        <w:tc>
          <w:tcPr>
            <w:tcW w:w="60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0.3</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Payments to noncontrolling interests</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(0.2 )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(0.6 )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(1.1 )</w:t>
            </w:r>
          </w:p>
        </w:tc>
      </w:tr>
      <w:tr>
        <w:trPr>
          <w:trHeight w:val="267"/>
        </w:trPr>
        <w:tc>
          <w:tcPr>
            <w:tcW w:w="7040" w:type="dxa"/>
            <w:vAlign w:val="bottom"/>
          </w:tcPr>
          <w:p>
            <w:pPr>
              <w:ind w:left="100"/>
              <w:spacing w:after="0"/>
              <w:rPr>
                <w:sz w:val="20"/>
                <w:szCs w:val="20"/>
                <w:color w:val="auto"/>
              </w:rPr>
            </w:pPr>
            <w:r>
              <w:rPr>
                <w:rFonts w:ascii="Arial" w:cs="Arial" w:eastAsia="Arial" w:hAnsi="Arial"/>
                <w:sz w:val="18"/>
                <w:szCs w:val="18"/>
                <w:color w:val="auto"/>
              </w:rPr>
              <w:t>Other share-based award transactions</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(10.5 )</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(10.4 )</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Repurchases of common stock</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(140.0 )</w:t>
            </w: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(179.8 )</w:t>
            </w: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(270.0 )</w:t>
            </w:r>
          </w:p>
        </w:tc>
      </w:tr>
      <w:tr>
        <w:trPr>
          <w:trHeight w:val="267"/>
        </w:trPr>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Dividends paid</w:t>
            </w: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(145.8 )</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(144.3 )</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(139.9 )</w:t>
            </w:r>
          </w:p>
        </w:tc>
      </w:tr>
      <w:tr>
        <w:trPr>
          <w:trHeight w:val="257"/>
        </w:trPr>
        <w:tc>
          <w:tcPr>
            <w:tcW w:w="7040" w:type="dxa"/>
            <w:vAlign w:val="bottom"/>
            <w:shd w:val="clear" w:color="auto" w:fill="E5E9F3"/>
          </w:tcPr>
          <w:p>
            <w:pPr>
              <w:ind w:left="700"/>
              <w:spacing w:after="0"/>
              <w:rPr>
                <w:sz w:val="20"/>
                <w:szCs w:val="20"/>
                <w:color w:val="auto"/>
              </w:rPr>
            </w:pPr>
            <w:r>
              <w:rPr>
                <w:rFonts w:ascii="Arial" w:cs="Arial" w:eastAsia="Arial" w:hAnsi="Arial"/>
                <w:sz w:val="18"/>
                <w:szCs w:val="18"/>
                <w:color w:val="auto"/>
              </w:rPr>
              <w:t>Cash used in financing activities</w:t>
            </w:r>
          </w:p>
        </w:tc>
        <w:tc>
          <w:tcPr>
            <w:tcW w:w="600" w:type="dxa"/>
            <w:vAlign w:val="bottom"/>
            <w:shd w:val="clear" w:color="auto" w:fill="E5E9F3"/>
          </w:tcPr>
          <w:p>
            <w:pPr>
              <w:spacing w:after="0"/>
              <w:rPr>
                <w:sz w:val="22"/>
                <w:szCs w:val="22"/>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(282.4 )</w:t>
            </w:r>
          </w:p>
        </w:tc>
        <w:tc>
          <w:tcPr>
            <w:tcW w:w="280" w:type="dxa"/>
            <w:vAlign w:val="bottom"/>
            <w:shd w:val="clear" w:color="auto" w:fill="E5E9F3"/>
          </w:tcPr>
          <w:p>
            <w:pPr>
              <w:spacing w:after="0"/>
              <w:rPr>
                <w:sz w:val="22"/>
                <w:szCs w:val="22"/>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(349.5 )</w:t>
            </w:r>
          </w:p>
        </w:tc>
        <w:tc>
          <w:tcPr>
            <w:tcW w:w="260" w:type="dxa"/>
            <w:vAlign w:val="bottom"/>
            <w:shd w:val="clear" w:color="auto" w:fill="E5E9F3"/>
          </w:tcPr>
          <w:p>
            <w:pPr>
              <w:spacing w:after="0"/>
              <w:rPr>
                <w:sz w:val="22"/>
                <w:szCs w:val="22"/>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(482.1 )</w:t>
            </w:r>
          </w:p>
        </w:tc>
      </w:tr>
      <w:tr>
        <w:trPr>
          <w:trHeight w:val="267"/>
        </w:trPr>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(64.7 )</w:t>
            </w:r>
          </w:p>
        </w:tc>
      </w:tr>
      <w:tr>
        <w:trPr>
          <w:trHeight w:val="25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Change in cash and cash equivalents</w:t>
            </w:r>
          </w:p>
        </w:tc>
        <w:tc>
          <w:tcPr>
            <w:tcW w:w="600" w:type="dxa"/>
            <w:vAlign w:val="bottom"/>
            <w:shd w:val="clear" w:color="auto" w:fill="E5E9F3"/>
          </w:tcPr>
          <w:p>
            <w:pPr>
              <w:spacing w:after="0"/>
              <w:rPr>
                <w:sz w:val="22"/>
                <w:szCs w:val="22"/>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(71.9 )</w:t>
            </w:r>
          </w:p>
        </w:tc>
        <w:tc>
          <w:tcPr>
            <w:tcW w:w="280" w:type="dxa"/>
            <w:vAlign w:val="bottom"/>
            <w:shd w:val="clear" w:color="auto" w:fill="E5E9F3"/>
          </w:tcPr>
          <w:p>
            <w:pPr>
              <w:spacing w:after="0"/>
              <w:rPr>
                <w:sz w:val="22"/>
                <w:szCs w:val="22"/>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(57.7 )</w:t>
            </w:r>
          </w:p>
        </w:tc>
        <w:tc>
          <w:tcPr>
            <w:tcW w:w="260" w:type="dxa"/>
            <w:vAlign w:val="bottom"/>
            <w:shd w:val="clear" w:color="auto" w:fill="E5E9F3"/>
          </w:tcPr>
          <w:p>
            <w:pPr>
              <w:spacing w:after="0"/>
              <w:rPr>
                <w:sz w:val="22"/>
                <w:szCs w:val="22"/>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(208.8 )</w:t>
            </w:r>
          </w:p>
        </w:tc>
      </w:tr>
      <w:tr>
        <w:trPr>
          <w:trHeight w:val="267"/>
        </w:trPr>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beginning of year</w:t>
            </w: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581.3</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639.0</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847.8</w:t>
            </w:r>
          </w:p>
        </w:tc>
      </w:tr>
      <w:tr>
        <w:trPr>
          <w:trHeight w:val="257"/>
        </w:trPr>
        <w:tc>
          <w:tcPr>
            <w:tcW w:w="70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Cash and cash equivalents, end of year</w:t>
            </w:r>
          </w:p>
        </w:tc>
        <w:tc>
          <w:tcPr>
            <w:tcW w:w="6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509.4</w:t>
            </w:r>
          </w:p>
        </w:tc>
        <w:tc>
          <w:tcPr>
            <w:tcW w:w="28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581.3</w:t>
            </w:r>
          </w:p>
        </w:tc>
        <w:tc>
          <w:tcPr>
            <w:tcW w:w="26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639.0</w:t>
            </w:r>
          </w:p>
        </w:tc>
      </w:tr>
      <w:tr>
        <w:trPr>
          <w:trHeight w:val="257"/>
        </w:trPr>
        <w:tc>
          <w:tcPr>
            <w:tcW w:w="7040" w:type="dxa"/>
            <w:vAlign w:val="bottom"/>
          </w:tcPr>
          <w:p>
            <w:pPr>
              <w:ind w:left="100"/>
              <w:spacing w:after="0"/>
              <w:rPr>
                <w:sz w:val="20"/>
                <w:szCs w:val="20"/>
                <w:color w:val="auto"/>
              </w:rPr>
            </w:pPr>
            <w:r>
              <w:rPr>
                <w:rFonts w:ascii="Arial" w:cs="Arial" w:eastAsia="Arial" w:hAnsi="Arial"/>
                <w:sz w:val="18"/>
                <w:szCs w:val="18"/>
                <w:b w:val="1"/>
                <w:bCs w:val="1"/>
                <w:color w:val="auto"/>
              </w:rPr>
              <w:t>Supplemental Cash Flow Information</w:t>
            </w: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Cash paid during the period for:</w:t>
            </w:r>
          </w:p>
        </w:tc>
        <w:tc>
          <w:tcPr>
            <w:tcW w:w="60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28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860" w:type="dxa"/>
            <w:vAlign w:val="bottom"/>
            <w:shd w:val="clear" w:color="auto" w:fill="E5E9F3"/>
          </w:tcPr>
          <w:p>
            <w:pPr>
              <w:spacing w:after="0"/>
              <w:rPr>
                <w:sz w:val="23"/>
                <w:szCs w:val="23"/>
                <w:color w:val="auto"/>
              </w:rPr>
            </w:pPr>
          </w:p>
        </w:tc>
      </w:tr>
      <w:tr>
        <w:trPr>
          <w:trHeight w:val="267"/>
        </w:trPr>
        <w:tc>
          <w:tcPr>
            <w:tcW w:w="7040" w:type="dxa"/>
            <w:vAlign w:val="bottom"/>
          </w:tcPr>
          <w:p>
            <w:pPr>
              <w:ind w:left="300"/>
              <w:spacing w:after="0"/>
              <w:rPr>
                <w:sz w:val="20"/>
                <w:szCs w:val="20"/>
                <w:color w:val="auto"/>
              </w:rPr>
            </w:pPr>
            <w:r>
              <w:rPr>
                <w:rFonts w:ascii="Arial" w:cs="Arial" w:eastAsia="Arial" w:hAnsi="Arial"/>
                <w:sz w:val="18"/>
                <w:szCs w:val="18"/>
                <w:color w:val="auto"/>
              </w:rPr>
              <w:t>Interest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84.9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75.9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38.2</w:t>
            </w:r>
          </w:p>
        </w:tc>
      </w:tr>
      <w:tr>
        <w:trPr>
          <w:trHeight w:val="267"/>
        </w:trPr>
        <w:tc>
          <w:tcPr>
            <w:tcW w:w="70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Income taxes, net</w:t>
            </w:r>
          </w:p>
        </w:tc>
        <w:tc>
          <w:tcPr>
            <w:tcW w:w="6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187.6</w:t>
            </w:r>
          </w:p>
        </w:tc>
        <w:tc>
          <w:tcPr>
            <w:tcW w:w="28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182.2</w:t>
            </w:r>
          </w:p>
        </w:tc>
        <w:tc>
          <w:tcPr>
            <w:tcW w:w="26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201.6</w:t>
            </w:r>
          </w:p>
        </w:tc>
      </w:tr>
      <w:tr>
        <w:trPr>
          <w:trHeight w:val="267"/>
        </w:trPr>
        <w:tc>
          <w:tcPr>
            <w:tcW w:w="70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Operating lease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132.0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127.7</w:t>
            </w:r>
          </w:p>
        </w:tc>
      </w:tr>
      <w:tr>
        <w:trPr>
          <w:trHeight w:val="257"/>
        </w:trPr>
        <w:tc>
          <w:tcPr>
            <w:tcW w:w="70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Non-cash operating activity:</w:t>
            </w:r>
          </w:p>
        </w:tc>
        <w:tc>
          <w:tcPr>
            <w:tcW w:w="60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c>
          <w:tcPr>
            <w:tcW w:w="28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860" w:type="dxa"/>
            <w:vAlign w:val="bottom"/>
            <w:shd w:val="clear" w:color="auto" w:fill="E5E9F3"/>
          </w:tcPr>
          <w:p>
            <w:pPr>
              <w:spacing w:after="0"/>
              <w:rPr>
                <w:sz w:val="22"/>
                <w:szCs w:val="22"/>
                <w:color w:val="auto"/>
              </w:rPr>
            </w:pPr>
          </w:p>
        </w:tc>
      </w:tr>
      <w:tr>
        <w:trPr>
          <w:trHeight w:val="282"/>
        </w:trPr>
        <w:tc>
          <w:tcPr>
            <w:tcW w:w="7040" w:type="dxa"/>
            <w:vAlign w:val="bottom"/>
          </w:tcPr>
          <w:p>
            <w:pPr>
              <w:ind w:left="30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82.2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8580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540pt,-0.4999pt" o:allowincell="f" strokecolor="#000000" strokeweight="0.5pt"/>
            </w:pict>
          </mc:Fallback>
        </mc:AlternateContent>
      </w: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2240" w:h="15840" w:orient="portrait"/>
          <w:cols w:equalWidth="0" w:num="1">
            <w:col w:w="10800"/>
          </w:cols>
          <w:pgMar w:left="720" w:top="734" w:right="720" w:bottom="175"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10800"/>
          </w:cols>
          <w:pgMar w:left="720" w:top="734" w:right="720" w:bottom="175" w:gutter="0" w:footer="0" w:header="0"/>
          <w:type w:val="continuous"/>
        </w:sectPr>
      </w:pPr>
    </w:p>
    <w:bookmarkStart w:id="58" w:name="page59"/>
    <w:bookmarkEnd w:id="58"/>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64" o:spid="_x0000_s108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CONSOLIDATED STATEMENTS OF SHAREHOLDERS’ EQUITY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 millions,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89535</wp:posOffset>
                </wp:positionV>
                <wp:extent cx="6858000" cy="18415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4150"/>
                        </a:xfrm>
                        <a:prstGeom prst="rect">
                          <a:avLst/>
                        </a:prstGeom>
                        <a:solidFill>
                          <a:srgbClr val="97AAD0"/>
                        </a:solidFill>
                      </wps:spPr>
                      <wps:bodyPr/>
                    </wps:wsp>
                  </a:graphicData>
                </a:graphic>
              </wp:anchor>
            </w:drawing>
          </mc:Choice>
          <mc:Fallback>
            <w:pict>
              <v:rect id="Shape 65" o:spid="_x0000_s1090" style="position:absolute;margin-left:0pt;margin-top:7.05pt;width:540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86360</wp:posOffset>
                </wp:positionV>
                <wp:extent cx="68580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pt" to="540pt,6.8pt" o:allowincell="f" strokecolor="#000000" strokeweight="0.5pt"/>
            </w:pict>
          </mc:Fallback>
        </mc:AlternateContent>
      </w:r>
    </w:p>
    <w:p>
      <w:pPr>
        <w:spacing w:after="0" w:line="209"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ManpowerGroup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184340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3405" cy="4763"/>
                        </a:xfrm>
                        <a:prstGeom prst="line">
                          <a:avLst/>
                        </a:prstGeom>
                        <a:solidFill>
                          <a:srgbClr val="FFFFFF"/>
                        </a:solidFill>
                        <a:ln w="29844">
                          <a:solidFill>
                            <a:srgbClr val="97AAD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145.15pt,2.1pt" o:allowincell="f" strokecolor="#97AAD0" strokeweight="2.3499pt"/>
            </w:pict>
          </mc:Fallback>
        </mc:AlternateContent>
        <mc:AlternateContent>
          <mc:Choice Requires="wps">
            <w:drawing>
              <wp:anchor simplePos="0" relativeHeight="251657728" behindDoc="1" locked="0" layoutInCell="0" allowOverlap="1">
                <wp:simplePos x="0" y="0"/>
                <wp:positionH relativeFrom="column">
                  <wp:posOffset>1843405</wp:posOffset>
                </wp:positionH>
                <wp:positionV relativeFrom="paragraph">
                  <wp:posOffset>29845</wp:posOffset>
                </wp:positionV>
                <wp:extent cx="38207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0795" cy="4763"/>
                        </a:xfrm>
                        <a:prstGeom prst="line">
                          <a:avLst/>
                        </a:prstGeom>
                        <a:solidFill>
                          <a:srgbClr val="FFFFFF"/>
                        </a:solidFill>
                        <a:ln w="23494">
                          <a:solidFill>
                            <a:srgbClr val="97AAD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15pt,2.35pt" to="446pt,2.35pt" o:allowincell="f" strokecolor="#97AAD0" strokeweight="1.8499pt"/>
            </w:pict>
          </mc:Fallback>
        </mc:AlternateContent>
        <mc:AlternateContent>
          <mc:Choice Requires="wps">
            <w:drawing>
              <wp:anchor simplePos="0" relativeHeight="251657728" behindDoc="1" locked="0" layoutInCell="0" allowOverlap="1">
                <wp:simplePos x="0" y="0"/>
                <wp:positionH relativeFrom="column">
                  <wp:posOffset>5664200</wp:posOffset>
                </wp:positionH>
                <wp:positionV relativeFrom="paragraph">
                  <wp:posOffset>26670</wp:posOffset>
                </wp:positionV>
                <wp:extent cx="11938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29844">
                          <a:solidFill>
                            <a:srgbClr val="97AAD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pt,2.1pt" to="540pt,2.1pt" o:allowincell="f" strokecolor="#97AAD0" strokeweight="2.3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41910</wp:posOffset>
                </wp:positionV>
                <wp:extent cx="2957830" cy="18415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7830" cy="184150"/>
                        </a:xfrm>
                        <a:prstGeom prst="rect">
                          <a:avLst/>
                        </a:prstGeom>
                        <a:solidFill>
                          <a:srgbClr val="97AAD0"/>
                        </a:solidFill>
                      </wps:spPr>
                      <wps:bodyPr/>
                    </wps:wsp>
                  </a:graphicData>
                </a:graphic>
              </wp:anchor>
            </w:drawing>
          </mc:Choice>
          <mc:Fallback>
            <w:pict>
              <v:rect id="Shape 70" o:spid="_x0000_s1095" style="position:absolute;margin-left:0pt;margin-top:3.3pt;width:232.9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2957830</wp:posOffset>
                </wp:positionH>
                <wp:positionV relativeFrom="paragraph">
                  <wp:posOffset>41910</wp:posOffset>
                </wp:positionV>
                <wp:extent cx="3900170" cy="18415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0170" cy="184150"/>
                        </a:xfrm>
                        <a:prstGeom prst="rect">
                          <a:avLst/>
                        </a:prstGeom>
                        <a:solidFill>
                          <a:srgbClr val="97AAD0"/>
                        </a:solidFill>
                      </wps:spPr>
                      <wps:bodyPr/>
                    </wps:wsp>
                  </a:graphicData>
                </a:graphic>
              </wp:anchor>
            </w:drawing>
          </mc:Choice>
          <mc:Fallback>
            <w:pict>
              <v:rect id="Shape 71" o:spid="_x0000_s1096" style="position:absolute;margin-left:232.9pt;margin-top:3.3pt;width:307.1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1843405</wp:posOffset>
                </wp:positionH>
                <wp:positionV relativeFrom="paragraph">
                  <wp:posOffset>14605</wp:posOffset>
                </wp:positionV>
                <wp:extent cx="38207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0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15pt,1.15pt" to="446pt,1.15pt" o:allowincell="f" strokecolor="#000000" strokeweight="0.5pt"/>
            </w:pict>
          </mc:Fallback>
        </mc:AlternateConten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Common Stock</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00" w:type="dxa"/>
            <w:vAlign w:val="bottom"/>
            <w:tcBorders>
              <w:top w:val="single" w:sz="8" w:color="97AAD0"/>
            </w:tcBorders>
            <w:shd w:val="clear" w:color="auto" w:fill="97AAD0"/>
          </w:tcPr>
          <w:p>
            <w:pPr>
              <w:spacing w:after="0"/>
              <w:rPr>
                <w:sz w:val="17"/>
                <w:szCs w:val="17"/>
                <w:color w:val="auto"/>
              </w:rPr>
            </w:pPr>
          </w:p>
        </w:tc>
        <w:tc>
          <w:tcPr>
            <w:tcW w:w="1160" w:type="dxa"/>
            <w:vAlign w:val="bottom"/>
            <w:tcBorders>
              <w:top w:val="single" w:sz="8" w:color="auto"/>
            </w:tcBorders>
            <w:shd w:val="clear" w:color="auto" w:fill="97AAD0"/>
          </w:tcPr>
          <w:p>
            <w:pPr>
              <w:spacing w:after="0"/>
              <w:rPr>
                <w:sz w:val="17"/>
                <w:szCs w:val="17"/>
                <w:color w:val="auto"/>
              </w:rPr>
            </w:pPr>
          </w:p>
        </w:tc>
        <w:tc>
          <w:tcPr>
            <w:tcW w:w="180" w:type="dxa"/>
            <w:vAlign w:val="bottom"/>
            <w:tcBorders>
              <w:top w:val="single" w:sz="8" w:color="auto"/>
            </w:tcBorders>
            <w:shd w:val="clear" w:color="auto" w:fill="97AAD0"/>
          </w:tcPr>
          <w:p>
            <w:pPr>
              <w:spacing w:after="0"/>
              <w:rPr>
                <w:sz w:val="17"/>
                <w:szCs w:val="17"/>
                <w:color w:val="auto"/>
              </w:rPr>
            </w:pPr>
          </w:p>
        </w:tc>
        <w:tc>
          <w:tcPr>
            <w:tcW w:w="420" w:type="dxa"/>
            <w:vAlign w:val="bottom"/>
            <w:tcBorders>
              <w:top w:val="single" w:sz="8" w:color="auto"/>
            </w:tcBorders>
            <w:shd w:val="clear" w:color="auto" w:fill="97AAD0"/>
          </w:tcPr>
          <w:p>
            <w:pPr>
              <w:spacing w:after="0"/>
              <w:rPr>
                <w:sz w:val="17"/>
                <w:szCs w:val="17"/>
                <w:color w:val="auto"/>
              </w:rPr>
            </w:pPr>
          </w:p>
        </w:tc>
        <w:tc>
          <w:tcPr>
            <w:tcW w:w="60" w:type="dxa"/>
            <w:vAlign w:val="bottom"/>
            <w:tcBorders>
              <w:top w:val="single" w:sz="8" w:color="auto"/>
            </w:tcBorders>
            <w:shd w:val="clear" w:color="auto" w:fill="97AAD0"/>
          </w:tcPr>
          <w:p>
            <w:pPr>
              <w:spacing w:after="0"/>
              <w:rPr>
                <w:sz w:val="17"/>
                <w:szCs w:val="17"/>
                <w:color w:val="auto"/>
              </w:rPr>
            </w:pPr>
          </w:p>
        </w:tc>
        <w:tc>
          <w:tcPr>
            <w:tcW w:w="880" w:type="dxa"/>
            <w:vAlign w:val="bottom"/>
            <w:tcBorders>
              <w:top w:val="single" w:sz="8" w:color="97AAD0"/>
            </w:tcBorders>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Capital in</w:t>
            </w:r>
          </w:p>
        </w:tc>
        <w:tc>
          <w:tcPr>
            <w:tcW w:w="940" w:type="dxa"/>
            <w:vAlign w:val="bottom"/>
            <w:tcBorders>
              <w:top w:val="single" w:sz="8" w:color="97AAD0"/>
            </w:tcBorders>
            <w:shd w:val="clear" w:color="auto" w:fill="97AAD0"/>
          </w:tcPr>
          <w:p>
            <w:pPr>
              <w:spacing w:after="0"/>
              <w:rPr>
                <w:sz w:val="17"/>
                <w:szCs w:val="17"/>
                <w:color w:val="auto"/>
              </w:rPr>
            </w:pPr>
          </w:p>
        </w:tc>
        <w:tc>
          <w:tcPr>
            <w:tcW w:w="100" w:type="dxa"/>
            <w:vAlign w:val="bottom"/>
            <w:tcBorders>
              <w:top w:val="single" w:sz="8" w:color="97AAD0"/>
            </w:tcBorders>
            <w:shd w:val="clear" w:color="auto" w:fill="97AAD0"/>
          </w:tcPr>
          <w:p>
            <w:pPr>
              <w:spacing w:after="0"/>
              <w:rPr>
                <w:sz w:val="17"/>
                <w:szCs w:val="17"/>
                <w:color w:val="auto"/>
              </w:rPr>
            </w:pPr>
          </w:p>
        </w:tc>
        <w:tc>
          <w:tcPr>
            <w:tcW w:w="120" w:type="dxa"/>
            <w:vAlign w:val="bottom"/>
            <w:tcBorders>
              <w:top w:val="single" w:sz="8" w:color="97AAD0"/>
            </w:tcBorders>
            <w:shd w:val="clear" w:color="auto" w:fill="97AAD0"/>
          </w:tcPr>
          <w:p>
            <w:pPr>
              <w:spacing w:after="0"/>
              <w:rPr>
                <w:sz w:val="17"/>
                <w:szCs w:val="17"/>
                <w:color w:val="auto"/>
              </w:rPr>
            </w:pPr>
          </w:p>
        </w:tc>
        <w:tc>
          <w:tcPr>
            <w:tcW w:w="1260" w:type="dxa"/>
            <w:vAlign w:val="bottom"/>
            <w:tcBorders>
              <w:top w:val="single" w:sz="8" w:color="97AAD0"/>
            </w:tcBorders>
            <w:gridSpan w:val="2"/>
            <w:shd w:val="clear" w:color="auto" w:fill="97AAD0"/>
          </w:tcPr>
          <w:p>
            <w:pPr>
              <w:jc w:val="center"/>
              <w:ind w:right="160"/>
              <w:spacing w:after="0"/>
              <w:rPr>
                <w:sz w:val="20"/>
                <w:szCs w:val="20"/>
                <w:color w:val="auto"/>
              </w:rPr>
            </w:pPr>
            <w:r>
              <w:rPr>
                <w:rFonts w:ascii="Arial" w:cs="Arial" w:eastAsia="Arial" w:hAnsi="Arial"/>
                <w:sz w:val="16"/>
                <w:szCs w:val="16"/>
                <w:b w:val="1"/>
                <w:bCs w:val="1"/>
                <w:color w:val="auto"/>
              </w:rPr>
              <w:t>Accumulated</w:t>
            </w:r>
          </w:p>
        </w:tc>
        <w:tc>
          <w:tcPr>
            <w:tcW w:w="920" w:type="dxa"/>
            <w:vAlign w:val="bottom"/>
            <w:tcBorders>
              <w:top w:val="single" w:sz="8" w:color="97AAD0"/>
            </w:tcBorders>
            <w:shd w:val="clear" w:color="auto" w:fill="97AAD0"/>
          </w:tcPr>
          <w:p>
            <w:pPr>
              <w:spacing w:after="0"/>
              <w:rPr>
                <w:sz w:val="17"/>
                <w:szCs w:val="17"/>
                <w:color w:val="auto"/>
              </w:rPr>
            </w:pPr>
          </w:p>
        </w:tc>
        <w:tc>
          <w:tcPr>
            <w:tcW w:w="220" w:type="dxa"/>
            <w:vAlign w:val="bottom"/>
            <w:tcBorders>
              <w:top w:val="single" w:sz="8" w:color="97AAD0"/>
            </w:tcBorders>
            <w:shd w:val="clear" w:color="auto" w:fill="97AAD0"/>
          </w:tcPr>
          <w:p>
            <w:pPr>
              <w:spacing w:after="0"/>
              <w:rPr>
                <w:sz w:val="17"/>
                <w:szCs w:val="17"/>
                <w:color w:val="auto"/>
              </w:rPr>
            </w:pPr>
          </w:p>
        </w:tc>
        <w:tc>
          <w:tcPr>
            <w:tcW w:w="780" w:type="dxa"/>
            <w:vAlign w:val="bottom"/>
            <w:tcBorders>
              <w:top w:val="single" w:sz="8" w:color="97AAD0"/>
            </w:tcBorders>
            <w:vMerge w:val="restart"/>
            <w:shd w:val="clear" w:color="auto" w:fill="97AAD0"/>
          </w:tcPr>
          <w:p>
            <w:pPr>
              <w:jc w:val="center"/>
              <w:ind w:right="211"/>
              <w:spacing w:after="0"/>
              <w:rPr>
                <w:sz w:val="20"/>
                <w:szCs w:val="20"/>
                <w:color w:val="auto"/>
              </w:rPr>
            </w:pPr>
            <w:r>
              <w:rPr>
                <w:rFonts w:ascii="Arial" w:cs="Arial" w:eastAsia="Arial" w:hAnsi="Arial"/>
                <w:sz w:val="16"/>
                <w:szCs w:val="16"/>
                <w:b w:val="1"/>
                <w:bCs w:val="1"/>
                <w:color w:val="auto"/>
                <w:w w:val="98"/>
              </w:rPr>
              <w:t>Non-</w:t>
            </w:r>
          </w:p>
        </w:tc>
        <w:tc>
          <w:tcPr>
            <w:tcW w:w="860" w:type="dxa"/>
            <w:vAlign w:val="bottom"/>
            <w:tcBorders>
              <w:top w:val="single" w:sz="8" w:color="97AAD0"/>
            </w:tcBorders>
            <w:shd w:val="clear" w:color="auto" w:fill="97AAD0"/>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97AAD0"/>
          </w:tcPr>
          <w:p>
            <w:pPr>
              <w:spacing w:after="0"/>
              <w:rPr>
                <w:sz w:val="15"/>
                <w:szCs w:val="15"/>
                <w:color w:val="auto"/>
              </w:rPr>
            </w:pPr>
          </w:p>
        </w:tc>
        <w:tc>
          <w:tcPr>
            <w:tcW w:w="1160" w:type="dxa"/>
            <w:vAlign w:val="bottom"/>
            <w:vMerge w:val="restart"/>
            <w:shd w:val="clear" w:color="auto" w:fill="97AAD0"/>
          </w:tcPr>
          <w:p>
            <w:pPr>
              <w:jc w:val="right"/>
              <w:ind w:right="272"/>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97AAD0"/>
          </w:tcPr>
          <w:p>
            <w:pPr>
              <w:spacing w:after="0"/>
              <w:rPr>
                <w:sz w:val="15"/>
                <w:szCs w:val="15"/>
                <w:color w:val="auto"/>
              </w:rPr>
            </w:pPr>
          </w:p>
        </w:tc>
        <w:tc>
          <w:tcPr>
            <w:tcW w:w="420" w:type="dxa"/>
            <w:vAlign w:val="bottom"/>
            <w:vMerge w:val="restart"/>
            <w:shd w:val="clear" w:color="auto" w:fill="97AAD0"/>
          </w:tcPr>
          <w:p>
            <w:pPr>
              <w:jc w:val="right"/>
              <w:ind w:right="52"/>
              <w:spacing w:after="0"/>
              <w:rPr>
                <w:sz w:val="20"/>
                <w:szCs w:val="20"/>
                <w:color w:val="auto"/>
              </w:rPr>
            </w:pPr>
            <w:r>
              <w:rPr>
                <w:rFonts w:ascii="Arial" w:cs="Arial" w:eastAsia="Arial" w:hAnsi="Arial"/>
                <w:sz w:val="16"/>
                <w:szCs w:val="16"/>
                <w:b w:val="1"/>
                <w:bCs w:val="1"/>
                <w:color w:val="auto"/>
              </w:rPr>
              <w:t>Par</w:t>
            </w:r>
          </w:p>
        </w:tc>
        <w:tc>
          <w:tcPr>
            <w:tcW w:w="60" w:type="dxa"/>
            <w:vAlign w:val="bottom"/>
            <w:shd w:val="clear" w:color="auto" w:fill="97AAD0"/>
          </w:tcPr>
          <w:p>
            <w:pPr>
              <w:spacing w:after="0"/>
              <w:rPr>
                <w:sz w:val="15"/>
                <w:szCs w:val="15"/>
                <w:color w:val="auto"/>
              </w:rPr>
            </w:pPr>
          </w:p>
        </w:tc>
        <w:tc>
          <w:tcPr>
            <w:tcW w:w="880" w:type="dxa"/>
            <w:vAlign w:val="bottom"/>
            <w:vMerge w:val="continue"/>
            <w:shd w:val="clear" w:color="auto" w:fill="97AAD0"/>
          </w:tcPr>
          <w:p>
            <w:pPr>
              <w:spacing w:after="0"/>
              <w:rPr>
                <w:sz w:val="15"/>
                <w:szCs w:val="15"/>
                <w:color w:val="auto"/>
              </w:rPr>
            </w:pPr>
          </w:p>
        </w:tc>
        <w:tc>
          <w:tcPr>
            <w:tcW w:w="1040" w:type="dxa"/>
            <w:vAlign w:val="bottom"/>
            <w:gridSpan w:val="2"/>
            <w:vMerge w:val="restart"/>
            <w:shd w:val="clear" w:color="auto" w:fill="97AAD0"/>
          </w:tcPr>
          <w:p>
            <w:pPr>
              <w:jc w:val="right"/>
              <w:ind w:right="100"/>
              <w:spacing w:after="0"/>
              <w:rPr>
                <w:sz w:val="20"/>
                <w:szCs w:val="20"/>
                <w:color w:val="auto"/>
              </w:rPr>
            </w:pPr>
            <w:r>
              <w:rPr>
                <w:rFonts w:ascii="Arial" w:cs="Arial" w:eastAsia="Arial" w:hAnsi="Arial"/>
                <w:sz w:val="16"/>
                <w:szCs w:val="16"/>
                <w:b w:val="1"/>
                <w:bCs w:val="1"/>
                <w:color w:val="auto"/>
              </w:rPr>
              <w:t>Retained</w:t>
            </w:r>
          </w:p>
        </w:tc>
        <w:tc>
          <w:tcPr>
            <w:tcW w:w="120" w:type="dxa"/>
            <w:vAlign w:val="bottom"/>
            <w:shd w:val="clear" w:color="auto" w:fill="97AAD0"/>
          </w:tcPr>
          <w:p>
            <w:pPr>
              <w:spacing w:after="0"/>
              <w:rPr>
                <w:sz w:val="15"/>
                <w:szCs w:val="15"/>
                <w:color w:val="auto"/>
              </w:rPr>
            </w:pPr>
          </w:p>
        </w:tc>
        <w:tc>
          <w:tcPr>
            <w:tcW w:w="1260" w:type="dxa"/>
            <w:vAlign w:val="bottom"/>
            <w:gridSpan w:val="2"/>
            <w:shd w:val="clear" w:color="auto" w:fill="97AAD0"/>
          </w:tcPr>
          <w:p>
            <w:pPr>
              <w:jc w:val="center"/>
              <w:ind w:right="160"/>
              <w:spacing w:after="0"/>
              <w:rPr>
                <w:sz w:val="20"/>
                <w:szCs w:val="20"/>
                <w:color w:val="auto"/>
              </w:rPr>
            </w:pPr>
            <w:r>
              <w:rPr>
                <w:rFonts w:ascii="Arial" w:cs="Arial" w:eastAsia="Arial" w:hAnsi="Arial"/>
                <w:sz w:val="16"/>
                <w:szCs w:val="16"/>
                <w:b w:val="1"/>
                <w:bCs w:val="1"/>
                <w:color w:val="auto"/>
                <w:w w:val="98"/>
              </w:rPr>
              <w:t>Other</w:t>
            </w:r>
          </w:p>
        </w:tc>
        <w:tc>
          <w:tcPr>
            <w:tcW w:w="920" w:type="dxa"/>
            <w:vAlign w:val="bottom"/>
            <w:vMerge w:val="restart"/>
            <w:shd w:val="clear" w:color="auto" w:fill="97AAD0"/>
          </w:tcPr>
          <w:p>
            <w:pPr>
              <w:jc w:val="right"/>
              <w:ind w:right="93"/>
              <w:spacing w:after="0"/>
              <w:rPr>
                <w:sz w:val="20"/>
                <w:szCs w:val="20"/>
                <w:color w:val="auto"/>
              </w:rPr>
            </w:pPr>
            <w:r>
              <w:rPr>
                <w:rFonts w:ascii="Arial" w:cs="Arial" w:eastAsia="Arial" w:hAnsi="Arial"/>
                <w:sz w:val="16"/>
                <w:szCs w:val="16"/>
                <w:b w:val="1"/>
                <w:bCs w:val="1"/>
                <w:color w:val="auto"/>
              </w:rPr>
              <w:t>Treasury</w:t>
            </w:r>
          </w:p>
        </w:tc>
        <w:tc>
          <w:tcPr>
            <w:tcW w:w="220" w:type="dxa"/>
            <w:vAlign w:val="bottom"/>
            <w:shd w:val="clear" w:color="auto" w:fill="97AAD0"/>
          </w:tcPr>
          <w:p>
            <w:pPr>
              <w:spacing w:after="0"/>
              <w:rPr>
                <w:sz w:val="15"/>
                <w:szCs w:val="15"/>
                <w:color w:val="auto"/>
              </w:rPr>
            </w:pPr>
          </w:p>
        </w:tc>
        <w:tc>
          <w:tcPr>
            <w:tcW w:w="780" w:type="dxa"/>
            <w:vAlign w:val="bottom"/>
            <w:vMerge w:val="continue"/>
            <w:shd w:val="clear" w:color="auto" w:fill="97AAD0"/>
          </w:tcPr>
          <w:p>
            <w:pPr>
              <w:spacing w:after="0"/>
              <w:rPr>
                <w:sz w:val="15"/>
                <w:szCs w:val="15"/>
                <w:color w:val="auto"/>
              </w:rPr>
            </w:pPr>
          </w:p>
        </w:tc>
        <w:tc>
          <w:tcPr>
            <w:tcW w:w="86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shd w:val="clear" w:color="auto" w:fill="97AAD0"/>
          </w:tcPr>
          <w:p>
            <w:pPr>
              <w:spacing w:after="0"/>
              <w:rPr>
                <w:sz w:val="15"/>
                <w:szCs w:val="15"/>
                <w:color w:val="auto"/>
              </w:rPr>
            </w:pPr>
          </w:p>
        </w:tc>
        <w:tc>
          <w:tcPr>
            <w:tcW w:w="1160" w:type="dxa"/>
            <w:vAlign w:val="bottom"/>
            <w:vMerge w:val="continue"/>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420" w:type="dxa"/>
            <w:vAlign w:val="bottom"/>
            <w:vMerge w:val="continue"/>
            <w:shd w:val="clear" w:color="auto" w:fill="97AAD0"/>
          </w:tcPr>
          <w:p>
            <w:pPr>
              <w:spacing w:after="0"/>
              <w:rPr>
                <w:sz w:val="15"/>
                <w:szCs w:val="15"/>
                <w:color w:val="auto"/>
              </w:rPr>
            </w:pPr>
          </w:p>
        </w:tc>
        <w:tc>
          <w:tcPr>
            <w:tcW w:w="60" w:type="dxa"/>
            <w:vAlign w:val="bottom"/>
            <w:shd w:val="clear" w:color="auto" w:fill="97AAD0"/>
          </w:tcPr>
          <w:p>
            <w:pPr>
              <w:spacing w:after="0"/>
              <w:rPr>
                <w:sz w:val="15"/>
                <w:szCs w:val="15"/>
                <w:color w:val="auto"/>
              </w:rPr>
            </w:pPr>
          </w:p>
        </w:tc>
        <w:tc>
          <w:tcPr>
            <w:tcW w:w="880" w:type="dxa"/>
            <w:vAlign w:val="bottom"/>
            <w:shd w:val="clear" w:color="auto" w:fill="97AAD0"/>
          </w:tcPr>
          <w:p>
            <w:pPr>
              <w:ind w:left="100"/>
              <w:spacing w:after="0"/>
              <w:rPr>
                <w:sz w:val="20"/>
                <w:szCs w:val="20"/>
                <w:color w:val="auto"/>
              </w:rPr>
            </w:pPr>
            <w:r>
              <w:rPr>
                <w:rFonts w:ascii="Arial" w:cs="Arial" w:eastAsia="Arial" w:hAnsi="Arial"/>
                <w:sz w:val="16"/>
                <w:szCs w:val="16"/>
                <w:b w:val="1"/>
                <w:bCs w:val="1"/>
                <w:color w:val="auto"/>
              </w:rPr>
              <w:t>Excess of</w:t>
            </w:r>
          </w:p>
        </w:tc>
        <w:tc>
          <w:tcPr>
            <w:tcW w:w="1040" w:type="dxa"/>
            <w:vAlign w:val="bottom"/>
            <w:gridSpan w:val="2"/>
            <w:vMerge w:val="continue"/>
            <w:shd w:val="clear" w:color="auto" w:fill="97AAD0"/>
          </w:tcPr>
          <w:p>
            <w:pPr>
              <w:spacing w:after="0"/>
              <w:rPr>
                <w:sz w:val="15"/>
                <w:szCs w:val="15"/>
                <w:color w:val="auto"/>
              </w:rPr>
            </w:pPr>
          </w:p>
        </w:tc>
        <w:tc>
          <w:tcPr>
            <w:tcW w:w="1380" w:type="dxa"/>
            <w:vAlign w:val="bottom"/>
            <w:gridSpan w:val="3"/>
            <w:shd w:val="clear" w:color="auto" w:fill="97AAD0"/>
          </w:tcPr>
          <w:p>
            <w:pPr>
              <w:ind w:left="40"/>
              <w:spacing w:after="0"/>
              <w:rPr>
                <w:sz w:val="20"/>
                <w:szCs w:val="20"/>
                <w:color w:val="auto"/>
              </w:rPr>
            </w:pPr>
            <w:r>
              <w:rPr>
                <w:rFonts w:ascii="Arial" w:cs="Arial" w:eastAsia="Arial" w:hAnsi="Arial"/>
                <w:sz w:val="16"/>
                <w:szCs w:val="16"/>
                <w:b w:val="1"/>
                <w:bCs w:val="1"/>
                <w:color w:val="auto"/>
              </w:rPr>
              <w:t>Comprehensive</w:t>
            </w:r>
          </w:p>
        </w:tc>
        <w:tc>
          <w:tcPr>
            <w:tcW w:w="920" w:type="dxa"/>
            <w:vAlign w:val="bottom"/>
            <w:vMerge w:val="continue"/>
            <w:shd w:val="clear" w:color="auto" w:fill="97AAD0"/>
          </w:tcPr>
          <w:p>
            <w:pPr>
              <w:spacing w:after="0"/>
              <w:rPr>
                <w:sz w:val="15"/>
                <w:szCs w:val="15"/>
                <w:color w:val="auto"/>
              </w:rPr>
            </w:pPr>
          </w:p>
        </w:tc>
        <w:tc>
          <w:tcPr>
            <w:tcW w:w="100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rPr>
              <w:t>controlling</w:t>
            </w:r>
          </w:p>
        </w:tc>
        <w:tc>
          <w:tcPr>
            <w:tcW w:w="860" w:type="dxa"/>
            <w:vAlign w:val="bottom"/>
            <w:vMerge w:val="restart"/>
            <w:shd w:val="clear" w:color="auto" w:fill="97AAD0"/>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900" w:type="dxa"/>
            <w:vAlign w:val="bottom"/>
            <w:tcBorders>
              <w:bottom w:val="single" w:sz="8" w:color="97AAD0"/>
            </w:tcBorders>
            <w:shd w:val="clear" w:color="auto" w:fill="97AAD0"/>
          </w:tcPr>
          <w:p>
            <w:pPr>
              <w:spacing w:after="0"/>
              <w:rPr>
                <w:sz w:val="20"/>
                <w:szCs w:val="20"/>
                <w:color w:val="auto"/>
              </w:rPr>
            </w:pPr>
          </w:p>
        </w:tc>
        <w:tc>
          <w:tcPr>
            <w:tcW w:w="1160" w:type="dxa"/>
            <w:vAlign w:val="bottom"/>
            <w:tcBorders>
              <w:bottom w:val="single" w:sz="8" w:color="97AAD0"/>
            </w:tcBorders>
            <w:shd w:val="clear" w:color="auto" w:fill="97AAD0"/>
          </w:tcPr>
          <w:p>
            <w:pPr>
              <w:jc w:val="right"/>
              <w:ind w:right="272"/>
              <w:spacing w:after="0"/>
              <w:rPr>
                <w:sz w:val="20"/>
                <w:szCs w:val="20"/>
                <w:color w:val="auto"/>
              </w:rPr>
            </w:pPr>
            <w:r>
              <w:rPr>
                <w:rFonts w:ascii="Arial" w:cs="Arial" w:eastAsia="Arial" w:hAnsi="Arial"/>
                <w:sz w:val="16"/>
                <w:szCs w:val="16"/>
                <w:b w:val="1"/>
                <w:bCs w:val="1"/>
                <w:color w:val="auto"/>
              </w:rPr>
              <w:t>Issued</w:t>
            </w:r>
          </w:p>
        </w:tc>
        <w:tc>
          <w:tcPr>
            <w:tcW w:w="600" w:type="dxa"/>
            <w:vAlign w:val="bottom"/>
            <w:tcBorders>
              <w:bottom w:val="single" w:sz="8" w:color="97AAD0"/>
            </w:tcBorders>
            <w:gridSpan w:val="2"/>
            <w:shd w:val="clear" w:color="auto" w:fill="97AAD0"/>
          </w:tcPr>
          <w:p>
            <w:pPr>
              <w:jc w:val="right"/>
              <w:spacing w:after="0"/>
              <w:rPr>
                <w:sz w:val="20"/>
                <w:szCs w:val="20"/>
                <w:color w:val="auto"/>
              </w:rPr>
            </w:pPr>
            <w:r>
              <w:rPr>
                <w:rFonts w:ascii="Arial" w:cs="Arial" w:eastAsia="Arial" w:hAnsi="Arial"/>
                <w:sz w:val="16"/>
                <w:szCs w:val="16"/>
                <w:b w:val="1"/>
                <w:bCs w:val="1"/>
                <w:color w:val="auto"/>
              </w:rPr>
              <w:t>Value</w:t>
            </w:r>
          </w:p>
        </w:tc>
        <w:tc>
          <w:tcPr>
            <w:tcW w:w="60" w:type="dxa"/>
            <w:vAlign w:val="bottom"/>
            <w:tcBorders>
              <w:bottom w:val="single" w:sz="8" w:color="97AAD0"/>
            </w:tcBorders>
            <w:shd w:val="clear" w:color="auto" w:fill="97AAD0"/>
          </w:tcPr>
          <w:p>
            <w:pPr>
              <w:spacing w:after="0"/>
              <w:rPr>
                <w:sz w:val="20"/>
                <w:szCs w:val="20"/>
                <w:color w:val="auto"/>
              </w:rPr>
            </w:pPr>
          </w:p>
        </w:tc>
        <w:tc>
          <w:tcPr>
            <w:tcW w:w="880" w:type="dxa"/>
            <w:vAlign w:val="bottom"/>
            <w:tcBorders>
              <w:bottom w:val="single" w:sz="8" w:color="97AAD0"/>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Par Value</w:t>
            </w:r>
          </w:p>
        </w:tc>
        <w:tc>
          <w:tcPr>
            <w:tcW w:w="1040" w:type="dxa"/>
            <w:vAlign w:val="bottom"/>
            <w:tcBorders>
              <w:bottom w:val="single" w:sz="8" w:color="97AAD0"/>
            </w:tcBorders>
            <w:gridSpan w:val="2"/>
            <w:shd w:val="clear" w:color="auto" w:fill="97AAD0"/>
          </w:tcPr>
          <w:p>
            <w:pPr>
              <w:jc w:val="right"/>
              <w:ind w:righ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97AAD0"/>
            </w:tcBorders>
            <w:shd w:val="clear" w:color="auto" w:fill="97AAD0"/>
          </w:tcPr>
          <w:p>
            <w:pPr>
              <w:spacing w:after="0"/>
              <w:rPr>
                <w:sz w:val="20"/>
                <w:szCs w:val="20"/>
                <w:color w:val="auto"/>
              </w:rPr>
            </w:pPr>
          </w:p>
        </w:tc>
        <w:tc>
          <w:tcPr>
            <w:tcW w:w="1260" w:type="dxa"/>
            <w:vAlign w:val="bottom"/>
            <w:tcBorders>
              <w:bottom w:val="single" w:sz="8" w:color="97AAD0"/>
            </w:tcBorders>
            <w:gridSpan w:val="2"/>
            <w:shd w:val="clear" w:color="auto" w:fill="97AAD0"/>
          </w:tcPr>
          <w:p>
            <w:pPr>
              <w:jc w:val="center"/>
              <w:ind w:right="160"/>
              <w:spacing w:after="0"/>
              <w:rPr>
                <w:sz w:val="20"/>
                <w:szCs w:val="20"/>
                <w:color w:val="auto"/>
              </w:rPr>
            </w:pPr>
            <w:r>
              <w:rPr>
                <w:rFonts w:ascii="Arial" w:cs="Arial" w:eastAsia="Arial" w:hAnsi="Arial"/>
                <w:sz w:val="16"/>
                <w:szCs w:val="16"/>
                <w:b w:val="1"/>
                <w:bCs w:val="1"/>
                <w:color w:val="auto"/>
              </w:rPr>
              <w:t>Loss</w:t>
            </w:r>
          </w:p>
        </w:tc>
        <w:tc>
          <w:tcPr>
            <w:tcW w:w="920" w:type="dxa"/>
            <w:vAlign w:val="bottom"/>
            <w:tcBorders>
              <w:bottom w:val="single" w:sz="8" w:color="97AAD0"/>
            </w:tcBorders>
            <w:shd w:val="clear" w:color="auto" w:fill="97AAD0"/>
          </w:tcPr>
          <w:p>
            <w:pPr>
              <w:jc w:val="right"/>
              <w:ind w:right="213"/>
              <w:spacing w:after="0"/>
              <w:rPr>
                <w:sz w:val="20"/>
                <w:szCs w:val="20"/>
                <w:color w:val="auto"/>
              </w:rPr>
            </w:pPr>
            <w:r>
              <w:rPr>
                <w:rFonts w:ascii="Arial" w:cs="Arial" w:eastAsia="Arial" w:hAnsi="Arial"/>
                <w:sz w:val="16"/>
                <w:szCs w:val="16"/>
                <w:b w:val="1"/>
                <w:bCs w:val="1"/>
                <w:color w:val="auto"/>
              </w:rPr>
              <w:t>Stock</w:t>
            </w:r>
          </w:p>
        </w:tc>
        <w:tc>
          <w:tcPr>
            <w:tcW w:w="1000" w:type="dxa"/>
            <w:vAlign w:val="bottom"/>
            <w:tcBorders>
              <w:bottom w:val="single" w:sz="8" w:color="97AAD0"/>
            </w:tcBorders>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rPr>
              <w:t>Interests</w:t>
            </w:r>
          </w:p>
        </w:tc>
        <w:tc>
          <w:tcPr>
            <w:tcW w:w="860" w:type="dxa"/>
            <w:vAlign w:val="bottom"/>
            <w:tcBorders>
              <w:bottom w:val="single" w:sz="8" w:color="97AAD0"/>
            </w:tcBorders>
            <w:vMerge w:val="continue"/>
            <w:shd w:val="clear" w:color="auto" w:fill="97AAD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0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Balance, December 31, 2021</w:t>
            </w:r>
          </w:p>
        </w:tc>
        <w:tc>
          <w:tcPr>
            <w:tcW w:w="116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117,762,065</w:t>
            </w:r>
          </w:p>
        </w:tc>
        <w:tc>
          <w:tcPr>
            <w:tcW w:w="18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top w:val="single" w:sz="8" w:color="auto"/>
            </w:tcBorders>
            <w:gridSpan w:val="2"/>
            <w:shd w:val="clear" w:color="auto" w:fill="E5E9F3"/>
          </w:tcPr>
          <w:p>
            <w:pPr>
              <w:jc w:val="right"/>
              <w:spacing w:after="0"/>
              <w:rPr>
                <w:sz w:val="20"/>
                <w:szCs w:val="20"/>
                <w:color w:val="auto"/>
              </w:rPr>
            </w:pPr>
            <w:r>
              <w:rPr>
                <w:rFonts w:ascii="Arial" w:cs="Arial" w:eastAsia="Arial" w:hAnsi="Arial"/>
                <w:sz w:val="18"/>
                <w:szCs w:val="18"/>
                <w:color w:val="auto"/>
              </w:rPr>
              <w:t>$ 3,444.7</w:t>
            </w:r>
          </w:p>
        </w:tc>
        <w:tc>
          <w:tcPr>
            <w:tcW w:w="94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$ 3,634.6</w:t>
            </w:r>
          </w:p>
        </w:tc>
        <w:tc>
          <w:tcPr>
            <w:tcW w:w="100" w:type="dxa"/>
            <w:vAlign w:val="bottom"/>
            <w:tcBorders>
              <w:top w:val="single" w:sz="8" w:color="auto"/>
            </w:tcBorders>
            <w:shd w:val="clear" w:color="auto" w:fill="E5E9F3"/>
          </w:tcPr>
          <w:p>
            <w:pPr>
              <w:spacing w:after="0"/>
              <w:rPr>
                <w:sz w:val="22"/>
                <w:szCs w:val="22"/>
                <w:color w:val="auto"/>
              </w:rPr>
            </w:pPr>
          </w:p>
        </w:tc>
        <w:tc>
          <w:tcPr>
            <w:tcW w:w="120" w:type="dxa"/>
            <w:vAlign w:val="bottom"/>
            <w:tcBorders>
              <w:top w:val="single" w:sz="8" w:color="auto"/>
            </w:tcBorders>
            <w:shd w:val="clear" w:color="auto" w:fill="E5E9F3"/>
          </w:tcPr>
          <w:p>
            <w:pPr>
              <w:ind w:left="40"/>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gridSpan w:val="4"/>
            <w:shd w:val="clear" w:color="auto" w:fill="E5E9F3"/>
          </w:tcPr>
          <w:p>
            <w:pPr>
              <w:jc w:val="right"/>
              <w:spacing w:after="0"/>
              <w:rPr>
                <w:sz w:val="20"/>
                <w:szCs w:val="20"/>
                <w:color w:val="auto"/>
              </w:rPr>
            </w:pPr>
            <w:r>
              <w:rPr>
                <w:rFonts w:ascii="Arial" w:cs="Arial" w:eastAsia="Arial" w:hAnsi="Arial"/>
                <w:sz w:val="18"/>
                <w:szCs w:val="18"/>
                <w:color w:val="auto"/>
              </w:rPr>
              <w:t>(389.4 ) $(4,169.4 ) $</w:t>
            </w:r>
          </w:p>
        </w:tc>
        <w:tc>
          <w:tcPr>
            <w:tcW w:w="780" w:type="dxa"/>
            <w:vAlign w:val="bottom"/>
            <w:tcBorders>
              <w:top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10.0</w:t>
            </w:r>
          </w:p>
        </w:tc>
        <w:tc>
          <w:tcPr>
            <w:tcW w:w="860" w:type="dxa"/>
            <w:vAlign w:val="bottom"/>
            <w:tcBorders>
              <w:top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6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420" w:type="dxa"/>
            <w:vAlign w:val="bottom"/>
            <w:shd w:val="clear" w:color="auto" w:fill="E5E9F3"/>
          </w:tcPr>
          <w:p>
            <w:pPr>
              <w:spacing w:after="0"/>
              <w:rPr>
                <w:sz w:val="23"/>
                <w:szCs w:val="23"/>
                <w:color w:val="auto"/>
              </w:rPr>
            </w:pPr>
          </w:p>
        </w:tc>
        <w:tc>
          <w:tcPr>
            <w:tcW w:w="6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9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E5E9F3"/>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E5E9F3"/>
          </w:tcPr>
          <w:p>
            <w:pPr>
              <w:spacing w:after="0"/>
              <w:rPr>
                <w:sz w:val="23"/>
                <w:szCs w:val="23"/>
                <w:color w:val="auto"/>
              </w:rPr>
            </w:pPr>
          </w:p>
        </w:tc>
        <w:tc>
          <w:tcPr>
            <w:tcW w:w="220" w:type="dxa"/>
            <w:vAlign w:val="bottom"/>
            <w:shd w:val="clear" w:color="auto" w:fill="E5E9F3"/>
          </w:tcPr>
          <w:p>
            <w:pPr>
              <w:spacing w:after="0"/>
              <w:rPr>
                <w:sz w:val="23"/>
                <w:szCs w:val="23"/>
                <w:color w:val="auto"/>
              </w:rPr>
            </w:pPr>
          </w:p>
        </w:tc>
        <w:tc>
          <w:tcPr>
            <w:tcW w:w="78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Issuances under equity plans</w:t>
            </w:r>
          </w:p>
        </w:tc>
        <w:tc>
          <w:tcPr>
            <w:tcW w:w="1160" w:type="dxa"/>
            <w:vAlign w:val="bottom"/>
          </w:tcPr>
          <w:p>
            <w:pPr>
              <w:jc w:val="right"/>
              <w:spacing w:after="0"/>
              <w:rPr>
                <w:sz w:val="20"/>
                <w:szCs w:val="20"/>
                <w:color w:val="auto"/>
              </w:rPr>
            </w:pPr>
            <w:r>
              <w:rPr>
                <w:rFonts w:ascii="Arial" w:cs="Arial" w:eastAsia="Arial" w:hAnsi="Arial"/>
                <w:sz w:val="18"/>
                <w:szCs w:val="18"/>
                <w:color w:val="auto"/>
              </w:rPr>
              <w:t>265,944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(8.5 )</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3"/>
        </w:trPr>
        <w:tc>
          <w:tcPr>
            <w:tcW w:w="2900" w:type="dxa"/>
            <w:vAlign w:val="bottom"/>
            <w:shd w:val="clear" w:color="auto" w:fill="E5E9F3"/>
          </w:tcPr>
          <w:p>
            <w:pPr>
              <w:ind w:left="200"/>
              <w:spacing w:after="0" w:line="203" w:lineRule="exact"/>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E5E9F3"/>
          </w:tcPr>
          <w:p>
            <w:pPr>
              <w:spacing w:after="0"/>
              <w:rPr>
                <w:sz w:val="17"/>
                <w:szCs w:val="17"/>
                <w:color w:val="auto"/>
              </w:rPr>
            </w:pPr>
          </w:p>
        </w:tc>
        <w:tc>
          <w:tcPr>
            <w:tcW w:w="180" w:type="dxa"/>
            <w:vAlign w:val="bottom"/>
            <w:shd w:val="clear" w:color="auto" w:fill="E5E9F3"/>
          </w:tcPr>
          <w:p>
            <w:pPr>
              <w:spacing w:after="0"/>
              <w:rPr>
                <w:sz w:val="17"/>
                <w:szCs w:val="17"/>
                <w:color w:val="auto"/>
              </w:rPr>
            </w:pPr>
          </w:p>
        </w:tc>
        <w:tc>
          <w:tcPr>
            <w:tcW w:w="420" w:type="dxa"/>
            <w:vAlign w:val="bottom"/>
            <w:shd w:val="clear" w:color="auto" w:fill="E5E9F3"/>
          </w:tcPr>
          <w:p>
            <w:pPr>
              <w:spacing w:after="0"/>
              <w:rPr>
                <w:sz w:val="17"/>
                <w:szCs w:val="17"/>
                <w:color w:val="auto"/>
              </w:rPr>
            </w:pPr>
          </w:p>
        </w:tc>
        <w:tc>
          <w:tcPr>
            <w:tcW w:w="940" w:type="dxa"/>
            <w:vAlign w:val="bottom"/>
            <w:gridSpan w:val="2"/>
            <w:vMerge w:val="restart"/>
            <w:shd w:val="clear" w:color="auto" w:fill="E5E9F3"/>
          </w:tcPr>
          <w:p>
            <w:pPr>
              <w:jc w:val="right"/>
              <w:spacing w:after="0"/>
              <w:rPr>
                <w:sz w:val="20"/>
                <w:szCs w:val="20"/>
                <w:color w:val="auto"/>
              </w:rPr>
            </w:pPr>
            <w:r>
              <w:rPr>
                <w:rFonts w:ascii="Arial" w:cs="Arial" w:eastAsia="Arial" w:hAnsi="Arial"/>
                <w:sz w:val="18"/>
                <w:szCs w:val="18"/>
                <w:color w:val="auto"/>
              </w:rPr>
              <w:t>37.6</w:t>
            </w:r>
          </w:p>
        </w:tc>
        <w:tc>
          <w:tcPr>
            <w:tcW w:w="940" w:type="dxa"/>
            <w:vAlign w:val="bottom"/>
            <w:shd w:val="clear" w:color="auto" w:fill="E5E9F3"/>
          </w:tcPr>
          <w:p>
            <w:pPr>
              <w:spacing w:after="0"/>
              <w:rPr>
                <w:sz w:val="17"/>
                <w:szCs w:val="17"/>
                <w:color w:val="auto"/>
              </w:rPr>
            </w:pPr>
          </w:p>
        </w:tc>
        <w:tc>
          <w:tcPr>
            <w:tcW w:w="10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92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860" w:type="dxa"/>
            <w:vAlign w:val="bottom"/>
            <w:vMerge w:val="restart"/>
            <w:shd w:val="clear" w:color="auto" w:fill="E5E9F3"/>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expense</w:t>
            </w:r>
          </w:p>
        </w:tc>
        <w:tc>
          <w:tcPr>
            <w:tcW w:w="1160" w:type="dxa"/>
            <w:vAlign w:val="bottom"/>
            <w:shd w:val="clear" w:color="auto" w:fill="E5E9F3"/>
          </w:tcPr>
          <w:p>
            <w:pPr>
              <w:spacing w:after="0"/>
              <w:rPr>
                <w:sz w:val="19"/>
                <w:szCs w:val="19"/>
                <w:color w:val="auto"/>
              </w:rPr>
            </w:pPr>
          </w:p>
        </w:tc>
        <w:tc>
          <w:tcPr>
            <w:tcW w:w="180" w:type="dxa"/>
            <w:vAlign w:val="bottom"/>
            <w:shd w:val="clear" w:color="auto" w:fill="E5E9F3"/>
          </w:tcPr>
          <w:p>
            <w:pPr>
              <w:spacing w:after="0"/>
              <w:rPr>
                <w:sz w:val="19"/>
                <w:szCs w:val="19"/>
                <w:color w:val="auto"/>
              </w:rPr>
            </w:pPr>
          </w:p>
        </w:tc>
        <w:tc>
          <w:tcPr>
            <w:tcW w:w="420" w:type="dxa"/>
            <w:vAlign w:val="bottom"/>
            <w:shd w:val="clear" w:color="auto" w:fill="E5E9F3"/>
          </w:tcPr>
          <w:p>
            <w:pPr>
              <w:spacing w:after="0"/>
              <w:rPr>
                <w:sz w:val="19"/>
                <w:szCs w:val="19"/>
                <w:color w:val="auto"/>
              </w:rPr>
            </w:pPr>
          </w:p>
        </w:tc>
        <w:tc>
          <w:tcPr>
            <w:tcW w:w="940" w:type="dxa"/>
            <w:vAlign w:val="bottom"/>
            <w:gridSpan w:val="2"/>
            <w:vMerge w:val="continue"/>
            <w:shd w:val="clear" w:color="auto" w:fill="E5E9F3"/>
          </w:tcPr>
          <w:p>
            <w:pPr>
              <w:spacing w:after="0"/>
              <w:rPr>
                <w:sz w:val="19"/>
                <w:szCs w:val="19"/>
                <w:color w:val="auto"/>
              </w:rPr>
            </w:pPr>
          </w:p>
        </w:tc>
        <w:tc>
          <w:tcPr>
            <w:tcW w:w="940" w:type="dxa"/>
            <w:vAlign w:val="bottom"/>
            <w:shd w:val="clear" w:color="auto" w:fill="E5E9F3"/>
          </w:tcPr>
          <w:p>
            <w:pPr>
              <w:spacing w:after="0"/>
              <w:rPr>
                <w:sz w:val="19"/>
                <w:szCs w:val="19"/>
                <w:color w:val="auto"/>
              </w:rPr>
            </w:pPr>
          </w:p>
        </w:tc>
        <w:tc>
          <w:tcPr>
            <w:tcW w:w="10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114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920" w:type="dxa"/>
            <w:vAlign w:val="bottom"/>
            <w:shd w:val="clear" w:color="auto" w:fill="E5E9F3"/>
          </w:tcPr>
          <w:p>
            <w:pPr>
              <w:spacing w:after="0"/>
              <w:rPr>
                <w:sz w:val="19"/>
                <w:szCs w:val="19"/>
                <w:color w:val="auto"/>
              </w:rPr>
            </w:pPr>
          </w:p>
        </w:tc>
        <w:tc>
          <w:tcPr>
            <w:tcW w:w="220" w:type="dxa"/>
            <w:vAlign w:val="bottom"/>
            <w:shd w:val="clear" w:color="auto" w:fill="E5E9F3"/>
          </w:tcPr>
          <w:p>
            <w:pPr>
              <w:spacing w:after="0"/>
              <w:rPr>
                <w:sz w:val="19"/>
                <w:szCs w:val="19"/>
                <w:color w:val="auto"/>
              </w:rPr>
            </w:pPr>
          </w:p>
        </w:tc>
        <w:tc>
          <w:tcPr>
            <w:tcW w:w="780" w:type="dxa"/>
            <w:vAlign w:val="bottom"/>
            <w:shd w:val="clear" w:color="auto" w:fill="E5E9F3"/>
          </w:tcPr>
          <w:p>
            <w:pPr>
              <w:spacing w:after="0"/>
              <w:rPr>
                <w:sz w:val="19"/>
                <w:szCs w:val="19"/>
                <w:color w:val="auto"/>
              </w:rPr>
            </w:pPr>
          </w:p>
        </w:tc>
        <w:tc>
          <w:tcPr>
            <w:tcW w:w="860" w:type="dxa"/>
            <w:vAlign w:val="bottom"/>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Dividends ($2.72 per share)</w:t>
            </w: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(139.9 )</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(139.9 )</w:t>
            </w:r>
          </w:p>
        </w:tc>
        <w:tc>
          <w:tcPr>
            <w:tcW w:w="0" w:type="dxa"/>
            <w:vAlign w:val="bottom"/>
          </w:tcPr>
          <w:p>
            <w:pPr>
              <w:spacing w:after="0"/>
              <w:rPr>
                <w:sz w:val="1"/>
                <w:szCs w:val="1"/>
                <w:color w:val="auto"/>
              </w:rPr>
            </w:pPr>
          </w:p>
        </w:tc>
      </w:tr>
      <w:tr>
        <w:trPr>
          <w:trHeight w:val="26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Repurchases of common stock</w:t>
            </w:r>
          </w:p>
        </w:tc>
        <w:tc>
          <w:tcPr>
            <w:tcW w:w="116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420" w:type="dxa"/>
            <w:vAlign w:val="bottom"/>
            <w:shd w:val="clear" w:color="auto" w:fill="E5E9F3"/>
          </w:tcPr>
          <w:p>
            <w:pPr>
              <w:spacing w:after="0"/>
              <w:rPr>
                <w:sz w:val="23"/>
                <w:szCs w:val="23"/>
                <w:color w:val="auto"/>
              </w:rPr>
            </w:pPr>
          </w:p>
        </w:tc>
        <w:tc>
          <w:tcPr>
            <w:tcW w:w="6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9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9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(270.0 )</w:t>
            </w:r>
          </w:p>
        </w:tc>
        <w:tc>
          <w:tcPr>
            <w:tcW w:w="220" w:type="dxa"/>
            <w:vAlign w:val="bottom"/>
            <w:shd w:val="clear" w:color="auto" w:fill="E5E9F3"/>
          </w:tcPr>
          <w:p>
            <w:pPr>
              <w:spacing w:after="0"/>
              <w:rPr>
                <w:sz w:val="23"/>
                <w:szCs w:val="23"/>
                <w:color w:val="auto"/>
              </w:rPr>
            </w:pPr>
          </w:p>
        </w:tc>
        <w:tc>
          <w:tcPr>
            <w:tcW w:w="78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(270.0 )</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line="203" w:lineRule="exact"/>
              <w:rPr>
                <w:sz w:val="20"/>
                <w:szCs w:val="20"/>
                <w:color w:val="auto"/>
              </w:rPr>
            </w:pPr>
            <w:r>
              <w:rPr>
                <w:rFonts w:ascii="Arial" w:cs="Arial" w:eastAsia="Arial" w:hAnsi="Arial"/>
                <w:sz w:val="18"/>
                <w:szCs w:val="18"/>
                <w:color w:val="auto"/>
              </w:rPr>
              <w:t>Noncontrolling interest</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0.8</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2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transactions</w:t>
            </w: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Balance, December 31, 2022</w:t>
            </w:r>
          </w:p>
        </w:tc>
        <w:tc>
          <w:tcPr>
            <w:tcW w:w="11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118,028,009</w:t>
            </w:r>
          </w:p>
        </w:tc>
        <w:tc>
          <w:tcPr>
            <w:tcW w:w="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gridSpan w:val="2"/>
            <w:shd w:val="clear" w:color="auto" w:fill="E5E9F3"/>
          </w:tcPr>
          <w:p>
            <w:pPr>
              <w:jc w:val="right"/>
              <w:spacing w:after="0"/>
              <w:rPr>
                <w:sz w:val="20"/>
                <w:szCs w:val="20"/>
                <w:color w:val="auto"/>
              </w:rPr>
            </w:pPr>
            <w:r>
              <w:rPr>
                <w:rFonts w:ascii="Arial" w:cs="Arial" w:eastAsia="Arial" w:hAnsi="Arial"/>
                <w:sz w:val="18"/>
                <w:szCs w:val="18"/>
                <w:color w:val="auto"/>
              </w:rPr>
              <w:t>$ 3,484.2</w:t>
            </w:r>
          </w:p>
        </w:tc>
        <w:tc>
          <w:tcPr>
            <w:tcW w:w="9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$ 3,868.5</w:t>
            </w:r>
          </w:p>
        </w:tc>
        <w:tc>
          <w:tcPr>
            <w:tcW w:w="100" w:type="dxa"/>
            <w:vAlign w:val="bottom"/>
            <w:tcBorders>
              <w:bottom w:val="single" w:sz="8" w:color="auto"/>
            </w:tcBorders>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ind w:left="40"/>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gridSpan w:val="4"/>
            <w:shd w:val="clear" w:color="auto" w:fill="E5E9F3"/>
          </w:tcPr>
          <w:p>
            <w:pPr>
              <w:jc w:val="right"/>
              <w:spacing w:after="0"/>
              <w:rPr>
                <w:sz w:val="20"/>
                <w:szCs w:val="20"/>
                <w:color w:val="auto"/>
              </w:rPr>
            </w:pPr>
            <w:r>
              <w:rPr>
                <w:rFonts w:ascii="Arial" w:cs="Arial" w:eastAsia="Arial" w:hAnsi="Arial"/>
                <w:sz w:val="18"/>
                <w:szCs w:val="18"/>
                <w:color w:val="auto"/>
              </w:rPr>
              <w:t>(458.7 ) $(4,447.9 ) $</w:t>
            </w:r>
          </w:p>
        </w:tc>
        <w:tc>
          <w:tcPr>
            <w:tcW w:w="78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$2,458.1</w:t>
            </w:r>
          </w:p>
        </w:tc>
        <w:tc>
          <w:tcPr>
            <w:tcW w:w="0" w:type="dxa"/>
            <w:vAlign w:val="bottom"/>
          </w:tcPr>
          <w:p>
            <w:pPr>
              <w:spacing w:after="0"/>
              <w:rPr>
                <w:sz w:val="1"/>
                <w:szCs w:val="1"/>
                <w:color w:val="auto"/>
              </w:rPr>
            </w:pPr>
          </w:p>
        </w:tc>
      </w:tr>
      <w:tr>
        <w:trPr>
          <w:trHeight w:val="257"/>
        </w:trPr>
        <w:tc>
          <w:tcPr>
            <w:tcW w:w="290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6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420" w:type="dxa"/>
            <w:vAlign w:val="bottom"/>
            <w:shd w:val="clear" w:color="auto" w:fill="E5E9F3"/>
          </w:tcPr>
          <w:p>
            <w:pPr>
              <w:spacing w:after="0"/>
              <w:rPr>
                <w:sz w:val="23"/>
                <w:szCs w:val="23"/>
                <w:color w:val="auto"/>
              </w:rPr>
            </w:pPr>
          </w:p>
        </w:tc>
        <w:tc>
          <w:tcPr>
            <w:tcW w:w="6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9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E5E9F3"/>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E5E9F3"/>
          </w:tcPr>
          <w:p>
            <w:pPr>
              <w:spacing w:after="0"/>
              <w:rPr>
                <w:sz w:val="23"/>
                <w:szCs w:val="23"/>
                <w:color w:val="auto"/>
              </w:rPr>
            </w:pPr>
          </w:p>
        </w:tc>
        <w:tc>
          <w:tcPr>
            <w:tcW w:w="220" w:type="dxa"/>
            <w:vAlign w:val="bottom"/>
            <w:shd w:val="clear" w:color="auto" w:fill="E5E9F3"/>
          </w:tcPr>
          <w:p>
            <w:pPr>
              <w:spacing w:after="0"/>
              <w:rPr>
                <w:sz w:val="23"/>
                <w:szCs w:val="23"/>
                <w:color w:val="auto"/>
              </w:rPr>
            </w:pPr>
          </w:p>
        </w:tc>
        <w:tc>
          <w:tcPr>
            <w:tcW w:w="78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Issuances under equity plans</w:t>
            </w:r>
          </w:p>
        </w:tc>
        <w:tc>
          <w:tcPr>
            <w:tcW w:w="1160" w:type="dxa"/>
            <w:vAlign w:val="bottom"/>
          </w:tcPr>
          <w:p>
            <w:pPr>
              <w:jc w:val="right"/>
              <w:spacing w:after="0"/>
              <w:rPr>
                <w:sz w:val="20"/>
                <w:szCs w:val="20"/>
                <w:color w:val="auto"/>
              </w:rPr>
            </w:pPr>
            <w:r>
              <w:rPr>
                <w:rFonts w:ascii="Arial" w:cs="Arial" w:eastAsia="Arial" w:hAnsi="Arial"/>
                <w:sz w:val="18"/>
                <w:szCs w:val="18"/>
                <w:color w:val="auto"/>
              </w:rPr>
              <w:t>359,632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3"/>
        </w:trPr>
        <w:tc>
          <w:tcPr>
            <w:tcW w:w="2900" w:type="dxa"/>
            <w:vAlign w:val="bottom"/>
            <w:shd w:val="clear" w:color="auto" w:fill="E5E9F3"/>
          </w:tcPr>
          <w:p>
            <w:pPr>
              <w:ind w:left="200"/>
              <w:spacing w:after="0" w:line="203" w:lineRule="exact"/>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E5E9F3"/>
          </w:tcPr>
          <w:p>
            <w:pPr>
              <w:spacing w:after="0"/>
              <w:rPr>
                <w:sz w:val="17"/>
                <w:szCs w:val="17"/>
                <w:color w:val="auto"/>
              </w:rPr>
            </w:pPr>
          </w:p>
        </w:tc>
        <w:tc>
          <w:tcPr>
            <w:tcW w:w="180" w:type="dxa"/>
            <w:vAlign w:val="bottom"/>
            <w:shd w:val="clear" w:color="auto" w:fill="E5E9F3"/>
          </w:tcPr>
          <w:p>
            <w:pPr>
              <w:spacing w:after="0"/>
              <w:rPr>
                <w:sz w:val="17"/>
                <w:szCs w:val="17"/>
                <w:color w:val="auto"/>
              </w:rPr>
            </w:pPr>
          </w:p>
        </w:tc>
        <w:tc>
          <w:tcPr>
            <w:tcW w:w="420" w:type="dxa"/>
            <w:vAlign w:val="bottom"/>
            <w:shd w:val="clear" w:color="auto" w:fill="E5E9F3"/>
          </w:tcPr>
          <w:p>
            <w:pPr>
              <w:spacing w:after="0"/>
              <w:rPr>
                <w:sz w:val="17"/>
                <w:szCs w:val="17"/>
                <w:color w:val="auto"/>
              </w:rPr>
            </w:pPr>
          </w:p>
        </w:tc>
        <w:tc>
          <w:tcPr>
            <w:tcW w:w="940" w:type="dxa"/>
            <w:vAlign w:val="bottom"/>
            <w:gridSpan w:val="2"/>
            <w:vMerge w:val="restart"/>
            <w:shd w:val="clear" w:color="auto" w:fill="E5E9F3"/>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E5E9F3"/>
          </w:tcPr>
          <w:p>
            <w:pPr>
              <w:spacing w:after="0"/>
              <w:rPr>
                <w:sz w:val="17"/>
                <w:szCs w:val="17"/>
                <w:color w:val="auto"/>
              </w:rPr>
            </w:pPr>
          </w:p>
        </w:tc>
        <w:tc>
          <w:tcPr>
            <w:tcW w:w="10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92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860" w:type="dxa"/>
            <w:vAlign w:val="bottom"/>
            <w:vMerge w:val="restart"/>
            <w:shd w:val="clear" w:color="auto" w:fill="E5E9F3"/>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5"/>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expense</w:t>
            </w:r>
          </w:p>
        </w:tc>
        <w:tc>
          <w:tcPr>
            <w:tcW w:w="1160" w:type="dxa"/>
            <w:vAlign w:val="bottom"/>
            <w:shd w:val="clear" w:color="auto" w:fill="E5E9F3"/>
          </w:tcPr>
          <w:p>
            <w:pPr>
              <w:spacing w:after="0"/>
              <w:rPr>
                <w:sz w:val="19"/>
                <w:szCs w:val="19"/>
                <w:color w:val="auto"/>
              </w:rPr>
            </w:pPr>
          </w:p>
        </w:tc>
        <w:tc>
          <w:tcPr>
            <w:tcW w:w="180" w:type="dxa"/>
            <w:vAlign w:val="bottom"/>
            <w:shd w:val="clear" w:color="auto" w:fill="E5E9F3"/>
          </w:tcPr>
          <w:p>
            <w:pPr>
              <w:spacing w:after="0"/>
              <w:rPr>
                <w:sz w:val="19"/>
                <w:szCs w:val="19"/>
                <w:color w:val="auto"/>
              </w:rPr>
            </w:pPr>
          </w:p>
        </w:tc>
        <w:tc>
          <w:tcPr>
            <w:tcW w:w="420" w:type="dxa"/>
            <w:vAlign w:val="bottom"/>
            <w:shd w:val="clear" w:color="auto" w:fill="E5E9F3"/>
          </w:tcPr>
          <w:p>
            <w:pPr>
              <w:spacing w:after="0"/>
              <w:rPr>
                <w:sz w:val="19"/>
                <w:szCs w:val="19"/>
                <w:color w:val="auto"/>
              </w:rPr>
            </w:pPr>
          </w:p>
        </w:tc>
        <w:tc>
          <w:tcPr>
            <w:tcW w:w="940" w:type="dxa"/>
            <w:vAlign w:val="bottom"/>
            <w:gridSpan w:val="2"/>
            <w:vMerge w:val="continue"/>
            <w:shd w:val="clear" w:color="auto" w:fill="E5E9F3"/>
          </w:tcPr>
          <w:p>
            <w:pPr>
              <w:spacing w:after="0"/>
              <w:rPr>
                <w:sz w:val="19"/>
                <w:szCs w:val="19"/>
                <w:color w:val="auto"/>
              </w:rPr>
            </w:pPr>
          </w:p>
        </w:tc>
        <w:tc>
          <w:tcPr>
            <w:tcW w:w="940" w:type="dxa"/>
            <w:vAlign w:val="bottom"/>
            <w:shd w:val="clear" w:color="auto" w:fill="E5E9F3"/>
          </w:tcPr>
          <w:p>
            <w:pPr>
              <w:spacing w:after="0"/>
              <w:rPr>
                <w:sz w:val="19"/>
                <w:szCs w:val="19"/>
                <w:color w:val="auto"/>
              </w:rPr>
            </w:pPr>
          </w:p>
        </w:tc>
        <w:tc>
          <w:tcPr>
            <w:tcW w:w="10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114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920" w:type="dxa"/>
            <w:vAlign w:val="bottom"/>
            <w:shd w:val="clear" w:color="auto" w:fill="E5E9F3"/>
          </w:tcPr>
          <w:p>
            <w:pPr>
              <w:spacing w:after="0"/>
              <w:rPr>
                <w:sz w:val="19"/>
                <w:szCs w:val="19"/>
                <w:color w:val="auto"/>
              </w:rPr>
            </w:pPr>
          </w:p>
        </w:tc>
        <w:tc>
          <w:tcPr>
            <w:tcW w:w="220" w:type="dxa"/>
            <w:vAlign w:val="bottom"/>
            <w:shd w:val="clear" w:color="auto" w:fill="E5E9F3"/>
          </w:tcPr>
          <w:p>
            <w:pPr>
              <w:spacing w:after="0"/>
              <w:rPr>
                <w:sz w:val="19"/>
                <w:szCs w:val="19"/>
                <w:color w:val="auto"/>
              </w:rPr>
            </w:pPr>
          </w:p>
        </w:tc>
        <w:tc>
          <w:tcPr>
            <w:tcW w:w="780" w:type="dxa"/>
            <w:vAlign w:val="bottom"/>
            <w:shd w:val="clear" w:color="auto" w:fill="E5E9F3"/>
          </w:tcPr>
          <w:p>
            <w:pPr>
              <w:spacing w:after="0"/>
              <w:rPr>
                <w:sz w:val="19"/>
                <w:szCs w:val="19"/>
                <w:color w:val="auto"/>
              </w:rPr>
            </w:pPr>
          </w:p>
        </w:tc>
        <w:tc>
          <w:tcPr>
            <w:tcW w:w="860" w:type="dxa"/>
            <w:vAlign w:val="bottom"/>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Dividends ($2.94 per share)</w:t>
            </w: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(144.3 )</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(144.3 )</w:t>
            </w:r>
          </w:p>
        </w:tc>
        <w:tc>
          <w:tcPr>
            <w:tcW w:w="0" w:type="dxa"/>
            <w:vAlign w:val="bottom"/>
          </w:tcPr>
          <w:p>
            <w:pPr>
              <w:spacing w:after="0"/>
              <w:rPr>
                <w:sz w:val="1"/>
                <w:szCs w:val="1"/>
                <w:color w:val="auto"/>
              </w:rPr>
            </w:pPr>
          </w:p>
        </w:tc>
      </w:tr>
      <w:tr>
        <w:trPr>
          <w:trHeight w:val="203"/>
        </w:trPr>
        <w:tc>
          <w:tcPr>
            <w:tcW w:w="2900" w:type="dxa"/>
            <w:vAlign w:val="bottom"/>
            <w:shd w:val="clear" w:color="auto" w:fill="E5E9F3"/>
          </w:tcPr>
          <w:p>
            <w:pPr>
              <w:ind w:left="200"/>
              <w:spacing w:after="0" w:line="203" w:lineRule="exact"/>
              <w:rPr>
                <w:sz w:val="20"/>
                <w:szCs w:val="20"/>
                <w:color w:val="auto"/>
              </w:rPr>
            </w:pPr>
            <w:r>
              <w:rPr>
                <w:rFonts w:ascii="Arial" w:cs="Arial" w:eastAsia="Arial" w:hAnsi="Arial"/>
                <w:sz w:val="18"/>
                <w:szCs w:val="18"/>
                <w:color w:val="auto"/>
              </w:rPr>
              <w:t>Repurchases of common stock,</w:t>
            </w:r>
          </w:p>
        </w:tc>
        <w:tc>
          <w:tcPr>
            <w:tcW w:w="1160" w:type="dxa"/>
            <w:vAlign w:val="bottom"/>
            <w:shd w:val="clear" w:color="auto" w:fill="E5E9F3"/>
          </w:tcPr>
          <w:p>
            <w:pPr>
              <w:spacing w:after="0"/>
              <w:rPr>
                <w:sz w:val="17"/>
                <w:szCs w:val="17"/>
                <w:color w:val="auto"/>
              </w:rPr>
            </w:pPr>
          </w:p>
        </w:tc>
        <w:tc>
          <w:tcPr>
            <w:tcW w:w="180" w:type="dxa"/>
            <w:vAlign w:val="bottom"/>
            <w:shd w:val="clear" w:color="auto" w:fill="E5E9F3"/>
          </w:tcPr>
          <w:p>
            <w:pPr>
              <w:spacing w:after="0"/>
              <w:rPr>
                <w:sz w:val="17"/>
                <w:szCs w:val="17"/>
                <w:color w:val="auto"/>
              </w:rPr>
            </w:pPr>
          </w:p>
        </w:tc>
        <w:tc>
          <w:tcPr>
            <w:tcW w:w="420" w:type="dxa"/>
            <w:vAlign w:val="bottom"/>
            <w:shd w:val="clear" w:color="auto" w:fill="E5E9F3"/>
          </w:tcPr>
          <w:p>
            <w:pPr>
              <w:spacing w:after="0"/>
              <w:rPr>
                <w:sz w:val="17"/>
                <w:szCs w:val="17"/>
                <w:color w:val="auto"/>
              </w:rPr>
            </w:pPr>
          </w:p>
        </w:tc>
        <w:tc>
          <w:tcPr>
            <w:tcW w:w="60" w:type="dxa"/>
            <w:vAlign w:val="bottom"/>
            <w:shd w:val="clear" w:color="auto" w:fill="E5E9F3"/>
          </w:tcPr>
          <w:p>
            <w:pPr>
              <w:spacing w:after="0"/>
              <w:rPr>
                <w:sz w:val="17"/>
                <w:szCs w:val="17"/>
                <w:color w:val="auto"/>
              </w:rPr>
            </w:pPr>
          </w:p>
        </w:tc>
        <w:tc>
          <w:tcPr>
            <w:tcW w:w="880" w:type="dxa"/>
            <w:vAlign w:val="bottom"/>
            <w:shd w:val="clear" w:color="auto" w:fill="E5E9F3"/>
          </w:tcPr>
          <w:p>
            <w:pPr>
              <w:spacing w:after="0"/>
              <w:rPr>
                <w:sz w:val="17"/>
                <w:szCs w:val="17"/>
                <w:color w:val="auto"/>
              </w:rPr>
            </w:pPr>
          </w:p>
        </w:tc>
        <w:tc>
          <w:tcPr>
            <w:tcW w:w="940" w:type="dxa"/>
            <w:vAlign w:val="bottom"/>
            <w:shd w:val="clear" w:color="auto" w:fill="E5E9F3"/>
          </w:tcPr>
          <w:p>
            <w:pPr>
              <w:spacing w:after="0"/>
              <w:rPr>
                <w:sz w:val="17"/>
                <w:szCs w:val="17"/>
                <w:color w:val="auto"/>
              </w:rPr>
            </w:pPr>
          </w:p>
        </w:tc>
        <w:tc>
          <w:tcPr>
            <w:tcW w:w="10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92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86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including</w:t>
            </w:r>
          </w:p>
        </w:tc>
        <w:tc>
          <w:tcPr>
            <w:tcW w:w="1160" w:type="dxa"/>
            <w:vAlign w:val="bottom"/>
            <w:shd w:val="clear" w:color="auto" w:fill="E5E9F3"/>
          </w:tcPr>
          <w:p>
            <w:pPr>
              <w:spacing w:after="0"/>
              <w:rPr>
                <w:sz w:val="17"/>
                <w:szCs w:val="17"/>
                <w:color w:val="auto"/>
              </w:rPr>
            </w:pPr>
          </w:p>
        </w:tc>
        <w:tc>
          <w:tcPr>
            <w:tcW w:w="180" w:type="dxa"/>
            <w:vAlign w:val="bottom"/>
            <w:shd w:val="clear" w:color="auto" w:fill="E5E9F3"/>
          </w:tcPr>
          <w:p>
            <w:pPr>
              <w:spacing w:after="0"/>
              <w:rPr>
                <w:sz w:val="17"/>
                <w:szCs w:val="17"/>
                <w:color w:val="auto"/>
              </w:rPr>
            </w:pPr>
          </w:p>
        </w:tc>
        <w:tc>
          <w:tcPr>
            <w:tcW w:w="420" w:type="dxa"/>
            <w:vAlign w:val="bottom"/>
            <w:shd w:val="clear" w:color="auto" w:fill="E5E9F3"/>
          </w:tcPr>
          <w:p>
            <w:pPr>
              <w:spacing w:after="0"/>
              <w:rPr>
                <w:sz w:val="17"/>
                <w:szCs w:val="17"/>
                <w:color w:val="auto"/>
              </w:rPr>
            </w:pPr>
          </w:p>
        </w:tc>
        <w:tc>
          <w:tcPr>
            <w:tcW w:w="60" w:type="dxa"/>
            <w:vAlign w:val="bottom"/>
            <w:shd w:val="clear" w:color="auto" w:fill="E5E9F3"/>
          </w:tcPr>
          <w:p>
            <w:pPr>
              <w:spacing w:after="0"/>
              <w:rPr>
                <w:sz w:val="17"/>
                <w:szCs w:val="17"/>
                <w:color w:val="auto"/>
              </w:rPr>
            </w:pPr>
          </w:p>
        </w:tc>
        <w:tc>
          <w:tcPr>
            <w:tcW w:w="880" w:type="dxa"/>
            <w:vAlign w:val="bottom"/>
            <w:shd w:val="clear" w:color="auto" w:fill="E5E9F3"/>
          </w:tcPr>
          <w:p>
            <w:pPr>
              <w:spacing w:after="0"/>
              <w:rPr>
                <w:sz w:val="17"/>
                <w:szCs w:val="17"/>
                <w:color w:val="auto"/>
              </w:rPr>
            </w:pPr>
          </w:p>
        </w:tc>
        <w:tc>
          <w:tcPr>
            <w:tcW w:w="940" w:type="dxa"/>
            <w:vAlign w:val="bottom"/>
            <w:shd w:val="clear" w:color="auto" w:fill="E5E9F3"/>
          </w:tcPr>
          <w:p>
            <w:pPr>
              <w:spacing w:after="0"/>
              <w:rPr>
                <w:sz w:val="17"/>
                <w:szCs w:val="17"/>
                <w:color w:val="auto"/>
              </w:rPr>
            </w:pPr>
          </w:p>
        </w:tc>
        <w:tc>
          <w:tcPr>
            <w:tcW w:w="10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92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(181.5 )</w:t>
            </w:r>
          </w:p>
        </w:tc>
        <w:tc>
          <w:tcPr>
            <w:tcW w:w="22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86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(181.5 )</w:t>
            </w:r>
          </w:p>
        </w:tc>
        <w:tc>
          <w:tcPr>
            <w:tcW w:w="0" w:type="dxa"/>
            <w:vAlign w:val="bottom"/>
          </w:tcPr>
          <w:p>
            <w:pPr>
              <w:spacing w:after="0"/>
              <w:rPr>
                <w:sz w:val="1"/>
                <w:szCs w:val="1"/>
                <w:color w:val="auto"/>
              </w:rPr>
            </w:pPr>
          </w:p>
        </w:tc>
      </w:tr>
      <w:tr>
        <w:trPr>
          <w:trHeight w:val="225"/>
        </w:trPr>
        <w:tc>
          <w:tcPr>
            <w:tcW w:w="2900" w:type="dxa"/>
            <w:vAlign w:val="bottom"/>
            <w:tcBorders>
              <w:bottom w:val="single" w:sz="8" w:color="auto"/>
            </w:tcBorders>
            <w:shd w:val="clear" w:color="auto" w:fill="E5E9F3"/>
          </w:tcPr>
          <w:p>
            <w:pPr>
              <w:ind w:left="360"/>
              <w:spacing w:after="0"/>
              <w:rPr>
                <w:sz w:val="20"/>
                <w:szCs w:val="20"/>
                <w:color w:val="auto"/>
              </w:rPr>
            </w:pPr>
            <w:r>
              <w:rPr>
                <w:rFonts w:ascii="Arial" w:cs="Arial" w:eastAsia="Arial" w:hAnsi="Arial"/>
                <w:sz w:val="18"/>
                <w:szCs w:val="18"/>
                <w:color w:val="auto"/>
              </w:rPr>
              <w:t>excise tax</w:t>
            </w:r>
          </w:p>
        </w:tc>
        <w:tc>
          <w:tcPr>
            <w:tcW w:w="1160" w:type="dxa"/>
            <w:vAlign w:val="bottom"/>
            <w:tcBorders>
              <w:bottom w:val="single" w:sz="8" w:color="auto"/>
            </w:tcBorders>
            <w:shd w:val="clear" w:color="auto" w:fill="E5E9F3"/>
          </w:tcPr>
          <w:p>
            <w:pPr>
              <w:spacing w:after="0"/>
              <w:rPr>
                <w:sz w:val="19"/>
                <w:szCs w:val="19"/>
                <w:color w:val="auto"/>
              </w:rPr>
            </w:pPr>
          </w:p>
        </w:tc>
        <w:tc>
          <w:tcPr>
            <w:tcW w:w="180" w:type="dxa"/>
            <w:vAlign w:val="bottom"/>
            <w:tcBorders>
              <w:bottom w:val="single" w:sz="8" w:color="auto"/>
            </w:tcBorders>
            <w:shd w:val="clear" w:color="auto" w:fill="E5E9F3"/>
          </w:tcPr>
          <w:p>
            <w:pPr>
              <w:spacing w:after="0"/>
              <w:rPr>
                <w:sz w:val="19"/>
                <w:szCs w:val="19"/>
                <w:color w:val="auto"/>
              </w:rPr>
            </w:pPr>
          </w:p>
        </w:tc>
        <w:tc>
          <w:tcPr>
            <w:tcW w:w="420" w:type="dxa"/>
            <w:vAlign w:val="bottom"/>
            <w:tcBorders>
              <w:bottom w:val="single" w:sz="8" w:color="auto"/>
            </w:tcBorders>
            <w:shd w:val="clear" w:color="auto" w:fill="E5E9F3"/>
          </w:tcPr>
          <w:p>
            <w:pPr>
              <w:spacing w:after="0"/>
              <w:rPr>
                <w:sz w:val="19"/>
                <w:szCs w:val="19"/>
                <w:color w:val="auto"/>
              </w:rPr>
            </w:pPr>
          </w:p>
        </w:tc>
        <w:tc>
          <w:tcPr>
            <w:tcW w:w="60" w:type="dxa"/>
            <w:vAlign w:val="bottom"/>
            <w:tcBorders>
              <w:bottom w:val="single" w:sz="8" w:color="auto"/>
            </w:tcBorders>
            <w:shd w:val="clear" w:color="auto" w:fill="E5E9F3"/>
          </w:tcPr>
          <w:p>
            <w:pPr>
              <w:spacing w:after="0"/>
              <w:rPr>
                <w:sz w:val="19"/>
                <w:szCs w:val="19"/>
                <w:color w:val="auto"/>
              </w:rPr>
            </w:pPr>
          </w:p>
        </w:tc>
        <w:tc>
          <w:tcPr>
            <w:tcW w:w="880" w:type="dxa"/>
            <w:vAlign w:val="bottom"/>
            <w:tcBorders>
              <w:bottom w:val="single" w:sz="8" w:color="auto"/>
            </w:tcBorders>
            <w:shd w:val="clear" w:color="auto" w:fill="E5E9F3"/>
          </w:tcPr>
          <w:p>
            <w:pPr>
              <w:spacing w:after="0"/>
              <w:rPr>
                <w:sz w:val="19"/>
                <w:szCs w:val="19"/>
                <w:color w:val="auto"/>
              </w:rPr>
            </w:pPr>
          </w:p>
        </w:tc>
        <w:tc>
          <w:tcPr>
            <w:tcW w:w="940" w:type="dxa"/>
            <w:vAlign w:val="bottom"/>
            <w:tcBorders>
              <w:bottom w:val="single" w:sz="8" w:color="auto"/>
            </w:tcBorders>
            <w:shd w:val="clear" w:color="auto" w:fill="E5E9F3"/>
          </w:tcPr>
          <w:p>
            <w:pPr>
              <w:spacing w:after="0"/>
              <w:rPr>
                <w:sz w:val="19"/>
                <w:szCs w:val="19"/>
                <w:color w:val="auto"/>
              </w:rPr>
            </w:pPr>
          </w:p>
        </w:tc>
        <w:tc>
          <w:tcPr>
            <w:tcW w:w="100" w:type="dxa"/>
            <w:vAlign w:val="bottom"/>
            <w:tcBorders>
              <w:bottom w:val="single" w:sz="8" w:color="auto"/>
            </w:tcBorders>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1140" w:type="dxa"/>
            <w:vAlign w:val="bottom"/>
            <w:tcBorders>
              <w:bottom w:val="single" w:sz="8" w:color="auto"/>
            </w:tcBorders>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vMerge w:val="continue"/>
            <w:shd w:val="clear" w:color="auto" w:fill="E5E9F3"/>
          </w:tcPr>
          <w:p>
            <w:pPr>
              <w:spacing w:after="0"/>
              <w:rPr>
                <w:sz w:val="19"/>
                <w:szCs w:val="19"/>
                <w:color w:val="auto"/>
              </w:rPr>
            </w:pPr>
          </w:p>
        </w:tc>
        <w:tc>
          <w:tcPr>
            <w:tcW w:w="220" w:type="dxa"/>
            <w:vAlign w:val="bottom"/>
            <w:tcBorders>
              <w:bottom w:val="single" w:sz="8" w:color="auto"/>
            </w:tcBorders>
            <w:shd w:val="clear" w:color="auto" w:fill="E5E9F3"/>
          </w:tcPr>
          <w:p>
            <w:pPr>
              <w:spacing w:after="0"/>
              <w:rPr>
                <w:sz w:val="19"/>
                <w:szCs w:val="19"/>
                <w:color w:val="auto"/>
              </w:rPr>
            </w:pPr>
          </w:p>
        </w:tc>
        <w:tc>
          <w:tcPr>
            <w:tcW w:w="780" w:type="dxa"/>
            <w:vAlign w:val="bottom"/>
            <w:tcBorders>
              <w:bottom w:val="single" w:sz="8" w:color="auto"/>
            </w:tcBorders>
            <w:shd w:val="clear" w:color="auto" w:fill="E5E9F3"/>
          </w:tcPr>
          <w:p>
            <w:pPr>
              <w:spacing w:after="0"/>
              <w:rPr>
                <w:sz w:val="19"/>
                <w:szCs w:val="19"/>
                <w:color w:val="auto"/>
              </w:rPr>
            </w:pPr>
          </w:p>
        </w:tc>
        <w:tc>
          <w:tcPr>
            <w:tcW w:w="860" w:type="dxa"/>
            <w:vAlign w:val="bottom"/>
            <w:tcBorders>
              <w:bottom w:val="single" w:sz="8" w:color="auto"/>
            </w:tcBorders>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 December 31, 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118,387,641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$ 3,514.9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$ 3,813.0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(466.0 ) $(4,639.8 ) $</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5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420" w:type="dxa"/>
            <w:vAlign w:val="bottom"/>
            <w:shd w:val="clear" w:color="auto" w:fill="E5E9F3"/>
          </w:tcPr>
          <w:p>
            <w:pPr>
              <w:spacing w:after="0"/>
              <w:rPr>
                <w:sz w:val="22"/>
                <w:szCs w:val="22"/>
                <w:color w:val="auto"/>
              </w:rPr>
            </w:pPr>
          </w:p>
        </w:tc>
        <w:tc>
          <w:tcPr>
            <w:tcW w:w="6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c>
          <w:tcPr>
            <w:tcW w:w="9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92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7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67"/>
        </w:trPr>
        <w:tc>
          <w:tcPr>
            <w:tcW w:w="2900" w:type="dxa"/>
            <w:vAlign w:val="bottom"/>
          </w:tcPr>
          <w:p>
            <w:pPr>
              <w:ind w:left="20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6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Issuances under equity plans</w:t>
            </w:r>
          </w:p>
        </w:tc>
        <w:tc>
          <w:tcPr>
            <w:tcW w:w="11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465,979</w:t>
            </w:r>
          </w:p>
        </w:tc>
        <w:tc>
          <w:tcPr>
            <w:tcW w:w="180" w:type="dxa"/>
            <w:vAlign w:val="bottom"/>
            <w:shd w:val="clear" w:color="auto" w:fill="E5E9F3"/>
          </w:tcPr>
          <w:p>
            <w:pPr>
              <w:spacing w:after="0"/>
              <w:rPr>
                <w:sz w:val="23"/>
                <w:szCs w:val="23"/>
                <w:color w:val="auto"/>
              </w:rPr>
            </w:pPr>
          </w:p>
        </w:tc>
        <w:tc>
          <w:tcPr>
            <w:tcW w:w="420" w:type="dxa"/>
            <w:vAlign w:val="bottom"/>
            <w:shd w:val="clear" w:color="auto" w:fill="E5E9F3"/>
          </w:tcPr>
          <w:p>
            <w:pPr>
              <w:spacing w:after="0"/>
              <w:rPr>
                <w:sz w:val="23"/>
                <w:szCs w:val="23"/>
                <w:color w:val="auto"/>
              </w:rPr>
            </w:pPr>
          </w:p>
        </w:tc>
        <w:tc>
          <w:tcPr>
            <w:tcW w:w="940" w:type="dxa"/>
            <w:vAlign w:val="bottom"/>
            <w:gridSpan w:val="2"/>
            <w:shd w:val="clear" w:color="auto" w:fill="E5E9F3"/>
          </w:tcPr>
          <w:p>
            <w:pPr>
              <w:jc w:val="right"/>
              <w:spacing w:after="0"/>
              <w:rPr>
                <w:sz w:val="20"/>
                <w:szCs w:val="20"/>
                <w:color w:val="auto"/>
              </w:rPr>
            </w:pPr>
            <w:r>
              <w:rPr>
                <w:rFonts w:ascii="Arial" w:cs="Arial" w:eastAsia="Arial" w:hAnsi="Arial"/>
                <w:sz w:val="18"/>
                <w:szCs w:val="18"/>
                <w:color w:val="auto"/>
              </w:rPr>
              <w:t>1.0</w:t>
            </w:r>
          </w:p>
        </w:tc>
        <w:tc>
          <w:tcPr>
            <w:tcW w:w="9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9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(10.7 )</w:t>
            </w:r>
          </w:p>
        </w:tc>
        <w:tc>
          <w:tcPr>
            <w:tcW w:w="220" w:type="dxa"/>
            <w:vAlign w:val="bottom"/>
            <w:shd w:val="clear" w:color="auto" w:fill="E5E9F3"/>
          </w:tcPr>
          <w:p>
            <w:pPr>
              <w:spacing w:after="0"/>
              <w:rPr>
                <w:sz w:val="23"/>
                <w:szCs w:val="23"/>
                <w:color w:val="auto"/>
              </w:rPr>
            </w:pPr>
          </w:p>
        </w:tc>
        <w:tc>
          <w:tcPr>
            <w:tcW w:w="78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line="203" w:lineRule="exact"/>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27.3</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5"/>
        </w:trPr>
        <w:tc>
          <w:tcPr>
            <w:tcW w:w="2900" w:type="dxa"/>
            <w:vAlign w:val="bottom"/>
          </w:tcPr>
          <w:p>
            <w:pPr>
              <w:ind w:left="200"/>
              <w:spacing w:after="0"/>
              <w:rPr>
                <w:sz w:val="20"/>
                <w:szCs w:val="20"/>
                <w:color w:val="auto"/>
              </w:rPr>
            </w:pPr>
            <w:r>
              <w:rPr>
                <w:rFonts w:ascii="Arial" w:cs="Arial" w:eastAsia="Arial" w:hAnsi="Arial"/>
                <w:sz w:val="18"/>
                <w:szCs w:val="18"/>
                <w:color w:val="auto"/>
              </w:rPr>
              <w:t>expense</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Dividends ($3.08 per share)</w:t>
            </w:r>
          </w:p>
        </w:tc>
        <w:tc>
          <w:tcPr>
            <w:tcW w:w="116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420" w:type="dxa"/>
            <w:vAlign w:val="bottom"/>
            <w:shd w:val="clear" w:color="auto" w:fill="E5E9F3"/>
          </w:tcPr>
          <w:p>
            <w:pPr>
              <w:spacing w:after="0"/>
              <w:rPr>
                <w:sz w:val="23"/>
                <w:szCs w:val="23"/>
                <w:color w:val="auto"/>
              </w:rPr>
            </w:pPr>
          </w:p>
        </w:tc>
        <w:tc>
          <w:tcPr>
            <w:tcW w:w="60" w:type="dxa"/>
            <w:vAlign w:val="bottom"/>
            <w:shd w:val="clear" w:color="auto" w:fill="E5E9F3"/>
          </w:tcPr>
          <w:p>
            <w:pPr>
              <w:spacing w:after="0"/>
              <w:rPr>
                <w:sz w:val="23"/>
                <w:szCs w:val="23"/>
                <w:color w:val="auto"/>
              </w:rPr>
            </w:pPr>
          </w:p>
        </w:tc>
        <w:tc>
          <w:tcPr>
            <w:tcW w:w="880" w:type="dxa"/>
            <w:vAlign w:val="bottom"/>
            <w:shd w:val="clear" w:color="auto" w:fill="E5E9F3"/>
          </w:tcPr>
          <w:p>
            <w:pPr>
              <w:spacing w:after="0"/>
              <w:rPr>
                <w:sz w:val="23"/>
                <w:szCs w:val="23"/>
                <w:color w:val="auto"/>
              </w:rPr>
            </w:pPr>
          </w:p>
        </w:tc>
        <w:tc>
          <w:tcPr>
            <w:tcW w:w="9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E5E9F3"/>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920" w:type="dxa"/>
            <w:vAlign w:val="bottom"/>
            <w:shd w:val="clear" w:color="auto" w:fill="E5E9F3"/>
          </w:tcPr>
          <w:p>
            <w:pPr>
              <w:spacing w:after="0"/>
              <w:rPr>
                <w:sz w:val="23"/>
                <w:szCs w:val="23"/>
                <w:color w:val="auto"/>
              </w:rPr>
            </w:pPr>
          </w:p>
        </w:tc>
        <w:tc>
          <w:tcPr>
            <w:tcW w:w="220" w:type="dxa"/>
            <w:vAlign w:val="bottom"/>
            <w:shd w:val="clear" w:color="auto" w:fill="E5E9F3"/>
          </w:tcPr>
          <w:p>
            <w:pPr>
              <w:spacing w:after="0"/>
              <w:rPr>
                <w:sz w:val="23"/>
                <w:szCs w:val="23"/>
                <w:color w:val="auto"/>
              </w:rPr>
            </w:pPr>
          </w:p>
        </w:tc>
        <w:tc>
          <w:tcPr>
            <w:tcW w:w="780" w:type="dxa"/>
            <w:vAlign w:val="bottom"/>
            <w:shd w:val="clear" w:color="auto" w:fill="E5E9F3"/>
          </w:tcPr>
          <w:p>
            <w:pPr>
              <w:spacing w:after="0"/>
              <w:rPr>
                <w:sz w:val="23"/>
                <w:szCs w:val="23"/>
                <w:color w:val="auto"/>
              </w:rPr>
            </w:pPr>
          </w:p>
        </w:tc>
        <w:tc>
          <w:tcPr>
            <w:tcW w:w="8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(145.8 )</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line="203" w:lineRule="exact"/>
              <w:rPr>
                <w:sz w:val="20"/>
                <w:szCs w:val="20"/>
                <w:color w:val="auto"/>
              </w:rPr>
            </w:pPr>
            <w:r>
              <w:rPr>
                <w:rFonts w:ascii="Arial" w:cs="Arial" w:eastAsia="Arial" w:hAnsi="Arial"/>
                <w:sz w:val="18"/>
                <w:szCs w:val="18"/>
                <w:color w:val="auto"/>
              </w:rPr>
              <w:t>Repurchases of common stock,</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00" w:type="dxa"/>
            <w:vAlign w:val="bottom"/>
          </w:tcPr>
          <w:p>
            <w:pPr>
              <w:ind w:left="200"/>
              <w:spacing w:after="0"/>
              <w:rPr>
                <w:sz w:val="20"/>
                <w:szCs w:val="20"/>
                <w:color w:val="auto"/>
              </w:rPr>
            </w:pPr>
            <w:r>
              <w:rPr>
                <w:rFonts w:ascii="Arial" w:cs="Arial" w:eastAsia="Arial" w:hAnsi="Arial"/>
                <w:sz w:val="18"/>
                <w:szCs w:val="18"/>
                <w:color w:val="auto"/>
              </w:rPr>
              <w:t>including</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(140.9 )</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(140.9 )</w:t>
            </w:r>
          </w:p>
        </w:tc>
        <w:tc>
          <w:tcPr>
            <w:tcW w:w="0" w:type="dxa"/>
            <w:vAlign w:val="bottom"/>
          </w:tcPr>
          <w:p>
            <w:pPr>
              <w:spacing w:after="0"/>
              <w:rPr>
                <w:sz w:val="1"/>
                <w:szCs w:val="1"/>
                <w:color w:val="auto"/>
              </w:rPr>
            </w:pPr>
          </w:p>
        </w:tc>
      </w:tr>
      <w:tr>
        <w:trPr>
          <w:trHeight w:val="225"/>
        </w:trPr>
        <w:tc>
          <w:tcPr>
            <w:tcW w:w="2900" w:type="dxa"/>
            <w:vAlign w:val="bottom"/>
          </w:tcPr>
          <w:p>
            <w:pPr>
              <w:ind w:left="360"/>
              <w:spacing w:after="0"/>
              <w:rPr>
                <w:sz w:val="20"/>
                <w:szCs w:val="20"/>
                <w:color w:val="auto"/>
              </w:rPr>
            </w:pPr>
            <w:r>
              <w:rPr>
                <w:rFonts w:ascii="Arial" w:cs="Arial" w:eastAsia="Arial" w:hAnsi="Arial"/>
                <w:sz w:val="18"/>
                <w:szCs w:val="18"/>
                <w:color w:val="auto"/>
              </w:rPr>
              <w:t>excise tax</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E5E9F3"/>
          </w:tcPr>
          <w:p>
            <w:pPr>
              <w:ind w:left="200"/>
              <w:spacing w:after="0" w:line="203" w:lineRule="exact"/>
              <w:rPr>
                <w:sz w:val="20"/>
                <w:szCs w:val="20"/>
                <w:color w:val="auto"/>
              </w:rPr>
            </w:pPr>
            <w:r>
              <w:rPr>
                <w:rFonts w:ascii="Arial" w:cs="Arial" w:eastAsia="Arial" w:hAnsi="Arial"/>
                <w:sz w:val="18"/>
                <w:szCs w:val="18"/>
                <w:color w:val="auto"/>
              </w:rPr>
              <w:t>Noncontrolling interest</w:t>
            </w:r>
          </w:p>
        </w:tc>
        <w:tc>
          <w:tcPr>
            <w:tcW w:w="1160" w:type="dxa"/>
            <w:vAlign w:val="bottom"/>
            <w:shd w:val="clear" w:color="auto" w:fill="E5E9F3"/>
          </w:tcPr>
          <w:p>
            <w:pPr>
              <w:spacing w:after="0"/>
              <w:rPr>
                <w:sz w:val="17"/>
                <w:szCs w:val="17"/>
                <w:color w:val="auto"/>
              </w:rPr>
            </w:pPr>
          </w:p>
        </w:tc>
        <w:tc>
          <w:tcPr>
            <w:tcW w:w="180" w:type="dxa"/>
            <w:vAlign w:val="bottom"/>
            <w:shd w:val="clear" w:color="auto" w:fill="E5E9F3"/>
          </w:tcPr>
          <w:p>
            <w:pPr>
              <w:spacing w:after="0"/>
              <w:rPr>
                <w:sz w:val="17"/>
                <w:szCs w:val="17"/>
                <w:color w:val="auto"/>
              </w:rPr>
            </w:pPr>
          </w:p>
        </w:tc>
        <w:tc>
          <w:tcPr>
            <w:tcW w:w="420" w:type="dxa"/>
            <w:vAlign w:val="bottom"/>
            <w:shd w:val="clear" w:color="auto" w:fill="E5E9F3"/>
          </w:tcPr>
          <w:p>
            <w:pPr>
              <w:spacing w:after="0"/>
              <w:rPr>
                <w:sz w:val="17"/>
                <w:szCs w:val="17"/>
                <w:color w:val="auto"/>
              </w:rPr>
            </w:pPr>
          </w:p>
        </w:tc>
        <w:tc>
          <w:tcPr>
            <w:tcW w:w="60" w:type="dxa"/>
            <w:vAlign w:val="bottom"/>
            <w:shd w:val="clear" w:color="auto" w:fill="E5E9F3"/>
          </w:tcPr>
          <w:p>
            <w:pPr>
              <w:spacing w:after="0"/>
              <w:rPr>
                <w:sz w:val="17"/>
                <w:szCs w:val="17"/>
                <w:color w:val="auto"/>
              </w:rPr>
            </w:pPr>
          </w:p>
        </w:tc>
        <w:tc>
          <w:tcPr>
            <w:tcW w:w="880" w:type="dxa"/>
            <w:vAlign w:val="bottom"/>
            <w:shd w:val="clear" w:color="auto" w:fill="E5E9F3"/>
          </w:tcPr>
          <w:p>
            <w:pPr>
              <w:spacing w:after="0"/>
              <w:rPr>
                <w:sz w:val="17"/>
                <w:szCs w:val="17"/>
                <w:color w:val="auto"/>
              </w:rPr>
            </w:pPr>
          </w:p>
        </w:tc>
        <w:tc>
          <w:tcPr>
            <w:tcW w:w="940" w:type="dxa"/>
            <w:vAlign w:val="bottom"/>
            <w:shd w:val="clear" w:color="auto" w:fill="E5E9F3"/>
          </w:tcPr>
          <w:p>
            <w:pPr>
              <w:spacing w:after="0"/>
              <w:rPr>
                <w:sz w:val="17"/>
                <w:szCs w:val="17"/>
                <w:color w:val="auto"/>
              </w:rPr>
            </w:pPr>
          </w:p>
        </w:tc>
        <w:tc>
          <w:tcPr>
            <w:tcW w:w="10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120" w:type="dxa"/>
            <w:vAlign w:val="bottom"/>
            <w:shd w:val="clear" w:color="auto" w:fill="E5E9F3"/>
          </w:tcPr>
          <w:p>
            <w:pPr>
              <w:spacing w:after="0"/>
              <w:rPr>
                <w:sz w:val="17"/>
                <w:szCs w:val="17"/>
                <w:color w:val="auto"/>
              </w:rPr>
            </w:pPr>
          </w:p>
        </w:tc>
        <w:tc>
          <w:tcPr>
            <w:tcW w:w="92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86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transactions</w:t>
            </w:r>
          </w:p>
        </w:tc>
        <w:tc>
          <w:tcPr>
            <w:tcW w:w="1160" w:type="dxa"/>
            <w:vAlign w:val="bottom"/>
            <w:tcBorders>
              <w:bottom w:val="single" w:sz="8" w:color="auto"/>
            </w:tcBorders>
            <w:shd w:val="clear" w:color="auto" w:fill="E5E9F3"/>
          </w:tcPr>
          <w:p>
            <w:pPr>
              <w:spacing w:after="0"/>
              <w:rPr>
                <w:sz w:val="19"/>
                <w:szCs w:val="19"/>
                <w:color w:val="auto"/>
              </w:rPr>
            </w:pPr>
          </w:p>
        </w:tc>
        <w:tc>
          <w:tcPr>
            <w:tcW w:w="180" w:type="dxa"/>
            <w:vAlign w:val="bottom"/>
            <w:tcBorders>
              <w:bottom w:val="single" w:sz="8" w:color="auto"/>
            </w:tcBorders>
            <w:shd w:val="clear" w:color="auto" w:fill="E5E9F3"/>
          </w:tcPr>
          <w:p>
            <w:pPr>
              <w:spacing w:after="0"/>
              <w:rPr>
                <w:sz w:val="19"/>
                <w:szCs w:val="19"/>
                <w:color w:val="auto"/>
              </w:rPr>
            </w:pPr>
          </w:p>
        </w:tc>
        <w:tc>
          <w:tcPr>
            <w:tcW w:w="420" w:type="dxa"/>
            <w:vAlign w:val="bottom"/>
            <w:tcBorders>
              <w:bottom w:val="single" w:sz="8" w:color="auto"/>
            </w:tcBorders>
            <w:shd w:val="clear" w:color="auto" w:fill="E5E9F3"/>
          </w:tcPr>
          <w:p>
            <w:pPr>
              <w:spacing w:after="0"/>
              <w:rPr>
                <w:sz w:val="19"/>
                <w:szCs w:val="19"/>
                <w:color w:val="auto"/>
              </w:rPr>
            </w:pPr>
          </w:p>
        </w:tc>
        <w:tc>
          <w:tcPr>
            <w:tcW w:w="940" w:type="dxa"/>
            <w:vAlign w:val="bottom"/>
            <w:tcBorders>
              <w:bottom w:val="single" w:sz="8" w:color="auto"/>
            </w:tcBorders>
            <w:gridSpan w:val="2"/>
            <w:shd w:val="clear" w:color="auto" w:fill="E5E9F3"/>
          </w:tcPr>
          <w:p>
            <w:pPr>
              <w:jc w:val="right"/>
              <w:spacing w:after="0"/>
              <w:rPr>
                <w:sz w:val="20"/>
                <w:szCs w:val="20"/>
                <w:color w:val="auto"/>
              </w:rPr>
            </w:pPr>
            <w:r>
              <w:rPr>
                <w:rFonts w:ascii="Arial" w:cs="Arial" w:eastAsia="Arial" w:hAnsi="Arial"/>
                <w:sz w:val="18"/>
                <w:szCs w:val="18"/>
                <w:color w:val="auto"/>
              </w:rPr>
              <w:t>2.9</w:t>
            </w:r>
          </w:p>
        </w:tc>
        <w:tc>
          <w:tcPr>
            <w:tcW w:w="940" w:type="dxa"/>
            <w:vAlign w:val="bottom"/>
            <w:tcBorders>
              <w:bottom w:val="single" w:sz="8" w:color="auto"/>
            </w:tcBorders>
            <w:shd w:val="clear" w:color="auto" w:fill="E5E9F3"/>
          </w:tcPr>
          <w:p>
            <w:pPr>
              <w:spacing w:after="0"/>
              <w:rPr>
                <w:sz w:val="19"/>
                <w:szCs w:val="19"/>
                <w:color w:val="auto"/>
              </w:rPr>
            </w:pPr>
          </w:p>
        </w:tc>
        <w:tc>
          <w:tcPr>
            <w:tcW w:w="100" w:type="dxa"/>
            <w:vAlign w:val="bottom"/>
            <w:tcBorders>
              <w:bottom w:val="single" w:sz="8" w:color="auto"/>
            </w:tcBorders>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1140" w:type="dxa"/>
            <w:vAlign w:val="bottom"/>
            <w:tcBorders>
              <w:bottom w:val="single" w:sz="8" w:color="auto"/>
            </w:tcBorders>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spacing w:after="0"/>
              <w:rPr>
                <w:sz w:val="19"/>
                <w:szCs w:val="19"/>
                <w:color w:val="auto"/>
              </w:rPr>
            </w:pPr>
          </w:p>
        </w:tc>
        <w:tc>
          <w:tcPr>
            <w:tcW w:w="220" w:type="dxa"/>
            <w:vAlign w:val="bottom"/>
            <w:tcBorders>
              <w:bottom w:val="single" w:sz="8" w:color="auto"/>
            </w:tcBorders>
            <w:shd w:val="clear" w:color="auto" w:fill="E5E9F3"/>
          </w:tcPr>
          <w:p>
            <w:pPr>
              <w:spacing w:after="0"/>
              <w:rPr>
                <w:sz w:val="19"/>
                <w:szCs w:val="19"/>
                <w:color w:val="auto"/>
              </w:rPr>
            </w:pPr>
          </w:p>
        </w:tc>
        <w:tc>
          <w:tcPr>
            <w:tcW w:w="7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(9.1 )</w:t>
            </w:r>
          </w:p>
        </w:tc>
        <w:tc>
          <w:tcPr>
            <w:tcW w:w="8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57"/>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 December 31, 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118,853,620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$ 3,546.1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$ 3,812.3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(443.0 ) $(4,791.4 ) $</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$2,126.9</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10800"/>
          </w:cols>
          <w:pgMar w:left="720" w:top="734" w:right="720" w:bottom="175" w:gutter="0" w:footer="0" w:header="0"/>
          <w:type w:val="continuous"/>
        </w:sectPr>
      </w:pPr>
    </w:p>
    <w:bookmarkStart w:id="59" w:name="page60"/>
    <w:bookmarkEnd w:id="5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3" o:spid="_x0000_s109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08" w:lineRule="exact"/>
        <w:rPr>
          <w:sz w:val="20"/>
          <w:szCs w:val="20"/>
          <w:color w:val="auto"/>
        </w:rPr>
      </w:pPr>
    </w:p>
    <w:p>
      <w:pPr>
        <w:ind w:right="2160"/>
        <w:spacing w:after="0" w:line="252" w:lineRule="auto"/>
        <w:rPr>
          <w:sz w:val="20"/>
          <w:szCs w:val="20"/>
          <w:color w:val="auto"/>
        </w:rPr>
      </w:pPr>
      <w:r>
        <w:rPr>
          <w:rFonts w:ascii="Arial" w:cs="Arial" w:eastAsia="Arial" w:hAnsi="Arial"/>
          <w:sz w:val="46"/>
          <w:szCs w:val="46"/>
          <w:color w:val="537BB5"/>
        </w:rPr>
        <w:t>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 millions, except share and per share data</w:t>
      </w:r>
    </w:p>
    <w:p>
      <w:pPr>
        <w:spacing w:after="0" w:line="261" w:lineRule="exact"/>
        <w:rPr>
          <w:sz w:val="20"/>
          <w:szCs w:val="20"/>
          <w:color w:val="auto"/>
        </w:rPr>
      </w:pPr>
    </w:p>
    <w:p>
      <w:pPr>
        <w:ind w:left="720" w:hanging="720"/>
        <w:spacing w:after="0"/>
        <w:tabs>
          <w:tab w:leader="none" w:pos="720" w:val="left"/>
        </w:tabs>
        <w:numPr>
          <w:ilvl w:val="0"/>
          <w:numId w:val="35"/>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Summary of Significant Accounting Policies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Nature of Operations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ManpowerGroup Inc. is a world leader in the innovative workforce solutions and services industry. Our global network of over 2,100 offices in approximately 75 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Use of Estimates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Estimates are used for, but not limited to, the accounting for the allowance for doubtful accounts and credit losses, defined benefit plans, workers’ compensation, share-based compensation, annual performance-related incentives, leases, goodwill and long-lived asset impairment, valuation of acquired intangibles and income taxes. Actual results could differ from these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Basis of Consolidation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$103.9 and $102.2 as of December 31, 2024 and 2023, respectively, and are included in other assets in the Consolidated Balance Sheets. Included in shareholders’ equity as of December 31, 2024 and 2023 are $16.9 and $11.5, respectively, of accumulated unremitted earnings from investments accounted for using the equity method. The amounts relate to accounting for our remaining interest in ManpowerGroup Greater China under the equity method subsequent to deconsolidation in 2019.</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Reclassification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Certain amounts within cash provided by operating activities on the Consolidated Statements of Cash Flows have been reclassified to conform to current year presentation. Accounts payable has been separated from other liabilities and is now separately disclosed on the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Revenues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recognize revenues when or as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10800"/>
          </w:cols>
          <w:pgMar w:left="720" w:top="734" w:right="720" w:bottom="175" w:gutter="0" w:footer="0" w:header="0"/>
          <w:type w:val="continuous"/>
        </w:sectPr>
      </w:pPr>
    </w:p>
    <w:bookmarkStart w:id="60" w:name="page61"/>
    <w:bookmarkEnd w:id="60"/>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4" o:spid="_x0000_s109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separately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For certain client contracts where we recognize revenues over time, we recognize the amount that we have the right to invoice, which corresponds directly to the value provided to the client of our performance to date.</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2024 related to remaining performance obligations, which are not material.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Accounts Receivable, Contract Assets and Contract Liabilities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deferred revenue was $30.3 and $31.9 as of December 31, 2024 and 2023, respectively. We recognized the entire amount of the deferred revenue balance as of December 31, 2023 as revenue during the year ended December 31, 2024. We expect to recognize the entire amount of deferred revenue balance as of December 31, 2024 as revenue in 2025.</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10800"/>
          </w:cols>
          <w:pgMar w:left="720" w:top="734" w:right="720" w:bottom="175" w:gutter="0" w:footer="0" w:header="0"/>
          <w:type w:val="continuous"/>
        </w:sectPr>
      </w:pPr>
    </w:p>
    <w:bookmarkStart w:id="61" w:name="page62"/>
    <w:bookmarkEnd w:id="6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5" o:spid="_x0000_s110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Allowance for Expected Credit Losses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have an allowance for expected credit losses recorded as an estimate of the accounts receivable balance that may not be collected. This allowance is calculated on an entity-by-entity basis with consideration for historical write-off experience, age of receivables, market conditions, and a specific review for expected credit losses. Items that affect this balance mainly include provision for expected credit losses and the write-off of accounts receivable balances.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Changes in allowance for expected credit losses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Borders>
              <w:top w:val="single" w:sz="8" w:color="auto"/>
            </w:tcBorders>
            <w:shd w:val="clear" w:color="auto" w:fill="97AAD0"/>
          </w:tcPr>
          <w:p>
            <w:pPr>
              <w:spacing w:after="0"/>
              <w:rPr>
                <w:sz w:val="16"/>
                <w:szCs w:val="16"/>
                <w:color w:val="auto"/>
              </w:rPr>
            </w:pPr>
          </w:p>
        </w:tc>
        <w:tc>
          <w:tcPr>
            <w:tcW w:w="1800" w:type="dxa"/>
            <w:vAlign w:val="bottom"/>
            <w:tcBorders>
              <w:top w:val="single" w:sz="8" w:color="auto"/>
            </w:tcBorders>
            <w:shd w:val="clear" w:color="auto" w:fill="97AAD0"/>
          </w:tcPr>
          <w:p>
            <w:pPr>
              <w:jc w:val="center"/>
              <w:ind w:left="595"/>
              <w:spacing w:after="0"/>
              <w:rPr>
                <w:sz w:val="20"/>
                <w:szCs w:val="20"/>
                <w:color w:val="auto"/>
              </w:rPr>
            </w:pPr>
            <w:r>
              <w:rPr>
                <w:rFonts w:ascii="Arial" w:cs="Arial" w:eastAsia="Arial" w:hAnsi="Arial"/>
                <w:sz w:val="16"/>
                <w:szCs w:val="16"/>
                <w:b w:val="1"/>
                <w:bCs w:val="1"/>
                <w:color w:val="auto"/>
                <w:w w:val="99"/>
              </w:rPr>
              <w:t>Balance at</w:t>
            </w:r>
          </w:p>
        </w:tc>
        <w:tc>
          <w:tcPr>
            <w:tcW w:w="300" w:type="dxa"/>
            <w:vAlign w:val="bottom"/>
            <w:tcBorders>
              <w:top w:val="single" w:sz="8" w:color="auto"/>
            </w:tcBorders>
            <w:shd w:val="clear" w:color="auto" w:fill="97AAD0"/>
          </w:tcPr>
          <w:p>
            <w:pPr>
              <w:spacing w:after="0"/>
              <w:rPr>
                <w:sz w:val="16"/>
                <w:szCs w:val="16"/>
                <w:color w:val="auto"/>
              </w:rPr>
            </w:pPr>
          </w:p>
        </w:tc>
        <w:tc>
          <w:tcPr>
            <w:tcW w:w="960" w:type="dxa"/>
            <w:vAlign w:val="bottom"/>
            <w:tcBorders>
              <w:top w:val="single" w:sz="8" w:color="auto"/>
            </w:tcBorders>
            <w:vMerge w:val="restart"/>
            <w:shd w:val="clear" w:color="auto" w:fill="97AAD0"/>
          </w:tcPr>
          <w:p>
            <w:pPr>
              <w:jc w:val="center"/>
              <w:ind w:right="94"/>
              <w:spacing w:after="0"/>
              <w:rPr>
                <w:sz w:val="20"/>
                <w:szCs w:val="20"/>
                <w:color w:val="auto"/>
              </w:rPr>
            </w:pPr>
            <w:r>
              <w:rPr>
                <w:rFonts w:ascii="Arial" w:cs="Arial" w:eastAsia="Arial" w:hAnsi="Arial"/>
                <w:sz w:val="16"/>
                <w:szCs w:val="16"/>
                <w:b w:val="1"/>
                <w:bCs w:val="1"/>
                <w:color w:val="auto"/>
                <w:w w:val="99"/>
              </w:rPr>
              <w:t>Bad Debt</w:t>
            </w:r>
          </w:p>
        </w:tc>
        <w:tc>
          <w:tcPr>
            <w:tcW w:w="1280" w:type="dxa"/>
            <w:vAlign w:val="bottom"/>
            <w:tcBorders>
              <w:top w:val="single" w:sz="8" w:color="auto"/>
            </w:tcBorders>
            <w:shd w:val="clear" w:color="auto" w:fill="97AAD0"/>
          </w:tcPr>
          <w:p>
            <w:pPr>
              <w:spacing w:after="0"/>
              <w:rPr>
                <w:sz w:val="16"/>
                <w:szCs w:val="16"/>
                <w:color w:val="auto"/>
              </w:rPr>
            </w:pPr>
          </w:p>
        </w:tc>
        <w:tc>
          <w:tcPr>
            <w:tcW w:w="1280" w:type="dxa"/>
            <w:vAlign w:val="bottom"/>
            <w:tcBorders>
              <w:top w:val="single" w:sz="8" w:color="auto"/>
            </w:tcBorders>
            <w:vMerge w:val="restart"/>
            <w:shd w:val="clear" w:color="auto" w:fill="97AAD0"/>
          </w:tcPr>
          <w:p>
            <w:pPr>
              <w:jc w:val="right"/>
              <w:ind w:right="94"/>
              <w:spacing w:after="0"/>
              <w:rPr>
                <w:sz w:val="20"/>
                <w:szCs w:val="20"/>
                <w:color w:val="auto"/>
              </w:rPr>
            </w:pPr>
            <w:r>
              <w:rPr>
                <w:rFonts w:ascii="Arial" w:cs="Arial" w:eastAsia="Arial" w:hAnsi="Arial"/>
                <w:sz w:val="16"/>
                <w:szCs w:val="16"/>
                <w:b w:val="1"/>
                <w:bCs w:val="1"/>
                <w:color w:val="auto"/>
              </w:rPr>
              <w:t>Translation</w:t>
            </w:r>
          </w:p>
        </w:tc>
        <w:tc>
          <w:tcPr>
            <w:tcW w:w="1640" w:type="dxa"/>
            <w:vAlign w:val="bottom"/>
            <w:tcBorders>
              <w:top w:val="single" w:sz="8" w:color="auto"/>
            </w:tcBorders>
            <w:gridSpan w:val="2"/>
            <w:vMerge w:val="restart"/>
            <w:shd w:val="clear" w:color="auto" w:fill="97AAD0"/>
          </w:tcPr>
          <w:p>
            <w:pPr>
              <w:jc w:val="right"/>
              <w:ind w:right="53"/>
              <w:spacing w:after="0"/>
              <w:rPr>
                <w:sz w:val="20"/>
                <w:szCs w:val="20"/>
                <w:color w:val="auto"/>
              </w:rPr>
            </w:pPr>
            <w:r>
              <w:rPr>
                <w:rFonts w:ascii="Arial" w:cs="Arial" w:eastAsia="Arial" w:hAnsi="Arial"/>
                <w:sz w:val="16"/>
                <w:szCs w:val="16"/>
                <w:b w:val="1"/>
                <w:bCs w:val="1"/>
                <w:color w:val="auto"/>
              </w:rPr>
              <w:t>Reclassifications</w:t>
            </w:r>
          </w:p>
        </w:tc>
        <w:tc>
          <w:tcPr>
            <w:tcW w:w="1220" w:type="dxa"/>
            <w:vAlign w:val="bottom"/>
            <w:tcBorders>
              <w:top w:val="single" w:sz="8" w:color="auto"/>
            </w:tcBorders>
            <w:shd w:val="clear" w:color="auto" w:fill="97AAD0"/>
          </w:tcPr>
          <w:p>
            <w:pPr>
              <w:jc w:val="center"/>
              <w:ind w:left="15"/>
              <w:spacing w:after="0"/>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184"/>
        </w:trPr>
        <w:tc>
          <w:tcPr>
            <w:tcW w:w="2320" w:type="dxa"/>
            <w:vAlign w:val="bottom"/>
            <w:shd w:val="clear" w:color="auto" w:fill="97AAD0"/>
          </w:tcPr>
          <w:p>
            <w:pPr>
              <w:spacing w:after="0"/>
              <w:rPr>
                <w:sz w:val="15"/>
                <w:szCs w:val="15"/>
                <w:color w:val="auto"/>
              </w:rPr>
            </w:pPr>
          </w:p>
        </w:tc>
        <w:tc>
          <w:tcPr>
            <w:tcW w:w="1800" w:type="dxa"/>
            <w:vAlign w:val="bottom"/>
            <w:shd w:val="clear" w:color="auto" w:fill="97AAD0"/>
          </w:tcPr>
          <w:p>
            <w:pPr>
              <w:jc w:val="center"/>
              <w:ind w:left="615"/>
              <w:spacing w:after="0"/>
              <w:rPr>
                <w:sz w:val="20"/>
                <w:szCs w:val="20"/>
                <w:color w:val="auto"/>
              </w:rPr>
            </w:pPr>
            <w:r>
              <w:rPr>
                <w:rFonts w:ascii="Arial" w:cs="Arial" w:eastAsia="Arial" w:hAnsi="Arial"/>
                <w:sz w:val="16"/>
                <w:szCs w:val="16"/>
                <w:b w:val="1"/>
                <w:bCs w:val="1"/>
                <w:color w:val="auto"/>
                <w:w w:val="99"/>
              </w:rPr>
              <w:t>Beginning</w:t>
            </w:r>
          </w:p>
        </w:tc>
        <w:tc>
          <w:tcPr>
            <w:tcW w:w="300" w:type="dxa"/>
            <w:vAlign w:val="bottom"/>
            <w:shd w:val="clear" w:color="auto" w:fill="97AAD0"/>
          </w:tcPr>
          <w:p>
            <w:pPr>
              <w:spacing w:after="0"/>
              <w:rPr>
                <w:sz w:val="15"/>
                <w:szCs w:val="15"/>
                <w:color w:val="auto"/>
              </w:rPr>
            </w:pPr>
          </w:p>
        </w:tc>
        <w:tc>
          <w:tcPr>
            <w:tcW w:w="960" w:type="dxa"/>
            <w:vAlign w:val="bottom"/>
            <w:vMerge w:val="continue"/>
            <w:shd w:val="clear" w:color="auto" w:fill="97AAD0"/>
          </w:tcPr>
          <w:p>
            <w:pPr>
              <w:spacing w:after="0"/>
              <w:rPr>
                <w:sz w:val="15"/>
                <w:szCs w:val="15"/>
                <w:color w:val="auto"/>
              </w:rPr>
            </w:pPr>
          </w:p>
        </w:tc>
        <w:tc>
          <w:tcPr>
            <w:tcW w:w="1280" w:type="dxa"/>
            <w:vAlign w:val="bottom"/>
            <w:vMerge w:val="restart"/>
            <w:shd w:val="clear" w:color="auto" w:fill="97AAD0"/>
          </w:tcPr>
          <w:p>
            <w:pPr>
              <w:ind w:left="300"/>
              <w:spacing w:after="0"/>
              <w:rPr>
                <w:sz w:val="20"/>
                <w:szCs w:val="20"/>
                <w:color w:val="auto"/>
              </w:rPr>
            </w:pPr>
            <w:r>
              <w:rPr>
                <w:rFonts w:ascii="Arial" w:cs="Arial" w:eastAsia="Arial" w:hAnsi="Arial"/>
                <w:sz w:val="16"/>
                <w:szCs w:val="16"/>
                <w:b w:val="1"/>
                <w:bCs w:val="1"/>
                <w:color w:val="auto"/>
              </w:rPr>
              <w:t>Write-Offs</w:t>
            </w:r>
          </w:p>
        </w:tc>
        <w:tc>
          <w:tcPr>
            <w:tcW w:w="1280" w:type="dxa"/>
            <w:vAlign w:val="bottom"/>
            <w:vMerge w:val="continue"/>
            <w:shd w:val="clear" w:color="auto" w:fill="97AAD0"/>
          </w:tcPr>
          <w:p>
            <w:pPr>
              <w:spacing w:after="0"/>
              <w:rPr>
                <w:sz w:val="15"/>
                <w:szCs w:val="15"/>
                <w:color w:val="auto"/>
              </w:rPr>
            </w:pPr>
          </w:p>
        </w:tc>
        <w:tc>
          <w:tcPr>
            <w:tcW w:w="1640" w:type="dxa"/>
            <w:vAlign w:val="bottom"/>
            <w:gridSpan w:val="2"/>
            <w:vMerge w:val="continue"/>
            <w:shd w:val="clear" w:color="auto" w:fill="97AAD0"/>
          </w:tcPr>
          <w:p>
            <w:pPr>
              <w:spacing w:after="0"/>
              <w:rPr>
                <w:sz w:val="15"/>
                <w:szCs w:val="15"/>
                <w:color w:val="auto"/>
              </w:rPr>
            </w:pPr>
          </w:p>
        </w:tc>
        <w:tc>
          <w:tcPr>
            <w:tcW w:w="1220" w:type="dxa"/>
            <w:vAlign w:val="bottom"/>
            <w:shd w:val="clear" w:color="auto" w:fill="97AAD0"/>
          </w:tcPr>
          <w:p>
            <w:pPr>
              <w:jc w:val="center"/>
              <w:ind w:left="15"/>
              <w:spacing w:after="0"/>
              <w:rPr>
                <w:sz w:val="20"/>
                <w:szCs w:val="20"/>
                <w:color w:val="auto"/>
              </w:rPr>
            </w:pPr>
            <w:r>
              <w:rPr>
                <w:rFonts w:ascii="Arial" w:cs="Arial" w:eastAsia="Arial" w:hAnsi="Arial"/>
                <w:sz w:val="16"/>
                <w:szCs w:val="16"/>
                <w:b w:val="1"/>
                <w:bCs w:val="1"/>
                <w:color w:val="auto"/>
                <w:w w:val="98"/>
              </w:rPr>
              <w:t>at End</w:t>
            </w:r>
          </w:p>
        </w:tc>
        <w:tc>
          <w:tcPr>
            <w:tcW w:w="0" w:type="dxa"/>
            <w:vAlign w:val="bottom"/>
          </w:tcPr>
          <w:p>
            <w:pPr>
              <w:spacing w:after="0"/>
              <w:rPr>
                <w:sz w:val="1"/>
                <w:szCs w:val="1"/>
                <w:color w:val="auto"/>
              </w:rPr>
            </w:pPr>
          </w:p>
        </w:tc>
      </w:tr>
      <w:tr>
        <w:trPr>
          <w:trHeight w:val="240"/>
        </w:trPr>
        <w:tc>
          <w:tcPr>
            <w:tcW w:w="2320" w:type="dxa"/>
            <w:vAlign w:val="bottom"/>
            <w:tcBorders>
              <w:bottom w:val="single" w:sz="8" w:color="97AAD0"/>
            </w:tcBorders>
            <w:shd w:val="clear" w:color="auto" w:fill="97AAD0"/>
          </w:tcPr>
          <w:p>
            <w:pPr>
              <w:spacing w:after="0"/>
              <w:rPr>
                <w:sz w:val="20"/>
                <w:szCs w:val="20"/>
                <w:color w:val="auto"/>
              </w:rPr>
            </w:pPr>
          </w:p>
        </w:tc>
        <w:tc>
          <w:tcPr>
            <w:tcW w:w="1800" w:type="dxa"/>
            <w:vAlign w:val="bottom"/>
            <w:tcBorders>
              <w:bottom w:val="single" w:sz="8" w:color="97AAD0"/>
            </w:tcBorders>
            <w:shd w:val="clear" w:color="auto" w:fill="97AAD0"/>
          </w:tcPr>
          <w:p>
            <w:pPr>
              <w:jc w:val="center"/>
              <w:ind w:left="615"/>
              <w:spacing w:after="0"/>
              <w:rPr>
                <w:sz w:val="20"/>
                <w:szCs w:val="20"/>
                <w:color w:val="auto"/>
              </w:rPr>
            </w:pPr>
            <w:r>
              <w:rPr>
                <w:rFonts w:ascii="Arial" w:cs="Arial" w:eastAsia="Arial" w:hAnsi="Arial"/>
                <w:sz w:val="16"/>
                <w:szCs w:val="16"/>
                <w:b w:val="1"/>
                <w:bCs w:val="1"/>
                <w:color w:val="auto"/>
                <w:w w:val="99"/>
              </w:rPr>
              <w:t>of Year</w:t>
            </w:r>
          </w:p>
        </w:tc>
        <w:tc>
          <w:tcPr>
            <w:tcW w:w="300" w:type="dxa"/>
            <w:vAlign w:val="bottom"/>
            <w:tcBorders>
              <w:bottom w:val="single" w:sz="8" w:color="97AAD0"/>
            </w:tcBorders>
            <w:shd w:val="clear" w:color="auto" w:fill="97AAD0"/>
          </w:tcPr>
          <w:p>
            <w:pPr>
              <w:spacing w:after="0"/>
              <w:rPr>
                <w:sz w:val="20"/>
                <w:szCs w:val="20"/>
                <w:color w:val="auto"/>
              </w:rPr>
            </w:pPr>
          </w:p>
        </w:tc>
        <w:tc>
          <w:tcPr>
            <w:tcW w:w="960" w:type="dxa"/>
            <w:vAlign w:val="bottom"/>
            <w:tcBorders>
              <w:bottom w:val="single" w:sz="8" w:color="97AAD0"/>
            </w:tcBorders>
            <w:shd w:val="clear" w:color="auto" w:fill="97AAD0"/>
          </w:tcPr>
          <w:p>
            <w:pPr>
              <w:jc w:val="center"/>
              <w:ind w:right="94"/>
              <w:spacing w:after="0"/>
              <w:rPr>
                <w:sz w:val="20"/>
                <w:szCs w:val="20"/>
                <w:color w:val="auto"/>
              </w:rPr>
            </w:pPr>
            <w:r>
              <w:rPr>
                <w:rFonts w:ascii="Arial" w:cs="Arial" w:eastAsia="Arial" w:hAnsi="Arial"/>
                <w:sz w:val="16"/>
                <w:szCs w:val="16"/>
                <w:b w:val="1"/>
                <w:bCs w:val="1"/>
                <w:color w:val="auto"/>
              </w:rPr>
              <w:t>Expense</w:t>
            </w:r>
          </w:p>
        </w:tc>
        <w:tc>
          <w:tcPr>
            <w:tcW w:w="1280" w:type="dxa"/>
            <w:vAlign w:val="bottom"/>
            <w:tcBorders>
              <w:bottom w:val="single" w:sz="8" w:color="97AAD0"/>
            </w:tcBorders>
            <w:vMerge w:val="continue"/>
            <w:shd w:val="clear" w:color="auto" w:fill="97AAD0"/>
          </w:tcPr>
          <w:p>
            <w:pPr>
              <w:spacing w:after="0"/>
              <w:rPr>
                <w:sz w:val="20"/>
                <w:szCs w:val="20"/>
                <w:color w:val="auto"/>
              </w:rPr>
            </w:pPr>
          </w:p>
        </w:tc>
        <w:tc>
          <w:tcPr>
            <w:tcW w:w="1280" w:type="dxa"/>
            <w:vAlign w:val="bottom"/>
            <w:tcBorders>
              <w:bottom w:val="single" w:sz="8" w:color="97AAD0"/>
            </w:tcBorders>
            <w:shd w:val="clear" w:color="auto" w:fill="97AAD0"/>
          </w:tcPr>
          <w:p>
            <w:pPr>
              <w:jc w:val="right"/>
              <w:ind w:right="34"/>
              <w:spacing w:after="0"/>
              <w:rPr>
                <w:sz w:val="20"/>
                <w:szCs w:val="20"/>
                <w:color w:val="auto"/>
              </w:rPr>
            </w:pPr>
            <w:r>
              <w:rPr>
                <w:rFonts w:ascii="Arial" w:cs="Arial" w:eastAsia="Arial" w:hAnsi="Arial"/>
                <w:sz w:val="16"/>
                <w:szCs w:val="16"/>
                <w:b w:val="1"/>
                <w:bCs w:val="1"/>
                <w:color w:val="auto"/>
              </w:rPr>
              <w:t>Adjustments</w:t>
            </w:r>
          </w:p>
        </w:tc>
        <w:tc>
          <w:tcPr>
            <w:tcW w:w="340" w:type="dxa"/>
            <w:vAlign w:val="bottom"/>
            <w:tcBorders>
              <w:bottom w:val="single" w:sz="8" w:color="97AAD0"/>
            </w:tcBorders>
            <w:shd w:val="clear" w:color="auto" w:fill="97AAD0"/>
          </w:tcPr>
          <w:p>
            <w:pPr>
              <w:spacing w:after="0"/>
              <w:rPr>
                <w:sz w:val="20"/>
                <w:szCs w:val="20"/>
                <w:color w:val="auto"/>
              </w:rPr>
            </w:pPr>
          </w:p>
        </w:tc>
        <w:tc>
          <w:tcPr>
            <w:tcW w:w="1300" w:type="dxa"/>
            <w:vAlign w:val="bottom"/>
            <w:tcBorders>
              <w:bottom w:val="single" w:sz="8" w:color="97AAD0"/>
            </w:tcBorders>
            <w:shd w:val="clear" w:color="auto" w:fill="97AAD0"/>
          </w:tcPr>
          <w:p>
            <w:pPr>
              <w:jc w:val="right"/>
              <w:ind w:right="333"/>
              <w:spacing w:after="0"/>
              <w:rPr>
                <w:sz w:val="20"/>
                <w:szCs w:val="20"/>
                <w:color w:val="auto"/>
              </w:rPr>
            </w:pPr>
            <w:r>
              <w:rPr>
                <w:rFonts w:ascii="Arial" w:cs="Arial" w:eastAsia="Arial" w:hAnsi="Arial"/>
                <w:sz w:val="16"/>
                <w:szCs w:val="16"/>
                <w:b w:val="1"/>
                <w:bCs w:val="1"/>
                <w:color w:val="auto"/>
              </w:rPr>
              <w:t>and Other</w:t>
            </w:r>
          </w:p>
        </w:tc>
        <w:tc>
          <w:tcPr>
            <w:tcW w:w="1220" w:type="dxa"/>
            <w:vAlign w:val="bottom"/>
            <w:tcBorders>
              <w:bottom w:val="single" w:sz="8" w:color="97AAD0"/>
            </w:tcBorders>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of Year</w:t>
            </w:r>
          </w:p>
        </w:tc>
        <w:tc>
          <w:tcPr>
            <w:tcW w:w="0" w:type="dxa"/>
            <w:vAlign w:val="bottom"/>
          </w:tcPr>
          <w:p>
            <w:pPr>
              <w:spacing w:after="0"/>
              <w:rPr>
                <w:sz w:val="1"/>
                <w:szCs w:val="1"/>
                <w:color w:val="auto"/>
              </w:rPr>
            </w:pPr>
          </w:p>
        </w:tc>
      </w:tr>
      <w:tr>
        <w:trPr>
          <w:trHeight w:val="257"/>
        </w:trPr>
        <w:tc>
          <w:tcPr>
            <w:tcW w:w="2320" w:type="dxa"/>
            <w:vAlign w:val="bottom"/>
            <w:tcBorders>
              <w:top w:val="single" w:sz="8" w:color="auto"/>
            </w:tcBorders>
            <w:shd w:val="clear" w:color="auto" w:fill="E5E9F3"/>
          </w:tcPr>
          <w:p>
            <w:pPr>
              <w:jc w:val="right"/>
              <w:ind w:right="610"/>
              <w:spacing w:after="0"/>
              <w:rPr>
                <w:sz w:val="20"/>
                <w:szCs w:val="20"/>
                <w:color w:val="auto"/>
              </w:rPr>
            </w:pPr>
            <w:r>
              <w:rPr>
                <w:rFonts w:ascii="Arial" w:cs="Arial" w:eastAsia="Arial" w:hAnsi="Arial"/>
                <w:sz w:val="18"/>
                <w:szCs w:val="18"/>
                <w:color w:val="auto"/>
              </w:rPr>
              <w:t>2024</w:t>
            </w:r>
          </w:p>
        </w:tc>
        <w:tc>
          <w:tcPr>
            <w:tcW w:w="1800" w:type="dxa"/>
            <w:vAlign w:val="bottom"/>
            <w:tcBorders>
              <w:top w:val="single" w:sz="8" w:color="auto"/>
            </w:tcBorders>
            <w:shd w:val="clear" w:color="auto" w:fill="E5E9F3"/>
          </w:tcPr>
          <w:p>
            <w:pPr>
              <w:jc w:val="right"/>
              <w:ind w:right="355"/>
              <w:spacing w:after="0"/>
              <w:rPr>
                <w:sz w:val="20"/>
                <w:szCs w:val="20"/>
                <w:color w:val="auto"/>
              </w:rPr>
            </w:pPr>
            <w:r>
              <w:rPr>
                <w:rFonts w:ascii="Arial" w:cs="Arial" w:eastAsia="Arial" w:hAnsi="Arial"/>
                <w:sz w:val="18"/>
                <w:szCs w:val="18"/>
                <w:color w:val="auto"/>
              </w:rPr>
              <w:t>$  99.2</w:t>
            </w:r>
          </w:p>
        </w:tc>
        <w:tc>
          <w:tcPr>
            <w:tcW w:w="30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9F3"/>
          </w:tcPr>
          <w:p>
            <w:pPr>
              <w:jc w:val="center"/>
              <w:ind w:right="94"/>
              <w:spacing w:after="0"/>
              <w:rPr>
                <w:sz w:val="20"/>
                <w:szCs w:val="20"/>
                <w:color w:val="auto"/>
              </w:rPr>
            </w:pPr>
            <w:r>
              <w:rPr>
                <w:rFonts w:ascii="Arial" w:cs="Arial" w:eastAsia="Arial" w:hAnsi="Arial"/>
                <w:sz w:val="18"/>
                <w:szCs w:val="18"/>
                <w:color w:val="auto"/>
              </w:rPr>
              <w:t>9.0</w:t>
            </w:r>
          </w:p>
        </w:tc>
        <w:tc>
          <w:tcPr>
            <w:tcW w:w="1280" w:type="dxa"/>
            <w:vAlign w:val="bottom"/>
            <w:tcBorders>
              <w:top w:val="single" w:sz="8" w:color="auto"/>
            </w:tcBorders>
            <w:shd w:val="clear" w:color="auto" w:fill="E5E9F3"/>
          </w:tcPr>
          <w:p>
            <w:pPr>
              <w:jc w:val="center"/>
              <w:spacing w:after="0"/>
              <w:rPr>
                <w:sz w:val="20"/>
                <w:szCs w:val="20"/>
                <w:color w:val="auto"/>
              </w:rPr>
            </w:pPr>
            <w:r>
              <w:rPr>
                <w:rFonts w:ascii="Arial" w:cs="Arial" w:eastAsia="Arial" w:hAnsi="Arial"/>
                <w:sz w:val="18"/>
                <w:szCs w:val="18"/>
                <w:color w:val="auto"/>
              </w:rPr>
              <w:t xml:space="preserve">$  (35.6 ) </w:t>
            </w:r>
            <w:r>
              <w:rPr>
                <w:rFonts w:ascii="Arial" w:cs="Arial" w:eastAsia="Arial" w:hAnsi="Arial"/>
                <w:sz w:val="12"/>
                <w:szCs w:val="12"/>
                <w:color w:val="auto"/>
              </w:rPr>
              <w:t>(a)</w:t>
            </w:r>
          </w:p>
        </w:tc>
        <w:tc>
          <w:tcPr>
            <w:tcW w:w="1280" w:type="dxa"/>
            <w:vAlign w:val="bottom"/>
            <w:tcBorders>
              <w:top w:val="single" w:sz="8" w:color="auto"/>
            </w:tcBorders>
            <w:shd w:val="clear" w:color="auto" w:fill="E5E9F3"/>
          </w:tcPr>
          <w:p>
            <w:pPr>
              <w:jc w:val="right"/>
              <w:ind w:right="314"/>
              <w:spacing w:after="0"/>
              <w:rPr>
                <w:sz w:val="20"/>
                <w:szCs w:val="20"/>
                <w:color w:val="auto"/>
              </w:rPr>
            </w:pPr>
            <w:r>
              <w:rPr>
                <w:rFonts w:ascii="Arial" w:cs="Arial" w:eastAsia="Arial" w:hAnsi="Arial"/>
                <w:sz w:val="18"/>
                <w:szCs w:val="18"/>
                <w:color w:val="auto"/>
              </w:rPr>
              <w:t>$   (5.0 )</w:t>
            </w:r>
          </w:p>
        </w:tc>
        <w:tc>
          <w:tcPr>
            <w:tcW w:w="340" w:type="dxa"/>
            <w:vAlign w:val="bottom"/>
            <w:tcBorders>
              <w:top w:val="single" w:sz="8" w:color="auto"/>
            </w:tcBorders>
            <w:shd w:val="clear" w:color="auto" w:fill="E5E9F3"/>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E5E9F3"/>
          </w:tcPr>
          <w:p>
            <w:pPr>
              <w:jc w:val="right"/>
              <w:ind w:right="633"/>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E5E9F3"/>
          </w:tcPr>
          <w:p>
            <w:pPr>
              <w:jc w:val="right"/>
              <w:ind w:right="355"/>
              <w:spacing w:after="0"/>
              <w:rPr>
                <w:sz w:val="20"/>
                <w:szCs w:val="20"/>
                <w:color w:val="auto"/>
              </w:rPr>
            </w:pPr>
            <w:r>
              <w:rPr>
                <w:rFonts w:ascii="Arial" w:cs="Arial" w:eastAsia="Arial" w:hAnsi="Arial"/>
                <w:sz w:val="18"/>
                <w:szCs w:val="18"/>
                <w:color w:val="auto"/>
              </w:rPr>
              <w:t>$  67.6</w:t>
            </w:r>
          </w:p>
        </w:tc>
        <w:tc>
          <w:tcPr>
            <w:tcW w:w="0" w:type="dxa"/>
            <w:vAlign w:val="bottom"/>
          </w:tcPr>
          <w:p>
            <w:pPr>
              <w:spacing w:after="0"/>
              <w:rPr>
                <w:sz w:val="1"/>
                <w:szCs w:val="1"/>
                <w:color w:val="auto"/>
              </w:rPr>
            </w:pPr>
          </w:p>
        </w:tc>
      </w:tr>
      <w:tr>
        <w:trPr>
          <w:trHeight w:val="265"/>
        </w:trPr>
        <w:tc>
          <w:tcPr>
            <w:tcW w:w="2320" w:type="dxa"/>
            <w:vAlign w:val="bottom"/>
          </w:tcPr>
          <w:p>
            <w:pPr>
              <w:jc w:val="right"/>
              <w:ind w:right="610"/>
              <w:spacing w:after="0"/>
              <w:rPr>
                <w:sz w:val="20"/>
                <w:szCs w:val="20"/>
                <w:color w:val="auto"/>
              </w:rPr>
            </w:pPr>
            <w:r>
              <w:rPr>
                <w:rFonts w:ascii="Arial" w:cs="Arial" w:eastAsia="Arial" w:hAnsi="Arial"/>
                <w:sz w:val="18"/>
                <w:szCs w:val="18"/>
                <w:color w:val="auto"/>
              </w:rPr>
              <w:t>2023</w:t>
            </w:r>
          </w:p>
        </w:tc>
        <w:tc>
          <w:tcPr>
            <w:tcW w:w="1800" w:type="dxa"/>
            <w:vAlign w:val="bottom"/>
          </w:tcPr>
          <w:p>
            <w:pPr>
              <w:jc w:val="right"/>
              <w:ind w:right="355"/>
              <w:spacing w:after="0"/>
              <w:rPr>
                <w:sz w:val="20"/>
                <w:szCs w:val="20"/>
                <w:color w:val="auto"/>
              </w:rPr>
            </w:pPr>
            <w:r>
              <w:rPr>
                <w:rFonts w:ascii="Arial" w:cs="Arial" w:eastAsia="Arial" w:hAnsi="Arial"/>
                <w:sz w:val="18"/>
                <w:szCs w:val="18"/>
                <w:color w:val="auto"/>
              </w:rPr>
              <w:t>109.3</w:t>
            </w:r>
          </w:p>
        </w:tc>
        <w:tc>
          <w:tcPr>
            <w:tcW w:w="300" w:type="dxa"/>
            <w:vAlign w:val="bottom"/>
          </w:tcPr>
          <w:p>
            <w:pPr>
              <w:spacing w:after="0"/>
              <w:rPr>
                <w:sz w:val="23"/>
                <w:szCs w:val="23"/>
                <w:color w:val="auto"/>
              </w:rPr>
            </w:pPr>
          </w:p>
        </w:tc>
        <w:tc>
          <w:tcPr>
            <w:tcW w:w="960" w:type="dxa"/>
            <w:vAlign w:val="bottom"/>
          </w:tcPr>
          <w:p>
            <w:pPr>
              <w:jc w:val="center"/>
              <w:ind w:right="94"/>
              <w:spacing w:after="0"/>
              <w:rPr>
                <w:sz w:val="20"/>
                <w:szCs w:val="20"/>
                <w:color w:val="auto"/>
              </w:rPr>
            </w:pPr>
            <w:r>
              <w:rPr>
                <w:rFonts w:ascii="Arial" w:cs="Arial" w:eastAsia="Arial" w:hAnsi="Arial"/>
                <w:sz w:val="18"/>
                <w:szCs w:val="18"/>
                <w:color w:val="auto"/>
              </w:rPr>
              <w:t>5.4</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(18.2 )</w:t>
            </w:r>
          </w:p>
        </w:tc>
        <w:tc>
          <w:tcPr>
            <w:tcW w:w="1280" w:type="dxa"/>
            <w:vAlign w:val="bottom"/>
          </w:tcPr>
          <w:p>
            <w:pPr>
              <w:jc w:val="right"/>
              <w:ind w:right="414"/>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3"/>
                <w:szCs w:val="23"/>
                <w:color w:val="auto"/>
              </w:rPr>
            </w:pPr>
          </w:p>
        </w:tc>
        <w:tc>
          <w:tcPr>
            <w:tcW w:w="130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5"/>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67"/>
        </w:trPr>
        <w:tc>
          <w:tcPr>
            <w:tcW w:w="2320" w:type="dxa"/>
            <w:vAlign w:val="bottom"/>
            <w:tcBorders>
              <w:bottom w:val="single" w:sz="8" w:color="auto"/>
            </w:tcBorders>
            <w:shd w:val="clear" w:color="auto" w:fill="E5E9F3"/>
          </w:tcPr>
          <w:p>
            <w:pPr>
              <w:jc w:val="right"/>
              <w:ind w:right="610"/>
              <w:spacing w:after="0"/>
              <w:rPr>
                <w:sz w:val="20"/>
                <w:szCs w:val="20"/>
                <w:color w:val="auto"/>
              </w:rPr>
            </w:pPr>
            <w:r>
              <w:rPr>
                <w:rFonts w:ascii="Arial" w:cs="Arial" w:eastAsia="Arial" w:hAnsi="Arial"/>
                <w:sz w:val="18"/>
                <w:szCs w:val="18"/>
                <w:color w:val="auto"/>
              </w:rPr>
              <w:t>2022</w:t>
            </w:r>
          </w:p>
        </w:tc>
        <w:tc>
          <w:tcPr>
            <w:tcW w:w="1800" w:type="dxa"/>
            <w:vAlign w:val="bottom"/>
            <w:tcBorders>
              <w:bottom w:val="single" w:sz="8" w:color="auto"/>
            </w:tcBorders>
            <w:shd w:val="clear" w:color="auto" w:fill="E5E9F3"/>
          </w:tcPr>
          <w:p>
            <w:pPr>
              <w:jc w:val="right"/>
              <w:ind w:right="355"/>
              <w:spacing w:after="0"/>
              <w:rPr>
                <w:sz w:val="20"/>
                <w:szCs w:val="20"/>
                <w:color w:val="auto"/>
              </w:rPr>
            </w:pPr>
            <w:r>
              <w:rPr>
                <w:rFonts w:ascii="Arial" w:cs="Arial" w:eastAsia="Arial" w:hAnsi="Arial"/>
                <w:sz w:val="18"/>
                <w:szCs w:val="18"/>
                <w:color w:val="auto"/>
              </w:rPr>
              <w:t>121.6</w:t>
            </w:r>
          </w:p>
        </w:tc>
        <w:tc>
          <w:tcPr>
            <w:tcW w:w="300" w:type="dxa"/>
            <w:vAlign w:val="bottom"/>
            <w:tcBorders>
              <w:bottom w:val="single" w:sz="8" w:color="auto"/>
            </w:tcBorders>
            <w:shd w:val="clear" w:color="auto" w:fill="E5E9F3"/>
          </w:tcPr>
          <w:p>
            <w:pPr>
              <w:spacing w:after="0"/>
              <w:rPr>
                <w:sz w:val="23"/>
                <w:szCs w:val="23"/>
                <w:color w:val="auto"/>
              </w:rPr>
            </w:pPr>
          </w:p>
        </w:tc>
        <w:tc>
          <w:tcPr>
            <w:tcW w:w="960" w:type="dxa"/>
            <w:vAlign w:val="bottom"/>
            <w:tcBorders>
              <w:bottom w:val="single" w:sz="8" w:color="auto"/>
            </w:tcBorders>
            <w:shd w:val="clear" w:color="auto" w:fill="E5E9F3"/>
          </w:tcPr>
          <w:p>
            <w:pPr>
              <w:jc w:val="center"/>
              <w:ind w:right="94"/>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auto"/>
            </w:tcBorders>
            <w:shd w:val="clear" w:color="auto" w:fill="E5E9F3"/>
          </w:tcPr>
          <w:p>
            <w:pPr>
              <w:jc w:val="center"/>
              <w:spacing w:after="0"/>
              <w:rPr>
                <w:sz w:val="20"/>
                <w:szCs w:val="20"/>
                <w:color w:val="auto"/>
              </w:rPr>
            </w:pPr>
            <w:r>
              <w:rPr>
                <w:rFonts w:ascii="Arial" w:cs="Arial" w:eastAsia="Arial" w:hAnsi="Arial"/>
                <w:sz w:val="18"/>
                <w:szCs w:val="18"/>
                <w:color w:val="auto"/>
                <w:w w:val="96"/>
              </w:rPr>
              <w:t>(12.4 )</w:t>
            </w:r>
          </w:p>
        </w:tc>
        <w:tc>
          <w:tcPr>
            <w:tcW w:w="1280" w:type="dxa"/>
            <w:vAlign w:val="bottom"/>
            <w:tcBorders>
              <w:bottom w:val="single" w:sz="8" w:color="auto"/>
            </w:tcBorders>
            <w:shd w:val="clear" w:color="auto" w:fill="E5E9F3"/>
          </w:tcPr>
          <w:p>
            <w:pPr>
              <w:jc w:val="right"/>
              <w:ind w:right="314"/>
              <w:spacing w:after="0"/>
              <w:rPr>
                <w:sz w:val="20"/>
                <w:szCs w:val="20"/>
                <w:color w:val="auto"/>
              </w:rPr>
            </w:pPr>
            <w:r>
              <w:rPr>
                <w:rFonts w:ascii="Arial" w:cs="Arial" w:eastAsia="Arial" w:hAnsi="Arial"/>
                <w:sz w:val="18"/>
                <w:szCs w:val="18"/>
                <w:color w:val="auto"/>
              </w:rPr>
              <w:t>(5.8 )</w:t>
            </w:r>
          </w:p>
        </w:tc>
        <w:tc>
          <w:tcPr>
            <w:tcW w:w="340" w:type="dxa"/>
            <w:vAlign w:val="bottom"/>
            <w:tcBorders>
              <w:bottom w:val="single" w:sz="8" w:color="auto"/>
            </w:tcBorders>
            <w:shd w:val="clear" w:color="auto" w:fill="E5E9F3"/>
          </w:tcPr>
          <w:p>
            <w:pPr>
              <w:spacing w:after="0"/>
              <w:rPr>
                <w:sz w:val="23"/>
                <w:szCs w:val="23"/>
                <w:color w:val="auto"/>
              </w:rPr>
            </w:pPr>
          </w:p>
        </w:tc>
        <w:tc>
          <w:tcPr>
            <w:tcW w:w="1300" w:type="dxa"/>
            <w:vAlign w:val="bottom"/>
            <w:tcBorders>
              <w:bottom w:val="single" w:sz="8" w:color="auto"/>
            </w:tcBorders>
            <w:shd w:val="clear" w:color="auto" w:fill="E5E9F3"/>
          </w:tcPr>
          <w:p>
            <w:pPr>
              <w:jc w:val="right"/>
              <w:ind w:right="533"/>
              <w:spacing w:after="0"/>
              <w:rPr>
                <w:sz w:val="20"/>
                <w:szCs w:val="20"/>
                <w:color w:val="auto"/>
              </w:rPr>
            </w:pPr>
            <w:r>
              <w:rPr>
                <w:rFonts w:ascii="Arial" w:cs="Arial" w:eastAsia="Arial" w:hAnsi="Arial"/>
                <w:sz w:val="18"/>
                <w:szCs w:val="18"/>
                <w:color w:val="auto"/>
              </w:rPr>
              <w:t>(0.3 )</w:t>
            </w:r>
          </w:p>
        </w:tc>
        <w:tc>
          <w:tcPr>
            <w:tcW w:w="1220" w:type="dxa"/>
            <w:vAlign w:val="bottom"/>
            <w:tcBorders>
              <w:bottom w:val="single" w:sz="8" w:color="auto"/>
            </w:tcBorders>
            <w:shd w:val="clear" w:color="auto" w:fill="E5E9F3"/>
          </w:tcPr>
          <w:p>
            <w:pPr>
              <w:jc w:val="right"/>
              <w:ind w:right="355"/>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tabs>
          <w:tab w:leader="none" w:pos="320" w:val="left"/>
        </w:tabs>
        <w:numPr>
          <w:ilvl w:val="0"/>
          <w:numId w:val="36"/>
        </w:numPr>
        <w:rPr>
          <w:rFonts w:ascii="Arial" w:cs="Arial" w:eastAsia="Arial" w:hAnsi="Arial"/>
          <w:sz w:val="10"/>
          <w:szCs w:val="10"/>
          <w:color w:val="auto"/>
        </w:rPr>
      </w:pPr>
      <w:r>
        <w:rPr>
          <w:rFonts w:ascii="Arial" w:cs="Arial" w:eastAsia="Arial" w:hAnsi="Arial"/>
          <w:sz w:val="16"/>
          <w:szCs w:val="16"/>
          <w:color w:val="auto"/>
        </w:rPr>
        <w:t>Includes a $24.7 bad debt write-off in Italy to secure tax benefits.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Bad debt expense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Advertising Costs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expense production costs of advertising as they are incurred. Advertising expenses were $28.3, $28.9 and $29.6 in 2024, 2023 and 2022,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Restructuring Costs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net restructuring costs of $53.6, $149.2 and $3.6 in 2024, 2023 and 2022, respectively, in selling and administrative expenses. Payments made from the restructuring reserve were $93.7 and $72.4 during 2024 and 2023, respectively. We use our restructuring reserve for severance, office closures, office consolidations, and professional and other fees related to restructuring in multiple countries and territories. We expect a majority of the remaining $46.5 reserve will be paid by the end of 2025.</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restructuring reserve by reportable segment and Corporate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Borders>
              <w:top w:val="single" w:sz="8" w:color="auto"/>
            </w:tcBorders>
            <w:shd w:val="clear" w:color="auto" w:fill="97AAD0"/>
          </w:tcPr>
          <w:p>
            <w:pPr>
              <w:spacing w:after="0"/>
              <w:rPr>
                <w:sz w:val="16"/>
                <w:szCs w:val="16"/>
                <w:color w:val="auto"/>
              </w:rPr>
            </w:pPr>
          </w:p>
        </w:tc>
        <w:tc>
          <w:tcPr>
            <w:tcW w:w="2000" w:type="dxa"/>
            <w:vAlign w:val="bottom"/>
            <w:tcBorders>
              <w:top w:val="single" w:sz="8" w:color="auto"/>
            </w:tcBorders>
            <w:gridSpan w:val="3"/>
            <w:vMerge w:val="restart"/>
            <w:shd w:val="clear" w:color="auto" w:fill="97AAD0"/>
          </w:tcPr>
          <w:p>
            <w:pPr>
              <w:ind w:left="960"/>
              <w:spacing w:after="0"/>
              <w:rPr>
                <w:sz w:val="20"/>
                <w:szCs w:val="20"/>
                <w:color w:val="auto"/>
              </w:rPr>
            </w:pPr>
            <w:r>
              <w:rPr>
                <w:rFonts w:ascii="Arial" w:cs="Arial" w:eastAsia="Arial" w:hAnsi="Arial"/>
                <w:sz w:val="16"/>
                <w:szCs w:val="16"/>
                <w:b w:val="1"/>
                <w:bCs w:val="1"/>
                <w:color w:val="auto"/>
              </w:rPr>
              <w:t>Americas</w:t>
            </w:r>
            <w:r>
              <w:rPr>
                <w:rFonts w:ascii="Arial" w:cs="Arial" w:eastAsia="Arial" w:hAnsi="Arial"/>
                <w:sz w:val="10"/>
                <w:szCs w:val="10"/>
                <w:b w:val="1"/>
                <w:bCs w:val="1"/>
                <w:color w:val="auto"/>
              </w:rPr>
              <w:t>(a)</w:t>
            </w:r>
          </w:p>
        </w:tc>
        <w:tc>
          <w:tcPr>
            <w:tcW w:w="1140" w:type="dxa"/>
            <w:vAlign w:val="bottom"/>
            <w:tcBorders>
              <w:top w:val="single" w:sz="8" w:color="auto"/>
            </w:tcBorders>
            <w:gridSpan w:val="2"/>
            <w:shd w:val="clear" w:color="auto" w:fill="97AAD0"/>
          </w:tcPr>
          <w:p>
            <w:pPr>
              <w:jc w:val="right"/>
              <w:ind w:right="170"/>
              <w:spacing w:after="0"/>
              <w:rPr>
                <w:sz w:val="20"/>
                <w:szCs w:val="20"/>
                <w:color w:val="auto"/>
              </w:rPr>
            </w:pPr>
            <w:r>
              <w:rPr>
                <w:rFonts w:ascii="Arial" w:cs="Arial" w:eastAsia="Arial" w:hAnsi="Arial"/>
                <w:sz w:val="16"/>
                <w:szCs w:val="16"/>
                <w:b w:val="1"/>
                <w:bCs w:val="1"/>
                <w:color w:val="auto"/>
              </w:rPr>
              <w:t>Southern</w:t>
            </w:r>
          </w:p>
        </w:tc>
        <w:tc>
          <w:tcPr>
            <w:tcW w:w="1080" w:type="dxa"/>
            <w:vAlign w:val="bottom"/>
            <w:tcBorders>
              <w:top w:val="single" w:sz="8" w:color="auto"/>
            </w:tcBorders>
            <w:gridSpan w:val="2"/>
            <w:shd w:val="clear" w:color="auto" w:fill="97AAD0"/>
          </w:tcPr>
          <w:p>
            <w:pPr>
              <w:jc w:val="right"/>
              <w:ind w:right="171"/>
              <w:spacing w:after="0"/>
              <w:rPr>
                <w:sz w:val="20"/>
                <w:szCs w:val="20"/>
                <w:color w:val="auto"/>
              </w:rPr>
            </w:pPr>
            <w:r>
              <w:rPr>
                <w:rFonts w:ascii="Arial" w:cs="Arial" w:eastAsia="Arial" w:hAnsi="Arial"/>
                <w:sz w:val="16"/>
                <w:szCs w:val="16"/>
                <w:b w:val="1"/>
                <w:bCs w:val="1"/>
                <w:color w:val="auto"/>
              </w:rPr>
              <w:t>Northern</w:t>
            </w:r>
          </w:p>
        </w:tc>
        <w:tc>
          <w:tcPr>
            <w:tcW w:w="220" w:type="dxa"/>
            <w:vAlign w:val="bottom"/>
            <w:tcBorders>
              <w:top w:val="single" w:sz="8" w:color="auto"/>
            </w:tcBorders>
            <w:shd w:val="clear" w:color="auto" w:fill="97AAD0"/>
          </w:tcPr>
          <w:p>
            <w:pPr>
              <w:spacing w:after="0"/>
              <w:rPr>
                <w:sz w:val="16"/>
                <w:szCs w:val="16"/>
                <w:color w:val="auto"/>
              </w:rPr>
            </w:pPr>
          </w:p>
        </w:tc>
        <w:tc>
          <w:tcPr>
            <w:tcW w:w="860" w:type="dxa"/>
            <w:vAlign w:val="bottom"/>
            <w:tcBorders>
              <w:top w:val="single" w:sz="8" w:color="auto"/>
            </w:tcBorders>
            <w:vMerge w:val="restart"/>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APME</w:t>
            </w:r>
          </w:p>
        </w:tc>
        <w:tc>
          <w:tcPr>
            <w:tcW w:w="1080" w:type="dxa"/>
            <w:vAlign w:val="bottom"/>
            <w:tcBorders>
              <w:top w:val="single" w:sz="8" w:color="auto"/>
            </w:tcBorders>
            <w:gridSpan w:val="2"/>
            <w:vMerge w:val="restart"/>
            <w:shd w:val="clear" w:color="auto" w:fill="97AAD0"/>
          </w:tcPr>
          <w:p>
            <w:pPr>
              <w:ind w:left="1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Borders>
              <w:top w:val="single" w:sz="8" w:color="auto"/>
            </w:tcBorders>
            <w:shd w:val="clear" w:color="auto" w:fill="97AAD0"/>
          </w:tcPr>
          <w:p>
            <w:pPr>
              <w:spacing w:after="0"/>
              <w:rPr>
                <w:sz w:val="16"/>
                <w:szCs w:val="16"/>
                <w:color w:val="auto"/>
              </w:rPr>
            </w:pPr>
          </w:p>
        </w:tc>
        <w:tc>
          <w:tcPr>
            <w:tcW w:w="760" w:type="dxa"/>
            <w:vAlign w:val="bottom"/>
            <w:tcBorders>
              <w:top w:val="single" w:sz="8" w:color="auto"/>
            </w:tcBorders>
            <w:vMerge w:val="restart"/>
            <w:shd w:val="clear" w:color="auto" w:fill="97AAD0"/>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97AAD0"/>
          </w:tcPr>
          <w:p>
            <w:pPr>
              <w:spacing w:after="0"/>
              <w:rPr>
                <w:sz w:val="20"/>
                <w:szCs w:val="20"/>
                <w:color w:val="auto"/>
              </w:rPr>
            </w:pPr>
          </w:p>
        </w:tc>
        <w:tc>
          <w:tcPr>
            <w:tcW w:w="2000" w:type="dxa"/>
            <w:vAlign w:val="bottom"/>
            <w:tcBorders>
              <w:bottom w:val="single" w:sz="8" w:color="auto"/>
            </w:tcBorders>
            <w:gridSpan w:val="3"/>
            <w:vMerge w:val="continue"/>
            <w:shd w:val="clear" w:color="auto" w:fill="97AAD0"/>
          </w:tcPr>
          <w:p>
            <w:pPr>
              <w:spacing w:after="0"/>
              <w:rPr>
                <w:sz w:val="20"/>
                <w:szCs w:val="20"/>
                <w:color w:val="auto"/>
              </w:rPr>
            </w:pPr>
          </w:p>
        </w:tc>
        <w:tc>
          <w:tcPr>
            <w:tcW w:w="1140" w:type="dxa"/>
            <w:vAlign w:val="bottom"/>
            <w:tcBorders>
              <w:bottom w:val="single" w:sz="8" w:color="auto"/>
            </w:tcBorders>
            <w:gridSpan w:val="2"/>
            <w:shd w:val="clear" w:color="auto" w:fill="97AAD0"/>
          </w:tcPr>
          <w:p>
            <w:pPr>
              <w:jc w:val="right"/>
              <w:ind w:right="190"/>
              <w:spacing w:after="0"/>
              <w:rPr>
                <w:sz w:val="20"/>
                <w:szCs w:val="20"/>
                <w:color w:val="auto"/>
              </w:rPr>
            </w:pPr>
            <w:r>
              <w:rPr>
                <w:rFonts w:ascii="Arial" w:cs="Arial" w:eastAsia="Arial" w:hAnsi="Arial"/>
                <w:sz w:val="16"/>
                <w:szCs w:val="16"/>
                <w:b w:val="1"/>
                <w:bCs w:val="1"/>
                <w:color w:val="auto"/>
              </w:rPr>
              <w:t>Europe</w:t>
            </w:r>
            <w:r>
              <w:rPr>
                <w:rFonts w:ascii="Arial" w:cs="Arial" w:eastAsia="Arial" w:hAnsi="Arial"/>
                <w:sz w:val="10"/>
                <w:szCs w:val="10"/>
                <w:b w:val="1"/>
                <w:bCs w:val="1"/>
                <w:color w:val="auto"/>
              </w:rPr>
              <w:t>(b)</w:t>
            </w:r>
          </w:p>
        </w:tc>
        <w:tc>
          <w:tcPr>
            <w:tcW w:w="200" w:type="dxa"/>
            <w:vAlign w:val="bottom"/>
            <w:tcBorders>
              <w:bottom w:val="single" w:sz="8" w:color="auto"/>
            </w:tcBorders>
            <w:shd w:val="clear" w:color="auto" w:fill="97AAD0"/>
          </w:tcPr>
          <w:p>
            <w:pPr>
              <w:spacing w:after="0"/>
              <w:rPr>
                <w:sz w:val="20"/>
                <w:szCs w:val="20"/>
                <w:color w:val="auto"/>
              </w:rPr>
            </w:pPr>
          </w:p>
        </w:tc>
        <w:tc>
          <w:tcPr>
            <w:tcW w:w="880" w:type="dxa"/>
            <w:vAlign w:val="bottom"/>
            <w:tcBorders>
              <w:bottom w:val="single" w:sz="8" w:color="auto"/>
            </w:tcBorders>
            <w:shd w:val="clear" w:color="auto" w:fill="97AAD0"/>
          </w:tcPr>
          <w:p>
            <w:pPr>
              <w:jc w:val="right"/>
              <w:ind w:right="231"/>
              <w:spacing w:after="0"/>
              <w:rPr>
                <w:sz w:val="20"/>
                <w:szCs w:val="20"/>
                <w:color w:val="auto"/>
              </w:rPr>
            </w:pPr>
            <w:r>
              <w:rPr>
                <w:rFonts w:ascii="Arial" w:cs="Arial" w:eastAsia="Arial" w:hAnsi="Arial"/>
                <w:sz w:val="16"/>
                <w:szCs w:val="16"/>
                <w:b w:val="1"/>
                <w:bCs w:val="1"/>
                <w:color w:val="auto"/>
                <w:w w:val="97"/>
              </w:rPr>
              <w:t>Europe</w:t>
            </w:r>
          </w:p>
        </w:tc>
        <w:tc>
          <w:tcPr>
            <w:tcW w:w="220" w:type="dxa"/>
            <w:vAlign w:val="bottom"/>
            <w:tcBorders>
              <w:bottom w:val="single" w:sz="8" w:color="auto"/>
            </w:tcBorders>
            <w:shd w:val="clear" w:color="auto" w:fill="97AAD0"/>
          </w:tcPr>
          <w:p>
            <w:pPr>
              <w:spacing w:after="0"/>
              <w:rPr>
                <w:sz w:val="20"/>
                <w:szCs w:val="20"/>
                <w:color w:val="auto"/>
              </w:rPr>
            </w:pPr>
          </w:p>
        </w:tc>
        <w:tc>
          <w:tcPr>
            <w:tcW w:w="860" w:type="dxa"/>
            <w:vAlign w:val="bottom"/>
            <w:tcBorders>
              <w:bottom w:val="single" w:sz="8" w:color="auto"/>
            </w:tcBorders>
            <w:vMerge w:val="continue"/>
            <w:shd w:val="clear" w:color="auto" w:fill="97AAD0"/>
          </w:tcPr>
          <w:p>
            <w:pPr>
              <w:spacing w:after="0"/>
              <w:rPr>
                <w:sz w:val="20"/>
                <w:szCs w:val="20"/>
                <w:color w:val="auto"/>
              </w:rPr>
            </w:pPr>
          </w:p>
        </w:tc>
        <w:tc>
          <w:tcPr>
            <w:tcW w:w="1080" w:type="dxa"/>
            <w:vAlign w:val="bottom"/>
            <w:tcBorders>
              <w:bottom w:val="single" w:sz="8" w:color="auto"/>
            </w:tcBorders>
            <w:gridSpan w:val="2"/>
            <w:vMerge w:val="continue"/>
            <w:shd w:val="clear" w:color="auto" w:fill="97AAD0"/>
          </w:tcPr>
          <w:p>
            <w:pPr>
              <w:spacing w:after="0"/>
              <w:rPr>
                <w:sz w:val="20"/>
                <w:szCs w:val="20"/>
                <w:color w:val="auto"/>
              </w:rPr>
            </w:pPr>
          </w:p>
        </w:tc>
        <w:tc>
          <w:tcPr>
            <w:tcW w:w="240" w:type="dxa"/>
            <w:vAlign w:val="bottom"/>
            <w:tcBorders>
              <w:bottom w:val="single" w:sz="8" w:color="auto"/>
            </w:tcBorders>
            <w:shd w:val="clear" w:color="auto" w:fill="97AAD0"/>
          </w:tcPr>
          <w:p>
            <w:pPr>
              <w:spacing w:after="0"/>
              <w:rPr>
                <w:sz w:val="20"/>
                <w:szCs w:val="20"/>
                <w:color w:val="auto"/>
              </w:rPr>
            </w:pPr>
          </w:p>
        </w:tc>
        <w:tc>
          <w:tcPr>
            <w:tcW w:w="760" w:type="dxa"/>
            <w:vAlign w:val="bottom"/>
            <w:tcBorders>
              <w:bottom w:val="single" w:sz="8" w:color="auto"/>
            </w:tcBorders>
            <w:vMerge w:val="continue"/>
            <w:shd w:val="clear" w:color="auto" w:fill="97AAD0"/>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Balance, December 31, 2022</w:t>
            </w:r>
          </w:p>
        </w:tc>
        <w:tc>
          <w:tcPr>
            <w:tcW w:w="1260" w:type="dxa"/>
            <w:vAlign w:val="bottom"/>
            <w:shd w:val="clear" w:color="auto" w:fill="E5E9F3"/>
          </w:tcPr>
          <w:p>
            <w:pPr>
              <w:ind w:lef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9F3"/>
          </w:tcPr>
          <w:p>
            <w:pPr>
              <w:spacing w:after="0"/>
              <w:rPr>
                <w:sz w:val="22"/>
                <w:szCs w:val="22"/>
                <w:color w:val="auto"/>
              </w:rPr>
            </w:pPr>
          </w:p>
        </w:tc>
        <w:tc>
          <w:tcPr>
            <w:tcW w:w="400" w:type="dxa"/>
            <w:vAlign w:val="bottom"/>
            <w:shd w:val="clear" w:color="auto" w:fill="E5E9F3"/>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0.2</w:t>
            </w:r>
          </w:p>
        </w:tc>
        <w:tc>
          <w:tcPr>
            <w:tcW w:w="4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2"/>
                <w:szCs w:val="22"/>
                <w:color w:val="auto"/>
              </w:rPr>
            </w:pPr>
          </w:p>
        </w:tc>
        <w:tc>
          <w:tcPr>
            <w:tcW w:w="7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7"/>
        </w:trPr>
        <w:tc>
          <w:tcPr>
            <w:tcW w:w="3420" w:type="dxa"/>
            <w:vAlign w:val="bottom"/>
          </w:tcPr>
          <w:p>
            <w:pPr>
              <w:ind w:left="300"/>
              <w:spacing w:after="0"/>
              <w:rPr>
                <w:sz w:val="20"/>
                <w:szCs w:val="20"/>
                <w:color w:val="auto"/>
              </w:rPr>
            </w:pPr>
            <w:r>
              <w:rPr>
                <w:rFonts w:ascii="Arial" w:cs="Arial" w:eastAsia="Arial" w:hAnsi="Arial"/>
                <w:sz w:val="18"/>
                <w:szCs w:val="18"/>
                <w:color w:val="auto"/>
              </w:rPr>
              <w:t>Severance costs</w:t>
            </w:r>
          </w:p>
        </w:tc>
        <w:tc>
          <w:tcPr>
            <w:tcW w:w="1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67"/>
        </w:trPr>
        <w:tc>
          <w:tcPr>
            <w:tcW w:w="34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costs</w:t>
            </w:r>
          </w:p>
        </w:tc>
        <w:tc>
          <w:tcPr>
            <w:tcW w:w="1260" w:type="dxa"/>
            <w:vAlign w:val="bottom"/>
            <w:shd w:val="clear" w:color="auto" w:fill="E5E9F3"/>
          </w:tcPr>
          <w:p>
            <w:pPr>
              <w:spacing w:after="0"/>
              <w:rPr>
                <w:sz w:val="23"/>
                <w:szCs w:val="23"/>
                <w:color w:val="auto"/>
              </w:rPr>
            </w:pPr>
          </w:p>
        </w:tc>
        <w:tc>
          <w:tcPr>
            <w:tcW w:w="5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9F3"/>
          </w:tcPr>
          <w:p>
            <w:pPr>
              <w:spacing w:after="0"/>
              <w:rPr>
                <w:sz w:val="23"/>
                <w:szCs w:val="23"/>
                <w:color w:val="auto"/>
              </w:rPr>
            </w:pPr>
          </w:p>
        </w:tc>
        <w:tc>
          <w:tcPr>
            <w:tcW w:w="400" w:type="dxa"/>
            <w:vAlign w:val="bottom"/>
            <w:shd w:val="clear" w:color="auto" w:fill="E5E9F3"/>
          </w:tcPr>
          <w:p>
            <w:pPr>
              <w:spacing w:after="0"/>
              <w:rPr>
                <w:sz w:val="23"/>
                <w:szCs w:val="23"/>
                <w:color w:val="auto"/>
              </w:rPr>
            </w:pPr>
          </w:p>
        </w:tc>
        <w:tc>
          <w:tcPr>
            <w:tcW w:w="74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9F3"/>
          </w:tcPr>
          <w:p>
            <w:pPr>
              <w:spacing w:after="0"/>
              <w:rPr>
                <w:sz w:val="23"/>
                <w:szCs w:val="23"/>
                <w:color w:val="auto"/>
              </w:rPr>
            </w:pPr>
          </w:p>
        </w:tc>
        <w:tc>
          <w:tcPr>
            <w:tcW w:w="6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3"/>
                <w:szCs w:val="23"/>
                <w:color w:val="auto"/>
              </w:rPr>
            </w:pPr>
          </w:p>
        </w:tc>
        <w:tc>
          <w:tcPr>
            <w:tcW w:w="7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67"/>
        </w:trPr>
        <w:tc>
          <w:tcPr>
            <w:tcW w:w="3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Costs paid</w:t>
            </w:r>
          </w:p>
        </w:tc>
        <w:tc>
          <w:tcPr>
            <w:tcW w:w="1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(7.7 )</w:t>
            </w: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(8.7 )</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(52.5 )</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(3.1 )</w:t>
            </w: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Balance, December 31, 2023</w:t>
            </w:r>
          </w:p>
        </w:tc>
        <w:tc>
          <w:tcPr>
            <w:tcW w:w="1260" w:type="dxa"/>
            <w:vAlign w:val="bottom"/>
            <w:tcBorders>
              <w:bottom w:val="single" w:sz="8" w:color="auto"/>
            </w:tcBorders>
            <w:shd w:val="clear" w:color="auto" w:fill="E5E9F3"/>
          </w:tcPr>
          <w:p>
            <w:pPr>
              <w:ind w:left="9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shd w:val="clear" w:color="auto" w:fill="E5E9F3"/>
          </w:tcPr>
          <w:p>
            <w:pPr>
              <w:spacing w:after="0"/>
              <w:rPr>
                <w:sz w:val="22"/>
                <w:szCs w:val="22"/>
                <w:color w:val="auto"/>
              </w:rPr>
            </w:pPr>
          </w:p>
        </w:tc>
        <w:tc>
          <w:tcPr>
            <w:tcW w:w="400" w:type="dxa"/>
            <w:vAlign w:val="bottom"/>
            <w:tcBorders>
              <w:bottom w:val="single" w:sz="8" w:color="auto"/>
            </w:tcBorders>
            <w:shd w:val="clear" w:color="auto" w:fill="E5E9F3"/>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7"/>
        </w:trPr>
        <w:tc>
          <w:tcPr>
            <w:tcW w:w="3420" w:type="dxa"/>
            <w:vAlign w:val="bottom"/>
          </w:tcPr>
          <w:p>
            <w:pPr>
              <w:ind w:left="300"/>
              <w:spacing w:after="0"/>
              <w:rPr>
                <w:sz w:val="20"/>
                <w:szCs w:val="20"/>
                <w:color w:val="auto"/>
              </w:rPr>
            </w:pPr>
            <w:r>
              <w:rPr>
                <w:rFonts w:ascii="Arial" w:cs="Arial" w:eastAsia="Arial" w:hAnsi="Arial"/>
                <w:sz w:val="18"/>
                <w:szCs w:val="18"/>
                <w:color w:val="auto"/>
              </w:rPr>
              <w:t>Severance costs</w:t>
            </w:r>
          </w:p>
        </w:tc>
        <w:tc>
          <w:tcPr>
            <w:tcW w:w="1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2"/>
                <w:szCs w:val="22"/>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2"/>
                <w:szCs w:val="22"/>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67"/>
        </w:trPr>
        <w:tc>
          <w:tcPr>
            <w:tcW w:w="3420" w:type="dxa"/>
            <w:vAlign w:val="bottom"/>
            <w:shd w:val="clear" w:color="auto" w:fill="E5E9F3"/>
          </w:tcPr>
          <w:p>
            <w:pPr>
              <w:ind w:left="300"/>
              <w:spacing w:after="0" w:line="267" w:lineRule="exact"/>
              <w:rPr>
                <w:sz w:val="20"/>
                <w:szCs w:val="20"/>
                <w:color w:val="auto"/>
              </w:rPr>
            </w:pPr>
            <w:r>
              <w:rPr>
                <w:rFonts w:ascii="Arial" w:cs="Arial" w:eastAsia="Arial" w:hAnsi="Arial"/>
                <w:sz w:val="18"/>
                <w:szCs w:val="18"/>
                <w:color w:val="auto"/>
              </w:rPr>
              <w:t>Lease costs</w:t>
            </w:r>
            <w:r>
              <w:rPr>
                <w:rFonts w:ascii="Arial" w:cs="Arial" w:eastAsia="Arial" w:hAnsi="Arial"/>
                <w:sz w:val="24"/>
                <w:szCs w:val="24"/>
                <w:color w:val="auto"/>
                <w:vertAlign w:val="superscript"/>
              </w:rPr>
              <w:t>(c)</w:t>
            </w:r>
          </w:p>
        </w:tc>
        <w:tc>
          <w:tcPr>
            <w:tcW w:w="1260" w:type="dxa"/>
            <w:vAlign w:val="bottom"/>
            <w:shd w:val="clear" w:color="auto" w:fill="E5E9F3"/>
          </w:tcPr>
          <w:p>
            <w:pPr>
              <w:spacing w:after="0"/>
              <w:rPr>
                <w:sz w:val="23"/>
                <w:szCs w:val="23"/>
                <w:color w:val="auto"/>
              </w:rPr>
            </w:pPr>
          </w:p>
        </w:tc>
        <w:tc>
          <w:tcPr>
            <w:tcW w:w="5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E5E9F3"/>
          </w:tcPr>
          <w:p>
            <w:pPr>
              <w:spacing w:after="0"/>
              <w:rPr>
                <w:sz w:val="23"/>
                <w:szCs w:val="23"/>
                <w:color w:val="auto"/>
              </w:rPr>
            </w:pPr>
          </w:p>
        </w:tc>
        <w:tc>
          <w:tcPr>
            <w:tcW w:w="400" w:type="dxa"/>
            <w:vAlign w:val="bottom"/>
            <w:shd w:val="clear" w:color="auto" w:fill="E5E9F3"/>
          </w:tcPr>
          <w:p>
            <w:pPr>
              <w:spacing w:after="0"/>
              <w:rPr>
                <w:sz w:val="23"/>
                <w:szCs w:val="23"/>
                <w:color w:val="auto"/>
              </w:rPr>
            </w:pPr>
          </w:p>
        </w:tc>
        <w:tc>
          <w:tcPr>
            <w:tcW w:w="74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9F3"/>
          </w:tcPr>
          <w:p>
            <w:pPr>
              <w:spacing w:after="0"/>
              <w:rPr>
                <w:sz w:val="23"/>
                <w:szCs w:val="23"/>
                <w:color w:val="auto"/>
              </w:rPr>
            </w:pPr>
          </w:p>
        </w:tc>
        <w:tc>
          <w:tcPr>
            <w:tcW w:w="6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3"/>
                <w:szCs w:val="23"/>
                <w:color w:val="auto"/>
              </w:rPr>
            </w:pPr>
          </w:p>
        </w:tc>
        <w:tc>
          <w:tcPr>
            <w:tcW w:w="7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7"/>
        </w:trPr>
        <w:tc>
          <w:tcPr>
            <w:tcW w:w="3420" w:type="dxa"/>
            <w:vAlign w:val="bottom"/>
          </w:tcPr>
          <w:p>
            <w:pPr>
              <w:ind w:left="300"/>
              <w:spacing w:after="0"/>
              <w:rPr>
                <w:sz w:val="20"/>
                <w:szCs w:val="20"/>
                <w:color w:val="auto"/>
              </w:rPr>
            </w:pPr>
            <w:r>
              <w:rPr>
                <w:rFonts w:ascii="Arial" w:cs="Arial" w:eastAsia="Arial" w:hAnsi="Arial"/>
                <w:sz w:val="18"/>
                <w:szCs w:val="18"/>
                <w:color w:val="auto"/>
              </w:rPr>
              <w:t>Other costs</w:t>
            </w:r>
          </w:p>
        </w:tc>
        <w:tc>
          <w:tcPr>
            <w:tcW w:w="1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7"/>
        </w:trPr>
        <w:tc>
          <w:tcPr>
            <w:tcW w:w="34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Non-cash charges</w:t>
            </w:r>
          </w:p>
        </w:tc>
        <w:tc>
          <w:tcPr>
            <w:tcW w:w="1260" w:type="dxa"/>
            <w:vAlign w:val="bottom"/>
            <w:shd w:val="clear" w:color="auto" w:fill="E5E9F3"/>
          </w:tcPr>
          <w:p>
            <w:pPr>
              <w:spacing w:after="0"/>
              <w:rPr>
                <w:sz w:val="23"/>
                <w:szCs w:val="23"/>
                <w:color w:val="auto"/>
              </w:rPr>
            </w:pPr>
          </w:p>
        </w:tc>
        <w:tc>
          <w:tcPr>
            <w:tcW w:w="5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E5E9F3"/>
          </w:tcPr>
          <w:p>
            <w:pPr>
              <w:jc w:val="right"/>
              <w:ind w:right="20"/>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E5E9F3"/>
          </w:tcPr>
          <w:p>
            <w:pPr>
              <w:spacing w:after="0"/>
              <w:rPr>
                <w:sz w:val="23"/>
                <w:szCs w:val="23"/>
                <w:color w:val="auto"/>
              </w:rPr>
            </w:pPr>
          </w:p>
        </w:tc>
        <w:tc>
          <w:tcPr>
            <w:tcW w:w="74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(0.1 )</w:t>
            </w:r>
          </w:p>
        </w:tc>
        <w:tc>
          <w:tcPr>
            <w:tcW w:w="20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(2.8 )</w:t>
            </w:r>
          </w:p>
        </w:tc>
        <w:tc>
          <w:tcPr>
            <w:tcW w:w="220" w:type="dxa"/>
            <w:vAlign w:val="bottom"/>
            <w:shd w:val="clear" w:color="auto" w:fill="E5E9F3"/>
          </w:tcPr>
          <w:p>
            <w:pPr>
              <w:spacing w:after="0"/>
              <w:rPr>
                <w:sz w:val="23"/>
                <w:szCs w:val="23"/>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9F3"/>
          </w:tcPr>
          <w:p>
            <w:pPr>
              <w:spacing w:after="0"/>
              <w:rPr>
                <w:sz w:val="23"/>
                <w:szCs w:val="23"/>
                <w:color w:val="auto"/>
              </w:rPr>
            </w:pPr>
          </w:p>
        </w:tc>
        <w:tc>
          <w:tcPr>
            <w:tcW w:w="6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3"/>
                <w:szCs w:val="23"/>
                <w:color w:val="auto"/>
              </w:rPr>
            </w:pPr>
          </w:p>
        </w:tc>
        <w:tc>
          <w:tcPr>
            <w:tcW w:w="7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67"/>
        </w:trPr>
        <w:tc>
          <w:tcPr>
            <w:tcW w:w="3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Costs paid</w:t>
            </w:r>
          </w:p>
        </w:tc>
        <w:tc>
          <w:tcPr>
            <w:tcW w:w="1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(7.8 )</w:t>
            </w: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(7.7 )</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(77.4 )</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(0.8 )</w:t>
            </w: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(93.7 )</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Balance, December 31, 2024</w:t>
            </w:r>
          </w:p>
        </w:tc>
        <w:tc>
          <w:tcPr>
            <w:tcW w:w="1260" w:type="dxa"/>
            <w:vAlign w:val="bottom"/>
            <w:tcBorders>
              <w:bottom w:val="single" w:sz="8" w:color="auto"/>
            </w:tcBorders>
            <w:shd w:val="clear" w:color="auto" w:fill="E5E9F3"/>
          </w:tcPr>
          <w:p>
            <w:pPr>
              <w:ind w:left="9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shd w:val="clear" w:color="auto" w:fill="E5E9F3"/>
          </w:tcPr>
          <w:p>
            <w:pPr>
              <w:spacing w:after="0"/>
              <w:rPr>
                <w:sz w:val="22"/>
                <w:szCs w:val="22"/>
                <w:color w:val="auto"/>
              </w:rPr>
            </w:pPr>
          </w:p>
        </w:tc>
        <w:tc>
          <w:tcPr>
            <w:tcW w:w="400" w:type="dxa"/>
            <w:vAlign w:val="bottom"/>
            <w:tcBorders>
              <w:bottom w:val="single" w:sz="8" w:color="auto"/>
            </w:tcBorders>
            <w:shd w:val="clear" w:color="auto" w:fill="E5E9F3"/>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left="320" w:hanging="320"/>
        <w:spacing w:after="0" w:line="257" w:lineRule="auto"/>
        <w:tabs>
          <w:tab w:leader="none" w:pos="320" w:val="left"/>
        </w:tabs>
        <w:numPr>
          <w:ilvl w:val="0"/>
          <w:numId w:val="37"/>
        </w:numPr>
        <w:rPr>
          <w:rFonts w:ascii="Arial" w:cs="Arial" w:eastAsia="Arial" w:hAnsi="Arial"/>
          <w:sz w:val="10"/>
          <w:szCs w:val="10"/>
          <w:color w:val="auto"/>
        </w:rPr>
      </w:pPr>
      <w:r>
        <w:rPr>
          <w:rFonts w:ascii="Arial" w:cs="Arial" w:eastAsia="Arial" w:hAnsi="Arial"/>
          <w:sz w:val="16"/>
          <w:szCs w:val="16"/>
          <w:color w:val="auto"/>
        </w:rPr>
        <w:t>Balance related to United States was $0.6 as of December 31, 2022. In 2023, United States incurred $7.7 for severance costs and paid $4.6, leaving a $3.7 liability as of December 31, 2023. In 2024, United States incurred $6.0 for severance costs, $0.1 for other costs and paid $5.8, leaving a $4.0 liability as of December 31, 2024.</w:t>
      </w:r>
    </w:p>
    <w:p>
      <w:pPr>
        <w:jc w:val="both"/>
        <w:ind w:left="320" w:hanging="320"/>
        <w:spacing w:after="0" w:line="250" w:lineRule="auto"/>
        <w:tabs>
          <w:tab w:leader="none" w:pos="320" w:val="left"/>
        </w:tabs>
        <w:numPr>
          <w:ilvl w:val="0"/>
          <w:numId w:val="37"/>
        </w:numPr>
        <w:rPr>
          <w:rFonts w:ascii="Arial" w:cs="Arial" w:eastAsia="Arial" w:hAnsi="Arial"/>
          <w:sz w:val="10"/>
          <w:szCs w:val="10"/>
          <w:color w:val="auto"/>
        </w:rPr>
      </w:pPr>
      <w:r>
        <w:rPr>
          <w:rFonts w:ascii="Arial" w:cs="Arial" w:eastAsia="Arial" w:hAnsi="Arial"/>
          <w:sz w:val="16"/>
          <w:szCs w:val="16"/>
          <w:color w:val="auto"/>
        </w:rPr>
        <w:t>France had a $0.9 liability as of December 31, 2022. In 2023, France incurred $2.1 for severance costs, $0.4 for other costs and paid $0.9, leaving a $2.5 liability as of December 31, 2023. In 2024, France incurred $1.3 for severance costs, $0.5 for other costs and paid $3.1, leaving a $1.2 liability as of December 31, 2024. As of December 31, 2022 Italy had no restructuring liability. In 2023, Italy incurred $1.6 for severance costs and paid $0.6, leaving a $1.0 liability as of December 31, 2023. In 2024, Italy incurred $1.9 for severance costs, $0.1 for other costs and paid $1.0, leaving a $2.0 liability as of December 31, 2024.</w:t>
      </w:r>
    </w:p>
    <w:p>
      <w:pPr>
        <w:spacing w:after="0" w:line="1" w:lineRule="exact"/>
        <w:rPr>
          <w:rFonts w:ascii="Arial" w:cs="Arial" w:eastAsia="Arial" w:hAnsi="Arial"/>
          <w:sz w:val="10"/>
          <w:szCs w:val="10"/>
          <w:color w:val="auto"/>
        </w:rPr>
      </w:pPr>
    </w:p>
    <w:p>
      <w:pPr>
        <w:ind w:left="320" w:hanging="320"/>
        <w:spacing w:after="0" w:line="280" w:lineRule="auto"/>
        <w:tabs>
          <w:tab w:leader="none" w:pos="320" w:val="left"/>
        </w:tabs>
        <w:numPr>
          <w:ilvl w:val="0"/>
          <w:numId w:val="37"/>
        </w:numPr>
        <w:rPr>
          <w:rFonts w:ascii="Arial" w:cs="Arial" w:eastAsia="Arial" w:hAnsi="Arial"/>
          <w:sz w:val="10"/>
          <w:szCs w:val="10"/>
          <w:color w:val="auto"/>
        </w:rPr>
      </w:pPr>
      <w:r>
        <w:rPr>
          <w:rFonts w:ascii="Arial" w:cs="Arial" w:eastAsia="Arial" w:hAnsi="Arial"/>
          <w:sz w:val="16"/>
          <w:szCs w:val="16"/>
          <w:color w:val="auto"/>
        </w:rPr>
        <w:t>Liabilities related to exited leased facilities are recorded within our short-term and long-term operating lease liabilities within our Consolidated Balance Sheets.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10800"/>
          </w:cols>
          <w:pgMar w:left="720" w:top="734" w:right="720" w:bottom="175" w:gutter="0" w:footer="0" w:header="0"/>
          <w:type w:val="continuous"/>
        </w:sectPr>
      </w:pPr>
    </w:p>
    <w:bookmarkStart w:id="62" w:name="page63"/>
    <w:bookmarkEnd w:id="6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6" o:spid="_x0000_s110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Income Taxes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Fair Value Measurements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assets and liabilities measured and recorded at fair value on a recurring basis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20" w:type="dxa"/>
            <w:vAlign w:val="bottom"/>
            <w:tcBorders>
              <w:top w:val="single" w:sz="8" w:color="auto"/>
            </w:tcBorders>
            <w:shd w:val="clear" w:color="auto" w:fill="97AAD0"/>
          </w:tcPr>
          <w:p>
            <w:pPr>
              <w:spacing w:after="0"/>
              <w:rPr>
                <w:sz w:val="16"/>
                <w:szCs w:val="16"/>
                <w:color w:val="auto"/>
              </w:rPr>
            </w:pPr>
          </w:p>
        </w:tc>
        <w:tc>
          <w:tcPr>
            <w:tcW w:w="320" w:type="dxa"/>
            <w:vAlign w:val="bottom"/>
            <w:tcBorders>
              <w:top w:val="single" w:sz="8" w:color="auto"/>
            </w:tcBorders>
            <w:shd w:val="clear" w:color="auto" w:fill="97AAD0"/>
          </w:tcPr>
          <w:p>
            <w:pPr>
              <w:spacing w:after="0"/>
              <w:rPr>
                <w:sz w:val="16"/>
                <w:szCs w:val="16"/>
                <w:color w:val="auto"/>
              </w:rPr>
            </w:pPr>
          </w:p>
        </w:tc>
        <w:tc>
          <w:tcPr>
            <w:tcW w:w="3500" w:type="dxa"/>
            <w:vAlign w:val="bottom"/>
            <w:tcBorders>
              <w:top w:val="single" w:sz="8" w:color="auto"/>
            </w:tcBorders>
            <w:gridSpan w:val="7"/>
            <w:shd w:val="clear" w:color="auto" w:fill="97AAD0"/>
          </w:tcPr>
          <w:p>
            <w:pPr>
              <w:ind w:left="540"/>
              <w:spacing w:after="0"/>
              <w:rPr>
                <w:sz w:val="20"/>
                <w:szCs w:val="20"/>
                <w:color w:val="auto"/>
              </w:rPr>
            </w:pPr>
            <w:r>
              <w:rPr>
                <w:rFonts w:ascii="Arial" w:cs="Arial" w:eastAsia="Arial" w:hAnsi="Arial"/>
                <w:sz w:val="16"/>
                <w:szCs w:val="16"/>
                <w:b w:val="1"/>
                <w:bCs w:val="1"/>
                <w:color w:val="auto"/>
              </w:rPr>
              <w:t>Fair Value Measurements Using</w:t>
            </w:r>
          </w:p>
        </w:tc>
        <w:tc>
          <w:tcPr>
            <w:tcW w:w="220" w:type="dxa"/>
            <w:vAlign w:val="bottom"/>
            <w:tcBorders>
              <w:top w:val="single" w:sz="8" w:color="auto"/>
            </w:tcBorders>
            <w:shd w:val="clear" w:color="auto" w:fill="97AAD0"/>
          </w:tcPr>
          <w:p>
            <w:pPr>
              <w:spacing w:after="0"/>
              <w:rPr>
                <w:sz w:val="16"/>
                <w:szCs w:val="16"/>
                <w:color w:val="auto"/>
              </w:rPr>
            </w:pPr>
          </w:p>
        </w:tc>
        <w:tc>
          <w:tcPr>
            <w:tcW w:w="220" w:type="dxa"/>
            <w:vAlign w:val="bottom"/>
            <w:tcBorders>
              <w:top w:val="single" w:sz="8" w:color="auto"/>
            </w:tcBorders>
            <w:shd w:val="clear" w:color="auto" w:fill="97AAD0"/>
          </w:tcPr>
          <w:p>
            <w:pPr>
              <w:spacing w:after="0"/>
              <w:rPr>
                <w:sz w:val="16"/>
                <w:szCs w:val="16"/>
                <w:color w:val="auto"/>
              </w:rPr>
            </w:pPr>
          </w:p>
        </w:tc>
        <w:tc>
          <w:tcPr>
            <w:tcW w:w="3520" w:type="dxa"/>
            <w:vAlign w:val="bottom"/>
            <w:tcBorders>
              <w:top w:val="single" w:sz="8" w:color="auto"/>
            </w:tcBorders>
            <w:gridSpan w:val="7"/>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rPr>
              <w:t>Fair Value Measurements Using</w:t>
            </w:r>
          </w:p>
        </w:tc>
        <w:tc>
          <w:tcPr>
            <w:tcW w:w="0" w:type="dxa"/>
            <w:vAlign w:val="bottom"/>
          </w:tcPr>
          <w:p>
            <w:pPr>
              <w:spacing w:after="0"/>
              <w:rPr>
                <w:sz w:val="1"/>
                <w:szCs w:val="1"/>
                <w:color w:val="auto"/>
              </w:rPr>
            </w:pPr>
          </w:p>
        </w:tc>
      </w:tr>
      <w:tr>
        <w:trPr>
          <w:trHeight w:val="184"/>
        </w:trPr>
        <w:tc>
          <w:tcPr>
            <w:tcW w:w="3020" w:type="dxa"/>
            <w:vAlign w:val="bottom"/>
            <w:tcBorders>
              <w:bottom w:val="single" w:sz="8" w:color="auto"/>
            </w:tcBorders>
            <w:shd w:val="clear" w:color="auto" w:fill="97AAD0"/>
          </w:tcPr>
          <w:p>
            <w:pPr>
              <w:spacing w:after="0"/>
              <w:rPr>
                <w:sz w:val="15"/>
                <w:szCs w:val="15"/>
                <w:color w:val="auto"/>
              </w:rPr>
            </w:pPr>
          </w:p>
        </w:tc>
        <w:tc>
          <w:tcPr>
            <w:tcW w:w="320" w:type="dxa"/>
            <w:vAlign w:val="bottom"/>
            <w:tcBorders>
              <w:bottom w:val="single" w:sz="8" w:color="auto"/>
            </w:tcBorders>
            <w:shd w:val="clear" w:color="auto" w:fill="97AAD0"/>
          </w:tcPr>
          <w:p>
            <w:pPr>
              <w:spacing w:after="0"/>
              <w:rPr>
                <w:sz w:val="15"/>
                <w:szCs w:val="15"/>
                <w:color w:val="auto"/>
              </w:rPr>
            </w:pPr>
          </w:p>
        </w:tc>
        <w:tc>
          <w:tcPr>
            <w:tcW w:w="840" w:type="dxa"/>
            <w:vAlign w:val="bottom"/>
            <w:tcBorders>
              <w:bottom w:val="single" w:sz="8" w:color="auto"/>
            </w:tcBorders>
            <w:shd w:val="clear" w:color="auto" w:fill="97AAD0"/>
          </w:tcPr>
          <w:p>
            <w:pPr>
              <w:spacing w:after="0"/>
              <w:rPr>
                <w:sz w:val="15"/>
                <w:szCs w:val="15"/>
                <w:color w:val="auto"/>
              </w:rPr>
            </w:pPr>
          </w:p>
        </w:tc>
        <w:tc>
          <w:tcPr>
            <w:tcW w:w="120" w:type="dxa"/>
            <w:vAlign w:val="bottom"/>
            <w:tcBorders>
              <w:bottom w:val="single" w:sz="8" w:color="auto"/>
            </w:tcBorders>
            <w:shd w:val="clear" w:color="auto" w:fill="97AAD0"/>
          </w:tcPr>
          <w:p>
            <w:pPr>
              <w:spacing w:after="0"/>
              <w:rPr>
                <w:sz w:val="15"/>
                <w:szCs w:val="15"/>
                <w:color w:val="auto"/>
              </w:rPr>
            </w:pPr>
          </w:p>
        </w:tc>
        <w:tc>
          <w:tcPr>
            <w:tcW w:w="760" w:type="dxa"/>
            <w:vAlign w:val="bottom"/>
            <w:tcBorders>
              <w:bottom w:val="single" w:sz="8" w:color="auto"/>
            </w:tcBorders>
            <w:shd w:val="clear" w:color="auto" w:fill="97AAD0"/>
          </w:tcPr>
          <w:p>
            <w:pPr>
              <w:spacing w:after="0"/>
              <w:rPr>
                <w:sz w:val="15"/>
                <w:szCs w:val="15"/>
                <w:color w:val="auto"/>
              </w:rPr>
            </w:pPr>
          </w:p>
        </w:tc>
        <w:tc>
          <w:tcPr>
            <w:tcW w:w="120" w:type="dxa"/>
            <w:vAlign w:val="bottom"/>
            <w:tcBorders>
              <w:bottom w:val="single" w:sz="8" w:color="auto"/>
            </w:tcBorders>
            <w:shd w:val="clear" w:color="auto" w:fill="97AAD0"/>
          </w:tcPr>
          <w:p>
            <w:pPr>
              <w:spacing w:after="0"/>
              <w:rPr>
                <w:sz w:val="15"/>
                <w:szCs w:val="15"/>
                <w:color w:val="auto"/>
              </w:rPr>
            </w:pPr>
          </w:p>
        </w:tc>
        <w:tc>
          <w:tcPr>
            <w:tcW w:w="780" w:type="dxa"/>
            <w:vAlign w:val="bottom"/>
            <w:tcBorders>
              <w:bottom w:val="single" w:sz="8" w:color="auto"/>
            </w:tcBorders>
            <w:shd w:val="clear" w:color="auto" w:fill="97AAD0"/>
          </w:tcPr>
          <w:p>
            <w:pPr>
              <w:spacing w:after="0"/>
              <w:rPr>
                <w:sz w:val="15"/>
                <w:szCs w:val="15"/>
                <w:color w:val="auto"/>
              </w:rPr>
            </w:pPr>
          </w:p>
        </w:tc>
        <w:tc>
          <w:tcPr>
            <w:tcW w:w="120" w:type="dxa"/>
            <w:vAlign w:val="bottom"/>
            <w:tcBorders>
              <w:bottom w:val="single" w:sz="8" w:color="auto"/>
            </w:tcBorders>
            <w:shd w:val="clear" w:color="auto" w:fill="97AAD0"/>
          </w:tcPr>
          <w:p>
            <w:pPr>
              <w:spacing w:after="0"/>
              <w:rPr>
                <w:sz w:val="15"/>
                <w:szCs w:val="15"/>
                <w:color w:val="auto"/>
              </w:rPr>
            </w:pPr>
          </w:p>
        </w:tc>
        <w:tc>
          <w:tcPr>
            <w:tcW w:w="760" w:type="dxa"/>
            <w:vAlign w:val="bottom"/>
            <w:tcBorders>
              <w:bottom w:val="single" w:sz="8" w:color="auto"/>
            </w:tcBorders>
            <w:shd w:val="clear" w:color="auto" w:fill="97AAD0"/>
          </w:tcPr>
          <w:p>
            <w:pPr>
              <w:spacing w:after="0"/>
              <w:rPr>
                <w:sz w:val="15"/>
                <w:szCs w:val="15"/>
                <w:color w:val="auto"/>
              </w:rPr>
            </w:pPr>
          </w:p>
        </w:tc>
        <w:tc>
          <w:tcPr>
            <w:tcW w:w="220" w:type="dxa"/>
            <w:vAlign w:val="bottom"/>
            <w:tcBorders>
              <w:bottom w:val="single" w:sz="8" w:color="auto"/>
            </w:tcBorders>
            <w:shd w:val="clear" w:color="auto" w:fill="97AAD0"/>
          </w:tcPr>
          <w:p>
            <w:pPr>
              <w:spacing w:after="0"/>
              <w:rPr>
                <w:sz w:val="15"/>
                <w:szCs w:val="15"/>
                <w:color w:val="auto"/>
              </w:rPr>
            </w:pPr>
          </w:p>
        </w:tc>
        <w:tc>
          <w:tcPr>
            <w:tcW w:w="220" w:type="dxa"/>
            <w:vAlign w:val="bottom"/>
            <w:tcBorders>
              <w:bottom w:val="single" w:sz="8" w:color="auto"/>
            </w:tcBorders>
            <w:shd w:val="clear" w:color="auto" w:fill="97AAD0"/>
          </w:tcPr>
          <w:p>
            <w:pPr>
              <w:spacing w:after="0"/>
              <w:rPr>
                <w:sz w:val="15"/>
                <w:szCs w:val="15"/>
                <w:color w:val="auto"/>
              </w:rPr>
            </w:pPr>
          </w:p>
        </w:tc>
        <w:tc>
          <w:tcPr>
            <w:tcW w:w="840" w:type="dxa"/>
            <w:vAlign w:val="bottom"/>
            <w:tcBorders>
              <w:bottom w:val="single" w:sz="8" w:color="auto"/>
            </w:tcBorders>
            <w:shd w:val="clear" w:color="auto" w:fill="97AAD0"/>
          </w:tcPr>
          <w:p>
            <w:pPr>
              <w:spacing w:after="0"/>
              <w:rPr>
                <w:sz w:val="15"/>
                <w:szCs w:val="15"/>
                <w:color w:val="auto"/>
              </w:rPr>
            </w:pPr>
          </w:p>
        </w:tc>
        <w:tc>
          <w:tcPr>
            <w:tcW w:w="700" w:type="dxa"/>
            <w:vAlign w:val="bottom"/>
            <w:tcBorders>
              <w:bottom w:val="single" w:sz="8" w:color="auto"/>
            </w:tcBorders>
            <w:gridSpan w:val="2"/>
            <w:shd w:val="clear" w:color="auto" w:fill="97AAD0"/>
          </w:tcPr>
          <w:p>
            <w:pPr>
              <w:spacing w:after="0"/>
              <w:rPr>
                <w:sz w:val="15"/>
                <w:szCs w:val="15"/>
                <w:color w:val="auto"/>
              </w:rPr>
            </w:pPr>
          </w:p>
        </w:tc>
        <w:tc>
          <w:tcPr>
            <w:tcW w:w="100" w:type="dxa"/>
            <w:vAlign w:val="bottom"/>
            <w:tcBorders>
              <w:bottom w:val="single" w:sz="8" w:color="auto"/>
            </w:tcBorders>
            <w:shd w:val="clear" w:color="auto" w:fill="97AAD0"/>
          </w:tcPr>
          <w:p>
            <w:pPr>
              <w:spacing w:after="0"/>
              <w:rPr>
                <w:sz w:val="15"/>
                <w:szCs w:val="15"/>
                <w:color w:val="auto"/>
              </w:rPr>
            </w:pPr>
          </w:p>
        </w:tc>
        <w:tc>
          <w:tcPr>
            <w:tcW w:w="780" w:type="dxa"/>
            <w:vAlign w:val="bottom"/>
            <w:tcBorders>
              <w:bottom w:val="single" w:sz="8" w:color="auto"/>
            </w:tcBorders>
            <w:shd w:val="clear" w:color="auto" w:fill="97AAD0"/>
          </w:tcPr>
          <w:p>
            <w:pPr>
              <w:spacing w:after="0"/>
              <w:rPr>
                <w:sz w:val="15"/>
                <w:szCs w:val="15"/>
                <w:color w:val="auto"/>
              </w:rPr>
            </w:pPr>
          </w:p>
        </w:tc>
        <w:tc>
          <w:tcPr>
            <w:tcW w:w="140" w:type="dxa"/>
            <w:vAlign w:val="bottom"/>
            <w:tcBorders>
              <w:bottom w:val="single" w:sz="8" w:color="auto"/>
            </w:tcBorders>
            <w:shd w:val="clear" w:color="auto" w:fill="97AAD0"/>
          </w:tcPr>
          <w:p>
            <w:pPr>
              <w:spacing w:after="0"/>
              <w:rPr>
                <w:sz w:val="15"/>
                <w:szCs w:val="15"/>
                <w:color w:val="auto"/>
              </w:rPr>
            </w:pPr>
          </w:p>
        </w:tc>
        <w:tc>
          <w:tcPr>
            <w:tcW w:w="960" w:type="dxa"/>
            <w:vAlign w:val="bottom"/>
            <w:tcBorders>
              <w:bottom w:val="single" w:sz="8" w:color="auto"/>
            </w:tcBorders>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700" w:type="dxa"/>
            <w:vAlign w:val="bottom"/>
            <w:gridSpan w:val="2"/>
            <w:shd w:val="clear" w:color="auto" w:fill="97AAD0"/>
          </w:tcPr>
          <w:p>
            <w:pPr>
              <w:spacing w:after="0"/>
              <w:rPr>
                <w:sz w:val="15"/>
                <w:szCs w:val="15"/>
                <w:color w:val="auto"/>
              </w:rPr>
            </w:pPr>
          </w:p>
        </w:tc>
        <w:tc>
          <w:tcPr>
            <w:tcW w:w="10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96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97AAD0"/>
          </w:tcPr>
          <w:p>
            <w:pPr>
              <w:spacing w:after="0"/>
              <w:rPr>
                <w:sz w:val="14"/>
                <w:szCs w:val="14"/>
                <w:color w:val="auto"/>
              </w:rPr>
            </w:pPr>
          </w:p>
        </w:tc>
        <w:tc>
          <w:tcPr>
            <w:tcW w:w="320" w:type="dxa"/>
            <w:vAlign w:val="bottom"/>
            <w:shd w:val="clear" w:color="auto" w:fill="97AAD0"/>
          </w:tcPr>
          <w:p>
            <w:pPr>
              <w:spacing w:after="0"/>
              <w:rPr>
                <w:sz w:val="14"/>
                <w:szCs w:val="14"/>
                <w:color w:val="auto"/>
              </w:rPr>
            </w:pPr>
          </w:p>
        </w:tc>
        <w:tc>
          <w:tcPr>
            <w:tcW w:w="840" w:type="dxa"/>
            <w:vAlign w:val="bottom"/>
            <w:shd w:val="clear" w:color="auto" w:fill="97AAD0"/>
          </w:tcPr>
          <w:p>
            <w:pPr>
              <w:spacing w:after="0"/>
              <w:rPr>
                <w:sz w:val="14"/>
                <w:szCs w:val="14"/>
                <w:color w:val="auto"/>
              </w:rPr>
            </w:pPr>
          </w:p>
        </w:tc>
        <w:tc>
          <w:tcPr>
            <w:tcW w:w="120" w:type="dxa"/>
            <w:vAlign w:val="bottom"/>
            <w:shd w:val="clear" w:color="auto" w:fill="97AAD0"/>
          </w:tcPr>
          <w:p>
            <w:pPr>
              <w:spacing w:after="0"/>
              <w:rPr>
                <w:sz w:val="14"/>
                <w:szCs w:val="14"/>
                <w:color w:val="auto"/>
              </w:rPr>
            </w:pPr>
          </w:p>
        </w:tc>
        <w:tc>
          <w:tcPr>
            <w:tcW w:w="760" w:type="dxa"/>
            <w:vAlign w:val="bottom"/>
            <w:vMerge w:val="restart"/>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9"/>
              </w:rPr>
              <w:t>Quoted</w:t>
            </w:r>
          </w:p>
        </w:tc>
        <w:tc>
          <w:tcPr>
            <w:tcW w:w="120" w:type="dxa"/>
            <w:vAlign w:val="bottom"/>
            <w:shd w:val="clear" w:color="auto" w:fill="97AAD0"/>
          </w:tcPr>
          <w:p>
            <w:pPr>
              <w:spacing w:after="0"/>
              <w:rPr>
                <w:sz w:val="14"/>
                <w:szCs w:val="14"/>
                <w:color w:val="auto"/>
              </w:rPr>
            </w:pPr>
          </w:p>
        </w:tc>
        <w:tc>
          <w:tcPr>
            <w:tcW w:w="780" w:type="dxa"/>
            <w:vAlign w:val="bottom"/>
            <w:shd w:val="clear" w:color="auto" w:fill="97AAD0"/>
          </w:tcPr>
          <w:p>
            <w:pPr>
              <w:spacing w:after="0"/>
              <w:rPr>
                <w:sz w:val="14"/>
                <w:szCs w:val="14"/>
                <w:color w:val="auto"/>
              </w:rPr>
            </w:pPr>
          </w:p>
        </w:tc>
        <w:tc>
          <w:tcPr>
            <w:tcW w:w="120" w:type="dxa"/>
            <w:vAlign w:val="bottom"/>
            <w:shd w:val="clear" w:color="auto" w:fill="97AAD0"/>
          </w:tcPr>
          <w:p>
            <w:pPr>
              <w:spacing w:after="0"/>
              <w:rPr>
                <w:sz w:val="14"/>
                <w:szCs w:val="14"/>
                <w:color w:val="auto"/>
              </w:rPr>
            </w:pPr>
          </w:p>
        </w:tc>
        <w:tc>
          <w:tcPr>
            <w:tcW w:w="760" w:type="dxa"/>
            <w:vAlign w:val="bottom"/>
            <w:shd w:val="clear" w:color="auto" w:fill="97AAD0"/>
          </w:tcPr>
          <w:p>
            <w:pPr>
              <w:spacing w:after="0"/>
              <w:rPr>
                <w:sz w:val="14"/>
                <w:szCs w:val="14"/>
                <w:color w:val="auto"/>
              </w:rPr>
            </w:pPr>
          </w:p>
        </w:tc>
        <w:tc>
          <w:tcPr>
            <w:tcW w:w="220" w:type="dxa"/>
            <w:vAlign w:val="bottom"/>
            <w:shd w:val="clear" w:color="auto" w:fill="97AAD0"/>
          </w:tcPr>
          <w:p>
            <w:pPr>
              <w:spacing w:after="0"/>
              <w:rPr>
                <w:sz w:val="14"/>
                <w:szCs w:val="14"/>
                <w:color w:val="auto"/>
              </w:rPr>
            </w:pPr>
          </w:p>
        </w:tc>
        <w:tc>
          <w:tcPr>
            <w:tcW w:w="220" w:type="dxa"/>
            <w:vAlign w:val="bottom"/>
            <w:shd w:val="clear" w:color="auto" w:fill="97AAD0"/>
          </w:tcPr>
          <w:p>
            <w:pPr>
              <w:spacing w:after="0"/>
              <w:rPr>
                <w:sz w:val="14"/>
                <w:szCs w:val="14"/>
                <w:color w:val="auto"/>
              </w:rPr>
            </w:pPr>
          </w:p>
        </w:tc>
        <w:tc>
          <w:tcPr>
            <w:tcW w:w="840" w:type="dxa"/>
            <w:vAlign w:val="bottom"/>
            <w:shd w:val="clear" w:color="auto" w:fill="97AAD0"/>
          </w:tcPr>
          <w:p>
            <w:pPr>
              <w:spacing w:after="0"/>
              <w:rPr>
                <w:sz w:val="14"/>
                <w:szCs w:val="14"/>
                <w:color w:val="auto"/>
              </w:rPr>
            </w:pPr>
          </w:p>
        </w:tc>
        <w:tc>
          <w:tcPr>
            <w:tcW w:w="700" w:type="dxa"/>
            <w:vAlign w:val="bottom"/>
            <w:gridSpan w:val="2"/>
            <w:shd w:val="clear" w:color="auto" w:fill="97AAD0"/>
          </w:tcPr>
          <w:p>
            <w:pPr>
              <w:jc w:val="center"/>
              <w:spacing w:after="0" w:line="165" w:lineRule="exact"/>
              <w:rPr>
                <w:sz w:val="20"/>
                <w:szCs w:val="20"/>
                <w:color w:val="auto"/>
              </w:rPr>
            </w:pPr>
            <w:r>
              <w:rPr>
                <w:rFonts w:ascii="Arial" w:cs="Arial" w:eastAsia="Arial" w:hAnsi="Arial"/>
                <w:sz w:val="16"/>
                <w:szCs w:val="16"/>
                <w:b w:val="1"/>
                <w:bCs w:val="1"/>
                <w:color w:val="auto"/>
                <w:w w:val="99"/>
              </w:rPr>
              <w:t>Quoted</w:t>
            </w:r>
          </w:p>
        </w:tc>
        <w:tc>
          <w:tcPr>
            <w:tcW w:w="100" w:type="dxa"/>
            <w:vAlign w:val="bottom"/>
            <w:shd w:val="clear" w:color="auto" w:fill="97AAD0"/>
          </w:tcPr>
          <w:p>
            <w:pPr>
              <w:spacing w:after="0"/>
              <w:rPr>
                <w:sz w:val="14"/>
                <w:szCs w:val="14"/>
                <w:color w:val="auto"/>
              </w:rPr>
            </w:pPr>
          </w:p>
        </w:tc>
        <w:tc>
          <w:tcPr>
            <w:tcW w:w="780" w:type="dxa"/>
            <w:vAlign w:val="bottom"/>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960" w:type="dxa"/>
            <w:vAlign w:val="bottom"/>
            <w:shd w:val="clear" w:color="auto" w:fill="97AAD0"/>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vMerge w:val="continue"/>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70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Prices</w:t>
            </w:r>
          </w:p>
        </w:tc>
        <w:tc>
          <w:tcPr>
            <w:tcW w:w="10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96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9"/>
              </w:rPr>
              <w:t>Prices</w:t>
            </w:r>
          </w:p>
        </w:tc>
        <w:tc>
          <w:tcPr>
            <w:tcW w:w="12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700" w:type="dxa"/>
            <w:vAlign w:val="bottom"/>
            <w:gridSpan w:val="2"/>
            <w:shd w:val="clear" w:color="auto" w:fill="97AAD0"/>
          </w:tcPr>
          <w:p>
            <w:pPr>
              <w:ind w:left="20"/>
              <w:spacing w:after="0"/>
              <w:rPr>
                <w:sz w:val="20"/>
                <w:szCs w:val="20"/>
                <w:color w:val="auto"/>
              </w:rPr>
            </w:pPr>
            <w:r>
              <w:rPr>
                <w:rFonts w:ascii="Arial" w:cs="Arial" w:eastAsia="Arial" w:hAnsi="Arial"/>
                <w:sz w:val="16"/>
                <w:szCs w:val="16"/>
                <w:b w:val="1"/>
                <w:bCs w:val="1"/>
                <w:color w:val="auto"/>
                <w:w w:val="98"/>
              </w:rPr>
              <w:t>in Active</w:t>
            </w:r>
          </w:p>
        </w:tc>
        <w:tc>
          <w:tcPr>
            <w:tcW w:w="100" w:type="dxa"/>
            <w:vAlign w:val="bottom"/>
            <w:shd w:val="clear" w:color="auto" w:fill="97AAD0"/>
          </w:tcPr>
          <w:p>
            <w:pPr>
              <w:spacing w:after="0"/>
              <w:rPr>
                <w:sz w:val="15"/>
                <w:szCs w:val="15"/>
                <w:color w:val="auto"/>
              </w:rPr>
            </w:pPr>
          </w:p>
        </w:tc>
        <w:tc>
          <w:tcPr>
            <w:tcW w:w="78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96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jc w:val="center"/>
              <w:ind w:right="15"/>
              <w:spacing w:after="0"/>
              <w:rPr>
                <w:sz w:val="20"/>
                <w:szCs w:val="20"/>
                <w:color w:val="auto"/>
              </w:rPr>
            </w:pPr>
            <w:r>
              <w:rPr>
                <w:rFonts w:ascii="Arial" w:cs="Arial" w:eastAsia="Arial" w:hAnsi="Arial"/>
                <w:sz w:val="16"/>
                <w:szCs w:val="16"/>
                <w:b w:val="1"/>
                <w:bCs w:val="1"/>
                <w:color w:val="auto"/>
                <w:w w:val="98"/>
              </w:rPr>
              <w:t>in Active</w:t>
            </w:r>
          </w:p>
        </w:tc>
        <w:tc>
          <w:tcPr>
            <w:tcW w:w="90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rPr>
              <w:t>Significant</w:t>
            </w:r>
          </w:p>
        </w:tc>
        <w:tc>
          <w:tcPr>
            <w:tcW w:w="120" w:type="dxa"/>
            <w:vAlign w:val="bottom"/>
            <w:shd w:val="clear" w:color="auto" w:fill="97AAD0"/>
          </w:tcPr>
          <w:p>
            <w:pPr>
              <w:spacing w:after="0"/>
              <w:rPr>
                <w:sz w:val="15"/>
                <w:szCs w:val="15"/>
                <w:color w:val="auto"/>
              </w:rPr>
            </w:pPr>
          </w:p>
        </w:tc>
        <w:tc>
          <w:tcPr>
            <w:tcW w:w="1200" w:type="dxa"/>
            <w:vAlign w:val="bottom"/>
            <w:gridSpan w:val="3"/>
            <w:vMerge w:val="restart"/>
            <w:shd w:val="clear" w:color="auto" w:fill="97AAD0"/>
          </w:tcPr>
          <w:p>
            <w:pPr>
              <w:jc w:val="center"/>
              <w:ind w:right="253"/>
              <w:spacing w:after="0"/>
              <w:rPr>
                <w:sz w:val="20"/>
                <w:szCs w:val="20"/>
                <w:color w:val="auto"/>
              </w:rPr>
            </w:pPr>
            <w:r>
              <w:rPr>
                <w:rFonts w:ascii="Arial" w:cs="Arial" w:eastAsia="Arial" w:hAnsi="Arial"/>
                <w:sz w:val="16"/>
                <w:szCs w:val="16"/>
                <w:b w:val="1"/>
                <w:bCs w:val="1"/>
                <w:color w:val="auto"/>
              </w:rPr>
              <w:t>Significant</w:t>
            </w:r>
          </w:p>
        </w:tc>
        <w:tc>
          <w:tcPr>
            <w:tcW w:w="840" w:type="dxa"/>
            <w:vAlign w:val="bottom"/>
            <w:shd w:val="clear" w:color="auto" w:fill="97AAD0"/>
          </w:tcPr>
          <w:p>
            <w:pPr>
              <w:spacing w:after="0"/>
              <w:rPr>
                <w:sz w:val="15"/>
                <w:szCs w:val="15"/>
                <w:color w:val="auto"/>
              </w:rPr>
            </w:pPr>
          </w:p>
        </w:tc>
        <w:tc>
          <w:tcPr>
            <w:tcW w:w="1580" w:type="dxa"/>
            <w:vAlign w:val="bottom"/>
            <w:gridSpan w:val="4"/>
            <w:shd w:val="clear" w:color="auto" w:fill="97AAD0"/>
          </w:tcPr>
          <w:p>
            <w:pPr>
              <w:jc w:val="center"/>
              <w:spacing w:after="0"/>
              <w:rPr>
                <w:sz w:val="20"/>
                <w:szCs w:val="20"/>
                <w:color w:val="auto"/>
              </w:rPr>
            </w:pPr>
            <w:r>
              <w:rPr>
                <w:rFonts w:ascii="Arial" w:cs="Arial" w:eastAsia="Arial" w:hAnsi="Arial"/>
                <w:sz w:val="16"/>
                <w:szCs w:val="16"/>
                <w:b w:val="1"/>
                <w:bCs w:val="1"/>
                <w:color w:val="auto"/>
              </w:rPr>
              <w:t>Markets Significant</w:t>
            </w:r>
          </w:p>
        </w:tc>
        <w:tc>
          <w:tcPr>
            <w:tcW w:w="140" w:type="dxa"/>
            <w:vAlign w:val="bottom"/>
            <w:shd w:val="clear" w:color="auto" w:fill="97AAD0"/>
          </w:tcPr>
          <w:p>
            <w:pPr>
              <w:spacing w:after="0"/>
              <w:rPr>
                <w:sz w:val="15"/>
                <w:szCs w:val="15"/>
                <w:color w:val="auto"/>
              </w:rPr>
            </w:pPr>
          </w:p>
        </w:tc>
        <w:tc>
          <w:tcPr>
            <w:tcW w:w="960" w:type="dxa"/>
            <w:vAlign w:val="bottom"/>
            <w:vMerge w:val="restart"/>
            <w:shd w:val="clear" w:color="auto" w:fill="97AAD0"/>
          </w:tcPr>
          <w:p>
            <w:pPr>
              <w:jc w:val="center"/>
              <w:ind w:right="53"/>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880" w:type="dxa"/>
            <w:vAlign w:val="bottom"/>
            <w:gridSpan w:val="2"/>
            <w:shd w:val="clear" w:color="auto" w:fill="97AAD0"/>
          </w:tcPr>
          <w:p>
            <w:pPr>
              <w:ind w:left="20"/>
              <w:spacing w:after="0"/>
              <w:rPr>
                <w:sz w:val="20"/>
                <w:szCs w:val="20"/>
                <w:color w:val="auto"/>
              </w:rPr>
            </w:pPr>
            <w:r>
              <w:rPr>
                <w:rFonts w:ascii="Arial" w:cs="Arial" w:eastAsia="Arial" w:hAnsi="Arial"/>
                <w:sz w:val="16"/>
                <w:szCs w:val="16"/>
                <w:b w:val="1"/>
                <w:bCs w:val="1"/>
                <w:color w:val="auto"/>
                <w:w w:val="97"/>
              </w:rPr>
              <w:t>Markets for</w:t>
            </w:r>
          </w:p>
        </w:tc>
        <w:tc>
          <w:tcPr>
            <w:tcW w:w="120" w:type="dxa"/>
            <w:vAlign w:val="bottom"/>
            <w:shd w:val="clear" w:color="auto" w:fill="97AAD0"/>
          </w:tcPr>
          <w:p>
            <w:pPr>
              <w:spacing w:after="0"/>
              <w:rPr>
                <w:sz w:val="15"/>
                <w:szCs w:val="15"/>
                <w:color w:val="auto"/>
              </w:rPr>
            </w:pPr>
          </w:p>
        </w:tc>
        <w:tc>
          <w:tcPr>
            <w:tcW w:w="780" w:type="dxa"/>
            <w:vAlign w:val="bottom"/>
            <w:shd w:val="clear" w:color="auto" w:fill="97AAD0"/>
          </w:tcPr>
          <w:p>
            <w:pPr>
              <w:jc w:val="center"/>
              <w:ind w:right="33"/>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shd w:val="clear" w:color="auto" w:fill="97AAD0"/>
          </w:tcPr>
          <w:p>
            <w:pPr>
              <w:spacing w:after="0"/>
              <w:rPr>
                <w:sz w:val="15"/>
                <w:szCs w:val="15"/>
                <w:color w:val="auto"/>
              </w:rPr>
            </w:pPr>
          </w:p>
        </w:tc>
        <w:tc>
          <w:tcPr>
            <w:tcW w:w="1200" w:type="dxa"/>
            <w:vAlign w:val="bottom"/>
            <w:gridSpan w:val="3"/>
            <w:vMerge w:val="continue"/>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540" w:type="dxa"/>
            <w:vAlign w:val="bottom"/>
            <w:shd w:val="clear" w:color="auto" w:fill="97AAD0"/>
          </w:tcPr>
          <w:p>
            <w:pPr>
              <w:jc w:val="center"/>
              <w:ind w:right="71"/>
              <w:spacing w:after="0"/>
              <w:rPr>
                <w:sz w:val="20"/>
                <w:szCs w:val="20"/>
                <w:color w:val="auto"/>
              </w:rPr>
            </w:pPr>
            <w:r>
              <w:rPr>
                <w:rFonts w:ascii="Arial" w:cs="Arial" w:eastAsia="Arial" w:hAnsi="Arial"/>
                <w:sz w:val="16"/>
                <w:szCs w:val="16"/>
                <w:b w:val="1"/>
                <w:bCs w:val="1"/>
                <w:color w:val="auto"/>
              </w:rPr>
              <w:t>for</w:t>
            </w:r>
          </w:p>
        </w:tc>
        <w:tc>
          <w:tcPr>
            <w:tcW w:w="100" w:type="dxa"/>
            <w:vAlign w:val="bottom"/>
            <w:shd w:val="clear" w:color="auto" w:fill="97AAD0"/>
          </w:tcPr>
          <w:p>
            <w:pPr>
              <w:spacing w:after="0"/>
              <w:rPr>
                <w:sz w:val="15"/>
                <w:szCs w:val="15"/>
                <w:color w:val="auto"/>
              </w:rPr>
            </w:pPr>
          </w:p>
        </w:tc>
        <w:tc>
          <w:tcPr>
            <w:tcW w:w="780" w:type="dxa"/>
            <w:vAlign w:val="bottom"/>
            <w:shd w:val="clear" w:color="auto" w:fill="97AAD0"/>
          </w:tcPr>
          <w:p>
            <w:pPr>
              <w:jc w:val="center"/>
              <w:ind w:right="13"/>
              <w:spacing w:after="0"/>
              <w:rPr>
                <w:sz w:val="20"/>
                <w:szCs w:val="20"/>
                <w:color w:val="auto"/>
              </w:rPr>
            </w:pPr>
            <w:r>
              <w:rPr>
                <w:rFonts w:ascii="Arial" w:cs="Arial" w:eastAsia="Arial" w:hAnsi="Arial"/>
                <w:sz w:val="16"/>
                <w:szCs w:val="16"/>
                <w:b w:val="1"/>
                <w:bCs w:val="1"/>
                <w:color w:val="auto"/>
              </w:rPr>
              <w:t>Other</w:t>
            </w:r>
          </w:p>
        </w:tc>
        <w:tc>
          <w:tcPr>
            <w:tcW w:w="140" w:type="dxa"/>
            <w:vAlign w:val="bottom"/>
            <w:shd w:val="clear" w:color="auto" w:fill="97AAD0"/>
          </w:tcPr>
          <w:p>
            <w:pPr>
              <w:spacing w:after="0"/>
              <w:rPr>
                <w:sz w:val="15"/>
                <w:szCs w:val="15"/>
                <w:color w:val="auto"/>
              </w:rPr>
            </w:pPr>
          </w:p>
        </w:tc>
        <w:tc>
          <w:tcPr>
            <w:tcW w:w="96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320" w:type="dxa"/>
            <w:vAlign w:val="bottom"/>
            <w:shd w:val="clear" w:color="auto" w:fill="97AAD0"/>
          </w:tcPr>
          <w:p>
            <w:pPr>
              <w:spacing w:after="0"/>
              <w:rPr>
                <w:sz w:val="15"/>
                <w:szCs w:val="15"/>
                <w:color w:val="auto"/>
              </w:rPr>
            </w:pPr>
          </w:p>
        </w:tc>
        <w:tc>
          <w:tcPr>
            <w:tcW w:w="8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8"/>
              </w:rPr>
              <w:t>Identical</w:t>
            </w:r>
          </w:p>
        </w:tc>
        <w:tc>
          <w:tcPr>
            <w:tcW w:w="2220" w:type="dxa"/>
            <w:vAlign w:val="bottom"/>
            <w:gridSpan w:val="6"/>
            <w:shd w:val="clear" w:color="auto" w:fill="97AAD0"/>
          </w:tcPr>
          <w:p>
            <w:pPr>
              <w:ind w:left="20"/>
              <w:spacing w:after="0"/>
              <w:rPr>
                <w:sz w:val="20"/>
                <w:szCs w:val="20"/>
                <w:color w:val="auto"/>
              </w:rPr>
            </w:pPr>
            <w:r>
              <w:rPr>
                <w:rFonts w:ascii="Arial" w:cs="Arial" w:eastAsia="Arial" w:hAnsi="Arial"/>
                <w:sz w:val="16"/>
                <w:szCs w:val="16"/>
                <w:b w:val="1"/>
                <w:bCs w:val="1"/>
                <w:color w:val="auto"/>
              </w:rPr>
              <w:t>Observable Unobservable</w:t>
            </w:r>
          </w:p>
        </w:tc>
        <w:tc>
          <w:tcPr>
            <w:tcW w:w="840" w:type="dxa"/>
            <w:vAlign w:val="bottom"/>
            <w:shd w:val="clear" w:color="auto" w:fill="97AAD0"/>
          </w:tcPr>
          <w:p>
            <w:pPr>
              <w:spacing w:after="0"/>
              <w:rPr>
                <w:sz w:val="15"/>
                <w:szCs w:val="15"/>
                <w:color w:val="auto"/>
              </w:rPr>
            </w:pPr>
          </w:p>
        </w:tc>
        <w:tc>
          <w:tcPr>
            <w:tcW w:w="2680" w:type="dxa"/>
            <w:vAlign w:val="bottom"/>
            <w:gridSpan w:val="6"/>
            <w:shd w:val="clear" w:color="auto" w:fill="97AAD0"/>
          </w:tcPr>
          <w:p>
            <w:pPr>
              <w:ind w:left="20"/>
              <w:spacing w:after="0"/>
              <w:rPr>
                <w:sz w:val="20"/>
                <w:szCs w:val="20"/>
                <w:color w:val="auto"/>
              </w:rPr>
            </w:pPr>
            <w:r>
              <w:rPr>
                <w:rFonts w:ascii="Arial" w:cs="Arial" w:eastAsia="Arial" w:hAnsi="Arial"/>
                <w:sz w:val="16"/>
                <w:szCs w:val="16"/>
                <w:b w:val="1"/>
                <w:bCs w:val="1"/>
                <w:color w:val="auto"/>
                <w:w w:val="98"/>
              </w:rPr>
              <w:t>Identical Observable Unobservable</w:t>
            </w:r>
          </w:p>
        </w:tc>
        <w:tc>
          <w:tcPr>
            <w:tcW w:w="0" w:type="dxa"/>
            <w:vAlign w:val="bottom"/>
          </w:tcPr>
          <w:p>
            <w:pPr>
              <w:spacing w:after="0"/>
              <w:rPr>
                <w:sz w:val="1"/>
                <w:szCs w:val="1"/>
                <w:color w:val="auto"/>
              </w:rPr>
            </w:pPr>
          </w:p>
        </w:tc>
      </w:tr>
      <w:tr>
        <w:trPr>
          <w:trHeight w:val="184"/>
        </w:trPr>
        <w:tc>
          <w:tcPr>
            <w:tcW w:w="3020" w:type="dxa"/>
            <w:vAlign w:val="bottom"/>
            <w:shd w:val="clear" w:color="auto" w:fill="97AAD0"/>
          </w:tcPr>
          <w:p>
            <w:pPr>
              <w:spacing w:after="0"/>
              <w:rPr>
                <w:sz w:val="15"/>
                <w:szCs w:val="15"/>
                <w:color w:val="auto"/>
              </w:rPr>
            </w:pPr>
          </w:p>
        </w:tc>
        <w:tc>
          <w:tcPr>
            <w:tcW w:w="1160" w:type="dxa"/>
            <w:vAlign w:val="bottom"/>
            <w:gridSpan w:val="2"/>
            <w:shd w:val="clear" w:color="auto" w:fill="97AAD0"/>
          </w:tcPr>
          <w:p>
            <w:pPr>
              <w:ind w:left="100"/>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9"/>
              </w:rPr>
              <w:t>Assets</w:t>
            </w:r>
          </w:p>
        </w:tc>
        <w:tc>
          <w:tcPr>
            <w:tcW w:w="120" w:type="dxa"/>
            <w:vAlign w:val="bottom"/>
            <w:shd w:val="clear" w:color="auto" w:fill="97AAD0"/>
          </w:tcPr>
          <w:p>
            <w:pPr>
              <w:spacing w:after="0"/>
              <w:rPr>
                <w:sz w:val="15"/>
                <w:szCs w:val="15"/>
                <w:color w:val="auto"/>
              </w:rPr>
            </w:pPr>
          </w:p>
        </w:tc>
        <w:tc>
          <w:tcPr>
            <w:tcW w:w="780" w:type="dxa"/>
            <w:vAlign w:val="bottom"/>
            <w:shd w:val="clear" w:color="auto" w:fill="97AAD0"/>
          </w:tcPr>
          <w:p>
            <w:pPr>
              <w:jc w:val="center"/>
              <w:ind w:right="13"/>
              <w:spacing w:after="0"/>
              <w:rPr>
                <w:sz w:val="20"/>
                <w:szCs w:val="20"/>
                <w:color w:val="auto"/>
              </w:rPr>
            </w:pPr>
            <w:r>
              <w:rPr>
                <w:rFonts w:ascii="Arial" w:cs="Arial" w:eastAsia="Arial" w:hAnsi="Arial"/>
                <w:sz w:val="16"/>
                <w:szCs w:val="16"/>
                <w:b w:val="1"/>
                <w:bCs w:val="1"/>
                <w:color w:val="auto"/>
                <w:w w:val="99"/>
              </w:rPr>
              <w:t>Inputs</w:t>
            </w:r>
          </w:p>
        </w:tc>
        <w:tc>
          <w:tcPr>
            <w:tcW w:w="120" w:type="dxa"/>
            <w:vAlign w:val="bottom"/>
            <w:shd w:val="clear" w:color="auto" w:fill="97AAD0"/>
          </w:tcPr>
          <w:p>
            <w:pPr>
              <w:spacing w:after="0"/>
              <w:rPr>
                <w:sz w:val="15"/>
                <w:szCs w:val="15"/>
                <w:color w:val="auto"/>
              </w:rPr>
            </w:pPr>
          </w:p>
        </w:tc>
        <w:tc>
          <w:tcPr>
            <w:tcW w:w="76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Inputs</w:t>
            </w:r>
          </w:p>
        </w:tc>
        <w:tc>
          <w:tcPr>
            <w:tcW w:w="220" w:type="dxa"/>
            <w:vAlign w:val="bottom"/>
            <w:shd w:val="clear" w:color="auto" w:fill="97AAD0"/>
          </w:tcPr>
          <w:p>
            <w:pPr>
              <w:spacing w:after="0"/>
              <w:rPr>
                <w:sz w:val="15"/>
                <w:szCs w:val="15"/>
                <w:color w:val="auto"/>
              </w:rPr>
            </w:pPr>
          </w:p>
        </w:tc>
        <w:tc>
          <w:tcPr>
            <w:tcW w:w="1060" w:type="dxa"/>
            <w:vAlign w:val="bottom"/>
            <w:gridSpan w:val="2"/>
            <w:shd w:val="clear" w:color="auto" w:fill="97AAD0"/>
          </w:tcPr>
          <w:p>
            <w:pPr>
              <w:spacing w:after="0"/>
              <w:rPr>
                <w:sz w:val="20"/>
                <w:szCs w:val="20"/>
                <w:color w:val="auto"/>
              </w:rPr>
            </w:pPr>
            <w:r>
              <w:rPr>
                <w:rFonts w:ascii="Arial" w:cs="Arial" w:eastAsia="Arial" w:hAnsi="Arial"/>
                <w:sz w:val="16"/>
                <w:szCs w:val="16"/>
                <w:b w:val="1"/>
                <w:bCs w:val="1"/>
                <w:color w:val="auto"/>
                <w:w w:val="99"/>
              </w:rPr>
              <w:t>December 31,</w:t>
            </w:r>
          </w:p>
        </w:tc>
        <w:tc>
          <w:tcPr>
            <w:tcW w:w="70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Assets</w:t>
            </w:r>
          </w:p>
        </w:tc>
        <w:tc>
          <w:tcPr>
            <w:tcW w:w="100" w:type="dxa"/>
            <w:vAlign w:val="bottom"/>
            <w:shd w:val="clear" w:color="auto" w:fill="97AAD0"/>
          </w:tcPr>
          <w:p>
            <w:pPr>
              <w:spacing w:after="0"/>
              <w:rPr>
                <w:sz w:val="15"/>
                <w:szCs w:val="15"/>
                <w:color w:val="auto"/>
              </w:rPr>
            </w:pPr>
          </w:p>
        </w:tc>
        <w:tc>
          <w:tcPr>
            <w:tcW w:w="780" w:type="dxa"/>
            <w:vAlign w:val="bottom"/>
            <w:shd w:val="clear" w:color="auto" w:fill="97AAD0"/>
          </w:tcPr>
          <w:p>
            <w:pPr>
              <w:jc w:val="center"/>
              <w:ind w:right="13"/>
              <w:spacing w:after="0"/>
              <w:rPr>
                <w:sz w:val="20"/>
                <w:szCs w:val="20"/>
                <w:color w:val="auto"/>
              </w:rPr>
            </w:pPr>
            <w:r>
              <w:rPr>
                <w:rFonts w:ascii="Arial" w:cs="Arial" w:eastAsia="Arial" w:hAnsi="Arial"/>
                <w:sz w:val="16"/>
                <w:szCs w:val="16"/>
                <w:b w:val="1"/>
                <w:bCs w:val="1"/>
                <w:color w:val="auto"/>
                <w:w w:val="99"/>
              </w:rPr>
              <w:t>Inputs</w:t>
            </w:r>
          </w:p>
        </w:tc>
        <w:tc>
          <w:tcPr>
            <w:tcW w:w="140" w:type="dxa"/>
            <w:vAlign w:val="bottom"/>
            <w:shd w:val="clear" w:color="auto" w:fill="97AAD0"/>
          </w:tcPr>
          <w:p>
            <w:pPr>
              <w:spacing w:after="0"/>
              <w:rPr>
                <w:sz w:val="15"/>
                <w:szCs w:val="15"/>
                <w:color w:val="auto"/>
              </w:rPr>
            </w:pPr>
          </w:p>
        </w:tc>
        <w:tc>
          <w:tcPr>
            <w:tcW w:w="960" w:type="dxa"/>
            <w:vAlign w:val="bottom"/>
            <w:shd w:val="clear" w:color="auto" w:fill="97AAD0"/>
          </w:tcPr>
          <w:p>
            <w:pPr>
              <w:jc w:val="center"/>
              <w:ind w:right="33"/>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31"/>
        </w:trPr>
        <w:tc>
          <w:tcPr>
            <w:tcW w:w="3020" w:type="dxa"/>
            <w:vAlign w:val="bottom"/>
            <w:tcBorders>
              <w:bottom w:val="single" w:sz="8" w:color="97AAD0"/>
            </w:tcBorders>
            <w:shd w:val="clear" w:color="auto" w:fill="97AAD0"/>
          </w:tcPr>
          <w:p>
            <w:pPr>
              <w:spacing w:after="0"/>
              <w:rPr>
                <w:sz w:val="19"/>
                <w:szCs w:val="19"/>
                <w:color w:val="auto"/>
              </w:rPr>
            </w:pPr>
          </w:p>
        </w:tc>
        <w:tc>
          <w:tcPr>
            <w:tcW w:w="320" w:type="dxa"/>
            <w:vAlign w:val="bottom"/>
            <w:tcBorders>
              <w:bottom w:val="single" w:sz="8" w:color="97AAD0"/>
            </w:tcBorders>
            <w:shd w:val="clear" w:color="auto" w:fill="97AAD0"/>
          </w:tcPr>
          <w:p>
            <w:pPr>
              <w:spacing w:after="0"/>
              <w:rPr>
                <w:sz w:val="19"/>
                <w:szCs w:val="19"/>
                <w:color w:val="auto"/>
              </w:rPr>
            </w:pPr>
          </w:p>
        </w:tc>
        <w:tc>
          <w:tcPr>
            <w:tcW w:w="840" w:type="dxa"/>
            <w:vAlign w:val="bottom"/>
            <w:tcBorders>
              <w:bottom w:val="single" w:sz="8" w:color="97AAD0"/>
            </w:tcBorders>
            <w:shd w:val="clear" w:color="auto" w:fill="97AAD0"/>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97AAD0"/>
            </w:tcBorders>
            <w:shd w:val="clear" w:color="auto" w:fill="97AAD0"/>
          </w:tcPr>
          <w:p>
            <w:pPr>
              <w:spacing w:after="0"/>
              <w:rPr>
                <w:sz w:val="19"/>
                <w:szCs w:val="19"/>
                <w:color w:val="auto"/>
              </w:rPr>
            </w:pPr>
          </w:p>
        </w:tc>
        <w:tc>
          <w:tcPr>
            <w:tcW w:w="760" w:type="dxa"/>
            <w:vAlign w:val="bottom"/>
            <w:tcBorders>
              <w:bottom w:val="single" w:sz="8" w:color="97AAD0"/>
            </w:tcBorders>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8"/>
              </w:rPr>
              <w:t>(Level 1)</w:t>
            </w:r>
          </w:p>
        </w:tc>
        <w:tc>
          <w:tcPr>
            <w:tcW w:w="120" w:type="dxa"/>
            <w:vAlign w:val="bottom"/>
            <w:tcBorders>
              <w:bottom w:val="single" w:sz="8" w:color="97AAD0"/>
            </w:tcBorders>
            <w:shd w:val="clear" w:color="auto" w:fill="97AAD0"/>
          </w:tcPr>
          <w:p>
            <w:pPr>
              <w:spacing w:after="0"/>
              <w:rPr>
                <w:sz w:val="19"/>
                <w:szCs w:val="19"/>
                <w:color w:val="auto"/>
              </w:rPr>
            </w:pPr>
          </w:p>
        </w:tc>
        <w:tc>
          <w:tcPr>
            <w:tcW w:w="780" w:type="dxa"/>
            <w:vAlign w:val="bottom"/>
            <w:tcBorders>
              <w:bottom w:val="single" w:sz="8" w:color="97AAD0"/>
            </w:tcBorders>
            <w:shd w:val="clear" w:color="auto" w:fill="97AAD0"/>
          </w:tcPr>
          <w:p>
            <w:pPr>
              <w:jc w:val="center"/>
              <w:ind w:right="13"/>
              <w:spacing w:after="0"/>
              <w:rPr>
                <w:sz w:val="20"/>
                <w:szCs w:val="20"/>
                <w:color w:val="auto"/>
              </w:rPr>
            </w:pPr>
            <w:r>
              <w:rPr>
                <w:rFonts w:ascii="Arial" w:cs="Arial" w:eastAsia="Arial" w:hAnsi="Arial"/>
                <w:sz w:val="16"/>
                <w:szCs w:val="16"/>
                <w:b w:val="1"/>
                <w:bCs w:val="1"/>
                <w:color w:val="auto"/>
                <w:w w:val="98"/>
              </w:rPr>
              <w:t>(Level 2)</w:t>
            </w:r>
          </w:p>
        </w:tc>
        <w:tc>
          <w:tcPr>
            <w:tcW w:w="120" w:type="dxa"/>
            <w:vAlign w:val="bottom"/>
            <w:tcBorders>
              <w:bottom w:val="single" w:sz="8" w:color="97AAD0"/>
            </w:tcBorders>
            <w:shd w:val="clear" w:color="auto" w:fill="97AAD0"/>
          </w:tcPr>
          <w:p>
            <w:pPr>
              <w:spacing w:after="0"/>
              <w:rPr>
                <w:sz w:val="19"/>
                <w:szCs w:val="19"/>
                <w:color w:val="auto"/>
              </w:rPr>
            </w:pPr>
          </w:p>
        </w:tc>
        <w:tc>
          <w:tcPr>
            <w:tcW w:w="760" w:type="dxa"/>
            <w:vAlign w:val="bottom"/>
            <w:tcBorders>
              <w:bottom w:val="single" w:sz="8" w:color="97AAD0"/>
            </w:tcBorders>
            <w:shd w:val="clear" w:color="auto" w:fill="97AAD0"/>
          </w:tcPr>
          <w:p>
            <w:pPr>
              <w:jc w:val="center"/>
              <w:ind w:left="20"/>
              <w:spacing w:after="0"/>
              <w:rPr>
                <w:sz w:val="20"/>
                <w:szCs w:val="20"/>
                <w:color w:val="auto"/>
              </w:rPr>
            </w:pPr>
            <w:r>
              <w:rPr>
                <w:rFonts w:ascii="Arial" w:cs="Arial" w:eastAsia="Arial" w:hAnsi="Arial"/>
                <w:sz w:val="16"/>
                <w:szCs w:val="16"/>
                <w:b w:val="1"/>
                <w:bCs w:val="1"/>
                <w:color w:val="auto"/>
              </w:rPr>
              <w:t>(Level 3)</w:t>
            </w:r>
          </w:p>
        </w:tc>
        <w:tc>
          <w:tcPr>
            <w:tcW w:w="220" w:type="dxa"/>
            <w:vAlign w:val="bottom"/>
            <w:tcBorders>
              <w:bottom w:val="single" w:sz="8" w:color="97AAD0"/>
            </w:tcBorders>
            <w:shd w:val="clear" w:color="auto" w:fill="97AAD0"/>
          </w:tcPr>
          <w:p>
            <w:pPr>
              <w:spacing w:after="0"/>
              <w:rPr>
                <w:sz w:val="19"/>
                <w:szCs w:val="19"/>
                <w:color w:val="auto"/>
              </w:rPr>
            </w:pPr>
          </w:p>
        </w:tc>
        <w:tc>
          <w:tcPr>
            <w:tcW w:w="220" w:type="dxa"/>
            <w:vAlign w:val="bottom"/>
            <w:tcBorders>
              <w:bottom w:val="single" w:sz="8" w:color="97AAD0"/>
            </w:tcBorders>
            <w:shd w:val="clear" w:color="auto" w:fill="97AAD0"/>
          </w:tcPr>
          <w:p>
            <w:pPr>
              <w:spacing w:after="0"/>
              <w:rPr>
                <w:sz w:val="19"/>
                <w:szCs w:val="19"/>
                <w:color w:val="auto"/>
              </w:rPr>
            </w:pPr>
          </w:p>
        </w:tc>
        <w:tc>
          <w:tcPr>
            <w:tcW w:w="840" w:type="dxa"/>
            <w:vAlign w:val="bottom"/>
            <w:tcBorders>
              <w:bottom w:val="single" w:sz="8" w:color="97AAD0"/>
            </w:tcBorders>
            <w:shd w:val="clear" w:color="auto" w:fill="97AAD0"/>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97AAD0"/>
            </w:tcBorders>
            <w:gridSpan w:val="2"/>
            <w:shd w:val="clear" w:color="auto" w:fill="97AAD0"/>
          </w:tcPr>
          <w:p>
            <w:pPr>
              <w:ind w:left="2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97AAD0"/>
            </w:tcBorders>
            <w:shd w:val="clear" w:color="auto" w:fill="97AAD0"/>
          </w:tcPr>
          <w:p>
            <w:pPr>
              <w:spacing w:after="0"/>
              <w:rPr>
                <w:sz w:val="19"/>
                <w:szCs w:val="19"/>
                <w:color w:val="auto"/>
              </w:rPr>
            </w:pPr>
          </w:p>
        </w:tc>
        <w:tc>
          <w:tcPr>
            <w:tcW w:w="780" w:type="dxa"/>
            <w:vAlign w:val="bottom"/>
            <w:tcBorders>
              <w:bottom w:val="single" w:sz="8" w:color="97AAD0"/>
            </w:tcBorders>
            <w:shd w:val="clear" w:color="auto" w:fill="97AAD0"/>
          </w:tcPr>
          <w:p>
            <w:pPr>
              <w:jc w:val="center"/>
              <w:ind w:right="13"/>
              <w:spacing w:after="0"/>
              <w:rPr>
                <w:sz w:val="20"/>
                <w:szCs w:val="20"/>
                <w:color w:val="auto"/>
              </w:rPr>
            </w:pPr>
            <w:r>
              <w:rPr>
                <w:rFonts w:ascii="Arial" w:cs="Arial" w:eastAsia="Arial" w:hAnsi="Arial"/>
                <w:sz w:val="16"/>
                <w:szCs w:val="16"/>
                <w:b w:val="1"/>
                <w:bCs w:val="1"/>
                <w:color w:val="auto"/>
                <w:w w:val="98"/>
              </w:rPr>
              <w:t>(Level 2)</w:t>
            </w:r>
          </w:p>
        </w:tc>
        <w:tc>
          <w:tcPr>
            <w:tcW w:w="140" w:type="dxa"/>
            <w:vAlign w:val="bottom"/>
            <w:tcBorders>
              <w:bottom w:val="single" w:sz="8" w:color="97AAD0"/>
            </w:tcBorders>
            <w:shd w:val="clear" w:color="auto" w:fill="97AAD0"/>
          </w:tcPr>
          <w:p>
            <w:pPr>
              <w:spacing w:after="0"/>
              <w:rPr>
                <w:sz w:val="19"/>
                <w:szCs w:val="19"/>
                <w:color w:val="auto"/>
              </w:rPr>
            </w:pPr>
          </w:p>
        </w:tc>
        <w:tc>
          <w:tcPr>
            <w:tcW w:w="960" w:type="dxa"/>
            <w:vAlign w:val="bottom"/>
            <w:tcBorders>
              <w:bottom w:val="single" w:sz="8" w:color="97AAD0"/>
            </w:tcBorders>
            <w:shd w:val="clear" w:color="auto" w:fill="97AAD0"/>
          </w:tcPr>
          <w:p>
            <w:pPr>
              <w:jc w:val="center"/>
              <w:ind w:right="53"/>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7"/>
        </w:trPr>
        <w:tc>
          <w:tcPr>
            <w:tcW w:w="3020" w:type="dxa"/>
            <w:vAlign w:val="bottom"/>
            <w:tcBorders>
              <w:top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9F3"/>
          </w:tcPr>
          <w:p>
            <w:pPr>
              <w:spacing w:after="0"/>
              <w:rPr>
                <w:sz w:val="17"/>
                <w:szCs w:val="17"/>
                <w:color w:val="auto"/>
              </w:rPr>
            </w:pPr>
          </w:p>
        </w:tc>
        <w:tc>
          <w:tcPr>
            <w:tcW w:w="840" w:type="dxa"/>
            <w:vAlign w:val="bottom"/>
            <w:tcBorders>
              <w:top w:val="single" w:sz="8" w:color="auto"/>
            </w:tcBorders>
            <w:shd w:val="clear" w:color="auto" w:fill="E5E9F3"/>
          </w:tcPr>
          <w:p>
            <w:pPr>
              <w:spacing w:after="0"/>
              <w:rPr>
                <w:sz w:val="17"/>
                <w:szCs w:val="17"/>
                <w:color w:val="auto"/>
              </w:rPr>
            </w:pPr>
          </w:p>
        </w:tc>
        <w:tc>
          <w:tcPr>
            <w:tcW w:w="120" w:type="dxa"/>
            <w:vAlign w:val="bottom"/>
            <w:tcBorders>
              <w:top w:val="single" w:sz="8" w:color="auto"/>
            </w:tcBorders>
            <w:shd w:val="clear" w:color="auto" w:fill="E5E9F3"/>
          </w:tcPr>
          <w:p>
            <w:pPr>
              <w:spacing w:after="0"/>
              <w:rPr>
                <w:sz w:val="17"/>
                <w:szCs w:val="17"/>
                <w:color w:val="auto"/>
              </w:rPr>
            </w:pPr>
          </w:p>
        </w:tc>
        <w:tc>
          <w:tcPr>
            <w:tcW w:w="760" w:type="dxa"/>
            <w:vAlign w:val="bottom"/>
            <w:tcBorders>
              <w:top w:val="single" w:sz="8" w:color="auto"/>
            </w:tcBorders>
            <w:shd w:val="clear" w:color="auto" w:fill="E5E9F3"/>
          </w:tcPr>
          <w:p>
            <w:pPr>
              <w:spacing w:after="0"/>
              <w:rPr>
                <w:sz w:val="17"/>
                <w:szCs w:val="17"/>
                <w:color w:val="auto"/>
              </w:rPr>
            </w:pPr>
          </w:p>
        </w:tc>
        <w:tc>
          <w:tcPr>
            <w:tcW w:w="120" w:type="dxa"/>
            <w:vAlign w:val="bottom"/>
            <w:tcBorders>
              <w:top w:val="single" w:sz="8" w:color="auto"/>
            </w:tcBorders>
            <w:shd w:val="clear" w:color="auto" w:fill="E5E9F3"/>
          </w:tcPr>
          <w:p>
            <w:pPr>
              <w:spacing w:after="0"/>
              <w:rPr>
                <w:sz w:val="17"/>
                <w:szCs w:val="17"/>
                <w:color w:val="auto"/>
              </w:rPr>
            </w:pPr>
          </w:p>
        </w:tc>
        <w:tc>
          <w:tcPr>
            <w:tcW w:w="780" w:type="dxa"/>
            <w:vAlign w:val="bottom"/>
            <w:tcBorders>
              <w:top w:val="single" w:sz="8" w:color="auto"/>
            </w:tcBorders>
            <w:shd w:val="clear" w:color="auto" w:fill="E5E9F3"/>
          </w:tcPr>
          <w:p>
            <w:pPr>
              <w:spacing w:after="0"/>
              <w:rPr>
                <w:sz w:val="17"/>
                <w:szCs w:val="17"/>
                <w:color w:val="auto"/>
              </w:rPr>
            </w:pPr>
          </w:p>
        </w:tc>
        <w:tc>
          <w:tcPr>
            <w:tcW w:w="120" w:type="dxa"/>
            <w:vAlign w:val="bottom"/>
            <w:tcBorders>
              <w:top w:val="single" w:sz="8" w:color="auto"/>
            </w:tcBorders>
            <w:shd w:val="clear" w:color="auto" w:fill="E5E9F3"/>
          </w:tcPr>
          <w:p>
            <w:pPr>
              <w:spacing w:after="0"/>
              <w:rPr>
                <w:sz w:val="17"/>
                <w:szCs w:val="17"/>
                <w:color w:val="auto"/>
              </w:rPr>
            </w:pPr>
          </w:p>
        </w:tc>
        <w:tc>
          <w:tcPr>
            <w:tcW w:w="760" w:type="dxa"/>
            <w:vAlign w:val="bottom"/>
            <w:tcBorders>
              <w:top w:val="single" w:sz="8" w:color="auto"/>
            </w:tcBorders>
            <w:shd w:val="clear" w:color="auto" w:fill="E5E9F3"/>
          </w:tcPr>
          <w:p>
            <w:pPr>
              <w:spacing w:after="0"/>
              <w:rPr>
                <w:sz w:val="17"/>
                <w:szCs w:val="17"/>
                <w:color w:val="auto"/>
              </w:rPr>
            </w:pPr>
          </w:p>
        </w:tc>
        <w:tc>
          <w:tcPr>
            <w:tcW w:w="220" w:type="dxa"/>
            <w:vAlign w:val="bottom"/>
            <w:tcBorders>
              <w:top w:val="single" w:sz="8" w:color="auto"/>
            </w:tcBorders>
            <w:shd w:val="clear" w:color="auto" w:fill="E5E9F3"/>
          </w:tcPr>
          <w:p>
            <w:pPr>
              <w:spacing w:after="0"/>
              <w:rPr>
                <w:sz w:val="17"/>
                <w:szCs w:val="17"/>
                <w:color w:val="auto"/>
              </w:rPr>
            </w:pPr>
          </w:p>
        </w:tc>
        <w:tc>
          <w:tcPr>
            <w:tcW w:w="220" w:type="dxa"/>
            <w:vAlign w:val="bottom"/>
            <w:tcBorders>
              <w:top w:val="single" w:sz="8" w:color="auto"/>
            </w:tcBorders>
            <w:shd w:val="clear" w:color="auto" w:fill="E5E9F3"/>
          </w:tcPr>
          <w:p>
            <w:pPr>
              <w:spacing w:after="0"/>
              <w:rPr>
                <w:sz w:val="17"/>
                <w:szCs w:val="17"/>
                <w:color w:val="auto"/>
              </w:rPr>
            </w:pPr>
          </w:p>
        </w:tc>
        <w:tc>
          <w:tcPr>
            <w:tcW w:w="840" w:type="dxa"/>
            <w:vAlign w:val="bottom"/>
            <w:tcBorders>
              <w:top w:val="single" w:sz="8" w:color="auto"/>
            </w:tcBorders>
            <w:shd w:val="clear" w:color="auto" w:fill="E5E9F3"/>
          </w:tcPr>
          <w:p>
            <w:pPr>
              <w:spacing w:after="0"/>
              <w:rPr>
                <w:sz w:val="17"/>
                <w:szCs w:val="17"/>
                <w:color w:val="auto"/>
              </w:rPr>
            </w:pPr>
          </w:p>
        </w:tc>
        <w:tc>
          <w:tcPr>
            <w:tcW w:w="160" w:type="dxa"/>
            <w:vAlign w:val="bottom"/>
            <w:tcBorders>
              <w:top w:val="single" w:sz="8" w:color="auto"/>
            </w:tcBorders>
            <w:shd w:val="clear" w:color="auto" w:fill="E5E9F3"/>
          </w:tcPr>
          <w:p>
            <w:pPr>
              <w:spacing w:after="0"/>
              <w:rPr>
                <w:sz w:val="17"/>
                <w:szCs w:val="17"/>
                <w:color w:val="auto"/>
              </w:rPr>
            </w:pPr>
          </w:p>
        </w:tc>
        <w:tc>
          <w:tcPr>
            <w:tcW w:w="540" w:type="dxa"/>
            <w:vAlign w:val="bottom"/>
            <w:tcBorders>
              <w:top w:val="single" w:sz="8" w:color="auto"/>
            </w:tcBorders>
            <w:shd w:val="clear" w:color="auto" w:fill="E5E9F3"/>
          </w:tcPr>
          <w:p>
            <w:pPr>
              <w:spacing w:after="0"/>
              <w:rPr>
                <w:sz w:val="17"/>
                <w:szCs w:val="17"/>
                <w:color w:val="auto"/>
              </w:rPr>
            </w:pPr>
          </w:p>
        </w:tc>
        <w:tc>
          <w:tcPr>
            <w:tcW w:w="100" w:type="dxa"/>
            <w:vAlign w:val="bottom"/>
            <w:tcBorders>
              <w:top w:val="single" w:sz="8" w:color="auto"/>
            </w:tcBorders>
            <w:shd w:val="clear" w:color="auto" w:fill="E5E9F3"/>
          </w:tcPr>
          <w:p>
            <w:pPr>
              <w:spacing w:after="0"/>
              <w:rPr>
                <w:sz w:val="17"/>
                <w:szCs w:val="17"/>
                <w:color w:val="auto"/>
              </w:rPr>
            </w:pPr>
          </w:p>
        </w:tc>
        <w:tc>
          <w:tcPr>
            <w:tcW w:w="780" w:type="dxa"/>
            <w:vAlign w:val="bottom"/>
            <w:tcBorders>
              <w:top w:val="single" w:sz="8" w:color="auto"/>
            </w:tcBorders>
            <w:shd w:val="clear" w:color="auto" w:fill="E5E9F3"/>
          </w:tcPr>
          <w:p>
            <w:pPr>
              <w:spacing w:after="0"/>
              <w:rPr>
                <w:sz w:val="17"/>
                <w:szCs w:val="17"/>
                <w:color w:val="auto"/>
              </w:rPr>
            </w:pPr>
          </w:p>
        </w:tc>
        <w:tc>
          <w:tcPr>
            <w:tcW w:w="140" w:type="dxa"/>
            <w:vAlign w:val="bottom"/>
            <w:tcBorders>
              <w:top w:val="single" w:sz="8" w:color="auto"/>
            </w:tcBorders>
            <w:shd w:val="clear" w:color="auto" w:fill="E5E9F3"/>
          </w:tcPr>
          <w:p>
            <w:pPr>
              <w:spacing w:after="0"/>
              <w:rPr>
                <w:sz w:val="17"/>
                <w:szCs w:val="17"/>
                <w:color w:val="auto"/>
              </w:rPr>
            </w:pPr>
          </w:p>
        </w:tc>
        <w:tc>
          <w:tcPr>
            <w:tcW w:w="960" w:type="dxa"/>
            <w:vAlign w:val="bottom"/>
            <w:tcBorders>
              <w:top w:val="single" w:sz="8" w:color="auto"/>
            </w:tcBorders>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00"/>
              <w:spacing w:after="0"/>
              <w:rPr>
                <w:sz w:val="20"/>
                <w:szCs w:val="20"/>
                <w:color w:val="auto"/>
              </w:rPr>
            </w:pPr>
            <w:r>
              <w:rPr>
                <w:rFonts w:ascii="Arial" w:cs="Arial" w:eastAsia="Arial" w:hAnsi="Arial"/>
                <w:sz w:val="18"/>
                <w:szCs w:val="18"/>
                <w:color w:val="auto"/>
              </w:rPr>
              <w:t>Deferred compensation plan assets</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7"/>
        </w:trPr>
        <w:tc>
          <w:tcPr>
            <w:tcW w:w="3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Cross-currency swaps</w:t>
            </w:r>
          </w:p>
        </w:tc>
        <w:tc>
          <w:tcPr>
            <w:tcW w:w="320" w:type="dxa"/>
            <w:vAlign w:val="bottom"/>
            <w:shd w:val="clear" w:color="auto" w:fill="E5E9F3"/>
          </w:tcPr>
          <w:p>
            <w:pPr>
              <w:spacing w:after="0"/>
              <w:rPr>
                <w:sz w:val="17"/>
                <w:szCs w:val="17"/>
                <w:color w:val="auto"/>
              </w:rPr>
            </w:pPr>
          </w:p>
        </w:tc>
        <w:tc>
          <w:tcPr>
            <w:tcW w:w="8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5E9F3"/>
          </w:tcPr>
          <w:p>
            <w:pPr>
              <w:spacing w:after="0"/>
              <w:rPr>
                <w:sz w:val="17"/>
                <w:szCs w:val="17"/>
                <w:color w:val="auto"/>
              </w:rPr>
            </w:pPr>
          </w:p>
        </w:tc>
        <w:tc>
          <w:tcPr>
            <w:tcW w:w="7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9F3"/>
          </w:tcPr>
          <w:p>
            <w:pPr>
              <w:spacing w:after="0"/>
              <w:rPr>
                <w:sz w:val="17"/>
                <w:szCs w:val="17"/>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5E9F3"/>
          </w:tcPr>
          <w:p>
            <w:pPr>
              <w:spacing w:after="0"/>
              <w:rPr>
                <w:sz w:val="17"/>
                <w:szCs w:val="17"/>
                <w:color w:val="auto"/>
              </w:rPr>
            </w:pPr>
          </w:p>
        </w:tc>
        <w:tc>
          <w:tcPr>
            <w:tcW w:w="760" w:type="dxa"/>
            <w:vAlign w:val="bottom"/>
            <w:shd w:val="clear" w:color="auto" w:fill="E5E9F3"/>
          </w:tcPr>
          <w:p>
            <w:pPr>
              <w:spacing w:after="0"/>
              <w:rPr>
                <w:sz w:val="17"/>
                <w:szCs w:val="17"/>
                <w:color w:val="auto"/>
              </w:rPr>
            </w:pPr>
          </w:p>
        </w:tc>
        <w:tc>
          <w:tcPr>
            <w:tcW w:w="440" w:type="dxa"/>
            <w:vAlign w:val="bottom"/>
            <w:gridSpan w:val="2"/>
            <w:shd w:val="clear" w:color="auto" w:fill="E5E9F3"/>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E5E9F3"/>
          </w:tcPr>
          <w:p>
            <w:pPr>
              <w:spacing w:after="0"/>
              <w:rPr>
                <w:sz w:val="17"/>
                <w:szCs w:val="17"/>
                <w:color w:val="auto"/>
              </w:rPr>
            </w:pPr>
          </w:p>
        </w:tc>
        <w:tc>
          <w:tcPr>
            <w:tcW w:w="5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9F3"/>
          </w:tcPr>
          <w:p>
            <w:pPr>
              <w:spacing w:after="0"/>
              <w:rPr>
                <w:sz w:val="17"/>
                <w:szCs w:val="17"/>
                <w:color w:val="auto"/>
              </w:rPr>
            </w:pP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E5E9F3"/>
          </w:tcPr>
          <w:p>
            <w:pPr>
              <w:spacing w:after="0"/>
              <w:rPr>
                <w:sz w:val="17"/>
                <w:szCs w:val="17"/>
                <w:color w:val="auto"/>
              </w:rPr>
            </w:pPr>
          </w:p>
        </w:tc>
        <w:tc>
          <w:tcPr>
            <w:tcW w:w="960" w:type="dxa"/>
            <w:vAlign w:val="bottom"/>
            <w:shd w:val="clear" w:color="auto" w:fill="E5E9F3"/>
          </w:tcPr>
          <w:p>
            <w:pPr>
              <w:ind w:left="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Foreign currency forward contracts</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auto"/>
            </w:tcBorders>
            <w:shd w:val="clear" w:color="auto" w:fill="E5E9F3"/>
          </w:tcPr>
          <w:p>
            <w:pPr>
              <w:spacing w:after="0"/>
              <w:rPr>
                <w:sz w:val="17"/>
                <w:szCs w:val="17"/>
                <w:color w:val="auto"/>
              </w:rPr>
            </w:pPr>
          </w:p>
        </w:tc>
        <w:tc>
          <w:tcPr>
            <w:tcW w:w="320" w:type="dxa"/>
            <w:vAlign w:val="bottom"/>
            <w:tcBorders>
              <w:bottom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175.7</w:t>
            </w:r>
          </w:p>
        </w:tc>
        <w:tc>
          <w:tcPr>
            <w:tcW w:w="1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165.4</w:t>
            </w:r>
          </w:p>
        </w:tc>
        <w:tc>
          <w:tcPr>
            <w:tcW w:w="1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5E9F3"/>
          </w:tcPr>
          <w:p>
            <w:pPr>
              <w:spacing w:after="0"/>
              <w:rPr>
                <w:sz w:val="17"/>
                <w:szCs w:val="17"/>
                <w:color w:val="auto"/>
              </w:rPr>
            </w:pPr>
          </w:p>
        </w:tc>
        <w:tc>
          <w:tcPr>
            <w:tcW w:w="2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E5E9F3"/>
          </w:tcPr>
          <w:p>
            <w:pPr>
              <w:spacing w:after="0" w:line="197"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182.6</w:t>
            </w:r>
          </w:p>
        </w:tc>
        <w:tc>
          <w:tcPr>
            <w:tcW w:w="16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144.2</w:t>
            </w:r>
          </w:p>
        </w:tc>
        <w:tc>
          <w:tcPr>
            <w:tcW w:w="10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38.4</w:t>
            </w:r>
          </w:p>
        </w:tc>
        <w:tc>
          <w:tcPr>
            <w:tcW w:w="1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5E9F3"/>
          </w:tcPr>
          <w:p>
            <w:pPr>
              <w:ind w:left="760"/>
              <w:spacing w:after="0" w:line="197"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7"/>
        </w:trPr>
        <w:tc>
          <w:tcPr>
            <w:tcW w:w="3020" w:type="dxa"/>
            <w:vAlign w:val="bottom"/>
          </w:tcPr>
          <w:p>
            <w:pPr>
              <w:ind w:left="100"/>
              <w:spacing w:after="0" w:line="197" w:lineRule="exact"/>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Cross-currency swaps</w:t>
            </w:r>
          </w:p>
        </w:tc>
        <w:tc>
          <w:tcPr>
            <w:tcW w:w="3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E5E9F3"/>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9F3"/>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9F3"/>
          </w:tcPr>
          <w:p>
            <w:pPr>
              <w:spacing w:after="0"/>
              <w:rPr>
                <w:sz w:val="17"/>
                <w:szCs w:val="17"/>
                <w:color w:val="auto"/>
              </w:rPr>
            </w:pPr>
          </w:p>
        </w:tc>
        <w:tc>
          <w:tcPr>
            <w:tcW w:w="440" w:type="dxa"/>
            <w:vAlign w:val="bottom"/>
            <w:gridSpan w:val="2"/>
            <w:shd w:val="clear" w:color="auto" w:fill="E5E9F3"/>
          </w:tcPr>
          <w:p>
            <w:pPr>
              <w:ind w:left="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E5E9F3"/>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5E9F3"/>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5E9F3"/>
          </w:tcPr>
          <w:p>
            <w:pPr>
              <w:ind w:left="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Foreign currency forward contracts</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auto"/>
            </w:tcBorders>
            <w:shd w:val="clear" w:color="auto" w:fill="E5E9F3"/>
          </w:tcPr>
          <w:p>
            <w:pPr>
              <w:spacing w:after="0"/>
              <w:rPr>
                <w:sz w:val="17"/>
                <w:szCs w:val="17"/>
                <w:color w:val="auto"/>
              </w:rPr>
            </w:pPr>
          </w:p>
        </w:tc>
        <w:tc>
          <w:tcPr>
            <w:tcW w:w="320" w:type="dxa"/>
            <w:vAlign w:val="bottom"/>
            <w:tcBorders>
              <w:bottom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37.7</w:t>
            </w:r>
          </w:p>
        </w:tc>
        <w:tc>
          <w:tcPr>
            <w:tcW w:w="1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37.7</w:t>
            </w:r>
          </w:p>
        </w:tc>
        <w:tc>
          <w:tcPr>
            <w:tcW w:w="12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5E9F3"/>
          </w:tcPr>
          <w:p>
            <w:pPr>
              <w:spacing w:after="0"/>
              <w:rPr>
                <w:sz w:val="17"/>
                <w:szCs w:val="17"/>
                <w:color w:val="auto"/>
              </w:rPr>
            </w:pPr>
          </w:p>
        </w:tc>
        <w:tc>
          <w:tcPr>
            <w:tcW w:w="22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E5E9F3"/>
          </w:tcPr>
          <w:p>
            <w:pPr>
              <w:spacing w:after="0" w:line="197"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75.6</w:t>
            </w:r>
          </w:p>
        </w:tc>
        <w:tc>
          <w:tcPr>
            <w:tcW w:w="160" w:type="dxa"/>
            <w:vAlign w:val="bottom"/>
            <w:tcBorders>
              <w:bottom w:val="single" w:sz="8" w:color="auto"/>
            </w:tcBorders>
            <w:shd w:val="clear" w:color="auto" w:fill="E5E9F3"/>
          </w:tcPr>
          <w:p>
            <w:pPr>
              <w:ind w:left="20"/>
              <w:spacing w:after="0" w:line="197"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E5E9F3"/>
          </w:tcPr>
          <w:p>
            <w:pPr>
              <w:jc w:val="right"/>
              <w:spacing w:after="0" w:line="197" w:lineRule="exact"/>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75.6</w:t>
            </w:r>
          </w:p>
        </w:tc>
        <w:tc>
          <w:tcPr>
            <w:tcW w:w="1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5E9F3"/>
          </w:tcPr>
          <w:p>
            <w:pPr>
              <w:ind w:left="760"/>
              <w:spacing w:after="0" w:line="197"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deferred compensation plan assets are comprised of publicly traded securities, of which fair value is determined using market quotes as of the last day of the period. We record them in other assets in the Consolidated Balance Sheets.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$928.5 and $977.6 as of December 31, 2024 and 2023, respectively, compared to a carrying value of $928.4 and $988.2, respectively.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10800"/>
          </w:cols>
          <w:pgMar w:left="720" w:top="734" w:right="720" w:bottom="175" w:gutter="0" w:footer="0" w:header="0"/>
          <w:type w:val="continuous"/>
        </w:sectPr>
      </w:pPr>
    </w:p>
    <w:bookmarkStart w:id="63" w:name="page64"/>
    <w:bookmarkEnd w:id="6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7" o:spid="_x0000_s110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Goodwill and Other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We had goodwill, finite-lived intangible assets and indefinite-lived intangible assets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40" w:type="dxa"/>
            <w:vAlign w:val="bottom"/>
            <w:tcBorders>
              <w:top w:val="single" w:sz="8" w:color="auto"/>
            </w:tcBorders>
            <w:shd w:val="clear" w:color="auto" w:fill="97AAD0"/>
          </w:tcPr>
          <w:p>
            <w:pPr>
              <w:spacing w:after="0"/>
              <w:rPr>
                <w:sz w:val="22"/>
                <w:szCs w:val="22"/>
                <w:color w:val="auto"/>
              </w:rPr>
            </w:pPr>
          </w:p>
        </w:tc>
        <w:tc>
          <w:tcPr>
            <w:tcW w:w="100" w:type="dxa"/>
            <w:vAlign w:val="bottom"/>
            <w:tcBorders>
              <w:top w:val="single" w:sz="8" w:color="auto"/>
            </w:tcBorders>
            <w:shd w:val="clear" w:color="auto" w:fill="97AAD0"/>
          </w:tcPr>
          <w:p>
            <w:pPr>
              <w:spacing w:after="0"/>
              <w:rPr>
                <w:sz w:val="22"/>
                <w:szCs w:val="22"/>
                <w:color w:val="auto"/>
              </w:rPr>
            </w:pPr>
          </w:p>
        </w:tc>
        <w:tc>
          <w:tcPr>
            <w:tcW w:w="680" w:type="dxa"/>
            <w:vAlign w:val="bottom"/>
            <w:tcBorders>
              <w:top w:val="single" w:sz="8" w:color="auto"/>
            </w:tcBorders>
            <w:shd w:val="clear" w:color="auto" w:fill="97AAD0"/>
          </w:tcPr>
          <w:p>
            <w:pPr>
              <w:spacing w:after="0"/>
              <w:rPr>
                <w:sz w:val="22"/>
                <w:szCs w:val="22"/>
                <w:color w:val="auto"/>
              </w:rPr>
            </w:pPr>
          </w:p>
        </w:tc>
        <w:tc>
          <w:tcPr>
            <w:tcW w:w="1460" w:type="dxa"/>
            <w:vAlign w:val="bottom"/>
            <w:tcBorders>
              <w:top w:val="single" w:sz="8" w:color="auto"/>
            </w:tcBorders>
            <w:gridSpan w:val="2"/>
            <w:shd w:val="clear" w:color="auto" w:fill="97AAD0"/>
          </w:tcPr>
          <w:p>
            <w:pPr>
              <w:jc w:val="right"/>
              <w:spacing w:after="0"/>
              <w:rPr>
                <w:sz w:val="20"/>
                <w:szCs w:val="20"/>
                <w:color w:val="auto"/>
              </w:rPr>
            </w:pPr>
            <w:r>
              <w:rPr>
                <w:rFonts w:ascii="Arial" w:cs="Arial" w:eastAsia="Arial" w:hAnsi="Arial"/>
                <w:sz w:val="16"/>
                <w:szCs w:val="16"/>
                <w:b w:val="1"/>
                <w:bCs w:val="1"/>
                <w:color w:val="auto"/>
                <w:w w:val="98"/>
              </w:rPr>
              <w:t>December 31, 2024</w:t>
            </w:r>
          </w:p>
        </w:tc>
        <w:tc>
          <w:tcPr>
            <w:tcW w:w="140" w:type="dxa"/>
            <w:vAlign w:val="bottom"/>
            <w:tcBorders>
              <w:top w:val="single" w:sz="8" w:color="auto"/>
            </w:tcBorders>
            <w:shd w:val="clear" w:color="auto" w:fill="97AAD0"/>
          </w:tcPr>
          <w:p>
            <w:pPr>
              <w:spacing w:after="0"/>
              <w:rPr>
                <w:sz w:val="22"/>
                <w:szCs w:val="22"/>
                <w:color w:val="auto"/>
              </w:rPr>
            </w:pPr>
          </w:p>
        </w:tc>
        <w:tc>
          <w:tcPr>
            <w:tcW w:w="720" w:type="dxa"/>
            <w:vAlign w:val="bottom"/>
            <w:tcBorders>
              <w:top w:val="single" w:sz="8" w:color="auto"/>
            </w:tcBorders>
            <w:shd w:val="clear" w:color="auto" w:fill="97AAD0"/>
          </w:tcPr>
          <w:p>
            <w:pPr>
              <w:spacing w:after="0"/>
              <w:rPr>
                <w:sz w:val="22"/>
                <w:szCs w:val="22"/>
                <w:color w:val="auto"/>
              </w:rPr>
            </w:pPr>
          </w:p>
        </w:tc>
        <w:tc>
          <w:tcPr>
            <w:tcW w:w="140" w:type="dxa"/>
            <w:vAlign w:val="bottom"/>
            <w:tcBorders>
              <w:top w:val="single" w:sz="8" w:color="97AAD0"/>
            </w:tcBorders>
            <w:shd w:val="clear" w:color="auto" w:fill="97AAD0"/>
          </w:tcPr>
          <w:p>
            <w:pPr>
              <w:spacing w:after="0"/>
              <w:rPr>
                <w:sz w:val="22"/>
                <w:szCs w:val="22"/>
                <w:color w:val="auto"/>
              </w:rPr>
            </w:pPr>
          </w:p>
        </w:tc>
        <w:tc>
          <w:tcPr>
            <w:tcW w:w="140" w:type="dxa"/>
            <w:vAlign w:val="bottom"/>
            <w:tcBorders>
              <w:top w:val="single" w:sz="8" w:color="auto"/>
            </w:tcBorders>
            <w:shd w:val="clear" w:color="auto" w:fill="97AAD0"/>
          </w:tcPr>
          <w:p>
            <w:pPr>
              <w:spacing w:after="0"/>
              <w:rPr>
                <w:sz w:val="22"/>
                <w:szCs w:val="22"/>
                <w:color w:val="auto"/>
              </w:rPr>
            </w:pPr>
          </w:p>
        </w:tc>
        <w:tc>
          <w:tcPr>
            <w:tcW w:w="640" w:type="dxa"/>
            <w:vAlign w:val="bottom"/>
            <w:tcBorders>
              <w:top w:val="single" w:sz="8" w:color="auto"/>
            </w:tcBorders>
            <w:shd w:val="clear" w:color="auto" w:fill="97AAD0"/>
          </w:tcPr>
          <w:p>
            <w:pPr>
              <w:spacing w:after="0"/>
              <w:rPr>
                <w:sz w:val="22"/>
                <w:szCs w:val="22"/>
                <w:color w:val="auto"/>
              </w:rPr>
            </w:pPr>
          </w:p>
        </w:tc>
        <w:tc>
          <w:tcPr>
            <w:tcW w:w="1460" w:type="dxa"/>
            <w:vAlign w:val="bottom"/>
            <w:tcBorders>
              <w:top w:val="single" w:sz="8" w:color="auto"/>
            </w:tcBorders>
            <w:gridSpan w:val="2"/>
            <w:shd w:val="clear" w:color="auto" w:fill="97AAD0"/>
          </w:tcPr>
          <w:p>
            <w:pPr>
              <w:jc w:val="right"/>
              <w:spacing w:after="0"/>
              <w:rPr>
                <w:sz w:val="20"/>
                <w:szCs w:val="20"/>
                <w:color w:val="auto"/>
              </w:rPr>
            </w:pPr>
            <w:r>
              <w:rPr>
                <w:rFonts w:ascii="Arial" w:cs="Arial" w:eastAsia="Arial" w:hAnsi="Arial"/>
                <w:sz w:val="16"/>
                <w:szCs w:val="16"/>
                <w:b w:val="1"/>
                <w:bCs w:val="1"/>
                <w:color w:val="auto"/>
                <w:w w:val="99"/>
              </w:rPr>
              <w:t>December 31, 2023</w:t>
            </w:r>
          </w:p>
        </w:tc>
        <w:tc>
          <w:tcPr>
            <w:tcW w:w="140" w:type="dxa"/>
            <w:vAlign w:val="bottom"/>
            <w:tcBorders>
              <w:top w:val="single" w:sz="8" w:color="auto"/>
            </w:tcBorders>
            <w:shd w:val="clear" w:color="auto" w:fill="97AAD0"/>
          </w:tcPr>
          <w:p>
            <w:pPr>
              <w:spacing w:after="0"/>
              <w:rPr>
                <w:sz w:val="22"/>
                <w:szCs w:val="22"/>
                <w:color w:val="auto"/>
              </w:rPr>
            </w:pPr>
          </w:p>
        </w:tc>
        <w:tc>
          <w:tcPr>
            <w:tcW w:w="740" w:type="dxa"/>
            <w:vAlign w:val="bottom"/>
            <w:tcBorders>
              <w:top w:val="single" w:sz="8" w:color="auto"/>
            </w:tcBorders>
            <w:shd w:val="clear" w:color="auto" w:fill="97AAD0"/>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440" w:type="dxa"/>
            <w:vAlign w:val="bottom"/>
            <w:tcBorders>
              <w:bottom w:val="single" w:sz="8" w:color="97AAD0"/>
            </w:tcBorders>
            <w:shd w:val="clear" w:color="auto" w:fill="97AAD0"/>
          </w:tcPr>
          <w:p>
            <w:pPr>
              <w:spacing w:after="0"/>
              <w:rPr>
                <w:sz w:val="15"/>
                <w:szCs w:val="15"/>
                <w:color w:val="auto"/>
              </w:rPr>
            </w:pPr>
          </w:p>
        </w:tc>
        <w:tc>
          <w:tcPr>
            <w:tcW w:w="100" w:type="dxa"/>
            <w:vAlign w:val="bottom"/>
            <w:tcBorders>
              <w:bottom w:val="single" w:sz="8" w:color="auto"/>
            </w:tcBorders>
            <w:shd w:val="clear" w:color="auto" w:fill="97AAD0"/>
          </w:tcPr>
          <w:p>
            <w:pPr>
              <w:spacing w:after="0"/>
              <w:rPr>
                <w:sz w:val="15"/>
                <w:szCs w:val="15"/>
                <w:color w:val="auto"/>
              </w:rPr>
            </w:pPr>
          </w:p>
        </w:tc>
        <w:tc>
          <w:tcPr>
            <w:tcW w:w="680" w:type="dxa"/>
            <w:vAlign w:val="bottom"/>
            <w:tcBorders>
              <w:bottom w:val="single" w:sz="8" w:color="auto"/>
            </w:tcBorders>
            <w:shd w:val="clear" w:color="auto" w:fill="97AAD0"/>
          </w:tcPr>
          <w:p>
            <w:pPr>
              <w:spacing w:after="0"/>
              <w:rPr>
                <w:sz w:val="15"/>
                <w:szCs w:val="15"/>
                <w:color w:val="auto"/>
              </w:rPr>
            </w:pPr>
          </w:p>
        </w:tc>
        <w:tc>
          <w:tcPr>
            <w:tcW w:w="1460" w:type="dxa"/>
            <w:vAlign w:val="bottom"/>
            <w:tcBorders>
              <w:bottom w:val="single" w:sz="8" w:color="auto"/>
            </w:tcBorders>
            <w:gridSpan w:val="2"/>
            <w:shd w:val="clear" w:color="auto" w:fill="97AAD0"/>
          </w:tcPr>
          <w:p>
            <w:pPr>
              <w:spacing w:after="0"/>
              <w:rPr>
                <w:sz w:val="15"/>
                <w:szCs w:val="15"/>
                <w:color w:val="auto"/>
              </w:rPr>
            </w:pPr>
          </w:p>
        </w:tc>
        <w:tc>
          <w:tcPr>
            <w:tcW w:w="140" w:type="dxa"/>
            <w:vAlign w:val="bottom"/>
            <w:tcBorders>
              <w:bottom w:val="single" w:sz="8" w:color="auto"/>
            </w:tcBorders>
            <w:shd w:val="clear" w:color="auto" w:fill="97AAD0"/>
          </w:tcPr>
          <w:p>
            <w:pPr>
              <w:spacing w:after="0"/>
              <w:rPr>
                <w:sz w:val="15"/>
                <w:szCs w:val="15"/>
                <w:color w:val="auto"/>
              </w:rPr>
            </w:pPr>
          </w:p>
        </w:tc>
        <w:tc>
          <w:tcPr>
            <w:tcW w:w="720" w:type="dxa"/>
            <w:vAlign w:val="bottom"/>
            <w:tcBorders>
              <w:bottom w:val="single" w:sz="8" w:color="auto"/>
            </w:tcBorders>
            <w:shd w:val="clear" w:color="auto" w:fill="97AAD0"/>
          </w:tcPr>
          <w:p>
            <w:pPr>
              <w:spacing w:after="0"/>
              <w:rPr>
                <w:sz w:val="15"/>
                <w:szCs w:val="15"/>
                <w:color w:val="auto"/>
              </w:rPr>
            </w:pPr>
          </w:p>
        </w:tc>
        <w:tc>
          <w:tcPr>
            <w:tcW w:w="140" w:type="dxa"/>
            <w:vAlign w:val="bottom"/>
            <w:tcBorders>
              <w:bottom w:val="single" w:sz="8" w:color="97AAD0"/>
            </w:tcBorders>
            <w:shd w:val="clear" w:color="auto" w:fill="97AAD0"/>
          </w:tcPr>
          <w:p>
            <w:pPr>
              <w:spacing w:after="0"/>
              <w:rPr>
                <w:sz w:val="15"/>
                <w:szCs w:val="15"/>
                <w:color w:val="auto"/>
              </w:rPr>
            </w:pPr>
          </w:p>
        </w:tc>
        <w:tc>
          <w:tcPr>
            <w:tcW w:w="140" w:type="dxa"/>
            <w:vAlign w:val="bottom"/>
            <w:tcBorders>
              <w:bottom w:val="single" w:sz="8" w:color="auto"/>
            </w:tcBorders>
            <w:shd w:val="clear" w:color="auto" w:fill="97AAD0"/>
          </w:tcPr>
          <w:p>
            <w:pPr>
              <w:spacing w:after="0"/>
              <w:rPr>
                <w:sz w:val="15"/>
                <w:szCs w:val="15"/>
                <w:color w:val="auto"/>
              </w:rPr>
            </w:pPr>
          </w:p>
        </w:tc>
        <w:tc>
          <w:tcPr>
            <w:tcW w:w="640" w:type="dxa"/>
            <w:vAlign w:val="bottom"/>
            <w:tcBorders>
              <w:bottom w:val="single" w:sz="8" w:color="auto"/>
            </w:tcBorders>
            <w:shd w:val="clear" w:color="auto" w:fill="97AAD0"/>
          </w:tcPr>
          <w:p>
            <w:pPr>
              <w:spacing w:after="0"/>
              <w:rPr>
                <w:sz w:val="15"/>
                <w:szCs w:val="15"/>
                <w:color w:val="auto"/>
              </w:rPr>
            </w:pPr>
          </w:p>
        </w:tc>
        <w:tc>
          <w:tcPr>
            <w:tcW w:w="1460" w:type="dxa"/>
            <w:vAlign w:val="bottom"/>
            <w:tcBorders>
              <w:bottom w:val="single" w:sz="8" w:color="auto"/>
            </w:tcBorders>
            <w:gridSpan w:val="2"/>
            <w:shd w:val="clear" w:color="auto" w:fill="97AAD0"/>
          </w:tcPr>
          <w:p>
            <w:pPr>
              <w:spacing w:after="0"/>
              <w:rPr>
                <w:sz w:val="15"/>
                <w:szCs w:val="15"/>
                <w:color w:val="auto"/>
              </w:rPr>
            </w:pPr>
          </w:p>
        </w:tc>
        <w:tc>
          <w:tcPr>
            <w:tcW w:w="140" w:type="dxa"/>
            <w:vAlign w:val="bottom"/>
            <w:tcBorders>
              <w:bottom w:val="single" w:sz="8" w:color="auto"/>
            </w:tcBorders>
            <w:shd w:val="clear" w:color="auto" w:fill="97AAD0"/>
          </w:tcPr>
          <w:p>
            <w:pPr>
              <w:spacing w:after="0"/>
              <w:rPr>
                <w:sz w:val="15"/>
                <w:szCs w:val="15"/>
                <w:color w:val="auto"/>
              </w:rPr>
            </w:pPr>
          </w:p>
        </w:tc>
        <w:tc>
          <w:tcPr>
            <w:tcW w:w="740" w:type="dxa"/>
            <w:vAlign w:val="bottom"/>
            <w:tcBorders>
              <w:bottom w:val="single" w:sz="8" w:color="auto"/>
            </w:tcBorders>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shd w:val="clear" w:color="auto" w:fill="97AAD0"/>
          </w:tcPr>
          <w:p>
            <w:pPr>
              <w:spacing w:after="0"/>
              <w:rPr>
                <w:sz w:val="15"/>
                <w:szCs w:val="15"/>
                <w:color w:val="auto"/>
              </w:rPr>
            </w:pPr>
          </w:p>
        </w:tc>
        <w:tc>
          <w:tcPr>
            <w:tcW w:w="100" w:type="dxa"/>
            <w:vAlign w:val="bottom"/>
            <w:shd w:val="clear" w:color="auto" w:fill="97AAD0"/>
          </w:tcPr>
          <w:p>
            <w:pPr>
              <w:spacing w:after="0"/>
              <w:rPr>
                <w:sz w:val="15"/>
                <w:szCs w:val="15"/>
                <w:color w:val="auto"/>
              </w:rPr>
            </w:pPr>
          </w:p>
        </w:tc>
        <w:tc>
          <w:tcPr>
            <w:tcW w:w="680" w:type="dxa"/>
            <w:vAlign w:val="bottom"/>
            <w:shd w:val="clear" w:color="auto" w:fill="97AAD0"/>
          </w:tcPr>
          <w:p>
            <w:pPr>
              <w:spacing w:after="0"/>
              <w:rPr>
                <w:sz w:val="15"/>
                <w:szCs w:val="15"/>
                <w:color w:val="auto"/>
              </w:rPr>
            </w:pPr>
          </w:p>
        </w:tc>
        <w:tc>
          <w:tcPr>
            <w:tcW w:w="1460" w:type="dxa"/>
            <w:vAlign w:val="bottom"/>
            <w:gridSpan w:val="2"/>
            <w:vMerge w:val="restart"/>
            <w:shd w:val="clear" w:color="auto" w:fill="97AAD0"/>
          </w:tcPr>
          <w:p>
            <w:pPr>
              <w:ind w:left="220"/>
              <w:spacing w:after="0"/>
              <w:rPr>
                <w:sz w:val="20"/>
                <w:szCs w:val="20"/>
                <w:color w:val="auto"/>
              </w:rPr>
            </w:pPr>
            <w:r>
              <w:rPr>
                <w:rFonts w:ascii="Arial" w:cs="Arial" w:eastAsia="Arial" w:hAnsi="Arial"/>
                <w:sz w:val="16"/>
                <w:szCs w:val="16"/>
                <w:b w:val="1"/>
                <w:bCs w:val="1"/>
                <w:color w:val="auto"/>
              </w:rPr>
              <w:t>Accumulated</w:t>
            </w:r>
          </w:p>
        </w:tc>
        <w:tc>
          <w:tcPr>
            <w:tcW w:w="140" w:type="dxa"/>
            <w:vAlign w:val="bottom"/>
            <w:shd w:val="clear" w:color="auto" w:fill="97AAD0"/>
          </w:tcPr>
          <w:p>
            <w:pPr>
              <w:spacing w:after="0"/>
              <w:rPr>
                <w:sz w:val="15"/>
                <w:szCs w:val="15"/>
                <w:color w:val="auto"/>
              </w:rPr>
            </w:pPr>
          </w:p>
        </w:tc>
        <w:tc>
          <w:tcPr>
            <w:tcW w:w="72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640" w:type="dxa"/>
            <w:vAlign w:val="bottom"/>
            <w:shd w:val="clear" w:color="auto" w:fill="97AAD0"/>
          </w:tcPr>
          <w:p>
            <w:pPr>
              <w:spacing w:after="0"/>
              <w:rPr>
                <w:sz w:val="15"/>
                <w:szCs w:val="15"/>
                <w:color w:val="auto"/>
              </w:rPr>
            </w:pPr>
          </w:p>
        </w:tc>
        <w:tc>
          <w:tcPr>
            <w:tcW w:w="1460" w:type="dxa"/>
            <w:vAlign w:val="bottom"/>
            <w:gridSpan w:val="2"/>
            <w:vMerge w:val="restart"/>
            <w:shd w:val="clear" w:color="auto" w:fill="97AAD0"/>
          </w:tcPr>
          <w:p>
            <w:pPr>
              <w:ind w:left="220"/>
              <w:spacing w:after="0"/>
              <w:rPr>
                <w:sz w:val="20"/>
                <w:szCs w:val="20"/>
                <w:color w:val="auto"/>
              </w:rPr>
            </w:pPr>
            <w:r>
              <w:rPr>
                <w:rFonts w:ascii="Arial" w:cs="Arial" w:eastAsia="Arial" w:hAnsi="Arial"/>
                <w:sz w:val="16"/>
                <w:szCs w:val="16"/>
                <w:b w:val="1"/>
                <w:bCs w:val="1"/>
                <w:color w:val="auto"/>
              </w:rPr>
              <w:t>Accumulated</w:t>
            </w:r>
          </w:p>
        </w:tc>
        <w:tc>
          <w:tcPr>
            <w:tcW w:w="140" w:type="dxa"/>
            <w:vAlign w:val="bottom"/>
            <w:shd w:val="clear" w:color="auto" w:fill="97AAD0"/>
          </w:tcPr>
          <w:p>
            <w:pPr>
              <w:spacing w:after="0"/>
              <w:rPr>
                <w:sz w:val="15"/>
                <w:szCs w:val="15"/>
                <w:color w:val="auto"/>
              </w:rPr>
            </w:pPr>
          </w:p>
        </w:tc>
        <w:tc>
          <w:tcPr>
            <w:tcW w:w="74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440" w:type="dxa"/>
            <w:vAlign w:val="bottom"/>
            <w:shd w:val="clear" w:color="auto" w:fill="97AAD0"/>
          </w:tcPr>
          <w:p>
            <w:pPr>
              <w:spacing w:after="0"/>
              <w:rPr>
                <w:sz w:val="14"/>
                <w:szCs w:val="14"/>
                <w:color w:val="auto"/>
              </w:rPr>
            </w:pPr>
          </w:p>
        </w:tc>
        <w:tc>
          <w:tcPr>
            <w:tcW w:w="100" w:type="dxa"/>
            <w:vAlign w:val="bottom"/>
            <w:shd w:val="clear" w:color="auto" w:fill="97AAD0"/>
          </w:tcPr>
          <w:p>
            <w:pPr>
              <w:spacing w:after="0"/>
              <w:rPr>
                <w:sz w:val="14"/>
                <w:szCs w:val="14"/>
                <w:color w:val="auto"/>
              </w:rPr>
            </w:pPr>
          </w:p>
        </w:tc>
        <w:tc>
          <w:tcPr>
            <w:tcW w:w="680" w:type="dxa"/>
            <w:vAlign w:val="bottom"/>
            <w:vMerge w:val="restart"/>
            <w:shd w:val="clear" w:color="auto" w:fill="97AAD0"/>
          </w:tcPr>
          <w:p>
            <w:pPr>
              <w:jc w:val="right"/>
              <w:ind w:right="71"/>
              <w:spacing w:after="0"/>
              <w:rPr>
                <w:sz w:val="20"/>
                <w:szCs w:val="20"/>
                <w:color w:val="auto"/>
              </w:rPr>
            </w:pPr>
            <w:r>
              <w:rPr>
                <w:rFonts w:ascii="Arial" w:cs="Arial" w:eastAsia="Arial" w:hAnsi="Arial"/>
                <w:sz w:val="16"/>
                <w:szCs w:val="16"/>
                <w:b w:val="1"/>
                <w:bCs w:val="1"/>
                <w:color w:val="auto"/>
              </w:rPr>
              <w:t>Gross</w:t>
            </w:r>
          </w:p>
        </w:tc>
        <w:tc>
          <w:tcPr>
            <w:tcW w:w="1460" w:type="dxa"/>
            <w:vAlign w:val="bottom"/>
            <w:gridSpan w:val="2"/>
            <w:vMerge w:val="continue"/>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720" w:type="dxa"/>
            <w:vAlign w:val="bottom"/>
            <w:vMerge w:val="restart"/>
            <w:shd w:val="clear" w:color="auto" w:fill="97AAD0"/>
          </w:tcPr>
          <w:p>
            <w:pPr>
              <w:jc w:val="right"/>
              <w:ind w:right="251"/>
              <w:spacing w:after="0"/>
              <w:rPr>
                <w:sz w:val="20"/>
                <w:szCs w:val="20"/>
                <w:color w:val="auto"/>
              </w:rPr>
            </w:pPr>
            <w:r>
              <w:rPr>
                <w:rFonts w:ascii="Arial" w:cs="Arial" w:eastAsia="Arial" w:hAnsi="Arial"/>
                <w:sz w:val="16"/>
                <w:szCs w:val="16"/>
                <w:b w:val="1"/>
                <w:bCs w:val="1"/>
                <w:color w:val="auto"/>
              </w:rPr>
              <w:t>Net</w:t>
            </w:r>
          </w:p>
        </w:tc>
        <w:tc>
          <w:tcPr>
            <w:tcW w:w="140" w:type="dxa"/>
            <w:vAlign w:val="bottom"/>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640" w:type="dxa"/>
            <w:vAlign w:val="bottom"/>
            <w:vMerge w:val="restart"/>
            <w:shd w:val="clear" w:color="auto" w:fill="97AAD0"/>
          </w:tcPr>
          <w:p>
            <w:pPr>
              <w:jc w:val="right"/>
              <w:ind w:right="71"/>
              <w:spacing w:after="0"/>
              <w:rPr>
                <w:sz w:val="20"/>
                <w:szCs w:val="20"/>
                <w:color w:val="auto"/>
              </w:rPr>
            </w:pPr>
            <w:r>
              <w:rPr>
                <w:rFonts w:ascii="Arial" w:cs="Arial" w:eastAsia="Arial" w:hAnsi="Arial"/>
                <w:sz w:val="16"/>
                <w:szCs w:val="16"/>
                <w:b w:val="1"/>
                <w:bCs w:val="1"/>
                <w:color w:val="auto"/>
                <w:w w:val="99"/>
              </w:rPr>
              <w:t>Gross</w:t>
            </w:r>
          </w:p>
        </w:tc>
        <w:tc>
          <w:tcPr>
            <w:tcW w:w="1460" w:type="dxa"/>
            <w:vAlign w:val="bottom"/>
            <w:gridSpan w:val="2"/>
            <w:vMerge w:val="continue"/>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740" w:type="dxa"/>
            <w:vAlign w:val="bottom"/>
            <w:vMerge w:val="restart"/>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97AAD0"/>
            </w:tcBorders>
            <w:shd w:val="clear" w:color="auto" w:fill="97AAD0"/>
          </w:tcPr>
          <w:p>
            <w:pPr>
              <w:spacing w:after="0"/>
              <w:rPr>
                <w:sz w:val="19"/>
                <w:szCs w:val="19"/>
                <w:color w:val="auto"/>
              </w:rPr>
            </w:pPr>
          </w:p>
        </w:tc>
        <w:tc>
          <w:tcPr>
            <w:tcW w:w="100" w:type="dxa"/>
            <w:vAlign w:val="bottom"/>
            <w:tcBorders>
              <w:bottom w:val="single" w:sz="8" w:color="97AAD0"/>
            </w:tcBorders>
            <w:shd w:val="clear" w:color="auto" w:fill="97AAD0"/>
          </w:tcPr>
          <w:p>
            <w:pPr>
              <w:spacing w:after="0"/>
              <w:rPr>
                <w:sz w:val="19"/>
                <w:szCs w:val="19"/>
                <w:color w:val="auto"/>
              </w:rPr>
            </w:pPr>
          </w:p>
        </w:tc>
        <w:tc>
          <w:tcPr>
            <w:tcW w:w="680" w:type="dxa"/>
            <w:vAlign w:val="bottom"/>
            <w:tcBorders>
              <w:bottom w:val="single" w:sz="8" w:color="97AAD0"/>
            </w:tcBorders>
            <w:vMerge w:val="continue"/>
            <w:shd w:val="clear" w:color="auto" w:fill="97AAD0"/>
          </w:tcPr>
          <w:p>
            <w:pPr>
              <w:spacing w:after="0"/>
              <w:rPr>
                <w:sz w:val="19"/>
                <w:szCs w:val="19"/>
                <w:color w:val="auto"/>
              </w:rPr>
            </w:pPr>
          </w:p>
        </w:tc>
        <w:tc>
          <w:tcPr>
            <w:tcW w:w="1460" w:type="dxa"/>
            <w:vAlign w:val="bottom"/>
            <w:tcBorders>
              <w:bottom w:val="single" w:sz="8" w:color="97AAD0"/>
            </w:tcBorders>
            <w:gridSpan w:val="2"/>
            <w:shd w:val="clear" w:color="auto" w:fill="97AAD0"/>
          </w:tcPr>
          <w:p>
            <w:pPr>
              <w:ind w:left="2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Borders>
              <w:bottom w:val="single" w:sz="8" w:color="97AAD0"/>
            </w:tcBorders>
            <w:shd w:val="clear" w:color="auto" w:fill="97AAD0"/>
          </w:tcPr>
          <w:p>
            <w:pPr>
              <w:spacing w:after="0"/>
              <w:rPr>
                <w:sz w:val="19"/>
                <w:szCs w:val="19"/>
                <w:color w:val="auto"/>
              </w:rPr>
            </w:pPr>
          </w:p>
        </w:tc>
        <w:tc>
          <w:tcPr>
            <w:tcW w:w="720" w:type="dxa"/>
            <w:vAlign w:val="bottom"/>
            <w:tcBorders>
              <w:bottom w:val="single" w:sz="8" w:color="97AAD0"/>
            </w:tcBorders>
            <w:vMerge w:val="continue"/>
            <w:shd w:val="clear" w:color="auto" w:fill="97AAD0"/>
          </w:tcPr>
          <w:p>
            <w:pPr>
              <w:spacing w:after="0"/>
              <w:rPr>
                <w:sz w:val="19"/>
                <w:szCs w:val="19"/>
                <w:color w:val="auto"/>
              </w:rPr>
            </w:pPr>
          </w:p>
        </w:tc>
        <w:tc>
          <w:tcPr>
            <w:tcW w:w="140" w:type="dxa"/>
            <w:vAlign w:val="bottom"/>
            <w:tcBorders>
              <w:bottom w:val="single" w:sz="8" w:color="97AAD0"/>
            </w:tcBorders>
            <w:shd w:val="clear" w:color="auto" w:fill="97AAD0"/>
          </w:tcPr>
          <w:p>
            <w:pPr>
              <w:spacing w:after="0"/>
              <w:rPr>
                <w:sz w:val="19"/>
                <w:szCs w:val="19"/>
                <w:color w:val="auto"/>
              </w:rPr>
            </w:pPr>
          </w:p>
        </w:tc>
        <w:tc>
          <w:tcPr>
            <w:tcW w:w="140" w:type="dxa"/>
            <w:vAlign w:val="bottom"/>
            <w:tcBorders>
              <w:bottom w:val="single" w:sz="8" w:color="97AAD0"/>
            </w:tcBorders>
            <w:shd w:val="clear" w:color="auto" w:fill="97AAD0"/>
          </w:tcPr>
          <w:p>
            <w:pPr>
              <w:spacing w:after="0"/>
              <w:rPr>
                <w:sz w:val="19"/>
                <w:szCs w:val="19"/>
                <w:color w:val="auto"/>
              </w:rPr>
            </w:pPr>
          </w:p>
        </w:tc>
        <w:tc>
          <w:tcPr>
            <w:tcW w:w="640" w:type="dxa"/>
            <w:vAlign w:val="bottom"/>
            <w:tcBorders>
              <w:bottom w:val="single" w:sz="8" w:color="97AAD0"/>
            </w:tcBorders>
            <w:vMerge w:val="continue"/>
            <w:shd w:val="clear" w:color="auto" w:fill="97AAD0"/>
          </w:tcPr>
          <w:p>
            <w:pPr>
              <w:spacing w:after="0"/>
              <w:rPr>
                <w:sz w:val="19"/>
                <w:szCs w:val="19"/>
                <w:color w:val="auto"/>
              </w:rPr>
            </w:pPr>
          </w:p>
        </w:tc>
        <w:tc>
          <w:tcPr>
            <w:tcW w:w="1460" w:type="dxa"/>
            <w:vAlign w:val="bottom"/>
            <w:tcBorders>
              <w:bottom w:val="single" w:sz="8" w:color="97AAD0"/>
            </w:tcBorders>
            <w:gridSpan w:val="2"/>
            <w:shd w:val="clear" w:color="auto" w:fill="97AAD0"/>
          </w:tcPr>
          <w:p>
            <w:pPr>
              <w:ind w:left="2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Borders>
              <w:bottom w:val="single" w:sz="8" w:color="97AAD0"/>
            </w:tcBorders>
            <w:shd w:val="clear" w:color="auto" w:fill="97AAD0"/>
          </w:tcPr>
          <w:p>
            <w:pPr>
              <w:spacing w:after="0"/>
              <w:rPr>
                <w:sz w:val="19"/>
                <w:szCs w:val="19"/>
                <w:color w:val="auto"/>
              </w:rPr>
            </w:pPr>
          </w:p>
        </w:tc>
        <w:tc>
          <w:tcPr>
            <w:tcW w:w="740" w:type="dxa"/>
            <w:vAlign w:val="bottom"/>
            <w:tcBorders>
              <w:bottom w:val="single" w:sz="8" w:color="97AAD0"/>
            </w:tcBorders>
            <w:vMerge w:val="continue"/>
            <w:shd w:val="clear" w:color="auto" w:fill="97AAD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tcBorders>
              <w:top w:val="single" w:sz="8" w:color="auto"/>
              <w:bottom w:val="single" w:sz="8" w:color="auto"/>
            </w:tcBorders>
            <w:shd w:val="clear" w:color="auto" w:fill="E5E9F3"/>
          </w:tcPr>
          <w:p>
            <w:pPr>
              <w:ind w:left="100"/>
              <w:spacing w:after="0" w:line="243" w:lineRule="exact"/>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(a)</w:t>
            </w:r>
          </w:p>
        </w:tc>
        <w:tc>
          <w:tcPr>
            <w:tcW w:w="10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1,563.4</w:t>
            </w:r>
          </w:p>
        </w:tc>
        <w:tc>
          <w:tcPr>
            <w:tcW w:w="540" w:type="dxa"/>
            <w:vAlign w:val="bottom"/>
            <w:tcBorders>
              <w:top w:val="single" w:sz="8" w:color="auto"/>
              <w:bottom w:val="single" w:sz="8" w:color="auto"/>
            </w:tcBorders>
            <w:shd w:val="clear" w:color="auto" w:fill="E5E9F3"/>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5E9F3"/>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w w:val="99"/>
              </w:rPr>
              <w:t>1,563.4</w:t>
            </w:r>
          </w:p>
        </w:tc>
        <w:tc>
          <w:tcPr>
            <w:tcW w:w="140" w:type="dxa"/>
            <w:vAlign w:val="bottom"/>
            <w:tcBorders>
              <w:top w:val="single" w:sz="8" w:color="E5E9F3"/>
            </w:tcBorders>
            <w:shd w:val="clear" w:color="auto" w:fill="E5E9F3"/>
          </w:tcPr>
          <w:p>
            <w:pPr>
              <w:spacing w:after="0"/>
              <w:rPr>
                <w:sz w:val="21"/>
                <w:szCs w:val="21"/>
                <w:color w:val="auto"/>
              </w:rPr>
            </w:pPr>
          </w:p>
        </w:tc>
        <w:tc>
          <w:tcPr>
            <w:tcW w:w="14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99"/>
              </w:rPr>
              <w:t>1,586.8</w:t>
            </w:r>
          </w:p>
        </w:tc>
        <w:tc>
          <w:tcPr>
            <w:tcW w:w="560" w:type="dxa"/>
            <w:vAlign w:val="bottom"/>
            <w:tcBorders>
              <w:top w:val="single" w:sz="8" w:color="auto"/>
              <w:bottom w:val="single" w:sz="8" w:color="auto"/>
            </w:tcBorders>
            <w:shd w:val="clear" w:color="auto" w:fill="E5E9F3"/>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5E9F3"/>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1,586.8</w:t>
            </w:r>
          </w:p>
        </w:tc>
        <w:tc>
          <w:tcPr>
            <w:tcW w:w="0" w:type="dxa"/>
            <w:vAlign w:val="bottom"/>
          </w:tcPr>
          <w:p>
            <w:pPr>
              <w:spacing w:after="0"/>
              <w:rPr>
                <w:sz w:val="1"/>
                <w:szCs w:val="1"/>
                <w:color w:val="auto"/>
              </w:rPr>
            </w:pPr>
          </w:p>
        </w:tc>
      </w:tr>
      <w:tr>
        <w:trPr>
          <w:trHeight w:val="239"/>
        </w:trPr>
        <w:tc>
          <w:tcPr>
            <w:tcW w:w="444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Finite-lived:</w:t>
            </w:r>
          </w:p>
        </w:tc>
        <w:tc>
          <w:tcPr>
            <w:tcW w:w="100" w:type="dxa"/>
            <w:vAlign w:val="bottom"/>
            <w:shd w:val="clear" w:color="auto" w:fill="E5E9F3"/>
          </w:tcPr>
          <w:p>
            <w:pPr>
              <w:spacing w:after="0"/>
              <w:rPr>
                <w:sz w:val="22"/>
                <w:szCs w:val="22"/>
                <w:color w:val="auto"/>
              </w:rPr>
            </w:pPr>
          </w:p>
        </w:tc>
        <w:tc>
          <w:tcPr>
            <w:tcW w:w="680" w:type="dxa"/>
            <w:vAlign w:val="bottom"/>
            <w:shd w:val="clear" w:color="auto" w:fill="E5E9F3"/>
          </w:tcPr>
          <w:p>
            <w:pPr>
              <w:spacing w:after="0"/>
              <w:rPr>
                <w:sz w:val="22"/>
                <w:szCs w:val="22"/>
                <w:color w:val="auto"/>
              </w:rPr>
            </w:pPr>
          </w:p>
        </w:tc>
        <w:tc>
          <w:tcPr>
            <w:tcW w:w="540" w:type="dxa"/>
            <w:vAlign w:val="bottom"/>
            <w:shd w:val="clear" w:color="auto" w:fill="E5E9F3"/>
          </w:tcPr>
          <w:p>
            <w:pPr>
              <w:spacing w:after="0"/>
              <w:rPr>
                <w:sz w:val="22"/>
                <w:szCs w:val="22"/>
                <w:color w:val="auto"/>
              </w:rPr>
            </w:pPr>
          </w:p>
        </w:tc>
        <w:tc>
          <w:tcPr>
            <w:tcW w:w="92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72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640" w:type="dxa"/>
            <w:vAlign w:val="bottom"/>
            <w:shd w:val="clear" w:color="auto" w:fill="E5E9F3"/>
          </w:tcPr>
          <w:p>
            <w:pPr>
              <w:spacing w:after="0"/>
              <w:rPr>
                <w:sz w:val="22"/>
                <w:szCs w:val="22"/>
                <w:color w:val="auto"/>
              </w:rPr>
            </w:pPr>
          </w:p>
        </w:tc>
        <w:tc>
          <w:tcPr>
            <w:tcW w:w="560" w:type="dxa"/>
            <w:vAlign w:val="bottom"/>
            <w:shd w:val="clear" w:color="auto" w:fill="E5E9F3"/>
          </w:tcPr>
          <w:p>
            <w:pPr>
              <w:spacing w:after="0"/>
              <w:rPr>
                <w:sz w:val="22"/>
                <w:szCs w:val="22"/>
                <w:color w:val="auto"/>
              </w:rPr>
            </w:pPr>
          </w:p>
        </w:tc>
        <w:tc>
          <w:tcPr>
            <w:tcW w:w="90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74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4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814.2</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509.1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824.9</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486.0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53"/>
        </w:trPr>
        <w:tc>
          <w:tcPr>
            <w:tcW w:w="444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E5E9F3"/>
          </w:tcPr>
          <w:p>
            <w:pPr>
              <w:spacing w:after="0"/>
              <w:rPr>
                <w:sz w:val="22"/>
                <w:szCs w:val="22"/>
                <w:color w:val="auto"/>
              </w:rPr>
            </w:pPr>
          </w:p>
        </w:tc>
        <w:tc>
          <w:tcPr>
            <w:tcW w:w="6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24.4</w:t>
            </w:r>
          </w:p>
        </w:tc>
        <w:tc>
          <w:tcPr>
            <w:tcW w:w="54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150"/>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auto"/>
            </w:tcBorders>
            <w:shd w:val="clear" w:color="auto" w:fill="E5E9F3"/>
          </w:tcPr>
          <w:p>
            <w:pPr>
              <w:spacing w:after="0"/>
              <w:rPr>
                <w:sz w:val="22"/>
                <w:szCs w:val="22"/>
                <w:color w:val="auto"/>
              </w:rPr>
            </w:pPr>
          </w:p>
        </w:tc>
        <w:tc>
          <w:tcPr>
            <w:tcW w:w="72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E5E9F3"/>
          </w:tcPr>
          <w:p>
            <w:pPr>
              <w:spacing w:after="0"/>
              <w:rPr>
                <w:sz w:val="22"/>
                <w:szCs w:val="22"/>
                <w:color w:val="auto"/>
              </w:rPr>
            </w:pPr>
          </w:p>
        </w:tc>
        <w:tc>
          <w:tcPr>
            <w:tcW w:w="140" w:type="dxa"/>
            <w:vAlign w:val="bottom"/>
            <w:tcBorders>
              <w:bottom w:val="single" w:sz="8" w:color="auto"/>
            </w:tcBorders>
            <w:shd w:val="clear" w:color="auto" w:fill="E5E9F3"/>
          </w:tcPr>
          <w:p>
            <w:pPr>
              <w:spacing w:after="0"/>
              <w:rPr>
                <w:sz w:val="22"/>
                <w:szCs w:val="22"/>
                <w:color w:val="auto"/>
              </w:rPr>
            </w:pPr>
          </w:p>
        </w:tc>
        <w:tc>
          <w:tcPr>
            <w:tcW w:w="6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21.5</w:t>
            </w:r>
          </w:p>
        </w:tc>
        <w:tc>
          <w:tcPr>
            <w:tcW w:w="560" w:type="dxa"/>
            <w:vAlign w:val="bottom"/>
            <w:tcBorders>
              <w:bottom w:val="single" w:sz="8" w:color="auto"/>
            </w:tcBorders>
            <w:shd w:val="clear" w:color="auto" w:fill="E5E9F3"/>
          </w:tcPr>
          <w:p>
            <w:pPr>
              <w:spacing w:after="0"/>
              <w:rPr>
                <w:sz w:val="22"/>
                <w:szCs w:val="22"/>
                <w:color w:val="auto"/>
              </w:rPr>
            </w:pPr>
          </w:p>
        </w:tc>
        <w:tc>
          <w:tcPr>
            <w:tcW w:w="900" w:type="dxa"/>
            <w:vAlign w:val="bottom"/>
            <w:tcBorders>
              <w:bottom w:val="single" w:sz="8" w:color="auto"/>
            </w:tcBorders>
            <w:shd w:val="clear" w:color="auto" w:fill="E5E9F3"/>
          </w:tcPr>
          <w:p>
            <w:pPr>
              <w:jc w:val="right"/>
              <w:ind w:right="130"/>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530.4</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308.2</w:t>
            </w:r>
          </w:p>
        </w:tc>
        <w:tc>
          <w:tcPr>
            <w:tcW w:w="140" w:type="dxa"/>
            <w:vAlign w:val="bottom"/>
            <w:tcBorders>
              <w:bottom w:val="single" w:sz="8" w:color="E5E9F3"/>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507.2</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43"/>
        </w:trPr>
        <w:tc>
          <w:tcPr>
            <w:tcW w:w="44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Indefinite-lived:</w:t>
            </w:r>
          </w:p>
        </w:tc>
        <w:tc>
          <w:tcPr>
            <w:tcW w:w="100" w:type="dxa"/>
            <w:vAlign w:val="bottom"/>
            <w:shd w:val="clear" w:color="auto" w:fill="E5E9F3"/>
          </w:tcPr>
          <w:p>
            <w:pPr>
              <w:spacing w:after="0"/>
              <w:rPr>
                <w:sz w:val="21"/>
                <w:szCs w:val="21"/>
                <w:color w:val="auto"/>
              </w:rPr>
            </w:pPr>
          </w:p>
        </w:tc>
        <w:tc>
          <w:tcPr>
            <w:tcW w:w="680" w:type="dxa"/>
            <w:vAlign w:val="bottom"/>
            <w:shd w:val="clear" w:color="auto" w:fill="E5E9F3"/>
          </w:tcPr>
          <w:p>
            <w:pPr>
              <w:spacing w:after="0"/>
              <w:rPr>
                <w:sz w:val="21"/>
                <w:szCs w:val="21"/>
                <w:color w:val="auto"/>
              </w:rPr>
            </w:pPr>
          </w:p>
        </w:tc>
        <w:tc>
          <w:tcPr>
            <w:tcW w:w="540" w:type="dxa"/>
            <w:vAlign w:val="bottom"/>
            <w:shd w:val="clear" w:color="auto" w:fill="E5E9F3"/>
          </w:tcPr>
          <w:p>
            <w:pPr>
              <w:spacing w:after="0"/>
              <w:rPr>
                <w:sz w:val="21"/>
                <w:szCs w:val="21"/>
                <w:color w:val="auto"/>
              </w:rPr>
            </w:pPr>
          </w:p>
        </w:tc>
        <w:tc>
          <w:tcPr>
            <w:tcW w:w="92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72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640" w:type="dxa"/>
            <w:vAlign w:val="bottom"/>
            <w:shd w:val="clear" w:color="auto" w:fill="E5E9F3"/>
          </w:tcPr>
          <w:p>
            <w:pPr>
              <w:spacing w:after="0"/>
              <w:rPr>
                <w:sz w:val="21"/>
                <w:szCs w:val="21"/>
                <w:color w:val="auto"/>
              </w:rPr>
            </w:pPr>
          </w:p>
        </w:tc>
        <w:tc>
          <w:tcPr>
            <w:tcW w:w="560" w:type="dxa"/>
            <w:vAlign w:val="bottom"/>
            <w:shd w:val="clear" w:color="auto" w:fill="E5E9F3"/>
          </w:tcPr>
          <w:p>
            <w:pPr>
              <w:spacing w:after="0"/>
              <w:rPr>
                <w:sz w:val="21"/>
                <w:szCs w:val="21"/>
                <w:color w:val="auto"/>
              </w:rPr>
            </w:pPr>
          </w:p>
        </w:tc>
        <w:tc>
          <w:tcPr>
            <w:tcW w:w="90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740" w:type="dxa"/>
            <w:vAlign w:val="bottom"/>
            <w:shd w:val="clear" w:color="auto" w:fill="E5E9F3"/>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440" w:type="dxa"/>
            <w:vAlign w:val="bottom"/>
          </w:tcPr>
          <w:p>
            <w:pPr>
              <w:ind w:left="500"/>
              <w:spacing w:after="0" w:line="253"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(b)</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540" w:type="dxa"/>
            <w:vAlign w:val="bottom"/>
          </w:tcPr>
          <w:p>
            <w:pPr>
              <w:spacing w:after="0"/>
              <w:rPr>
                <w:sz w:val="22"/>
                <w:szCs w:val="22"/>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560" w:type="dxa"/>
            <w:vAlign w:val="bottom"/>
          </w:tcPr>
          <w:p>
            <w:pPr>
              <w:spacing w:after="0"/>
              <w:rPr>
                <w:sz w:val="22"/>
                <w:szCs w:val="22"/>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53"/>
        </w:trPr>
        <w:tc>
          <w:tcPr>
            <w:tcW w:w="444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8"/>
                <w:szCs w:val="18"/>
                <w:color w:val="auto"/>
              </w:rPr>
              <w:t>Reacquired franchise rights</w:t>
            </w:r>
          </w:p>
        </w:tc>
        <w:tc>
          <w:tcPr>
            <w:tcW w:w="100" w:type="dxa"/>
            <w:vAlign w:val="bottom"/>
            <w:tcBorders>
              <w:bottom w:val="single" w:sz="8" w:color="auto"/>
            </w:tcBorders>
            <w:shd w:val="clear" w:color="auto" w:fill="E5E9F3"/>
          </w:tcPr>
          <w:p>
            <w:pPr>
              <w:spacing w:after="0"/>
              <w:rPr>
                <w:sz w:val="21"/>
                <w:szCs w:val="21"/>
                <w:color w:val="auto"/>
              </w:rPr>
            </w:pPr>
          </w:p>
        </w:tc>
        <w:tc>
          <w:tcPr>
            <w:tcW w:w="6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125.9</w:t>
            </w:r>
          </w:p>
        </w:tc>
        <w:tc>
          <w:tcPr>
            <w:tcW w:w="540" w:type="dxa"/>
            <w:vAlign w:val="bottom"/>
            <w:tcBorders>
              <w:bottom w:val="single" w:sz="8" w:color="auto"/>
            </w:tcBorders>
            <w:shd w:val="clear" w:color="auto" w:fill="E5E9F3"/>
          </w:tcPr>
          <w:p>
            <w:pPr>
              <w:spacing w:after="0"/>
              <w:rPr>
                <w:sz w:val="21"/>
                <w:szCs w:val="21"/>
                <w:color w:val="auto"/>
              </w:rPr>
            </w:pPr>
          </w:p>
        </w:tc>
        <w:tc>
          <w:tcPr>
            <w:tcW w:w="920" w:type="dxa"/>
            <w:vAlign w:val="bottom"/>
            <w:tcBorders>
              <w:bottom w:val="single" w:sz="8" w:color="auto"/>
            </w:tcBorders>
            <w:shd w:val="clear" w:color="auto" w:fill="E5E9F3"/>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9F3"/>
          </w:tcPr>
          <w:p>
            <w:pPr>
              <w:spacing w:after="0"/>
              <w:rPr>
                <w:sz w:val="21"/>
                <w:szCs w:val="21"/>
                <w:color w:val="auto"/>
              </w:rPr>
            </w:pPr>
          </w:p>
        </w:tc>
        <w:tc>
          <w:tcPr>
            <w:tcW w:w="72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125.9</w:t>
            </w:r>
          </w:p>
        </w:tc>
        <w:tc>
          <w:tcPr>
            <w:tcW w:w="140" w:type="dxa"/>
            <w:vAlign w:val="bottom"/>
            <w:tcBorders>
              <w:bottom w:val="single" w:sz="8" w:color="E5E9F3"/>
            </w:tcBorders>
            <w:shd w:val="clear" w:color="auto" w:fill="E5E9F3"/>
          </w:tcPr>
          <w:p>
            <w:pPr>
              <w:spacing w:after="0"/>
              <w:rPr>
                <w:sz w:val="21"/>
                <w:szCs w:val="21"/>
                <w:color w:val="auto"/>
              </w:rPr>
            </w:pPr>
          </w:p>
        </w:tc>
        <w:tc>
          <w:tcPr>
            <w:tcW w:w="140" w:type="dxa"/>
            <w:vAlign w:val="bottom"/>
            <w:tcBorders>
              <w:bottom w:val="single" w:sz="8" w:color="auto"/>
            </w:tcBorders>
            <w:shd w:val="clear" w:color="auto" w:fill="E5E9F3"/>
          </w:tcPr>
          <w:p>
            <w:pPr>
              <w:spacing w:after="0"/>
              <w:rPr>
                <w:sz w:val="21"/>
                <w:szCs w:val="21"/>
                <w:color w:val="auto"/>
              </w:rPr>
            </w:pPr>
          </w:p>
        </w:tc>
        <w:tc>
          <w:tcPr>
            <w:tcW w:w="6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128.4</w:t>
            </w:r>
          </w:p>
        </w:tc>
        <w:tc>
          <w:tcPr>
            <w:tcW w:w="560" w:type="dxa"/>
            <w:vAlign w:val="bottom"/>
            <w:tcBorders>
              <w:bottom w:val="single" w:sz="8" w:color="auto"/>
            </w:tcBorders>
            <w:shd w:val="clear" w:color="auto" w:fill="E5E9F3"/>
          </w:tcPr>
          <w:p>
            <w:pPr>
              <w:spacing w:after="0"/>
              <w:rPr>
                <w:sz w:val="21"/>
                <w:szCs w:val="21"/>
                <w:color w:val="auto"/>
              </w:rPr>
            </w:pPr>
          </w:p>
        </w:tc>
        <w:tc>
          <w:tcPr>
            <w:tcW w:w="900" w:type="dxa"/>
            <w:vAlign w:val="bottom"/>
            <w:tcBorders>
              <w:bottom w:val="single" w:sz="8" w:color="auto"/>
            </w:tcBorders>
            <w:shd w:val="clear" w:color="auto" w:fill="E5E9F3"/>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9F3"/>
          </w:tcPr>
          <w:p>
            <w:pPr>
              <w:spacing w:after="0"/>
              <w:rPr>
                <w:sz w:val="21"/>
                <w:szCs w:val="21"/>
                <w:color w:val="auto"/>
              </w:rPr>
            </w:pPr>
          </w:p>
        </w:tc>
        <w:tc>
          <w:tcPr>
            <w:tcW w:w="74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177.9</w:t>
            </w:r>
          </w:p>
        </w:tc>
        <w:tc>
          <w:tcPr>
            <w:tcW w:w="140" w:type="dxa"/>
            <w:vAlign w:val="bottom"/>
            <w:tcBorders>
              <w:bottom w:val="single" w:sz="8" w:color="E5E9F3"/>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1,016.5</w:t>
            </w:r>
          </w:p>
        </w:tc>
        <w:tc>
          <w:tcPr>
            <w:tcW w:w="540" w:type="dxa"/>
            <w:vAlign w:val="bottom"/>
            <w:tcBorders>
              <w:bottom w:val="single" w:sz="8" w:color="auto"/>
            </w:tcBorders>
            <w:shd w:val="clear" w:color="auto" w:fill="E5E9F3"/>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150"/>
              <w:spacing w:after="0"/>
              <w:rPr>
                <w:sz w:val="20"/>
                <w:szCs w:val="20"/>
                <w:color w:val="auto"/>
              </w:rPr>
            </w:pPr>
            <w:r>
              <w:rPr>
                <w:rFonts w:ascii="Arial" w:cs="Arial" w:eastAsia="Arial" w:hAnsi="Arial"/>
                <w:sz w:val="18"/>
                <w:szCs w:val="18"/>
                <w:color w:val="auto"/>
              </w:rPr>
              <w:t>530.4</w:t>
            </w:r>
          </w:p>
        </w:tc>
        <w:tc>
          <w:tcPr>
            <w:tcW w:w="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486.1</w:t>
            </w:r>
          </w:p>
        </w:tc>
        <w:tc>
          <w:tcPr>
            <w:tcW w:w="140" w:type="dxa"/>
            <w:vAlign w:val="bottom"/>
            <w:tcBorders>
              <w:bottom w:val="single" w:sz="8" w:color="auto"/>
            </w:tcBorders>
            <w:shd w:val="clear" w:color="auto" w:fill="E5E9F3"/>
          </w:tcPr>
          <w:p>
            <w:pPr>
              <w:spacing w:after="0"/>
              <w:rPr>
                <w:sz w:val="21"/>
                <w:szCs w:val="21"/>
                <w:color w:val="auto"/>
              </w:rPr>
            </w:pPr>
          </w:p>
        </w:tc>
        <w:tc>
          <w:tcPr>
            <w:tcW w:w="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99"/>
              </w:rPr>
              <w:t>1,026.8</w:t>
            </w:r>
          </w:p>
        </w:tc>
        <w:tc>
          <w:tcPr>
            <w:tcW w:w="560" w:type="dxa"/>
            <w:vAlign w:val="bottom"/>
            <w:tcBorders>
              <w:bottom w:val="single" w:sz="8" w:color="auto"/>
            </w:tcBorders>
            <w:shd w:val="clear" w:color="auto" w:fill="E5E9F3"/>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9F3"/>
          </w:tcPr>
          <w:p>
            <w:pPr>
              <w:jc w:val="right"/>
              <w:ind w:right="130"/>
              <w:spacing w:after="0"/>
              <w:rPr>
                <w:sz w:val="20"/>
                <w:szCs w:val="20"/>
                <w:color w:val="auto"/>
              </w:rPr>
            </w:pPr>
            <w:r>
              <w:rPr>
                <w:rFonts w:ascii="Arial" w:cs="Arial" w:eastAsia="Arial" w:hAnsi="Arial"/>
                <w:sz w:val="18"/>
                <w:szCs w:val="18"/>
                <w:color w:val="auto"/>
              </w:rPr>
              <w:t>507.2</w:t>
            </w:r>
          </w:p>
        </w:tc>
        <w:tc>
          <w:tcPr>
            <w:tcW w:w="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tabs>
          <w:tab w:leader="none" w:pos="320" w:val="left"/>
        </w:tabs>
        <w:numPr>
          <w:ilvl w:val="0"/>
          <w:numId w:val="38"/>
        </w:numPr>
        <w:rPr>
          <w:rFonts w:ascii="Arial" w:cs="Arial" w:eastAsia="Arial" w:hAnsi="Arial"/>
          <w:sz w:val="10"/>
          <w:szCs w:val="10"/>
          <w:color w:val="auto"/>
        </w:rPr>
      </w:pPr>
      <w:r>
        <w:rPr>
          <w:rFonts w:ascii="Arial" w:cs="Arial" w:eastAsia="Arial" w:hAnsi="Arial"/>
          <w:sz w:val="16"/>
          <w:szCs w:val="16"/>
          <w:color w:val="auto"/>
        </w:rPr>
        <w:t>Balances were net of accumulated impairment loss of $749.3 as of both December 31, 2024 and 2023.</w:t>
      </w:r>
    </w:p>
    <w:p>
      <w:pPr>
        <w:spacing w:after="0" w:line="39" w:lineRule="exact"/>
        <w:rPr>
          <w:rFonts w:ascii="Arial" w:cs="Arial" w:eastAsia="Arial" w:hAnsi="Arial"/>
          <w:sz w:val="10"/>
          <w:szCs w:val="10"/>
          <w:color w:val="auto"/>
        </w:rPr>
      </w:pPr>
    </w:p>
    <w:p>
      <w:pPr>
        <w:ind w:left="320" w:hanging="320"/>
        <w:spacing w:after="0"/>
        <w:tabs>
          <w:tab w:leader="none" w:pos="320" w:val="left"/>
        </w:tabs>
        <w:numPr>
          <w:ilvl w:val="0"/>
          <w:numId w:val="38"/>
        </w:numPr>
        <w:rPr>
          <w:rFonts w:ascii="Arial" w:cs="Arial" w:eastAsia="Arial" w:hAnsi="Arial"/>
          <w:sz w:val="10"/>
          <w:szCs w:val="10"/>
          <w:color w:val="auto"/>
        </w:rPr>
      </w:pPr>
      <w:r>
        <w:rPr>
          <w:rFonts w:ascii="Arial" w:cs="Arial" w:eastAsia="Arial" w:hAnsi="Arial"/>
          <w:sz w:val="16"/>
          <w:szCs w:val="16"/>
          <w:color w:val="auto"/>
        </w:rPr>
        <w:t>Balances were net of accumulated impairment loss of $139.5 as of both December 31, 2024 and 2023.</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consolidated amortization expense related to intangibles was $32.7, $34.6 and $37.1 in 2024, 2023 and 2022, respectively. Amortization expense expected in each of the next five years related to acquisitions completed as of December 31, 2024 is as follows: 2025 - $31.0, 2026 - $27.5, 2027 - $26.9, 2028 - $26.9 and 2029 - $26.5. The weighted-average useful lives of the customer relationships and other are approximately 14 and 5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terminal value multiple.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 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10800"/>
          </w:cols>
          <w:pgMar w:left="720" w:top="734" w:right="720" w:bottom="175" w:gutter="0" w:footer="0" w:header="0"/>
          <w:type w:val="continuous"/>
        </w:sectPr>
      </w:pPr>
    </w:p>
    <w:bookmarkStart w:id="64" w:name="page65"/>
    <w:bookmarkEnd w:id="64"/>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8" o:spid="_x0000_s110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performed our annual impairment test of our goodwill and indefinite-lived intangible assets during the third quarter of 2024, and determined that there was no impairment of our goodwill or indefinite-lived intangible assets as a result of our annual test. The excess of fair value over carrying amount for our goodwill reporting units, which exceeded 15% or more of the respective carrying amounts, was sufficient to conclude that no impairment was indicated. The reacquired franchise right associated with our Switzerland business, which is an infinite-lived intangible asset, had an excess of fair value over carrying value of 5.2%. Key assumptions included in the impairment test included a discount rate of 13.1% and OUP margins ranging from 2.3% to 5.5%. The carrying value of the reacquired franchise right as of June 30, 2024 was $27.7.</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While the excess of fair value over carrying amount exceeded 15% for our reporting units, we did see a lower level of excess fair value year over year in many of our North America and Europe reporting units including three of these reporting units which approximate $1,243.0 of the consolidated goodwill balance. Given the current macroeconomic conditions in these regions, our assumptions on near-term expected future revenue growth rates and operating profit margins were lower than in the prior year assessment. Market conditions in North America and Europe continue to remain challenging given the economic uncertainty including the uncertainty surrounding the timing of an inflection point for improving market conditions. 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During the fourth quarter of 2024, in connection with the preparation of our annual financial statements, we assessed the changes in circumstances that occurred during the quarter to determine if it was more likely than not that the fair value of any reporting unit or indefinite-lived intangible asset were below its carrying amount. While we continued to see challenging market conditions in Europe which led to lower levels of revenue and OUP in certain of our reporting units than we had forecasted at the time of our impairment testing, we concluded based on our analysis performed, that the fair value of these reporting units continued to exceed the carrying value and did not identify a triggering event.</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Capitalized Software for Internal Use</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$36.5 and $44.7 as of December 31, 2024 and 2023, respectively, is included in other assets in the Consolidated Balance Sheets. Amortization expense related to the capitalized software costs, which is included in selling and administrative expenses, was $15.8, $13.8 and $9.8 for 2024, 2023 and 2022, respectively. In 2023, we also recorded software impairment charges of $2.2.</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Cloud Computing Arrangements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$110.8, $54.6 and $19.9 as of December 31, 2024, 2023 and 2022, respectively.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10800"/>
          </w:cols>
          <w:pgMar w:left="720" w:top="734" w:right="720" w:bottom="175" w:gutter="0" w:footer="0" w:header="0"/>
          <w:type w:val="continuous"/>
        </w:sectPr>
      </w:pPr>
    </w:p>
    <w:bookmarkStart w:id="65" w:name="page66"/>
    <w:bookmarkEnd w:id="6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79" o:spid="_x0000_s110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A summary of property and equipment as of December 31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940" w:type="dxa"/>
            <w:vAlign w:val="bottom"/>
            <w:tcBorders>
              <w:top w:val="single" w:sz="8" w:color="auto"/>
              <w:bottom w:val="single" w:sz="8" w:color="auto"/>
            </w:tcBorders>
            <w:shd w:val="clear" w:color="auto" w:fill="97AAD0"/>
          </w:tcPr>
          <w:p>
            <w:pPr>
              <w:spacing w:after="0"/>
              <w:rPr>
                <w:sz w:val="24"/>
                <w:szCs w:val="24"/>
                <w:color w:val="auto"/>
              </w:rPr>
            </w:pPr>
          </w:p>
        </w:tc>
        <w:tc>
          <w:tcPr>
            <w:tcW w:w="3460" w:type="dxa"/>
            <w:vAlign w:val="bottom"/>
            <w:tcBorders>
              <w:top w:val="single" w:sz="8" w:color="auto"/>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top w:val="single" w:sz="8" w:color="auto"/>
              <w:bottom w:val="single" w:sz="8" w:color="auto"/>
            </w:tcBorders>
            <w:shd w:val="clear" w:color="auto" w:fill="97AAD0"/>
          </w:tcPr>
          <w:p>
            <w:pPr>
              <w:spacing w:after="0"/>
              <w:rPr>
                <w:sz w:val="24"/>
                <w:szCs w:val="24"/>
                <w:color w:val="auto"/>
              </w:rPr>
            </w:pPr>
          </w:p>
        </w:tc>
        <w:tc>
          <w:tcPr>
            <w:tcW w:w="500" w:type="dxa"/>
            <w:vAlign w:val="bottom"/>
            <w:tcBorders>
              <w:top w:val="single" w:sz="8" w:color="auto"/>
              <w:bottom w:val="single" w:sz="8" w:color="auto"/>
            </w:tcBorders>
            <w:shd w:val="clear" w:color="auto" w:fill="97AAD0"/>
          </w:tcPr>
          <w:p>
            <w:pPr>
              <w:spacing w:after="0"/>
              <w:rPr>
                <w:sz w:val="24"/>
                <w:szCs w:val="24"/>
                <w:color w:val="auto"/>
              </w:rPr>
            </w:pPr>
          </w:p>
        </w:tc>
        <w:tc>
          <w:tcPr>
            <w:tcW w:w="1220" w:type="dxa"/>
            <w:vAlign w:val="bottom"/>
            <w:tcBorders>
              <w:top w:val="single" w:sz="8" w:color="auto"/>
              <w:bottom w:val="single" w:sz="8" w:color="auto"/>
            </w:tcBorders>
            <w:shd w:val="clear" w:color="auto" w:fill="97AAD0"/>
          </w:tcPr>
          <w:p>
            <w:pPr>
              <w:jc w:val="right"/>
              <w:ind w:right="551"/>
              <w:spacing w:after="0"/>
              <w:rPr>
                <w:sz w:val="20"/>
                <w:szCs w:val="20"/>
                <w:color w:val="auto"/>
              </w:rPr>
            </w:pPr>
            <w:r>
              <w:rPr>
                <w:rFonts w:ascii="Arial" w:cs="Arial" w:eastAsia="Arial" w:hAnsi="Arial"/>
                <w:sz w:val="16"/>
                <w:szCs w:val="16"/>
                <w:b w:val="1"/>
                <w:bCs w:val="1"/>
                <w:color w:val="auto"/>
              </w:rPr>
              <w:t>2023</w:t>
            </w:r>
          </w:p>
        </w:tc>
      </w:tr>
      <w:tr>
        <w:trPr>
          <w:trHeight w:val="243"/>
        </w:trPr>
        <w:tc>
          <w:tcPr>
            <w:tcW w:w="49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Land</w:t>
            </w:r>
          </w:p>
        </w:tc>
        <w:tc>
          <w:tcPr>
            <w:tcW w:w="3460" w:type="dxa"/>
            <w:vAlign w:val="bottom"/>
            <w:shd w:val="clear" w:color="auto" w:fill="E5E9F3"/>
          </w:tcPr>
          <w:p>
            <w:pPr>
              <w:jc w:val="right"/>
              <w:ind w:right="733"/>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0.4</w:t>
            </w:r>
          </w:p>
        </w:tc>
      </w:tr>
      <w:tr>
        <w:trPr>
          <w:trHeight w:val="253"/>
        </w:trPr>
        <w:tc>
          <w:tcPr>
            <w:tcW w:w="494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3460" w:type="dxa"/>
            <w:vAlign w:val="bottom"/>
          </w:tcPr>
          <w:p>
            <w:pPr>
              <w:spacing w:after="0"/>
              <w:rPr>
                <w:sz w:val="22"/>
                <w:szCs w:val="22"/>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w:t>
            </w:r>
          </w:p>
        </w:tc>
      </w:tr>
      <w:tr>
        <w:trPr>
          <w:trHeight w:val="253"/>
        </w:trPr>
        <w:tc>
          <w:tcPr>
            <w:tcW w:w="49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Furniture, fixtures, and autos</w:t>
            </w:r>
          </w:p>
        </w:tc>
        <w:tc>
          <w:tcPr>
            <w:tcW w:w="3460" w:type="dxa"/>
            <w:vAlign w:val="bottom"/>
            <w:shd w:val="clear" w:color="auto" w:fill="E5E9F3"/>
          </w:tcPr>
          <w:p>
            <w:pPr>
              <w:spacing w:after="0"/>
              <w:rPr>
                <w:sz w:val="22"/>
                <w:szCs w:val="22"/>
                <w:color w:val="auto"/>
              </w:rPr>
            </w:pPr>
          </w:p>
        </w:tc>
        <w:tc>
          <w:tcPr>
            <w:tcW w:w="68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145.6</w:t>
            </w:r>
          </w:p>
        </w:tc>
        <w:tc>
          <w:tcPr>
            <w:tcW w:w="500" w:type="dxa"/>
            <w:vAlign w:val="bottom"/>
            <w:shd w:val="clear" w:color="auto" w:fill="E5E9F3"/>
          </w:tcPr>
          <w:p>
            <w:pPr>
              <w:spacing w:after="0"/>
              <w:rPr>
                <w:sz w:val="22"/>
                <w:szCs w:val="22"/>
                <w:color w:val="auto"/>
              </w:rPr>
            </w:pPr>
          </w:p>
        </w:tc>
        <w:tc>
          <w:tcPr>
            <w:tcW w:w="12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148.5</w:t>
            </w:r>
          </w:p>
        </w:tc>
      </w:tr>
      <w:tr>
        <w:trPr>
          <w:trHeight w:val="253"/>
        </w:trPr>
        <w:tc>
          <w:tcPr>
            <w:tcW w:w="4940" w:type="dxa"/>
            <w:vAlign w:val="bottom"/>
          </w:tcPr>
          <w:p>
            <w:pPr>
              <w:ind w:left="100"/>
              <w:spacing w:after="0"/>
              <w:rPr>
                <w:sz w:val="20"/>
                <w:szCs w:val="20"/>
                <w:color w:val="auto"/>
              </w:rPr>
            </w:pPr>
            <w:r>
              <w:rPr>
                <w:rFonts w:ascii="Arial" w:cs="Arial" w:eastAsia="Arial" w:hAnsi="Arial"/>
                <w:sz w:val="18"/>
                <w:szCs w:val="18"/>
                <w:color w:val="auto"/>
              </w:rPr>
              <w:t>Computer equipment</w:t>
            </w:r>
          </w:p>
        </w:tc>
        <w:tc>
          <w:tcPr>
            <w:tcW w:w="346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106.1</w:t>
            </w:r>
          </w:p>
        </w:tc>
        <w:tc>
          <w:tcPr>
            <w:tcW w:w="50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127.3</w:t>
            </w:r>
          </w:p>
        </w:tc>
      </w:tr>
      <w:tr>
        <w:trPr>
          <w:trHeight w:val="253"/>
        </w:trPr>
        <w:tc>
          <w:tcPr>
            <w:tcW w:w="49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Leasehold improvements</w:t>
            </w:r>
          </w:p>
        </w:tc>
        <w:tc>
          <w:tcPr>
            <w:tcW w:w="3460" w:type="dxa"/>
            <w:vAlign w:val="bottom"/>
            <w:tcBorders>
              <w:bottom w:val="single" w:sz="8" w:color="auto"/>
            </w:tcBorders>
            <w:shd w:val="clear" w:color="auto" w:fill="E5E9F3"/>
          </w:tcPr>
          <w:p>
            <w:pPr>
              <w:spacing w:after="0"/>
              <w:rPr>
                <w:sz w:val="22"/>
                <w:szCs w:val="22"/>
                <w:color w:val="auto"/>
              </w:rPr>
            </w:pPr>
          </w:p>
        </w:tc>
        <w:tc>
          <w:tcPr>
            <w:tcW w:w="68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rPr>
              <w:t>230.1</w:t>
            </w:r>
          </w:p>
        </w:tc>
        <w:tc>
          <w:tcPr>
            <w:tcW w:w="500" w:type="dxa"/>
            <w:vAlign w:val="bottom"/>
            <w:tcBorders>
              <w:bottom w:val="single" w:sz="8" w:color="auto"/>
            </w:tcBorders>
            <w:shd w:val="clear" w:color="auto" w:fill="E5E9F3"/>
          </w:tcPr>
          <w:p>
            <w:pPr>
              <w:spacing w:after="0"/>
              <w:rPr>
                <w:sz w:val="22"/>
                <w:szCs w:val="22"/>
                <w:color w:val="auto"/>
              </w:rPr>
            </w:pPr>
          </w:p>
        </w:tc>
        <w:tc>
          <w:tcPr>
            <w:tcW w:w="12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243.9</w:t>
            </w:r>
          </w:p>
        </w:tc>
      </w:tr>
      <w:tr>
        <w:trPr>
          <w:trHeight w:val="243"/>
        </w:trPr>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Property and equipment</w:t>
            </w:r>
          </w:p>
        </w:tc>
        <w:tc>
          <w:tcPr>
            <w:tcW w:w="346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488.2</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526.5</w:t>
            </w:r>
          </w:p>
        </w:tc>
      </w:tr>
    </w:tbl>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Property and equipment are stated at cost and are depreciated using primarily the straight-line method over the following estimated useful lives: buildings - up to 40 years; furniture, fixtures, autos and computer equipment - 3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Leases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recognize right-of-use assets (“ROU”) and lease liabilities on the balance sheet for leases with lease terms longer than 12 months and we classify the lease as a finance or operating lease which affects the recognition, measurement, and presentation of lease expenses and cash flows.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operating leases for real estate, vehicles, and equipment. Our leases have remaining lease terms of 1 month to 15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contracts, and we only include those periods beyond the termination date if we are reasonably certain not to exercise the termination option.</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72"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2024, we did not have any material additional operating leases that have not yet commenced.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Derivative Financial Instruments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10800"/>
          </w:cols>
          <w:pgMar w:left="720" w:top="734" w:right="720" w:bottom="175" w:gutter="0" w:footer="0" w:header="0"/>
          <w:type w:val="continuous"/>
        </w:sectPr>
      </w:pPr>
    </w:p>
    <w:bookmarkStart w:id="66" w:name="page67"/>
    <w:bookmarkEnd w:id="66"/>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80" o:spid="_x0000_s110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Foreign Currency Translation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of July 1, 2018, the Argentina economy was designated as highly-inflationary and was treated as such for accounting purposes for all periods presented.</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Shareholders’ Equity</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2024, we repurchased a total of 2.0 million shares under the 2023 authorization, at a total cost of $140.9 including excise tax on share repurchases of $0.9. In 2023, we repurchased a total of 2.4 million shares comprised of 2.0 million shares under the 2021 authorization and 0.4 million shares under the 2023 authorization, at a total cost of $181.5 including excise tax on share repurchases of $1.7. In 2022, we repurchased a total of 3.2 million shares comprised of 1.2 million shares under the 2019 authorization and 2.0 million shares under the 2021 authorization, at a total cost of $270.0. As of December 31, 2024, there were 2.6 million shares remaining authorized for repurchase under the 2023 authorization and no shares remaining authorized for repurchase under the 2021 authorization.</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During 2024, 2023 and 2022, the Board of Directors declared total cash dividends of $3.08, $2.94 and $2.72 per share, respectively, resulting in total dividend payments of $145.8, $144.3 and $139.9, respectively.</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$0.3, $0.4 and $0.8 for 2024, 2023 and 2022,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Cash and Cash Equivalents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Accounting Standards Effective as of January 1, 2024</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November 2023, the FASB issued new guidance on segment reporting. The guidance requires an annual and interim disclosure of significant segment expenses that are (1) regularly provided to the chief operating decision maker and (2) included in the reported measure of segment profit or loss. The guidance also allows companies to disclose multiple measures of segment profit or loss if those measures are used to assess performance and allocate resources. We adopted the new guidance for our 2024 annual disclosures. See Note 14 to the Consolidated Financial Statements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Recently Issued Accounting Standards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We are currently assessing the impact of the adoption of this guidance on our financial statement disclosures.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10800"/>
          </w:cols>
          <w:pgMar w:left="720" w:top="734" w:right="720" w:bottom="175" w:gutter="0" w:footer="0" w:header="0"/>
          <w:type w:val="continuous"/>
        </w:sectPr>
      </w:pPr>
    </w:p>
    <w:bookmarkStart w:id="67" w:name="page68"/>
    <w:bookmarkEnd w:id="6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81" o:spid="_x0000_s110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ind w:left="420" w:hanging="420"/>
        <w:spacing w:after="0"/>
        <w:tabs>
          <w:tab w:leader="none" w:pos="420" w:val="left"/>
        </w:tabs>
        <w:numPr>
          <w:ilvl w:val="0"/>
          <w:numId w:val="39"/>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Revenue Recognition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Revenue Service Types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following is a description of our revenue service types, including Staffing and Interim, Outcome-Based Solutions and Consulting, Permanent Recruitment and Other services.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Staffing and Interim</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Outcome-Based Solutions and Consulting</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Permanent Recruitment</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RPO services, which include RPO management services and placement services, are also included in our Permanent Recruitment revenues. RPO management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10800"/>
          </w:cols>
          <w:pgMar w:left="720" w:top="734" w:right="720" w:bottom="175" w:gutter="0" w:footer="0" w:header="0"/>
          <w:type w:val="continuous"/>
        </w:sectPr>
      </w:pPr>
    </w:p>
    <w:bookmarkStart w:id="68" w:name="page69"/>
    <w:bookmarkEnd w:id="68"/>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82" o:spid="_x0000_s110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Other Services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Other services include revenues from outplacement services, MSP services, training services and franchise fees.</w:t>
      </w:r>
    </w:p>
    <w:p>
      <w:pPr>
        <w:spacing w:after="0" w:line="133" w:lineRule="exact"/>
        <w:rPr>
          <w:sz w:val="20"/>
          <w:szCs w:val="20"/>
          <w:color w:val="auto"/>
        </w:rPr>
      </w:pPr>
    </w:p>
    <w:p>
      <w:pPr>
        <w:jc w:val="both"/>
        <w:ind w:left="520" w:hanging="304"/>
        <w:spacing w:after="0" w:line="254" w:lineRule="auto"/>
        <w:tabs>
          <w:tab w:leader="none" w:pos="520" w:val="left"/>
        </w:tabs>
        <w:numPr>
          <w:ilvl w:val="0"/>
          <w:numId w:val="40"/>
        </w:numPr>
        <w:rPr>
          <w:rFonts w:ascii="Arial" w:cs="Arial" w:eastAsia="Arial" w:hAnsi="Arial"/>
          <w:sz w:val="20"/>
          <w:szCs w:val="20"/>
          <w:color w:val="537BB5"/>
        </w:rPr>
      </w:pPr>
      <w:r>
        <w:rPr>
          <w:rFonts w:ascii="Arial" w:cs="Arial" w:eastAsia="Arial" w:hAnsi="Arial"/>
          <w:sz w:val="20"/>
          <w:szCs w:val="20"/>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79" w:lineRule="exact"/>
        <w:rPr>
          <w:rFonts w:ascii="Arial" w:cs="Arial" w:eastAsia="Arial" w:hAnsi="Arial"/>
          <w:sz w:val="20"/>
          <w:szCs w:val="20"/>
          <w:color w:val="537BB5"/>
        </w:rPr>
      </w:pPr>
    </w:p>
    <w:p>
      <w:pPr>
        <w:jc w:val="both"/>
        <w:ind w:left="520" w:hanging="304"/>
        <w:spacing w:after="0" w:line="248" w:lineRule="auto"/>
        <w:tabs>
          <w:tab w:leader="none" w:pos="520" w:val="left"/>
        </w:tabs>
        <w:numPr>
          <w:ilvl w:val="0"/>
          <w:numId w:val="40"/>
        </w:numPr>
        <w:rPr>
          <w:rFonts w:ascii="Arial" w:cs="Arial" w:eastAsia="Arial" w:hAnsi="Arial"/>
          <w:sz w:val="20"/>
          <w:szCs w:val="20"/>
          <w:color w:val="537BB5"/>
        </w:rPr>
      </w:pPr>
      <w:r>
        <w:rPr>
          <w:rFonts w:ascii="Arial" w:cs="Arial" w:eastAsia="Arial" w:hAnsi="Arial"/>
          <w:sz w:val="20"/>
          <w:szCs w:val="20"/>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87" w:lineRule="exact"/>
        <w:rPr>
          <w:rFonts w:ascii="Arial" w:cs="Arial" w:eastAsia="Arial" w:hAnsi="Arial"/>
          <w:sz w:val="20"/>
          <w:szCs w:val="20"/>
          <w:color w:val="537BB5"/>
        </w:rPr>
      </w:pPr>
    </w:p>
    <w:p>
      <w:pPr>
        <w:jc w:val="both"/>
        <w:ind w:left="520" w:hanging="304"/>
        <w:spacing w:after="0" w:line="261" w:lineRule="auto"/>
        <w:tabs>
          <w:tab w:leader="none" w:pos="520" w:val="left"/>
        </w:tabs>
        <w:numPr>
          <w:ilvl w:val="0"/>
          <w:numId w:val="40"/>
        </w:numPr>
        <w:rPr>
          <w:rFonts w:ascii="Arial" w:cs="Arial" w:eastAsia="Arial" w:hAnsi="Arial"/>
          <w:sz w:val="20"/>
          <w:szCs w:val="20"/>
          <w:color w:val="537BB5"/>
        </w:rPr>
      </w:pPr>
      <w:r>
        <w:rPr>
          <w:rFonts w:ascii="Arial" w:cs="Arial" w:eastAsia="Arial" w:hAnsi="Arial"/>
          <w:sz w:val="20"/>
          <w:szCs w:val="20"/>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73" w:lineRule="exact"/>
        <w:rPr>
          <w:rFonts w:ascii="Arial" w:cs="Arial" w:eastAsia="Arial" w:hAnsi="Arial"/>
          <w:sz w:val="20"/>
          <w:szCs w:val="20"/>
          <w:color w:val="537BB5"/>
        </w:rPr>
      </w:pPr>
    </w:p>
    <w:p>
      <w:pPr>
        <w:jc w:val="both"/>
        <w:ind w:left="520" w:hanging="304"/>
        <w:spacing w:after="0" w:line="248" w:lineRule="auto"/>
        <w:tabs>
          <w:tab w:leader="none" w:pos="520" w:val="left"/>
        </w:tabs>
        <w:numPr>
          <w:ilvl w:val="0"/>
          <w:numId w:val="40"/>
        </w:numPr>
        <w:rPr>
          <w:rFonts w:ascii="Arial" w:cs="Arial" w:eastAsia="Arial" w:hAnsi="Arial"/>
          <w:sz w:val="20"/>
          <w:szCs w:val="20"/>
          <w:color w:val="537BB5"/>
        </w:rPr>
      </w:pPr>
      <w:r>
        <w:rPr>
          <w:rFonts w:ascii="Arial" w:cs="Arial" w:eastAsia="Arial" w:hAnsi="Arial"/>
          <w:sz w:val="20"/>
          <w:szCs w:val="20"/>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$14.4, $14.8 and $15.7 for the years ended December 31, 2024, 2023 and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Disaggregation of Revenues</w:t>
      </w:r>
    </w:p>
    <w:p>
      <w:pPr>
        <w:spacing w:after="0" w:line="116"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In the following table, revenue is disaggregated by service types and timing of revenue recognition and then reconciled by reportable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6858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40pt,4.05pt" o:allowincell="f" strokecolor="#000000" strokeweight="0.5pt"/>
            </w:pict>
          </mc:Fallback>
        </mc:AlternateContent>
      </w:r>
    </w:p>
    <w:p>
      <w:pPr>
        <w:spacing w:after="0" w:line="66"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-100965</wp:posOffset>
                </wp:positionV>
                <wp:extent cx="6858000" cy="13398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33985"/>
                        </a:xfrm>
                        <a:prstGeom prst="rect">
                          <a:avLst/>
                        </a:prstGeom>
                        <a:solidFill>
                          <a:srgbClr val="97AAD0"/>
                        </a:solidFill>
                      </wps:spPr>
                      <wps:bodyPr/>
                    </wps:wsp>
                  </a:graphicData>
                </a:graphic>
              </wp:anchor>
            </w:drawing>
          </mc:Choice>
          <mc:Fallback>
            <w:pict>
              <v:rect id="Shape 84" o:spid="_x0000_s1109" style="position:absolute;margin-left:0pt;margin-top:-7.9499pt;width:540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1115060" cy="17589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5060" cy="175895"/>
                        </a:xfrm>
                        <a:prstGeom prst="rect">
                          <a:avLst/>
                        </a:prstGeom>
                        <a:solidFill>
                          <a:srgbClr val="97AAD0"/>
                        </a:solidFill>
                      </wps:spPr>
                      <wps:bodyPr/>
                    </wps:wsp>
                  </a:graphicData>
                </a:graphic>
              </wp:anchor>
            </w:drawing>
          </mc:Choice>
          <mc:Fallback>
            <w:pict>
              <v:rect id="Shape 85" o:spid="_x0000_s1110" style="position:absolute;margin-left:0pt;margin-top:2.6pt;width:87.8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w:r>
    </w:p>
    <w:p>
      <w:pPr>
        <w:spacing w:after="0" w:line="18" w:lineRule="exact"/>
        <w:rPr>
          <w:sz w:val="20"/>
          <w:szCs w:val="20"/>
          <w:color w:val="auto"/>
        </w:rPr>
      </w:pPr>
    </w:p>
    <w:tbl>
      <w:tblPr>
        <w:tblLayout w:type="fixed"/>
        <w:tblInd w:w="1760" w:type="dxa"/>
        <w:tblCellMar>
          <w:top w:w="0" w:type="dxa"/>
          <w:left w:w="0" w:type="dxa"/>
          <w:bottom w:w="0" w:type="dxa"/>
          <w:right w:w="0" w:type="dxa"/>
        </w:tblCellMar>
      </w:tblPr>
      <w:tr>
        <w:trPr>
          <w:trHeight w:val="272"/>
        </w:trPr>
        <w:tc>
          <w:tcPr>
            <w:tcW w:w="4400" w:type="dxa"/>
            <w:vAlign w:val="bottom"/>
            <w:tcBorders>
              <w:top w:val="single" w:sz="8" w:color="auto"/>
            </w:tcBorders>
            <w:shd w:val="clear" w:color="auto" w:fill="97AAD0"/>
          </w:tcPr>
          <w:p>
            <w:pPr>
              <w:jc w:val="right"/>
              <w:ind w:right="1990"/>
              <w:spacing w:after="0"/>
              <w:rPr>
                <w:sz w:val="20"/>
                <w:szCs w:val="20"/>
                <w:color w:val="auto"/>
              </w:rPr>
            </w:pPr>
            <w:r>
              <w:rPr>
                <w:rFonts w:ascii="Arial" w:cs="Arial" w:eastAsia="Arial" w:hAnsi="Arial"/>
                <w:sz w:val="14"/>
                <w:szCs w:val="14"/>
                <w:b w:val="1"/>
                <w:bCs w:val="1"/>
                <w:color w:val="auto"/>
              </w:rPr>
              <w:t>2024</w:t>
            </w:r>
          </w:p>
        </w:tc>
        <w:tc>
          <w:tcPr>
            <w:tcW w:w="4640" w:type="dxa"/>
            <w:vAlign w:val="bottom"/>
            <w:tcBorders>
              <w:top w:val="single" w:sz="8" w:color="auto"/>
            </w:tcBorders>
            <w:shd w:val="clear" w:color="auto" w:fill="97AAD0"/>
          </w:tcPr>
          <w:p>
            <w:pPr>
              <w:ind w:left="2140"/>
              <w:spacing w:after="0"/>
              <w:rPr>
                <w:sz w:val="20"/>
                <w:szCs w:val="20"/>
                <w:color w:val="auto"/>
              </w:rPr>
            </w:pPr>
            <w:r>
              <w:rPr>
                <w:rFonts w:ascii="Arial" w:cs="Arial" w:eastAsia="Arial" w:hAnsi="Arial"/>
                <w:sz w:val="14"/>
                <w:szCs w:val="14"/>
                <w:b w:val="1"/>
                <w:bCs w:val="1"/>
                <w:color w:val="auto"/>
              </w:rPr>
              <w:t>2023</w:t>
            </w:r>
            <w:r>
              <w:rPr>
                <w:rFonts w:ascii="Arial" w:cs="Arial" w:eastAsia="Arial" w:hAnsi="Arial"/>
                <w:sz w:val="18"/>
                <w:szCs w:val="18"/>
                <w:b w:val="1"/>
                <w:bCs w:val="1"/>
                <w:color w:val="auto"/>
                <w:vertAlign w:val="superscript"/>
              </w:rPr>
              <w:t>(a)</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858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3494">
                          <a:solidFill>
                            <a:srgbClr val="97AAD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540pt,0.9pt" o:allowincell="f" strokecolor="#97AAD0" strokeweight="1.8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115060" cy="52641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5060" cy="526415"/>
                        </a:xfrm>
                        <a:prstGeom prst="rect">
                          <a:avLst/>
                        </a:prstGeom>
                        <a:solidFill>
                          <a:srgbClr val="97AAD0"/>
                        </a:solidFill>
                      </wps:spPr>
                      <wps:bodyPr/>
                    </wps:wsp>
                  </a:graphicData>
                </a:graphic>
              </wp:anchor>
            </w:drawing>
          </mc:Choice>
          <mc:Fallback>
            <w:pict>
              <v:rect id="Shape 87" o:spid="_x0000_s1112" style="position:absolute;margin-left:0pt;margin-top:1.85pt;width:87.8pt;height:4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3999865</wp:posOffset>
                </wp:positionH>
                <wp:positionV relativeFrom="paragraph">
                  <wp:posOffset>0</wp:posOffset>
                </wp:positionV>
                <wp:extent cx="0" cy="57277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2770"/>
                        </a:xfrm>
                        <a:prstGeom prst="line">
                          <a:avLst/>
                        </a:prstGeom>
                        <a:solidFill>
                          <a:srgbClr val="FFFFFF"/>
                        </a:solidFill>
                        <a:ln w="61595">
                          <a:solidFill>
                            <a:srgbClr val="97AAD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95pt,0pt" to="314.95pt,45.1pt" o:allowincell="f" strokecolor="#97AAD0" strokeweight="4.85pt"/>
            </w:pict>
          </mc:Fallback>
        </mc:AlternateContent>
        <mc:AlternateContent>
          <mc:Choice Requires="wps">
            <w:drawing>
              <wp:anchor simplePos="0" relativeHeight="251657728" behindDoc="1" locked="0" layoutInCell="0" allowOverlap="1">
                <wp:simplePos x="0" y="0"/>
                <wp:positionH relativeFrom="column">
                  <wp:posOffset>4030980</wp:posOffset>
                </wp:positionH>
                <wp:positionV relativeFrom="paragraph">
                  <wp:posOffset>26035</wp:posOffset>
                </wp:positionV>
                <wp:extent cx="282702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7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4pt,2.05pt" to="540pt,2.05pt" o:allowincell="f" strokecolor="#000000" strokeweight="0.5pt"/>
            </w:pict>
          </mc:Fallback>
        </mc:AlternateContent>
      </w:r>
    </w:p>
    <w:p>
      <w:pPr>
        <w:sectPr>
          <w:pgSz w:w="12240" w:h="15840" w:orient="portrait"/>
          <w:cols w:equalWidth="0" w:num="1">
            <w:col w:w="10800"/>
          </w:cols>
          <w:pgMar w:left="720" w:top="734" w:right="720" w:bottom="175" w:gutter="0" w:footer="0" w:header="0"/>
        </w:sectPr>
      </w:pPr>
    </w:p>
    <w:p>
      <w:pPr>
        <w:spacing w:after="0" w:line="17"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40" w:type="dxa"/>
            <w:vAlign w:val="bottom"/>
            <w:tcBorders>
              <w:top w:val="single" w:sz="8" w:color="auto"/>
            </w:tcBorders>
            <w:shd w:val="clear" w:color="auto" w:fill="97AAD0"/>
          </w:tcPr>
          <w:p>
            <w:pPr>
              <w:spacing w:after="0"/>
              <w:rPr>
                <w:sz w:val="14"/>
                <w:szCs w:val="14"/>
                <w:color w:val="auto"/>
              </w:rPr>
            </w:pPr>
          </w:p>
        </w:tc>
        <w:tc>
          <w:tcPr>
            <w:tcW w:w="1000" w:type="dxa"/>
            <w:vAlign w:val="bottom"/>
            <w:tcBorders>
              <w:top w:val="single" w:sz="8" w:color="auto"/>
            </w:tcBorders>
            <w:shd w:val="clear" w:color="auto" w:fill="97AAD0"/>
          </w:tcPr>
          <w:p>
            <w:pPr>
              <w:jc w:val="center"/>
              <w:spacing w:after="0"/>
              <w:rPr>
                <w:sz w:val="20"/>
                <w:szCs w:val="20"/>
                <w:color w:val="auto"/>
              </w:rPr>
            </w:pPr>
            <w:r>
              <w:rPr>
                <w:rFonts w:ascii="Arial" w:cs="Arial" w:eastAsia="Arial" w:hAnsi="Arial"/>
                <w:sz w:val="14"/>
                <w:szCs w:val="14"/>
                <w:b w:val="1"/>
                <w:bCs w:val="1"/>
                <w:color w:val="auto"/>
              </w:rPr>
              <w:t>Outcome-</w:t>
            </w:r>
          </w:p>
        </w:tc>
        <w:tc>
          <w:tcPr>
            <w:tcW w:w="1080" w:type="dxa"/>
            <w:vAlign w:val="bottom"/>
            <w:tcBorders>
              <w:top w:val="single" w:sz="8" w:color="auto"/>
            </w:tcBorders>
            <w:shd w:val="clear" w:color="auto" w:fill="97AAD0"/>
          </w:tcPr>
          <w:p>
            <w:pPr>
              <w:spacing w:after="0"/>
              <w:rPr>
                <w:sz w:val="14"/>
                <w:szCs w:val="14"/>
                <w:color w:val="auto"/>
              </w:rPr>
            </w:pPr>
          </w:p>
        </w:tc>
        <w:tc>
          <w:tcPr>
            <w:tcW w:w="680" w:type="dxa"/>
            <w:vAlign w:val="bottom"/>
            <w:tcBorders>
              <w:top w:val="single" w:sz="8" w:color="auto"/>
            </w:tcBorders>
            <w:shd w:val="clear" w:color="auto" w:fill="97AAD0"/>
          </w:tcPr>
          <w:p>
            <w:pPr>
              <w:spacing w:after="0"/>
              <w:rPr>
                <w:sz w:val="14"/>
                <w:szCs w:val="14"/>
                <w:color w:val="auto"/>
              </w:rPr>
            </w:pPr>
          </w:p>
        </w:tc>
        <w:tc>
          <w:tcPr>
            <w:tcW w:w="1000" w:type="dxa"/>
            <w:vAlign w:val="bottom"/>
            <w:tcBorders>
              <w:top w:val="single" w:sz="8" w:color="auto"/>
            </w:tcBorders>
            <w:shd w:val="clear" w:color="auto" w:fill="97AAD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vMerge w:val="restart"/>
            <w:shd w:val="clear" w:color="auto" w:fill="97AAD0"/>
          </w:tcPr>
          <w:p>
            <w:pPr>
              <w:jc w:val="center"/>
              <w:spacing w:after="0"/>
              <w:rPr>
                <w:sz w:val="20"/>
                <w:szCs w:val="20"/>
                <w:color w:val="auto"/>
              </w:rPr>
            </w:pPr>
            <w:r>
              <w:rPr>
                <w:rFonts w:ascii="Arial" w:cs="Arial" w:eastAsia="Arial" w:hAnsi="Arial"/>
                <w:sz w:val="14"/>
                <w:szCs w:val="14"/>
                <w:b w:val="1"/>
                <w:bCs w:val="1"/>
                <w:color w:val="auto"/>
                <w:w w:val="99"/>
              </w:rPr>
              <w:t>Staffing</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9"/>
              </w:rPr>
              <w:t>Based</w:t>
            </w:r>
          </w:p>
        </w:tc>
        <w:tc>
          <w:tcPr>
            <w:tcW w:w="1080" w:type="dxa"/>
            <w:vAlign w:val="bottom"/>
            <w:shd w:val="clear" w:color="auto" w:fill="97AAD0"/>
          </w:tcPr>
          <w:p>
            <w:pPr>
              <w:spacing w:after="0"/>
              <w:rPr>
                <w:sz w:val="13"/>
                <w:szCs w:val="13"/>
                <w:color w:val="auto"/>
              </w:rPr>
            </w:pPr>
          </w:p>
        </w:tc>
        <w:tc>
          <w:tcPr>
            <w:tcW w:w="680" w:type="dxa"/>
            <w:vAlign w:val="bottom"/>
            <w:shd w:val="clear" w:color="auto" w:fill="97AAD0"/>
          </w:tcPr>
          <w:p>
            <w:pPr>
              <w:spacing w:after="0"/>
              <w:rPr>
                <w:sz w:val="13"/>
                <w:szCs w:val="13"/>
                <w:color w:val="auto"/>
              </w:rPr>
            </w:pPr>
          </w:p>
        </w:tc>
        <w:tc>
          <w:tcPr>
            <w:tcW w:w="100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vMerge w:val="continue"/>
            <w:shd w:val="clear" w:color="auto" w:fill="97AAD0"/>
          </w:tcPr>
          <w:p>
            <w:pPr>
              <w:spacing w:after="0"/>
              <w:rPr>
                <w:sz w:val="13"/>
                <w:szCs w:val="13"/>
                <w:color w:val="auto"/>
              </w:rPr>
            </w:pP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Solutions</w:t>
            </w:r>
          </w:p>
        </w:tc>
        <w:tc>
          <w:tcPr>
            <w:tcW w:w="1080" w:type="dxa"/>
            <w:vAlign w:val="bottom"/>
            <w:vMerge w:val="restart"/>
            <w:shd w:val="clear" w:color="auto" w:fill="97AAD0"/>
          </w:tcPr>
          <w:p>
            <w:pPr>
              <w:jc w:val="center"/>
              <w:spacing w:after="0"/>
              <w:rPr>
                <w:sz w:val="20"/>
                <w:szCs w:val="20"/>
                <w:color w:val="auto"/>
              </w:rPr>
            </w:pPr>
            <w:r>
              <w:rPr>
                <w:rFonts w:ascii="Arial" w:cs="Arial" w:eastAsia="Arial" w:hAnsi="Arial"/>
                <w:sz w:val="14"/>
                <w:szCs w:val="14"/>
                <w:b w:val="1"/>
                <w:bCs w:val="1"/>
                <w:color w:val="auto"/>
                <w:w w:val="99"/>
              </w:rPr>
              <w:t>Permanent</w:t>
            </w:r>
          </w:p>
        </w:tc>
        <w:tc>
          <w:tcPr>
            <w:tcW w:w="680" w:type="dxa"/>
            <w:vAlign w:val="bottom"/>
            <w:shd w:val="clear" w:color="auto" w:fill="97AAD0"/>
          </w:tcPr>
          <w:p>
            <w:pPr>
              <w:spacing w:after="0"/>
              <w:rPr>
                <w:sz w:val="13"/>
                <w:szCs w:val="13"/>
                <w:color w:val="auto"/>
              </w:rPr>
            </w:pPr>
          </w:p>
        </w:tc>
        <w:tc>
          <w:tcPr>
            <w:tcW w:w="100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6"/>
              </w:rPr>
              <w:t>and</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6"/>
              </w:rPr>
              <w:t>and</w:t>
            </w:r>
          </w:p>
        </w:tc>
        <w:tc>
          <w:tcPr>
            <w:tcW w:w="1080" w:type="dxa"/>
            <w:vAlign w:val="bottom"/>
            <w:vMerge w:val="continue"/>
            <w:shd w:val="clear" w:color="auto" w:fill="97AAD0"/>
          </w:tcPr>
          <w:p>
            <w:pPr>
              <w:spacing w:after="0"/>
              <w:rPr>
                <w:sz w:val="13"/>
                <w:szCs w:val="13"/>
                <w:color w:val="auto"/>
              </w:rPr>
            </w:pPr>
          </w:p>
        </w:tc>
        <w:tc>
          <w:tcPr>
            <w:tcW w:w="680" w:type="dxa"/>
            <w:vAlign w:val="bottom"/>
            <w:vMerge w:val="restart"/>
            <w:shd w:val="clear" w:color="auto" w:fill="97AAD0"/>
          </w:tcPr>
          <w:p>
            <w:pPr>
              <w:ind w:left="180"/>
              <w:spacing w:after="0"/>
              <w:rPr>
                <w:sz w:val="20"/>
                <w:szCs w:val="20"/>
                <w:color w:val="auto"/>
              </w:rPr>
            </w:pPr>
            <w:r>
              <w:rPr>
                <w:rFonts w:ascii="Arial" w:cs="Arial" w:eastAsia="Arial" w:hAnsi="Arial"/>
                <w:sz w:val="14"/>
                <w:szCs w:val="14"/>
                <w:b w:val="1"/>
                <w:bCs w:val="1"/>
                <w:color w:val="auto"/>
              </w:rPr>
              <w:t>Other</w:t>
            </w:r>
          </w:p>
        </w:tc>
        <w:tc>
          <w:tcPr>
            <w:tcW w:w="1000" w:type="dxa"/>
            <w:vAlign w:val="bottom"/>
            <w:vMerge w:val="restart"/>
            <w:shd w:val="clear" w:color="auto" w:fill="97AAD0"/>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4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Interim</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Consulting</w:t>
            </w:r>
          </w:p>
        </w:tc>
        <w:tc>
          <w:tcPr>
            <w:tcW w:w="108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7"/>
              </w:rPr>
              <w:t>Recruitment</w:t>
            </w:r>
          </w:p>
        </w:tc>
        <w:tc>
          <w:tcPr>
            <w:tcW w:w="680" w:type="dxa"/>
            <w:vAlign w:val="bottom"/>
            <w:vMerge w:val="continue"/>
            <w:shd w:val="clear" w:color="auto" w:fill="97AAD0"/>
          </w:tcPr>
          <w:p>
            <w:pPr>
              <w:spacing w:after="0"/>
              <w:rPr>
                <w:sz w:val="15"/>
                <w:szCs w:val="15"/>
                <w:color w:val="auto"/>
              </w:rPr>
            </w:pPr>
          </w:p>
        </w:tc>
        <w:tc>
          <w:tcPr>
            <w:tcW w:w="100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8580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3495">
                          <a:solidFill>
                            <a:srgbClr val="97AAD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540pt,0.9pt" o:allowincell="f" strokecolor="#97AAD0" strokeweight="1.85pt"/>
            </w:pict>
          </mc:Fallback>
        </mc:AlternateConten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shd w:val="clear" w:color="auto" w:fill="97AAD0"/>
          </w:tcPr>
          <w:p>
            <w:pPr>
              <w:spacing w:after="0"/>
              <w:rPr>
                <w:sz w:val="14"/>
                <w:szCs w:val="14"/>
                <w:color w:val="auto"/>
              </w:rPr>
            </w:pP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Outcome-</w:t>
            </w:r>
          </w:p>
        </w:tc>
        <w:tc>
          <w:tcPr>
            <w:tcW w:w="1060" w:type="dxa"/>
            <w:vAlign w:val="bottom"/>
            <w:shd w:val="clear" w:color="auto" w:fill="97AAD0"/>
          </w:tcPr>
          <w:p>
            <w:pPr>
              <w:spacing w:after="0"/>
              <w:rPr>
                <w:sz w:val="14"/>
                <w:szCs w:val="14"/>
                <w:color w:val="auto"/>
              </w:rPr>
            </w:pPr>
          </w:p>
        </w:tc>
        <w:tc>
          <w:tcPr>
            <w:tcW w:w="760" w:type="dxa"/>
            <w:vAlign w:val="bottom"/>
            <w:shd w:val="clear" w:color="auto" w:fill="97AAD0"/>
          </w:tcPr>
          <w:p>
            <w:pPr>
              <w:spacing w:after="0"/>
              <w:rPr>
                <w:sz w:val="14"/>
                <w:szCs w:val="14"/>
                <w:color w:val="auto"/>
              </w:rPr>
            </w:pPr>
          </w:p>
        </w:tc>
        <w:tc>
          <w:tcPr>
            <w:tcW w:w="880" w:type="dxa"/>
            <w:vAlign w:val="bottom"/>
            <w:shd w:val="clear" w:color="auto" w:fill="97AAD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 w:type="dxa"/>
            <w:vAlign w:val="bottom"/>
            <w:vMerge w:val="restart"/>
            <w:shd w:val="clear" w:color="auto" w:fill="97AAD0"/>
          </w:tcPr>
          <w:p>
            <w:pPr>
              <w:jc w:val="center"/>
              <w:ind w:right="10"/>
              <w:spacing w:after="0"/>
              <w:rPr>
                <w:sz w:val="20"/>
                <w:szCs w:val="20"/>
                <w:color w:val="auto"/>
              </w:rPr>
            </w:pPr>
            <w:r>
              <w:rPr>
                <w:rFonts w:ascii="Arial" w:cs="Arial" w:eastAsia="Arial" w:hAnsi="Arial"/>
                <w:sz w:val="14"/>
                <w:szCs w:val="14"/>
                <w:b w:val="1"/>
                <w:bCs w:val="1"/>
                <w:color w:val="auto"/>
                <w:w w:val="99"/>
              </w:rPr>
              <w:t>Staffing</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9"/>
              </w:rPr>
              <w:t>Based</w:t>
            </w:r>
          </w:p>
        </w:tc>
        <w:tc>
          <w:tcPr>
            <w:tcW w:w="1060" w:type="dxa"/>
            <w:vAlign w:val="bottom"/>
            <w:shd w:val="clear" w:color="auto" w:fill="97AAD0"/>
          </w:tcPr>
          <w:p>
            <w:pPr>
              <w:spacing w:after="0"/>
              <w:rPr>
                <w:sz w:val="13"/>
                <w:szCs w:val="13"/>
                <w:color w:val="auto"/>
              </w:rPr>
            </w:pPr>
          </w:p>
        </w:tc>
        <w:tc>
          <w:tcPr>
            <w:tcW w:w="760" w:type="dxa"/>
            <w:vAlign w:val="bottom"/>
            <w:shd w:val="clear" w:color="auto" w:fill="97AAD0"/>
          </w:tcPr>
          <w:p>
            <w:pPr>
              <w:spacing w:after="0"/>
              <w:rPr>
                <w:sz w:val="13"/>
                <w:szCs w:val="13"/>
                <w:color w:val="auto"/>
              </w:rPr>
            </w:pPr>
          </w:p>
        </w:tc>
        <w:tc>
          <w:tcPr>
            <w:tcW w:w="88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0" w:type="dxa"/>
            <w:vAlign w:val="bottom"/>
            <w:vMerge w:val="continue"/>
            <w:shd w:val="clear" w:color="auto" w:fill="97AAD0"/>
          </w:tcPr>
          <w:p>
            <w:pPr>
              <w:spacing w:after="0"/>
              <w:rPr>
                <w:sz w:val="13"/>
                <w:szCs w:val="13"/>
                <w:color w:val="auto"/>
              </w:rPr>
            </w:pP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Solutions</w:t>
            </w:r>
          </w:p>
        </w:tc>
        <w:tc>
          <w:tcPr>
            <w:tcW w:w="1060" w:type="dxa"/>
            <w:vAlign w:val="bottom"/>
            <w:vMerge w:val="restart"/>
            <w:shd w:val="clear" w:color="auto" w:fill="97AAD0"/>
          </w:tcPr>
          <w:p>
            <w:pPr>
              <w:jc w:val="center"/>
              <w:spacing w:after="0"/>
              <w:rPr>
                <w:sz w:val="20"/>
                <w:szCs w:val="20"/>
                <w:color w:val="auto"/>
              </w:rPr>
            </w:pPr>
            <w:r>
              <w:rPr>
                <w:rFonts w:ascii="Arial" w:cs="Arial" w:eastAsia="Arial" w:hAnsi="Arial"/>
                <w:sz w:val="14"/>
                <w:szCs w:val="14"/>
                <w:b w:val="1"/>
                <w:bCs w:val="1"/>
                <w:color w:val="auto"/>
                <w:w w:val="99"/>
              </w:rPr>
              <w:t>Permanent</w:t>
            </w:r>
          </w:p>
        </w:tc>
        <w:tc>
          <w:tcPr>
            <w:tcW w:w="760" w:type="dxa"/>
            <w:vAlign w:val="bottom"/>
            <w:shd w:val="clear" w:color="auto" w:fill="97AAD0"/>
          </w:tcPr>
          <w:p>
            <w:pPr>
              <w:spacing w:after="0"/>
              <w:rPr>
                <w:sz w:val="13"/>
                <w:szCs w:val="13"/>
                <w:color w:val="auto"/>
              </w:rPr>
            </w:pPr>
          </w:p>
        </w:tc>
        <w:tc>
          <w:tcPr>
            <w:tcW w:w="88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and</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6"/>
              </w:rPr>
              <w:t>and</w:t>
            </w:r>
          </w:p>
        </w:tc>
        <w:tc>
          <w:tcPr>
            <w:tcW w:w="1060" w:type="dxa"/>
            <w:vAlign w:val="bottom"/>
            <w:vMerge w:val="continue"/>
            <w:shd w:val="clear" w:color="auto" w:fill="97AAD0"/>
          </w:tcPr>
          <w:p>
            <w:pPr>
              <w:spacing w:after="0"/>
              <w:rPr>
                <w:sz w:val="13"/>
                <w:szCs w:val="13"/>
                <w:color w:val="auto"/>
              </w:rPr>
            </w:pPr>
          </w:p>
        </w:tc>
        <w:tc>
          <w:tcPr>
            <w:tcW w:w="760" w:type="dxa"/>
            <w:vAlign w:val="bottom"/>
            <w:vMerge w:val="restart"/>
            <w:shd w:val="clear" w:color="auto" w:fill="97AAD0"/>
          </w:tcPr>
          <w:p>
            <w:pPr>
              <w:ind w:left="160"/>
              <w:spacing w:after="0"/>
              <w:rPr>
                <w:sz w:val="20"/>
                <w:szCs w:val="20"/>
                <w:color w:val="auto"/>
              </w:rPr>
            </w:pPr>
            <w:r>
              <w:rPr>
                <w:rFonts w:ascii="Arial" w:cs="Arial" w:eastAsia="Arial" w:hAnsi="Arial"/>
                <w:sz w:val="14"/>
                <w:szCs w:val="14"/>
                <w:b w:val="1"/>
                <w:bCs w:val="1"/>
                <w:color w:val="auto"/>
              </w:rPr>
              <w:t>Other</w:t>
            </w:r>
          </w:p>
        </w:tc>
        <w:tc>
          <w:tcPr>
            <w:tcW w:w="880" w:type="dxa"/>
            <w:vAlign w:val="bottom"/>
            <w:vMerge w:val="restart"/>
            <w:shd w:val="clear" w:color="auto" w:fill="97AAD0"/>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6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8"/>
              </w:rPr>
              <w:t>Interim</w:t>
            </w:r>
          </w:p>
        </w:tc>
        <w:tc>
          <w:tcPr>
            <w:tcW w:w="100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w w:val="98"/>
              </w:rPr>
              <w:t>Consulting</w:t>
            </w:r>
          </w:p>
        </w:tc>
        <w:tc>
          <w:tcPr>
            <w:tcW w:w="1060" w:type="dxa"/>
            <w:vAlign w:val="bottom"/>
            <w:shd w:val="clear" w:color="auto" w:fill="97AAD0"/>
          </w:tcPr>
          <w:p>
            <w:pPr>
              <w:jc w:val="center"/>
              <w:spacing w:after="0"/>
              <w:rPr>
                <w:sz w:val="20"/>
                <w:szCs w:val="20"/>
                <w:color w:val="auto"/>
              </w:rPr>
            </w:pPr>
            <w:r>
              <w:rPr>
                <w:rFonts w:ascii="Arial" w:cs="Arial" w:eastAsia="Arial" w:hAnsi="Arial"/>
                <w:sz w:val="14"/>
                <w:szCs w:val="14"/>
                <w:b w:val="1"/>
                <w:bCs w:val="1"/>
                <w:color w:val="auto"/>
              </w:rPr>
              <w:t>Recruitment</w:t>
            </w:r>
          </w:p>
        </w:tc>
        <w:tc>
          <w:tcPr>
            <w:tcW w:w="760" w:type="dxa"/>
            <w:vAlign w:val="bottom"/>
            <w:vMerge w:val="continue"/>
            <w:shd w:val="clear" w:color="auto" w:fill="97AAD0"/>
          </w:tcPr>
          <w:p>
            <w:pPr>
              <w:spacing w:after="0"/>
              <w:rPr>
                <w:sz w:val="15"/>
                <w:szCs w:val="15"/>
                <w:color w:val="auto"/>
              </w:rPr>
            </w:pPr>
          </w:p>
        </w:tc>
        <w:tc>
          <w:tcPr>
            <w:tcW w:w="88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2240" w:h="15840" w:orient="portrait"/>
          <w:cols w:equalWidth="0" w:num="2">
            <w:col w:w="6260" w:space="80"/>
            <w:col w:w="4460"/>
          </w:cols>
          <w:pgMar w:left="720" w:top="734" w:right="720" w:bottom="175"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520" w:type="dxa"/>
            <w:vAlign w:val="bottom"/>
            <w:tcBorders>
              <w:top w:val="single" w:sz="8" w:color="auto"/>
              <w:bottom w:val="single" w:sz="8" w:color="E5E9F3"/>
            </w:tcBorders>
            <w:shd w:val="clear" w:color="auto" w:fill="E5E9F3"/>
          </w:tcPr>
          <w:p>
            <w:pPr>
              <w:ind w:left="100"/>
              <w:spacing w:after="0"/>
              <w:rPr>
                <w:sz w:val="20"/>
                <w:szCs w:val="20"/>
                <w:color w:val="auto"/>
              </w:rPr>
            </w:pPr>
            <w:r>
              <w:rPr>
                <w:rFonts w:ascii="Arial" w:cs="Arial" w:eastAsia="Arial" w:hAnsi="Arial"/>
                <w:sz w:val="15"/>
                <w:szCs w:val="15"/>
                <w:color w:val="auto"/>
              </w:rPr>
              <w:t>Americas:</w:t>
            </w:r>
          </w:p>
        </w:tc>
        <w:tc>
          <w:tcPr>
            <w:tcW w:w="320" w:type="dxa"/>
            <w:vAlign w:val="bottom"/>
            <w:tcBorders>
              <w:top w:val="single" w:sz="8" w:color="auto"/>
              <w:bottom w:val="single" w:sz="8" w:color="E5E9F3"/>
            </w:tcBorders>
            <w:shd w:val="clear" w:color="auto" w:fill="E5E9F3"/>
          </w:tcPr>
          <w:p>
            <w:pPr>
              <w:spacing w:after="0"/>
              <w:rPr>
                <w:sz w:val="19"/>
                <w:szCs w:val="19"/>
                <w:color w:val="auto"/>
              </w:rPr>
            </w:pPr>
          </w:p>
        </w:tc>
        <w:tc>
          <w:tcPr>
            <w:tcW w:w="700" w:type="dxa"/>
            <w:vAlign w:val="bottom"/>
            <w:tcBorders>
              <w:top w:val="single" w:sz="8" w:color="auto"/>
              <w:bottom w:val="single" w:sz="8" w:color="E5E9F3"/>
            </w:tcBorders>
            <w:shd w:val="clear" w:color="auto" w:fill="E5E9F3"/>
          </w:tcPr>
          <w:p>
            <w:pPr>
              <w:spacing w:after="0"/>
              <w:rPr>
                <w:sz w:val="19"/>
                <w:szCs w:val="19"/>
                <w:color w:val="auto"/>
              </w:rPr>
            </w:pPr>
          </w:p>
        </w:tc>
        <w:tc>
          <w:tcPr>
            <w:tcW w:w="280" w:type="dxa"/>
            <w:vAlign w:val="bottom"/>
            <w:tcBorders>
              <w:top w:val="single" w:sz="8" w:color="auto"/>
              <w:bottom w:val="single" w:sz="8" w:color="E5E9F3"/>
            </w:tcBorders>
            <w:shd w:val="clear" w:color="auto" w:fill="E5E9F3"/>
          </w:tcPr>
          <w:p>
            <w:pPr>
              <w:spacing w:after="0"/>
              <w:rPr>
                <w:sz w:val="19"/>
                <w:szCs w:val="19"/>
                <w:color w:val="auto"/>
              </w:rPr>
            </w:pPr>
          </w:p>
        </w:tc>
        <w:tc>
          <w:tcPr>
            <w:tcW w:w="680" w:type="dxa"/>
            <w:vAlign w:val="bottom"/>
            <w:tcBorders>
              <w:top w:val="single" w:sz="8" w:color="auto"/>
              <w:bottom w:val="single" w:sz="8" w:color="E5E9F3"/>
            </w:tcBorders>
            <w:shd w:val="clear" w:color="auto" w:fill="E5E9F3"/>
          </w:tcPr>
          <w:p>
            <w:pPr>
              <w:spacing w:after="0"/>
              <w:rPr>
                <w:sz w:val="19"/>
                <w:szCs w:val="19"/>
                <w:color w:val="auto"/>
              </w:rPr>
            </w:pPr>
          </w:p>
        </w:tc>
        <w:tc>
          <w:tcPr>
            <w:tcW w:w="380" w:type="dxa"/>
            <w:vAlign w:val="bottom"/>
            <w:tcBorders>
              <w:top w:val="single" w:sz="8" w:color="auto"/>
              <w:bottom w:val="single" w:sz="8" w:color="E5E9F3"/>
            </w:tcBorders>
            <w:shd w:val="clear" w:color="auto" w:fill="E5E9F3"/>
          </w:tcPr>
          <w:p>
            <w:pPr>
              <w:spacing w:after="0"/>
              <w:rPr>
                <w:sz w:val="19"/>
                <w:szCs w:val="19"/>
                <w:color w:val="auto"/>
              </w:rPr>
            </w:pPr>
          </w:p>
        </w:tc>
        <w:tc>
          <w:tcPr>
            <w:tcW w:w="660" w:type="dxa"/>
            <w:vAlign w:val="bottom"/>
            <w:tcBorders>
              <w:top w:val="single" w:sz="8" w:color="auto"/>
              <w:bottom w:val="single" w:sz="8" w:color="E5E9F3"/>
            </w:tcBorders>
            <w:shd w:val="clear" w:color="auto" w:fill="E5E9F3"/>
          </w:tcPr>
          <w:p>
            <w:pPr>
              <w:spacing w:after="0"/>
              <w:rPr>
                <w:sz w:val="19"/>
                <w:szCs w:val="19"/>
                <w:color w:val="auto"/>
              </w:rPr>
            </w:pPr>
          </w:p>
        </w:tc>
        <w:tc>
          <w:tcPr>
            <w:tcW w:w="260" w:type="dxa"/>
            <w:vAlign w:val="bottom"/>
            <w:tcBorders>
              <w:top w:val="single" w:sz="8" w:color="auto"/>
              <w:bottom w:val="single" w:sz="8" w:color="E5E9F3"/>
            </w:tcBorders>
            <w:shd w:val="clear" w:color="auto" w:fill="E5E9F3"/>
          </w:tcPr>
          <w:p>
            <w:pPr>
              <w:spacing w:after="0"/>
              <w:rPr>
                <w:sz w:val="19"/>
                <w:szCs w:val="19"/>
                <w:color w:val="auto"/>
              </w:rPr>
            </w:pPr>
          </w:p>
        </w:tc>
        <w:tc>
          <w:tcPr>
            <w:tcW w:w="460" w:type="dxa"/>
            <w:vAlign w:val="bottom"/>
            <w:tcBorders>
              <w:top w:val="single" w:sz="8" w:color="auto"/>
              <w:bottom w:val="single" w:sz="8" w:color="E5E9F3"/>
            </w:tcBorders>
            <w:shd w:val="clear" w:color="auto" w:fill="E5E9F3"/>
          </w:tcPr>
          <w:p>
            <w:pPr>
              <w:spacing w:after="0"/>
              <w:rPr>
                <w:sz w:val="19"/>
                <w:szCs w:val="19"/>
                <w:color w:val="auto"/>
              </w:rPr>
            </w:pPr>
          </w:p>
        </w:tc>
        <w:tc>
          <w:tcPr>
            <w:tcW w:w="280" w:type="dxa"/>
            <w:vAlign w:val="bottom"/>
            <w:tcBorders>
              <w:top w:val="single" w:sz="8" w:color="auto"/>
              <w:bottom w:val="single" w:sz="8" w:color="E5E9F3"/>
            </w:tcBorders>
            <w:shd w:val="clear" w:color="auto" w:fill="E5E9F3"/>
          </w:tcPr>
          <w:p>
            <w:pPr>
              <w:spacing w:after="0"/>
              <w:rPr>
                <w:sz w:val="19"/>
                <w:szCs w:val="19"/>
                <w:color w:val="auto"/>
              </w:rPr>
            </w:pPr>
          </w:p>
        </w:tc>
        <w:tc>
          <w:tcPr>
            <w:tcW w:w="620" w:type="dxa"/>
            <w:vAlign w:val="bottom"/>
            <w:tcBorders>
              <w:top w:val="single" w:sz="8" w:color="auto"/>
              <w:bottom w:val="single" w:sz="8" w:color="E5E9F3"/>
            </w:tcBorders>
            <w:shd w:val="clear" w:color="auto" w:fill="E5E9F3"/>
          </w:tcPr>
          <w:p>
            <w:pPr>
              <w:spacing w:after="0"/>
              <w:rPr>
                <w:sz w:val="19"/>
                <w:szCs w:val="19"/>
                <w:color w:val="auto"/>
              </w:rPr>
            </w:pPr>
          </w:p>
        </w:tc>
        <w:tc>
          <w:tcPr>
            <w:tcW w:w="100" w:type="dxa"/>
            <w:vAlign w:val="bottom"/>
            <w:tcBorders>
              <w:top w:val="single" w:sz="8" w:color="auto"/>
              <w:bottom w:val="single" w:sz="8" w:color="E5E9F3"/>
            </w:tcBorders>
            <w:shd w:val="clear" w:color="auto" w:fill="E5E9F3"/>
          </w:tcPr>
          <w:p>
            <w:pPr>
              <w:spacing w:after="0"/>
              <w:rPr>
                <w:sz w:val="19"/>
                <w:szCs w:val="19"/>
                <w:color w:val="auto"/>
              </w:rPr>
            </w:pPr>
          </w:p>
        </w:tc>
        <w:tc>
          <w:tcPr>
            <w:tcW w:w="80" w:type="dxa"/>
            <w:vAlign w:val="bottom"/>
            <w:tcBorders>
              <w:top w:val="single" w:sz="8" w:color="E5E9F3"/>
              <w:bottom w:val="single" w:sz="8" w:color="E5E9F3"/>
            </w:tcBorders>
            <w:shd w:val="clear" w:color="auto" w:fill="E5E9F3"/>
          </w:tcPr>
          <w:p>
            <w:pPr>
              <w:spacing w:after="0"/>
              <w:rPr>
                <w:sz w:val="19"/>
                <w:szCs w:val="19"/>
                <w:color w:val="auto"/>
              </w:rPr>
            </w:pPr>
          </w:p>
        </w:tc>
        <w:tc>
          <w:tcPr>
            <w:tcW w:w="100" w:type="dxa"/>
            <w:vAlign w:val="bottom"/>
            <w:tcBorders>
              <w:top w:val="single" w:sz="8" w:color="auto"/>
              <w:bottom w:val="single" w:sz="8" w:color="E5E9F3"/>
            </w:tcBorders>
            <w:shd w:val="clear" w:color="auto" w:fill="E5E9F3"/>
          </w:tcPr>
          <w:p>
            <w:pPr>
              <w:spacing w:after="0"/>
              <w:rPr>
                <w:sz w:val="19"/>
                <w:szCs w:val="19"/>
                <w:color w:val="auto"/>
              </w:rPr>
            </w:pPr>
          </w:p>
        </w:tc>
        <w:tc>
          <w:tcPr>
            <w:tcW w:w="700" w:type="dxa"/>
            <w:vAlign w:val="bottom"/>
            <w:tcBorders>
              <w:top w:val="single" w:sz="8" w:color="auto"/>
              <w:bottom w:val="single" w:sz="8" w:color="E5E9F3"/>
            </w:tcBorders>
            <w:shd w:val="clear" w:color="auto" w:fill="E5E9F3"/>
          </w:tcPr>
          <w:p>
            <w:pPr>
              <w:spacing w:after="0"/>
              <w:rPr>
                <w:sz w:val="19"/>
                <w:szCs w:val="19"/>
                <w:color w:val="auto"/>
              </w:rPr>
            </w:pPr>
          </w:p>
        </w:tc>
        <w:tc>
          <w:tcPr>
            <w:tcW w:w="260" w:type="dxa"/>
            <w:vAlign w:val="bottom"/>
            <w:tcBorders>
              <w:top w:val="single" w:sz="8" w:color="auto"/>
              <w:bottom w:val="single" w:sz="8" w:color="E5E9F3"/>
            </w:tcBorders>
            <w:shd w:val="clear" w:color="auto" w:fill="E5E9F3"/>
          </w:tcPr>
          <w:p>
            <w:pPr>
              <w:spacing w:after="0"/>
              <w:rPr>
                <w:sz w:val="19"/>
                <w:szCs w:val="19"/>
                <w:color w:val="auto"/>
              </w:rPr>
            </w:pPr>
          </w:p>
        </w:tc>
        <w:tc>
          <w:tcPr>
            <w:tcW w:w="700" w:type="dxa"/>
            <w:vAlign w:val="bottom"/>
            <w:tcBorders>
              <w:top w:val="single" w:sz="8" w:color="auto"/>
              <w:bottom w:val="single" w:sz="8" w:color="E5E9F3"/>
            </w:tcBorders>
            <w:shd w:val="clear" w:color="auto" w:fill="E5E9F3"/>
          </w:tcPr>
          <w:p>
            <w:pPr>
              <w:spacing w:after="0"/>
              <w:rPr>
                <w:sz w:val="19"/>
                <w:szCs w:val="19"/>
                <w:color w:val="auto"/>
              </w:rPr>
            </w:pPr>
          </w:p>
        </w:tc>
        <w:tc>
          <w:tcPr>
            <w:tcW w:w="360" w:type="dxa"/>
            <w:vAlign w:val="bottom"/>
            <w:tcBorders>
              <w:top w:val="single" w:sz="8" w:color="auto"/>
              <w:bottom w:val="single" w:sz="8" w:color="E5E9F3"/>
            </w:tcBorders>
            <w:shd w:val="clear" w:color="auto" w:fill="E5E9F3"/>
          </w:tcPr>
          <w:p>
            <w:pPr>
              <w:spacing w:after="0"/>
              <w:rPr>
                <w:sz w:val="19"/>
                <w:szCs w:val="19"/>
                <w:color w:val="auto"/>
              </w:rPr>
            </w:pPr>
          </w:p>
        </w:tc>
        <w:tc>
          <w:tcPr>
            <w:tcW w:w="680" w:type="dxa"/>
            <w:vAlign w:val="bottom"/>
            <w:tcBorders>
              <w:top w:val="single" w:sz="8" w:color="auto"/>
              <w:bottom w:val="single" w:sz="8" w:color="E5E9F3"/>
            </w:tcBorders>
            <w:shd w:val="clear" w:color="auto" w:fill="E5E9F3"/>
          </w:tcPr>
          <w:p>
            <w:pPr>
              <w:spacing w:after="0"/>
              <w:rPr>
                <w:sz w:val="19"/>
                <w:szCs w:val="19"/>
                <w:color w:val="auto"/>
              </w:rPr>
            </w:pPr>
          </w:p>
        </w:tc>
        <w:tc>
          <w:tcPr>
            <w:tcW w:w="720" w:type="dxa"/>
            <w:vAlign w:val="bottom"/>
            <w:tcBorders>
              <w:top w:val="single" w:sz="8" w:color="auto"/>
              <w:bottom w:val="single" w:sz="8" w:color="E5E9F3"/>
            </w:tcBorders>
            <w:shd w:val="clear" w:color="auto" w:fill="E5E9F3"/>
          </w:tcPr>
          <w:p>
            <w:pPr>
              <w:spacing w:after="0"/>
              <w:rPr>
                <w:sz w:val="19"/>
                <w:szCs w:val="19"/>
                <w:color w:val="auto"/>
              </w:rPr>
            </w:pPr>
          </w:p>
        </w:tc>
        <w:tc>
          <w:tcPr>
            <w:tcW w:w="220" w:type="dxa"/>
            <w:vAlign w:val="bottom"/>
            <w:tcBorders>
              <w:top w:val="single" w:sz="8" w:color="auto"/>
              <w:bottom w:val="single" w:sz="8" w:color="E5E9F3"/>
            </w:tcBorders>
            <w:shd w:val="clear" w:color="auto" w:fill="E5E9F3"/>
          </w:tcPr>
          <w:p>
            <w:pPr>
              <w:spacing w:after="0"/>
              <w:rPr>
                <w:sz w:val="19"/>
                <w:szCs w:val="19"/>
                <w:color w:val="auto"/>
              </w:rPr>
            </w:pPr>
          </w:p>
        </w:tc>
        <w:tc>
          <w:tcPr>
            <w:tcW w:w="720" w:type="dxa"/>
            <w:vAlign w:val="bottom"/>
            <w:tcBorders>
              <w:top w:val="single" w:sz="8" w:color="auto"/>
              <w:bottom w:val="single" w:sz="8" w:color="E5E9F3"/>
            </w:tcBorders>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520" w:type="dxa"/>
            <w:vAlign w:val="bottom"/>
          </w:tcPr>
          <w:p>
            <w:pPr>
              <w:ind w:left="200"/>
              <w:spacing w:after="0"/>
              <w:rPr>
                <w:sz w:val="20"/>
                <w:szCs w:val="20"/>
                <w:color w:val="auto"/>
              </w:rPr>
            </w:pPr>
            <w:r>
              <w:rPr>
                <w:rFonts w:ascii="Arial" w:cs="Arial" w:eastAsia="Arial" w:hAnsi="Arial"/>
                <w:sz w:val="15"/>
                <w:szCs w:val="15"/>
                <w:color w:val="auto"/>
              </w:rPr>
              <w:t>United States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2,454.5</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5"/>
              <w:spacing w:after="0"/>
              <w:rPr>
                <w:sz w:val="20"/>
                <w:szCs w:val="20"/>
                <w:color w:val="auto"/>
              </w:rPr>
            </w:pPr>
            <w:r>
              <w:rPr>
                <w:rFonts w:ascii="Arial" w:cs="Arial" w:eastAsia="Arial" w:hAnsi="Arial"/>
                <w:sz w:val="15"/>
                <w:szCs w:val="15"/>
                <w:color w:val="auto"/>
              </w:rPr>
              <w:t>11.3</w:t>
            </w:r>
          </w:p>
        </w:tc>
        <w:tc>
          <w:tcPr>
            <w:tcW w:w="3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126.1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174.7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2,766.6</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2,552.5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18.3</w:t>
            </w:r>
          </w:p>
        </w:tc>
        <w:tc>
          <w:tcPr>
            <w:tcW w:w="36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132.7</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$ 162.7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2,866.2</w:t>
            </w:r>
          </w:p>
        </w:tc>
        <w:tc>
          <w:tcPr>
            <w:tcW w:w="0" w:type="dxa"/>
            <w:vAlign w:val="bottom"/>
          </w:tcPr>
          <w:p>
            <w:pPr>
              <w:spacing w:after="0"/>
              <w:rPr>
                <w:sz w:val="1"/>
                <w:szCs w:val="1"/>
                <w:color w:val="auto"/>
              </w:rPr>
            </w:pPr>
          </w:p>
        </w:tc>
      </w:tr>
      <w:tr>
        <w:trPr>
          <w:trHeight w:val="232"/>
        </w:trPr>
        <w:tc>
          <w:tcPr>
            <w:tcW w:w="152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5"/>
                <w:szCs w:val="15"/>
                <w:color w:val="auto"/>
              </w:rPr>
              <w:t>Other Americas</w:t>
            </w:r>
          </w:p>
        </w:tc>
        <w:tc>
          <w:tcPr>
            <w:tcW w:w="32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1,350.6</w:t>
            </w:r>
          </w:p>
        </w:tc>
        <w:tc>
          <w:tcPr>
            <w:tcW w:w="280" w:type="dxa"/>
            <w:vAlign w:val="bottom"/>
            <w:tcBorders>
              <w:bottom w:val="single" w:sz="8" w:color="auto"/>
            </w:tcBorders>
            <w:shd w:val="clear" w:color="auto" w:fill="E5E9F3"/>
          </w:tcPr>
          <w:p>
            <w:pPr>
              <w:spacing w:after="0"/>
              <w:rPr>
                <w:sz w:val="20"/>
                <w:szCs w:val="20"/>
                <w:color w:val="auto"/>
              </w:rPr>
            </w:pPr>
          </w:p>
        </w:tc>
        <w:tc>
          <w:tcPr>
            <w:tcW w:w="68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54.2</w:t>
            </w:r>
          </w:p>
        </w:tc>
        <w:tc>
          <w:tcPr>
            <w:tcW w:w="380" w:type="dxa"/>
            <w:vAlign w:val="bottom"/>
            <w:tcBorders>
              <w:bottom w:val="single" w:sz="8" w:color="auto"/>
            </w:tcBorders>
            <w:shd w:val="clear" w:color="auto" w:fill="E5E9F3"/>
          </w:tcPr>
          <w:p>
            <w:pPr>
              <w:spacing w:after="0"/>
              <w:rPr>
                <w:sz w:val="20"/>
                <w:szCs w:val="20"/>
                <w:color w:val="auto"/>
              </w:rPr>
            </w:pPr>
          </w:p>
        </w:tc>
        <w:tc>
          <w:tcPr>
            <w:tcW w:w="66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43.0</w:t>
            </w:r>
          </w:p>
        </w:tc>
        <w:tc>
          <w:tcPr>
            <w:tcW w:w="260" w:type="dxa"/>
            <w:vAlign w:val="bottom"/>
            <w:tcBorders>
              <w:bottom w:val="single" w:sz="8" w:color="auto"/>
            </w:tcBorders>
            <w:shd w:val="clear" w:color="auto" w:fill="E5E9F3"/>
          </w:tcPr>
          <w:p>
            <w:pPr>
              <w:spacing w:after="0"/>
              <w:rPr>
                <w:sz w:val="20"/>
                <w:szCs w:val="20"/>
                <w:color w:val="auto"/>
              </w:rPr>
            </w:pPr>
          </w:p>
        </w:tc>
        <w:tc>
          <w:tcPr>
            <w:tcW w:w="4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10.5</w:t>
            </w:r>
          </w:p>
        </w:tc>
        <w:tc>
          <w:tcPr>
            <w:tcW w:w="280" w:type="dxa"/>
            <w:vAlign w:val="bottom"/>
            <w:tcBorders>
              <w:bottom w:val="single" w:sz="8" w:color="auto"/>
            </w:tcBorders>
            <w:shd w:val="clear" w:color="auto" w:fill="E5E9F3"/>
          </w:tcPr>
          <w:p>
            <w:pPr>
              <w:spacing w:after="0"/>
              <w:rPr>
                <w:sz w:val="20"/>
                <w:szCs w:val="20"/>
                <w:color w:val="auto"/>
              </w:rPr>
            </w:pPr>
          </w:p>
        </w:tc>
        <w:tc>
          <w:tcPr>
            <w:tcW w:w="6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1,458.3</w:t>
            </w:r>
          </w:p>
        </w:tc>
        <w:tc>
          <w:tcPr>
            <w:tcW w:w="100" w:type="dxa"/>
            <w:vAlign w:val="bottom"/>
            <w:tcBorders>
              <w:bottom w:val="single" w:sz="8" w:color="auto"/>
            </w:tcBorders>
            <w:shd w:val="clear" w:color="auto" w:fill="E5E9F3"/>
          </w:tcPr>
          <w:p>
            <w:pPr>
              <w:spacing w:after="0"/>
              <w:rPr>
                <w:sz w:val="20"/>
                <w:szCs w:val="20"/>
                <w:color w:val="auto"/>
              </w:rPr>
            </w:pPr>
          </w:p>
        </w:tc>
        <w:tc>
          <w:tcPr>
            <w:tcW w:w="80" w:type="dxa"/>
            <w:vAlign w:val="bottom"/>
            <w:tcBorders>
              <w:bottom w:val="single" w:sz="8" w:color="auto"/>
            </w:tcBorders>
            <w:shd w:val="clear" w:color="auto" w:fill="E5E9F3"/>
          </w:tcPr>
          <w:p>
            <w:pPr>
              <w:spacing w:after="0"/>
              <w:rPr>
                <w:sz w:val="20"/>
                <w:szCs w:val="20"/>
                <w:color w:val="auto"/>
              </w:rPr>
            </w:pPr>
          </w:p>
        </w:tc>
        <w:tc>
          <w:tcPr>
            <w:tcW w:w="10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1,442.6</w:t>
            </w:r>
          </w:p>
        </w:tc>
        <w:tc>
          <w:tcPr>
            <w:tcW w:w="26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49.4</w:t>
            </w:r>
          </w:p>
        </w:tc>
        <w:tc>
          <w:tcPr>
            <w:tcW w:w="360" w:type="dxa"/>
            <w:vAlign w:val="bottom"/>
            <w:tcBorders>
              <w:bottom w:val="single" w:sz="8" w:color="auto"/>
            </w:tcBorders>
            <w:shd w:val="clear" w:color="auto" w:fill="E5E9F3"/>
          </w:tcPr>
          <w:p>
            <w:pPr>
              <w:spacing w:after="0"/>
              <w:rPr>
                <w:sz w:val="20"/>
                <w:szCs w:val="20"/>
                <w:color w:val="auto"/>
              </w:rPr>
            </w:pPr>
          </w:p>
        </w:tc>
        <w:tc>
          <w:tcPr>
            <w:tcW w:w="68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47.2</w:t>
            </w:r>
          </w:p>
        </w:tc>
        <w:tc>
          <w:tcPr>
            <w:tcW w:w="72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9.4</w:t>
            </w:r>
          </w:p>
        </w:tc>
        <w:tc>
          <w:tcPr>
            <w:tcW w:w="220" w:type="dxa"/>
            <w:vAlign w:val="bottom"/>
            <w:tcBorders>
              <w:bottom w:val="single" w:sz="8" w:color="auto"/>
            </w:tcBorders>
            <w:shd w:val="clear" w:color="auto" w:fill="E5E9F3"/>
          </w:tcPr>
          <w:p>
            <w:pPr>
              <w:spacing w:after="0"/>
              <w:rPr>
                <w:sz w:val="20"/>
                <w:szCs w:val="20"/>
                <w:color w:val="auto"/>
              </w:rPr>
            </w:pPr>
          </w:p>
        </w:tc>
        <w:tc>
          <w:tcPr>
            <w:tcW w:w="72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1,548.6</w:t>
            </w:r>
          </w:p>
        </w:tc>
        <w:tc>
          <w:tcPr>
            <w:tcW w:w="0" w:type="dxa"/>
            <w:vAlign w:val="bottom"/>
          </w:tcPr>
          <w:p>
            <w:pPr>
              <w:spacing w:after="0"/>
              <w:rPr>
                <w:sz w:val="1"/>
                <w:szCs w:val="1"/>
                <w:color w:val="auto"/>
              </w:rPr>
            </w:pPr>
          </w:p>
        </w:tc>
      </w:tr>
      <w:tr>
        <w:trPr>
          <w:trHeight w:val="222"/>
        </w:trPr>
        <w:tc>
          <w:tcPr>
            <w:tcW w:w="1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3,805.1</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65.5</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169.1</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185.2</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4,224.9</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3,995.1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67.7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179.9</w:t>
            </w: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172.1</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4,414.8</w:t>
            </w:r>
          </w:p>
        </w:tc>
        <w:tc>
          <w:tcPr>
            <w:tcW w:w="0" w:type="dxa"/>
            <w:vAlign w:val="bottom"/>
          </w:tcPr>
          <w:p>
            <w:pPr>
              <w:spacing w:after="0"/>
              <w:rPr>
                <w:sz w:val="1"/>
                <w:szCs w:val="1"/>
                <w:color w:val="auto"/>
              </w:rPr>
            </w:pPr>
          </w:p>
        </w:tc>
      </w:tr>
      <w:tr>
        <w:trPr>
          <w:trHeight w:val="202"/>
        </w:trPr>
        <w:tc>
          <w:tcPr>
            <w:tcW w:w="152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5"/>
                <w:szCs w:val="15"/>
                <w:color w:val="auto"/>
              </w:rPr>
              <w:t>Southern Europe:</w:t>
            </w:r>
          </w:p>
        </w:tc>
        <w:tc>
          <w:tcPr>
            <w:tcW w:w="320" w:type="dxa"/>
            <w:vAlign w:val="bottom"/>
            <w:tcBorders>
              <w:bottom w:val="single" w:sz="8" w:color="E5E9F3"/>
            </w:tcBorders>
            <w:shd w:val="clear" w:color="auto" w:fill="E5E9F3"/>
          </w:tcPr>
          <w:p>
            <w:pPr>
              <w:spacing w:after="0"/>
              <w:rPr>
                <w:sz w:val="17"/>
                <w:szCs w:val="17"/>
                <w:color w:val="auto"/>
              </w:rPr>
            </w:pPr>
          </w:p>
        </w:tc>
        <w:tc>
          <w:tcPr>
            <w:tcW w:w="700" w:type="dxa"/>
            <w:vAlign w:val="bottom"/>
            <w:tcBorders>
              <w:bottom w:val="single" w:sz="8" w:color="E5E9F3"/>
            </w:tcBorders>
            <w:shd w:val="clear" w:color="auto" w:fill="E5E9F3"/>
          </w:tcPr>
          <w:p>
            <w:pPr>
              <w:spacing w:after="0"/>
              <w:rPr>
                <w:sz w:val="17"/>
                <w:szCs w:val="17"/>
                <w:color w:val="auto"/>
              </w:rPr>
            </w:pPr>
          </w:p>
        </w:tc>
        <w:tc>
          <w:tcPr>
            <w:tcW w:w="280" w:type="dxa"/>
            <w:vAlign w:val="bottom"/>
            <w:tcBorders>
              <w:bottom w:val="single" w:sz="8" w:color="E5E9F3"/>
            </w:tcBorders>
            <w:shd w:val="clear" w:color="auto" w:fill="E5E9F3"/>
          </w:tcPr>
          <w:p>
            <w:pPr>
              <w:spacing w:after="0"/>
              <w:rPr>
                <w:sz w:val="17"/>
                <w:szCs w:val="17"/>
                <w:color w:val="auto"/>
              </w:rPr>
            </w:pPr>
          </w:p>
        </w:tc>
        <w:tc>
          <w:tcPr>
            <w:tcW w:w="680" w:type="dxa"/>
            <w:vAlign w:val="bottom"/>
            <w:tcBorders>
              <w:bottom w:val="single" w:sz="8" w:color="E5E9F3"/>
            </w:tcBorders>
            <w:shd w:val="clear" w:color="auto" w:fill="E5E9F3"/>
          </w:tcPr>
          <w:p>
            <w:pPr>
              <w:spacing w:after="0"/>
              <w:rPr>
                <w:sz w:val="17"/>
                <w:szCs w:val="17"/>
                <w:color w:val="auto"/>
              </w:rPr>
            </w:pPr>
          </w:p>
        </w:tc>
        <w:tc>
          <w:tcPr>
            <w:tcW w:w="380" w:type="dxa"/>
            <w:vAlign w:val="bottom"/>
            <w:tcBorders>
              <w:bottom w:val="single" w:sz="8" w:color="E5E9F3"/>
            </w:tcBorders>
            <w:shd w:val="clear" w:color="auto" w:fill="E5E9F3"/>
          </w:tcPr>
          <w:p>
            <w:pPr>
              <w:spacing w:after="0"/>
              <w:rPr>
                <w:sz w:val="17"/>
                <w:szCs w:val="17"/>
                <w:color w:val="auto"/>
              </w:rPr>
            </w:pPr>
          </w:p>
        </w:tc>
        <w:tc>
          <w:tcPr>
            <w:tcW w:w="660" w:type="dxa"/>
            <w:vAlign w:val="bottom"/>
            <w:tcBorders>
              <w:bottom w:val="single" w:sz="8" w:color="E5E9F3"/>
            </w:tcBorders>
            <w:shd w:val="clear" w:color="auto" w:fill="E5E9F3"/>
          </w:tcPr>
          <w:p>
            <w:pPr>
              <w:spacing w:after="0"/>
              <w:rPr>
                <w:sz w:val="17"/>
                <w:szCs w:val="17"/>
                <w:color w:val="auto"/>
              </w:rPr>
            </w:pPr>
          </w:p>
        </w:tc>
        <w:tc>
          <w:tcPr>
            <w:tcW w:w="260" w:type="dxa"/>
            <w:vAlign w:val="bottom"/>
            <w:tcBorders>
              <w:bottom w:val="single" w:sz="8" w:color="E5E9F3"/>
            </w:tcBorders>
            <w:shd w:val="clear" w:color="auto" w:fill="E5E9F3"/>
          </w:tcPr>
          <w:p>
            <w:pPr>
              <w:spacing w:after="0"/>
              <w:rPr>
                <w:sz w:val="17"/>
                <w:szCs w:val="17"/>
                <w:color w:val="auto"/>
              </w:rPr>
            </w:pPr>
          </w:p>
        </w:tc>
        <w:tc>
          <w:tcPr>
            <w:tcW w:w="460" w:type="dxa"/>
            <w:vAlign w:val="bottom"/>
            <w:tcBorders>
              <w:bottom w:val="single" w:sz="8" w:color="E5E9F3"/>
            </w:tcBorders>
            <w:shd w:val="clear" w:color="auto" w:fill="E5E9F3"/>
          </w:tcPr>
          <w:p>
            <w:pPr>
              <w:spacing w:after="0"/>
              <w:rPr>
                <w:sz w:val="17"/>
                <w:szCs w:val="17"/>
                <w:color w:val="auto"/>
              </w:rPr>
            </w:pPr>
          </w:p>
        </w:tc>
        <w:tc>
          <w:tcPr>
            <w:tcW w:w="280" w:type="dxa"/>
            <w:vAlign w:val="bottom"/>
            <w:tcBorders>
              <w:bottom w:val="single" w:sz="8" w:color="E5E9F3"/>
            </w:tcBorders>
            <w:shd w:val="clear" w:color="auto" w:fill="E5E9F3"/>
          </w:tcPr>
          <w:p>
            <w:pPr>
              <w:spacing w:after="0"/>
              <w:rPr>
                <w:sz w:val="17"/>
                <w:szCs w:val="17"/>
                <w:color w:val="auto"/>
              </w:rPr>
            </w:pPr>
          </w:p>
        </w:tc>
        <w:tc>
          <w:tcPr>
            <w:tcW w:w="620" w:type="dxa"/>
            <w:vAlign w:val="bottom"/>
            <w:tcBorders>
              <w:bottom w:val="single" w:sz="8" w:color="E5E9F3"/>
            </w:tcBorders>
            <w:shd w:val="clear" w:color="auto" w:fill="E5E9F3"/>
          </w:tcPr>
          <w:p>
            <w:pPr>
              <w:spacing w:after="0"/>
              <w:rPr>
                <w:sz w:val="17"/>
                <w:szCs w:val="17"/>
                <w:color w:val="auto"/>
              </w:rPr>
            </w:pPr>
          </w:p>
        </w:tc>
        <w:tc>
          <w:tcPr>
            <w:tcW w:w="100" w:type="dxa"/>
            <w:vAlign w:val="bottom"/>
            <w:tcBorders>
              <w:bottom w:val="single" w:sz="8" w:color="E5E9F3"/>
            </w:tcBorders>
            <w:shd w:val="clear" w:color="auto" w:fill="E5E9F3"/>
          </w:tcPr>
          <w:p>
            <w:pPr>
              <w:spacing w:after="0"/>
              <w:rPr>
                <w:sz w:val="17"/>
                <w:szCs w:val="17"/>
                <w:color w:val="auto"/>
              </w:rPr>
            </w:pPr>
          </w:p>
        </w:tc>
        <w:tc>
          <w:tcPr>
            <w:tcW w:w="80" w:type="dxa"/>
            <w:vAlign w:val="bottom"/>
            <w:tcBorders>
              <w:bottom w:val="single" w:sz="8" w:color="E5E9F3"/>
            </w:tcBorders>
            <w:shd w:val="clear" w:color="auto" w:fill="E5E9F3"/>
          </w:tcPr>
          <w:p>
            <w:pPr>
              <w:spacing w:after="0"/>
              <w:rPr>
                <w:sz w:val="17"/>
                <w:szCs w:val="17"/>
                <w:color w:val="auto"/>
              </w:rPr>
            </w:pPr>
          </w:p>
        </w:tc>
        <w:tc>
          <w:tcPr>
            <w:tcW w:w="100" w:type="dxa"/>
            <w:vAlign w:val="bottom"/>
            <w:tcBorders>
              <w:bottom w:val="single" w:sz="8" w:color="E5E9F3"/>
            </w:tcBorders>
            <w:shd w:val="clear" w:color="auto" w:fill="E5E9F3"/>
          </w:tcPr>
          <w:p>
            <w:pPr>
              <w:spacing w:after="0"/>
              <w:rPr>
                <w:sz w:val="17"/>
                <w:szCs w:val="17"/>
                <w:color w:val="auto"/>
              </w:rPr>
            </w:pPr>
          </w:p>
        </w:tc>
        <w:tc>
          <w:tcPr>
            <w:tcW w:w="700" w:type="dxa"/>
            <w:vAlign w:val="bottom"/>
            <w:tcBorders>
              <w:bottom w:val="single" w:sz="8" w:color="E5E9F3"/>
            </w:tcBorders>
            <w:shd w:val="clear" w:color="auto" w:fill="E5E9F3"/>
          </w:tcPr>
          <w:p>
            <w:pPr>
              <w:spacing w:after="0"/>
              <w:rPr>
                <w:sz w:val="17"/>
                <w:szCs w:val="17"/>
                <w:color w:val="auto"/>
              </w:rPr>
            </w:pPr>
          </w:p>
        </w:tc>
        <w:tc>
          <w:tcPr>
            <w:tcW w:w="260" w:type="dxa"/>
            <w:vAlign w:val="bottom"/>
            <w:tcBorders>
              <w:bottom w:val="single" w:sz="8" w:color="E5E9F3"/>
            </w:tcBorders>
            <w:shd w:val="clear" w:color="auto" w:fill="E5E9F3"/>
          </w:tcPr>
          <w:p>
            <w:pPr>
              <w:spacing w:after="0"/>
              <w:rPr>
                <w:sz w:val="17"/>
                <w:szCs w:val="17"/>
                <w:color w:val="auto"/>
              </w:rPr>
            </w:pPr>
          </w:p>
        </w:tc>
        <w:tc>
          <w:tcPr>
            <w:tcW w:w="700" w:type="dxa"/>
            <w:vAlign w:val="bottom"/>
            <w:tcBorders>
              <w:bottom w:val="single" w:sz="8" w:color="E5E9F3"/>
            </w:tcBorders>
            <w:shd w:val="clear" w:color="auto" w:fill="E5E9F3"/>
          </w:tcPr>
          <w:p>
            <w:pPr>
              <w:spacing w:after="0"/>
              <w:rPr>
                <w:sz w:val="17"/>
                <w:szCs w:val="17"/>
                <w:color w:val="auto"/>
              </w:rPr>
            </w:pPr>
          </w:p>
        </w:tc>
        <w:tc>
          <w:tcPr>
            <w:tcW w:w="360" w:type="dxa"/>
            <w:vAlign w:val="bottom"/>
            <w:tcBorders>
              <w:bottom w:val="single" w:sz="8" w:color="E5E9F3"/>
            </w:tcBorders>
            <w:shd w:val="clear" w:color="auto" w:fill="E5E9F3"/>
          </w:tcPr>
          <w:p>
            <w:pPr>
              <w:spacing w:after="0"/>
              <w:rPr>
                <w:sz w:val="17"/>
                <w:szCs w:val="17"/>
                <w:color w:val="auto"/>
              </w:rPr>
            </w:pPr>
          </w:p>
        </w:tc>
        <w:tc>
          <w:tcPr>
            <w:tcW w:w="680" w:type="dxa"/>
            <w:vAlign w:val="bottom"/>
            <w:tcBorders>
              <w:bottom w:val="single" w:sz="8" w:color="E5E9F3"/>
            </w:tcBorders>
            <w:shd w:val="clear" w:color="auto" w:fill="E5E9F3"/>
          </w:tcPr>
          <w:p>
            <w:pPr>
              <w:spacing w:after="0"/>
              <w:rPr>
                <w:sz w:val="17"/>
                <w:szCs w:val="17"/>
                <w:color w:val="auto"/>
              </w:rPr>
            </w:pPr>
          </w:p>
        </w:tc>
        <w:tc>
          <w:tcPr>
            <w:tcW w:w="720" w:type="dxa"/>
            <w:vAlign w:val="bottom"/>
            <w:tcBorders>
              <w:bottom w:val="single" w:sz="8" w:color="E5E9F3"/>
            </w:tcBorders>
            <w:shd w:val="clear" w:color="auto" w:fill="E5E9F3"/>
          </w:tcPr>
          <w:p>
            <w:pPr>
              <w:spacing w:after="0"/>
              <w:rPr>
                <w:sz w:val="17"/>
                <w:szCs w:val="17"/>
                <w:color w:val="auto"/>
              </w:rPr>
            </w:pPr>
          </w:p>
        </w:tc>
        <w:tc>
          <w:tcPr>
            <w:tcW w:w="220" w:type="dxa"/>
            <w:vAlign w:val="bottom"/>
            <w:tcBorders>
              <w:bottom w:val="single" w:sz="8" w:color="E5E9F3"/>
            </w:tcBorders>
            <w:shd w:val="clear" w:color="auto" w:fill="E5E9F3"/>
          </w:tcPr>
          <w:p>
            <w:pPr>
              <w:spacing w:after="0"/>
              <w:rPr>
                <w:sz w:val="17"/>
                <w:szCs w:val="17"/>
                <w:color w:val="auto"/>
              </w:rPr>
            </w:pPr>
          </w:p>
        </w:tc>
        <w:tc>
          <w:tcPr>
            <w:tcW w:w="720" w:type="dxa"/>
            <w:vAlign w:val="bottom"/>
            <w:tcBorders>
              <w:bottom w:val="single" w:sz="8" w:color="E5E9F3"/>
            </w:tcBorders>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20" w:type="dxa"/>
            <w:vAlign w:val="bottom"/>
          </w:tcPr>
          <w:p>
            <w:pPr>
              <w:ind w:left="200"/>
              <w:spacing w:after="0"/>
              <w:rPr>
                <w:sz w:val="20"/>
                <w:szCs w:val="20"/>
                <w:color w:val="auto"/>
              </w:rPr>
            </w:pPr>
            <w:r>
              <w:rPr>
                <w:rFonts w:ascii="Arial" w:cs="Arial" w:eastAsia="Arial" w:hAnsi="Arial"/>
                <w:sz w:val="15"/>
                <w:szCs w:val="15"/>
                <w:color w:val="auto"/>
              </w:rPr>
              <w:t>France</w:t>
            </w:r>
          </w:p>
        </w:tc>
        <w:tc>
          <w:tcPr>
            <w:tcW w:w="320" w:type="dxa"/>
            <w:vAlign w:val="bottom"/>
          </w:tcPr>
          <w:p>
            <w:pPr>
              <w:spacing w:after="0"/>
              <w:rPr>
                <w:sz w:val="20"/>
                <w:szCs w:val="20"/>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4,205.4</w:t>
            </w:r>
          </w:p>
        </w:tc>
        <w:tc>
          <w:tcPr>
            <w:tcW w:w="280" w:type="dxa"/>
            <w:vAlign w:val="bottom"/>
          </w:tcPr>
          <w:p>
            <w:pPr>
              <w:spacing w:after="0"/>
              <w:rPr>
                <w:sz w:val="20"/>
                <w:szCs w:val="20"/>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281.8</w:t>
            </w:r>
          </w:p>
        </w:tc>
        <w:tc>
          <w:tcPr>
            <w:tcW w:w="3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49.6</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81.6</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4,618.4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4,454.7</w:t>
            </w:r>
          </w:p>
        </w:tc>
        <w:tc>
          <w:tcPr>
            <w:tcW w:w="260" w:type="dxa"/>
            <w:vAlign w:val="bottom"/>
          </w:tcPr>
          <w:p>
            <w:pPr>
              <w:spacing w:after="0"/>
              <w:rPr>
                <w:sz w:val="20"/>
                <w:szCs w:val="20"/>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283.5</w:t>
            </w:r>
          </w:p>
        </w:tc>
        <w:tc>
          <w:tcPr>
            <w:tcW w:w="360" w:type="dxa"/>
            <w:vAlign w:val="bottom"/>
          </w:tcPr>
          <w:p>
            <w:pPr>
              <w:spacing w:after="0"/>
              <w:rPr>
                <w:sz w:val="20"/>
                <w:szCs w:val="20"/>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58.9</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70.0</w:t>
            </w:r>
          </w:p>
        </w:tc>
        <w:tc>
          <w:tcPr>
            <w:tcW w:w="220" w:type="dxa"/>
            <w:vAlign w:val="bottom"/>
          </w:tcPr>
          <w:p>
            <w:pPr>
              <w:spacing w:after="0"/>
              <w:rPr>
                <w:sz w:val="20"/>
                <w:szCs w:val="20"/>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4,867.1</w:t>
            </w:r>
          </w:p>
        </w:tc>
        <w:tc>
          <w:tcPr>
            <w:tcW w:w="0" w:type="dxa"/>
            <w:vAlign w:val="bottom"/>
          </w:tcPr>
          <w:p>
            <w:pPr>
              <w:spacing w:after="0"/>
              <w:rPr>
                <w:sz w:val="1"/>
                <w:szCs w:val="1"/>
                <w:color w:val="auto"/>
              </w:rPr>
            </w:pPr>
          </w:p>
        </w:tc>
      </w:tr>
      <w:tr>
        <w:trPr>
          <w:trHeight w:val="232"/>
        </w:trPr>
        <w:tc>
          <w:tcPr>
            <w:tcW w:w="1520" w:type="dxa"/>
            <w:vAlign w:val="bottom"/>
            <w:shd w:val="clear" w:color="auto" w:fill="E5E9F3"/>
          </w:tcPr>
          <w:p>
            <w:pPr>
              <w:ind w:left="200"/>
              <w:spacing w:after="0"/>
              <w:rPr>
                <w:sz w:val="20"/>
                <w:szCs w:val="20"/>
                <w:color w:val="auto"/>
              </w:rPr>
            </w:pPr>
            <w:r>
              <w:rPr>
                <w:rFonts w:ascii="Arial" w:cs="Arial" w:eastAsia="Arial" w:hAnsi="Arial"/>
                <w:sz w:val="15"/>
                <w:szCs w:val="15"/>
                <w:color w:val="auto"/>
              </w:rPr>
              <w:t>Italy</w:t>
            </w:r>
          </w:p>
        </w:tc>
        <w:tc>
          <w:tcPr>
            <w:tcW w:w="320" w:type="dxa"/>
            <w:vAlign w:val="bottom"/>
            <w:shd w:val="clear" w:color="auto" w:fill="E5E9F3"/>
          </w:tcPr>
          <w:p>
            <w:pPr>
              <w:spacing w:after="0"/>
              <w:rPr>
                <w:sz w:val="20"/>
                <w:szCs w:val="20"/>
                <w:color w:val="auto"/>
              </w:rPr>
            </w:pPr>
          </w:p>
        </w:tc>
        <w:tc>
          <w:tcPr>
            <w:tcW w:w="700" w:type="dxa"/>
            <w:vAlign w:val="bottom"/>
            <w:shd w:val="clear" w:color="auto" w:fill="E5E9F3"/>
          </w:tcPr>
          <w:p>
            <w:pPr>
              <w:jc w:val="right"/>
              <w:ind w:right="25"/>
              <w:spacing w:after="0"/>
              <w:rPr>
                <w:sz w:val="20"/>
                <w:szCs w:val="20"/>
                <w:color w:val="auto"/>
              </w:rPr>
            </w:pPr>
            <w:r>
              <w:rPr>
                <w:rFonts w:ascii="Arial" w:cs="Arial" w:eastAsia="Arial" w:hAnsi="Arial"/>
                <w:sz w:val="15"/>
                <w:szCs w:val="15"/>
                <w:color w:val="auto"/>
              </w:rPr>
              <w:t>1,561.5</w:t>
            </w:r>
          </w:p>
        </w:tc>
        <w:tc>
          <w:tcPr>
            <w:tcW w:w="280" w:type="dxa"/>
            <w:vAlign w:val="bottom"/>
            <w:shd w:val="clear" w:color="auto" w:fill="E5E9F3"/>
          </w:tcPr>
          <w:p>
            <w:pPr>
              <w:spacing w:after="0"/>
              <w:rPr>
                <w:sz w:val="20"/>
                <w:szCs w:val="20"/>
                <w:color w:val="auto"/>
              </w:rPr>
            </w:pPr>
          </w:p>
        </w:tc>
        <w:tc>
          <w:tcPr>
            <w:tcW w:w="680" w:type="dxa"/>
            <w:vAlign w:val="bottom"/>
            <w:shd w:val="clear" w:color="auto" w:fill="E5E9F3"/>
          </w:tcPr>
          <w:p>
            <w:pPr>
              <w:jc w:val="right"/>
              <w:ind w:right="25"/>
              <w:spacing w:after="0"/>
              <w:rPr>
                <w:sz w:val="20"/>
                <w:szCs w:val="20"/>
                <w:color w:val="auto"/>
              </w:rPr>
            </w:pPr>
            <w:r>
              <w:rPr>
                <w:rFonts w:ascii="Arial" w:cs="Arial" w:eastAsia="Arial" w:hAnsi="Arial"/>
                <w:sz w:val="15"/>
                <w:szCs w:val="15"/>
                <w:color w:val="auto"/>
              </w:rPr>
              <w:t>36.0</w:t>
            </w:r>
          </w:p>
        </w:tc>
        <w:tc>
          <w:tcPr>
            <w:tcW w:w="380" w:type="dxa"/>
            <w:vAlign w:val="bottom"/>
            <w:shd w:val="clear" w:color="auto" w:fill="E5E9F3"/>
          </w:tcPr>
          <w:p>
            <w:pPr>
              <w:spacing w:after="0"/>
              <w:rPr>
                <w:sz w:val="20"/>
                <w:szCs w:val="20"/>
                <w:color w:val="auto"/>
              </w:rPr>
            </w:pPr>
          </w:p>
        </w:tc>
        <w:tc>
          <w:tcPr>
            <w:tcW w:w="660" w:type="dxa"/>
            <w:vAlign w:val="bottom"/>
            <w:shd w:val="clear" w:color="auto" w:fill="E5E9F3"/>
          </w:tcPr>
          <w:p>
            <w:pPr>
              <w:jc w:val="right"/>
              <w:ind w:right="45"/>
              <w:spacing w:after="0"/>
              <w:rPr>
                <w:sz w:val="20"/>
                <w:szCs w:val="20"/>
                <w:color w:val="auto"/>
              </w:rPr>
            </w:pPr>
            <w:r>
              <w:rPr>
                <w:rFonts w:ascii="Arial" w:cs="Arial" w:eastAsia="Arial" w:hAnsi="Arial"/>
                <w:sz w:val="15"/>
                <w:szCs w:val="15"/>
                <w:color w:val="auto"/>
              </w:rPr>
              <w:t>48.0</w:t>
            </w:r>
          </w:p>
        </w:tc>
        <w:tc>
          <w:tcPr>
            <w:tcW w:w="260" w:type="dxa"/>
            <w:vAlign w:val="bottom"/>
            <w:shd w:val="clear" w:color="auto" w:fill="E5E9F3"/>
          </w:tcPr>
          <w:p>
            <w:pPr>
              <w:spacing w:after="0"/>
              <w:rPr>
                <w:sz w:val="20"/>
                <w:szCs w:val="20"/>
                <w:color w:val="auto"/>
              </w:rPr>
            </w:pPr>
          </w:p>
        </w:tc>
        <w:tc>
          <w:tcPr>
            <w:tcW w:w="460" w:type="dxa"/>
            <w:vAlign w:val="bottom"/>
            <w:shd w:val="clear" w:color="auto" w:fill="E5E9F3"/>
          </w:tcPr>
          <w:p>
            <w:pPr>
              <w:jc w:val="right"/>
              <w:spacing w:after="0"/>
              <w:rPr>
                <w:sz w:val="20"/>
                <w:szCs w:val="20"/>
                <w:color w:val="auto"/>
              </w:rPr>
            </w:pPr>
            <w:r>
              <w:rPr>
                <w:rFonts w:ascii="Arial" w:cs="Arial" w:eastAsia="Arial" w:hAnsi="Arial"/>
                <w:sz w:val="15"/>
                <w:szCs w:val="15"/>
                <w:color w:val="auto"/>
              </w:rPr>
              <w:t>31.5</w:t>
            </w:r>
          </w:p>
        </w:tc>
        <w:tc>
          <w:tcPr>
            <w:tcW w:w="280" w:type="dxa"/>
            <w:vAlign w:val="bottom"/>
            <w:shd w:val="clear" w:color="auto" w:fill="E5E9F3"/>
          </w:tcPr>
          <w:p>
            <w:pPr>
              <w:spacing w:after="0"/>
              <w:rPr>
                <w:sz w:val="20"/>
                <w:szCs w:val="20"/>
                <w:color w:val="auto"/>
              </w:rPr>
            </w:pPr>
          </w:p>
        </w:tc>
        <w:tc>
          <w:tcPr>
            <w:tcW w:w="620" w:type="dxa"/>
            <w:vAlign w:val="bottom"/>
            <w:shd w:val="clear" w:color="auto" w:fill="E5E9F3"/>
          </w:tcPr>
          <w:p>
            <w:pPr>
              <w:jc w:val="right"/>
              <w:spacing w:after="0"/>
              <w:rPr>
                <w:sz w:val="20"/>
                <w:szCs w:val="20"/>
                <w:color w:val="auto"/>
              </w:rPr>
            </w:pPr>
            <w:r>
              <w:rPr>
                <w:rFonts w:ascii="Arial" w:cs="Arial" w:eastAsia="Arial" w:hAnsi="Arial"/>
                <w:sz w:val="15"/>
                <w:szCs w:val="15"/>
                <w:color w:val="auto"/>
              </w:rPr>
              <w:t>1,677.0</w:t>
            </w:r>
          </w:p>
        </w:tc>
        <w:tc>
          <w:tcPr>
            <w:tcW w:w="100" w:type="dxa"/>
            <w:vAlign w:val="bottom"/>
            <w:shd w:val="clear" w:color="auto" w:fill="E5E9F3"/>
          </w:tcPr>
          <w:p>
            <w:pPr>
              <w:spacing w:after="0"/>
              <w:rPr>
                <w:sz w:val="20"/>
                <w:szCs w:val="20"/>
                <w:color w:val="auto"/>
              </w:rPr>
            </w:pPr>
          </w:p>
        </w:tc>
        <w:tc>
          <w:tcPr>
            <w:tcW w:w="80" w:type="dxa"/>
            <w:vAlign w:val="bottom"/>
            <w:shd w:val="clear" w:color="auto" w:fill="E5E9F3"/>
          </w:tcPr>
          <w:p>
            <w:pPr>
              <w:spacing w:after="0"/>
              <w:rPr>
                <w:sz w:val="20"/>
                <w:szCs w:val="20"/>
                <w:color w:val="auto"/>
              </w:rPr>
            </w:pPr>
          </w:p>
        </w:tc>
        <w:tc>
          <w:tcPr>
            <w:tcW w:w="100" w:type="dxa"/>
            <w:vAlign w:val="bottom"/>
            <w:shd w:val="clear" w:color="auto" w:fill="E5E9F3"/>
          </w:tcPr>
          <w:p>
            <w:pPr>
              <w:spacing w:after="0"/>
              <w:rPr>
                <w:sz w:val="20"/>
                <w:szCs w:val="20"/>
                <w:color w:val="auto"/>
              </w:rPr>
            </w:pPr>
          </w:p>
        </w:tc>
        <w:tc>
          <w:tcPr>
            <w:tcW w:w="700" w:type="dxa"/>
            <w:vAlign w:val="bottom"/>
            <w:shd w:val="clear" w:color="auto" w:fill="E5E9F3"/>
          </w:tcPr>
          <w:p>
            <w:pPr>
              <w:jc w:val="right"/>
              <w:ind w:right="25"/>
              <w:spacing w:after="0"/>
              <w:rPr>
                <w:sz w:val="20"/>
                <w:szCs w:val="20"/>
                <w:color w:val="auto"/>
              </w:rPr>
            </w:pPr>
            <w:r>
              <w:rPr>
                <w:rFonts w:ascii="Arial" w:cs="Arial" w:eastAsia="Arial" w:hAnsi="Arial"/>
                <w:sz w:val="15"/>
                <w:szCs w:val="15"/>
                <w:color w:val="auto"/>
              </w:rPr>
              <w:t>1,590.1</w:t>
            </w:r>
          </w:p>
        </w:tc>
        <w:tc>
          <w:tcPr>
            <w:tcW w:w="260" w:type="dxa"/>
            <w:vAlign w:val="bottom"/>
            <w:shd w:val="clear" w:color="auto" w:fill="E5E9F3"/>
          </w:tcPr>
          <w:p>
            <w:pPr>
              <w:spacing w:after="0"/>
              <w:rPr>
                <w:sz w:val="20"/>
                <w:szCs w:val="20"/>
                <w:color w:val="auto"/>
              </w:rPr>
            </w:pPr>
          </w:p>
        </w:tc>
        <w:tc>
          <w:tcPr>
            <w:tcW w:w="700" w:type="dxa"/>
            <w:vAlign w:val="bottom"/>
            <w:shd w:val="clear" w:color="auto" w:fill="E5E9F3"/>
          </w:tcPr>
          <w:p>
            <w:pPr>
              <w:jc w:val="right"/>
              <w:ind w:right="45"/>
              <w:spacing w:after="0"/>
              <w:rPr>
                <w:sz w:val="20"/>
                <w:szCs w:val="20"/>
                <w:color w:val="auto"/>
              </w:rPr>
            </w:pPr>
            <w:r>
              <w:rPr>
                <w:rFonts w:ascii="Arial" w:cs="Arial" w:eastAsia="Arial" w:hAnsi="Arial"/>
                <w:sz w:val="15"/>
                <w:szCs w:val="15"/>
                <w:color w:val="auto"/>
              </w:rPr>
              <w:t>36.9</w:t>
            </w:r>
          </w:p>
        </w:tc>
        <w:tc>
          <w:tcPr>
            <w:tcW w:w="360" w:type="dxa"/>
            <w:vAlign w:val="bottom"/>
            <w:shd w:val="clear" w:color="auto" w:fill="E5E9F3"/>
          </w:tcPr>
          <w:p>
            <w:pPr>
              <w:spacing w:after="0"/>
              <w:rPr>
                <w:sz w:val="20"/>
                <w:szCs w:val="20"/>
                <w:color w:val="auto"/>
              </w:rPr>
            </w:pPr>
          </w:p>
        </w:tc>
        <w:tc>
          <w:tcPr>
            <w:tcW w:w="680" w:type="dxa"/>
            <w:vAlign w:val="bottom"/>
            <w:shd w:val="clear" w:color="auto" w:fill="E5E9F3"/>
          </w:tcPr>
          <w:p>
            <w:pPr>
              <w:jc w:val="right"/>
              <w:ind w:right="45"/>
              <w:spacing w:after="0"/>
              <w:rPr>
                <w:sz w:val="20"/>
                <w:szCs w:val="20"/>
                <w:color w:val="auto"/>
              </w:rPr>
            </w:pPr>
            <w:r>
              <w:rPr>
                <w:rFonts w:ascii="Arial" w:cs="Arial" w:eastAsia="Arial" w:hAnsi="Arial"/>
                <w:sz w:val="15"/>
                <w:szCs w:val="15"/>
                <w:color w:val="auto"/>
              </w:rPr>
              <w:t>55.0</w:t>
            </w:r>
          </w:p>
        </w:tc>
        <w:tc>
          <w:tcPr>
            <w:tcW w:w="720" w:type="dxa"/>
            <w:vAlign w:val="bottom"/>
            <w:shd w:val="clear" w:color="auto" w:fill="E5E9F3"/>
          </w:tcPr>
          <w:p>
            <w:pPr>
              <w:jc w:val="right"/>
              <w:ind w:right="25"/>
              <w:spacing w:after="0"/>
              <w:rPr>
                <w:sz w:val="20"/>
                <w:szCs w:val="20"/>
                <w:color w:val="auto"/>
              </w:rPr>
            </w:pPr>
            <w:r>
              <w:rPr>
                <w:rFonts w:ascii="Arial" w:cs="Arial" w:eastAsia="Arial" w:hAnsi="Arial"/>
                <w:sz w:val="15"/>
                <w:szCs w:val="15"/>
                <w:color w:val="auto"/>
              </w:rPr>
              <w:t>26.8</w:t>
            </w:r>
          </w:p>
        </w:tc>
        <w:tc>
          <w:tcPr>
            <w:tcW w:w="220" w:type="dxa"/>
            <w:vAlign w:val="bottom"/>
            <w:shd w:val="clear" w:color="auto" w:fill="E5E9F3"/>
          </w:tcPr>
          <w:p>
            <w:pPr>
              <w:spacing w:after="0"/>
              <w:rPr>
                <w:sz w:val="20"/>
                <w:szCs w:val="20"/>
                <w:color w:val="auto"/>
              </w:rPr>
            </w:pPr>
          </w:p>
        </w:tc>
        <w:tc>
          <w:tcPr>
            <w:tcW w:w="720" w:type="dxa"/>
            <w:vAlign w:val="bottom"/>
            <w:shd w:val="clear" w:color="auto" w:fill="E5E9F3"/>
          </w:tcPr>
          <w:p>
            <w:pPr>
              <w:jc w:val="right"/>
              <w:ind w:right="45"/>
              <w:spacing w:after="0"/>
              <w:rPr>
                <w:sz w:val="20"/>
                <w:szCs w:val="20"/>
                <w:color w:val="auto"/>
              </w:rPr>
            </w:pPr>
            <w:r>
              <w:rPr>
                <w:rFonts w:ascii="Arial" w:cs="Arial" w:eastAsia="Arial" w:hAnsi="Arial"/>
                <w:sz w:val="15"/>
                <w:szCs w:val="15"/>
                <w:color w:val="auto"/>
              </w:rPr>
              <w:t>1,708.8</w:t>
            </w:r>
          </w:p>
        </w:tc>
        <w:tc>
          <w:tcPr>
            <w:tcW w:w="0" w:type="dxa"/>
            <w:vAlign w:val="bottom"/>
          </w:tcPr>
          <w:p>
            <w:pPr>
              <w:spacing w:after="0"/>
              <w:rPr>
                <w:sz w:val="1"/>
                <w:szCs w:val="1"/>
                <w:color w:val="auto"/>
              </w:rPr>
            </w:pPr>
          </w:p>
        </w:tc>
      </w:tr>
      <w:tr>
        <w:trPr>
          <w:trHeight w:val="171"/>
        </w:trPr>
        <w:tc>
          <w:tcPr>
            <w:tcW w:w="1520" w:type="dxa"/>
            <w:vAlign w:val="bottom"/>
          </w:tcPr>
          <w:p>
            <w:pPr>
              <w:ind w:left="200"/>
              <w:spacing w:after="0" w:line="172" w:lineRule="exact"/>
              <w:rPr>
                <w:sz w:val="20"/>
                <w:szCs w:val="20"/>
                <w:color w:val="auto"/>
              </w:rPr>
            </w:pPr>
            <w:r>
              <w:rPr>
                <w:rFonts w:ascii="Arial" w:cs="Arial" w:eastAsia="Arial" w:hAnsi="Arial"/>
                <w:sz w:val="15"/>
                <w:szCs w:val="15"/>
                <w:color w:val="auto"/>
              </w:rPr>
              <w:t>Other Southern</w:t>
            </w:r>
          </w:p>
        </w:tc>
        <w:tc>
          <w:tcPr>
            <w:tcW w:w="320" w:type="dxa"/>
            <w:vAlign w:val="bottom"/>
          </w:tcPr>
          <w:p>
            <w:pPr>
              <w:spacing w:after="0"/>
              <w:rPr>
                <w:sz w:val="14"/>
                <w:szCs w:val="14"/>
                <w:color w:val="auto"/>
              </w:rPr>
            </w:pPr>
          </w:p>
        </w:tc>
        <w:tc>
          <w:tcPr>
            <w:tcW w:w="700" w:type="dxa"/>
            <w:vAlign w:val="bottom"/>
            <w:vMerge w:val="restart"/>
          </w:tcPr>
          <w:p>
            <w:pPr>
              <w:jc w:val="right"/>
              <w:ind w:right="25"/>
              <w:spacing w:after="0"/>
              <w:rPr>
                <w:sz w:val="20"/>
                <w:szCs w:val="20"/>
                <w:color w:val="auto"/>
              </w:rPr>
            </w:pPr>
            <w:r>
              <w:rPr>
                <w:rFonts w:ascii="Arial" w:cs="Arial" w:eastAsia="Arial" w:hAnsi="Arial"/>
                <w:sz w:val="15"/>
                <w:szCs w:val="15"/>
                <w:color w:val="auto"/>
              </w:rPr>
              <w:t>1,544.5</w:t>
            </w:r>
          </w:p>
        </w:tc>
        <w:tc>
          <w:tcPr>
            <w:tcW w:w="280" w:type="dxa"/>
            <w:vAlign w:val="bottom"/>
          </w:tcPr>
          <w:p>
            <w:pPr>
              <w:spacing w:after="0"/>
              <w:rPr>
                <w:sz w:val="14"/>
                <w:szCs w:val="14"/>
                <w:color w:val="auto"/>
              </w:rPr>
            </w:pPr>
          </w:p>
        </w:tc>
        <w:tc>
          <w:tcPr>
            <w:tcW w:w="680" w:type="dxa"/>
            <w:vAlign w:val="bottom"/>
            <w:vMerge w:val="restart"/>
          </w:tcPr>
          <w:p>
            <w:pPr>
              <w:jc w:val="right"/>
              <w:ind w:right="45"/>
              <w:spacing w:after="0"/>
              <w:rPr>
                <w:sz w:val="20"/>
                <w:szCs w:val="20"/>
                <w:color w:val="auto"/>
              </w:rPr>
            </w:pPr>
            <w:r>
              <w:rPr>
                <w:rFonts w:ascii="Arial" w:cs="Arial" w:eastAsia="Arial" w:hAnsi="Arial"/>
                <w:sz w:val="15"/>
                <w:szCs w:val="15"/>
                <w:color w:val="auto"/>
              </w:rPr>
              <w:t>296.4</w:t>
            </w:r>
          </w:p>
        </w:tc>
        <w:tc>
          <w:tcPr>
            <w:tcW w:w="380" w:type="dxa"/>
            <w:vAlign w:val="bottom"/>
          </w:tcPr>
          <w:p>
            <w:pPr>
              <w:spacing w:after="0"/>
              <w:rPr>
                <w:sz w:val="14"/>
                <w:szCs w:val="14"/>
                <w:color w:val="auto"/>
              </w:rPr>
            </w:pPr>
          </w:p>
        </w:tc>
        <w:tc>
          <w:tcPr>
            <w:tcW w:w="660" w:type="dxa"/>
            <w:vAlign w:val="bottom"/>
            <w:vMerge w:val="restart"/>
          </w:tcPr>
          <w:p>
            <w:pPr>
              <w:jc w:val="right"/>
              <w:ind w:right="45"/>
              <w:spacing w:after="0"/>
              <w:rPr>
                <w:sz w:val="20"/>
                <w:szCs w:val="20"/>
                <w:color w:val="auto"/>
              </w:rPr>
            </w:pPr>
            <w:r>
              <w:rPr>
                <w:rFonts w:ascii="Arial" w:cs="Arial" w:eastAsia="Arial" w:hAnsi="Arial"/>
                <w:sz w:val="15"/>
                <w:szCs w:val="15"/>
                <w:color w:val="auto"/>
              </w:rPr>
              <w:t>50.6</w:t>
            </w:r>
          </w:p>
        </w:tc>
        <w:tc>
          <w:tcPr>
            <w:tcW w:w="2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31.4</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1,922.9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25"/>
              <w:spacing w:after="0"/>
              <w:rPr>
                <w:sz w:val="20"/>
                <w:szCs w:val="20"/>
                <w:color w:val="auto"/>
              </w:rPr>
            </w:pPr>
            <w:r>
              <w:rPr>
                <w:rFonts w:ascii="Arial" w:cs="Arial" w:eastAsia="Arial" w:hAnsi="Arial"/>
                <w:sz w:val="15"/>
                <w:szCs w:val="15"/>
                <w:color w:val="auto"/>
              </w:rPr>
              <w:t>1,547.2</w:t>
            </w:r>
          </w:p>
        </w:tc>
        <w:tc>
          <w:tcPr>
            <w:tcW w:w="260" w:type="dxa"/>
            <w:vAlign w:val="bottom"/>
          </w:tcPr>
          <w:p>
            <w:pPr>
              <w:spacing w:after="0"/>
              <w:rPr>
                <w:sz w:val="14"/>
                <w:szCs w:val="14"/>
                <w:color w:val="auto"/>
              </w:rPr>
            </w:pPr>
          </w:p>
        </w:tc>
        <w:tc>
          <w:tcPr>
            <w:tcW w:w="700" w:type="dxa"/>
            <w:vAlign w:val="bottom"/>
            <w:vMerge w:val="restart"/>
          </w:tcPr>
          <w:p>
            <w:pPr>
              <w:jc w:val="right"/>
              <w:ind w:right="45"/>
              <w:spacing w:after="0"/>
              <w:rPr>
                <w:sz w:val="20"/>
                <w:szCs w:val="20"/>
                <w:color w:val="auto"/>
              </w:rPr>
            </w:pPr>
            <w:r>
              <w:rPr>
                <w:rFonts w:ascii="Arial" w:cs="Arial" w:eastAsia="Arial" w:hAnsi="Arial"/>
                <w:sz w:val="15"/>
                <w:szCs w:val="15"/>
                <w:color w:val="auto"/>
              </w:rPr>
              <w:t>305.1</w:t>
            </w:r>
          </w:p>
        </w:tc>
        <w:tc>
          <w:tcPr>
            <w:tcW w:w="360" w:type="dxa"/>
            <w:vAlign w:val="bottom"/>
          </w:tcPr>
          <w:p>
            <w:pPr>
              <w:spacing w:after="0"/>
              <w:rPr>
                <w:sz w:val="14"/>
                <w:szCs w:val="14"/>
                <w:color w:val="auto"/>
              </w:rPr>
            </w:pPr>
          </w:p>
        </w:tc>
        <w:tc>
          <w:tcPr>
            <w:tcW w:w="680" w:type="dxa"/>
            <w:vAlign w:val="bottom"/>
            <w:vMerge w:val="restart"/>
          </w:tcPr>
          <w:p>
            <w:pPr>
              <w:jc w:val="right"/>
              <w:ind w:right="45"/>
              <w:spacing w:after="0"/>
              <w:rPr>
                <w:sz w:val="20"/>
                <w:szCs w:val="20"/>
                <w:color w:val="auto"/>
              </w:rPr>
            </w:pPr>
            <w:r>
              <w:rPr>
                <w:rFonts w:ascii="Arial" w:cs="Arial" w:eastAsia="Arial" w:hAnsi="Arial"/>
                <w:sz w:val="15"/>
                <w:szCs w:val="15"/>
                <w:color w:val="auto"/>
              </w:rPr>
              <w:t>58.9</w:t>
            </w:r>
          </w:p>
        </w:tc>
        <w:tc>
          <w:tcPr>
            <w:tcW w:w="720" w:type="dxa"/>
            <w:vAlign w:val="bottom"/>
            <w:vMerge w:val="restart"/>
          </w:tcPr>
          <w:p>
            <w:pPr>
              <w:jc w:val="right"/>
              <w:ind w:right="25"/>
              <w:spacing w:after="0"/>
              <w:rPr>
                <w:sz w:val="20"/>
                <w:szCs w:val="20"/>
                <w:color w:val="auto"/>
              </w:rPr>
            </w:pPr>
            <w:r>
              <w:rPr>
                <w:rFonts w:ascii="Arial" w:cs="Arial" w:eastAsia="Arial" w:hAnsi="Arial"/>
                <w:sz w:val="15"/>
                <w:szCs w:val="15"/>
                <w:color w:val="auto"/>
              </w:rPr>
              <w:t>28.2</w:t>
            </w:r>
          </w:p>
        </w:tc>
        <w:tc>
          <w:tcPr>
            <w:tcW w:w="220" w:type="dxa"/>
            <w:vAlign w:val="bottom"/>
          </w:tcPr>
          <w:p>
            <w:pPr>
              <w:spacing w:after="0"/>
              <w:rPr>
                <w:sz w:val="14"/>
                <w:szCs w:val="14"/>
                <w:color w:val="auto"/>
              </w:rPr>
            </w:pPr>
          </w:p>
        </w:tc>
        <w:tc>
          <w:tcPr>
            <w:tcW w:w="720" w:type="dxa"/>
            <w:vAlign w:val="bottom"/>
            <w:vMerge w:val="restart"/>
          </w:tcPr>
          <w:p>
            <w:pPr>
              <w:jc w:val="right"/>
              <w:ind w:right="45"/>
              <w:spacing w:after="0"/>
              <w:rPr>
                <w:sz w:val="20"/>
                <w:szCs w:val="20"/>
                <w:color w:val="auto"/>
              </w:rPr>
            </w:pPr>
            <w:r>
              <w:rPr>
                <w:rFonts w:ascii="Arial" w:cs="Arial" w:eastAsia="Arial" w:hAnsi="Arial"/>
                <w:sz w:val="15"/>
                <w:szCs w:val="15"/>
                <w:color w:val="auto"/>
              </w:rPr>
              <w:t>1,939.4</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Europe</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20" w:type="dxa"/>
            <w:vAlign w:val="bottom"/>
            <w:tcBorders>
              <w:bottom w:val="single" w:sz="8" w:color="auto"/>
            </w:tcBorders>
            <w:shd w:val="clear" w:color="auto" w:fill="E5E9F3"/>
          </w:tcPr>
          <w:p>
            <w:pPr>
              <w:spacing w:after="0"/>
              <w:rPr>
                <w:sz w:val="19"/>
                <w:szCs w:val="19"/>
                <w:color w:val="auto"/>
              </w:rPr>
            </w:pPr>
          </w:p>
        </w:tc>
        <w:tc>
          <w:tcPr>
            <w:tcW w:w="320" w:type="dxa"/>
            <w:vAlign w:val="bottom"/>
            <w:tcBorders>
              <w:bottom w:val="single" w:sz="8" w:color="auto"/>
            </w:tcBorders>
            <w:shd w:val="clear" w:color="auto" w:fill="E5E9F3"/>
          </w:tcPr>
          <w:p>
            <w:pPr>
              <w:spacing w:after="0"/>
              <w:rPr>
                <w:sz w:val="19"/>
                <w:szCs w:val="19"/>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7,311.4</w:t>
            </w:r>
          </w:p>
        </w:tc>
        <w:tc>
          <w:tcPr>
            <w:tcW w:w="280" w:type="dxa"/>
            <w:vAlign w:val="bottom"/>
            <w:tcBorders>
              <w:bottom w:val="single" w:sz="8" w:color="auto"/>
            </w:tcBorders>
            <w:shd w:val="clear" w:color="auto" w:fill="E5E9F3"/>
          </w:tcPr>
          <w:p>
            <w:pPr>
              <w:spacing w:after="0"/>
              <w:rPr>
                <w:sz w:val="19"/>
                <w:szCs w:val="19"/>
                <w:color w:val="auto"/>
              </w:rPr>
            </w:pPr>
          </w:p>
        </w:tc>
        <w:tc>
          <w:tcPr>
            <w:tcW w:w="68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614.2</w:t>
            </w:r>
          </w:p>
        </w:tc>
        <w:tc>
          <w:tcPr>
            <w:tcW w:w="380" w:type="dxa"/>
            <w:vAlign w:val="bottom"/>
            <w:tcBorders>
              <w:bottom w:val="single" w:sz="8" w:color="auto"/>
            </w:tcBorders>
            <w:shd w:val="clear" w:color="auto" w:fill="E5E9F3"/>
          </w:tcPr>
          <w:p>
            <w:pPr>
              <w:spacing w:after="0"/>
              <w:rPr>
                <w:sz w:val="19"/>
                <w:szCs w:val="19"/>
                <w:color w:val="auto"/>
              </w:rPr>
            </w:pPr>
          </w:p>
        </w:tc>
        <w:tc>
          <w:tcPr>
            <w:tcW w:w="66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148.2</w:t>
            </w:r>
          </w:p>
        </w:tc>
        <w:tc>
          <w:tcPr>
            <w:tcW w:w="260" w:type="dxa"/>
            <w:vAlign w:val="bottom"/>
            <w:tcBorders>
              <w:bottom w:val="single" w:sz="8" w:color="auto"/>
            </w:tcBorders>
            <w:shd w:val="clear" w:color="auto" w:fill="E5E9F3"/>
          </w:tcPr>
          <w:p>
            <w:pPr>
              <w:spacing w:after="0"/>
              <w:rPr>
                <w:sz w:val="19"/>
                <w:szCs w:val="19"/>
                <w:color w:val="auto"/>
              </w:rPr>
            </w:pPr>
          </w:p>
        </w:tc>
        <w:tc>
          <w:tcPr>
            <w:tcW w:w="4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144.5</w:t>
            </w:r>
          </w:p>
        </w:tc>
        <w:tc>
          <w:tcPr>
            <w:tcW w:w="280" w:type="dxa"/>
            <w:vAlign w:val="bottom"/>
            <w:tcBorders>
              <w:bottom w:val="single" w:sz="8" w:color="auto"/>
            </w:tcBorders>
            <w:shd w:val="clear" w:color="auto" w:fill="E5E9F3"/>
          </w:tcPr>
          <w:p>
            <w:pPr>
              <w:spacing w:after="0"/>
              <w:rPr>
                <w:sz w:val="19"/>
                <w:szCs w:val="19"/>
                <w:color w:val="auto"/>
              </w:rPr>
            </w:pPr>
          </w:p>
        </w:tc>
        <w:tc>
          <w:tcPr>
            <w:tcW w:w="6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8,218.3</w:t>
            </w:r>
          </w:p>
        </w:tc>
        <w:tc>
          <w:tcPr>
            <w:tcW w:w="100" w:type="dxa"/>
            <w:vAlign w:val="bottom"/>
            <w:tcBorders>
              <w:bottom w:val="single" w:sz="8" w:color="auto"/>
            </w:tcBorders>
            <w:shd w:val="clear" w:color="auto" w:fill="E5E9F3"/>
          </w:tcPr>
          <w:p>
            <w:pPr>
              <w:spacing w:after="0"/>
              <w:rPr>
                <w:sz w:val="19"/>
                <w:szCs w:val="19"/>
                <w:color w:val="auto"/>
              </w:rPr>
            </w:pPr>
          </w:p>
        </w:tc>
        <w:tc>
          <w:tcPr>
            <w:tcW w:w="80" w:type="dxa"/>
            <w:vAlign w:val="bottom"/>
            <w:tcBorders>
              <w:bottom w:val="single" w:sz="8" w:color="auto"/>
            </w:tcBorders>
            <w:shd w:val="clear" w:color="auto" w:fill="E5E9F3"/>
          </w:tcPr>
          <w:p>
            <w:pPr>
              <w:spacing w:after="0"/>
              <w:rPr>
                <w:sz w:val="19"/>
                <w:szCs w:val="19"/>
                <w:color w:val="auto"/>
              </w:rPr>
            </w:pPr>
          </w:p>
        </w:tc>
        <w:tc>
          <w:tcPr>
            <w:tcW w:w="100" w:type="dxa"/>
            <w:vAlign w:val="bottom"/>
            <w:tcBorders>
              <w:bottom w:val="single" w:sz="8" w:color="auto"/>
            </w:tcBorders>
            <w:shd w:val="clear" w:color="auto" w:fill="E5E9F3"/>
          </w:tcPr>
          <w:p>
            <w:pPr>
              <w:spacing w:after="0"/>
              <w:rPr>
                <w:sz w:val="19"/>
                <w:szCs w:val="19"/>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7,592.0</w:t>
            </w:r>
          </w:p>
        </w:tc>
        <w:tc>
          <w:tcPr>
            <w:tcW w:w="260" w:type="dxa"/>
            <w:vAlign w:val="bottom"/>
            <w:tcBorders>
              <w:bottom w:val="single" w:sz="8" w:color="auto"/>
            </w:tcBorders>
            <w:shd w:val="clear" w:color="auto" w:fill="E5E9F3"/>
          </w:tcPr>
          <w:p>
            <w:pPr>
              <w:spacing w:after="0"/>
              <w:rPr>
                <w:sz w:val="19"/>
                <w:szCs w:val="19"/>
                <w:color w:val="auto"/>
              </w:rPr>
            </w:pPr>
          </w:p>
        </w:tc>
        <w:tc>
          <w:tcPr>
            <w:tcW w:w="70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625.5</w:t>
            </w:r>
          </w:p>
        </w:tc>
        <w:tc>
          <w:tcPr>
            <w:tcW w:w="360" w:type="dxa"/>
            <w:vAlign w:val="bottom"/>
            <w:tcBorders>
              <w:bottom w:val="single" w:sz="8" w:color="auto"/>
            </w:tcBorders>
            <w:shd w:val="clear" w:color="auto" w:fill="E5E9F3"/>
          </w:tcPr>
          <w:p>
            <w:pPr>
              <w:spacing w:after="0"/>
              <w:rPr>
                <w:sz w:val="19"/>
                <w:szCs w:val="19"/>
                <w:color w:val="auto"/>
              </w:rPr>
            </w:pPr>
          </w:p>
        </w:tc>
        <w:tc>
          <w:tcPr>
            <w:tcW w:w="68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172.8</w:t>
            </w:r>
          </w:p>
        </w:tc>
        <w:tc>
          <w:tcPr>
            <w:tcW w:w="72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125.0</w:t>
            </w:r>
          </w:p>
        </w:tc>
        <w:tc>
          <w:tcPr>
            <w:tcW w:w="220" w:type="dxa"/>
            <w:vAlign w:val="bottom"/>
            <w:tcBorders>
              <w:bottom w:val="single" w:sz="8" w:color="auto"/>
            </w:tcBorders>
            <w:shd w:val="clear" w:color="auto" w:fill="E5E9F3"/>
          </w:tcPr>
          <w:p>
            <w:pPr>
              <w:spacing w:after="0"/>
              <w:rPr>
                <w:sz w:val="19"/>
                <w:szCs w:val="19"/>
                <w:color w:val="auto"/>
              </w:rPr>
            </w:pPr>
          </w:p>
        </w:tc>
        <w:tc>
          <w:tcPr>
            <w:tcW w:w="72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8,515.3</w:t>
            </w:r>
          </w:p>
        </w:tc>
        <w:tc>
          <w:tcPr>
            <w:tcW w:w="0" w:type="dxa"/>
            <w:vAlign w:val="bottom"/>
          </w:tcPr>
          <w:p>
            <w:pPr>
              <w:spacing w:after="0"/>
              <w:rPr>
                <w:sz w:val="1"/>
                <w:szCs w:val="1"/>
                <w:color w:val="auto"/>
              </w:rPr>
            </w:pPr>
          </w:p>
        </w:tc>
      </w:tr>
      <w:tr>
        <w:trPr>
          <w:trHeight w:val="222"/>
        </w:trPr>
        <w:tc>
          <w:tcPr>
            <w:tcW w:w="1520" w:type="dxa"/>
            <w:vAlign w:val="bottom"/>
          </w:tcPr>
          <w:p>
            <w:pPr>
              <w:ind w:left="100"/>
              <w:spacing w:after="0"/>
              <w:rPr>
                <w:sz w:val="20"/>
                <w:szCs w:val="20"/>
                <w:color w:val="auto"/>
              </w:rPr>
            </w:pPr>
            <w:r>
              <w:rPr>
                <w:rFonts w:ascii="Arial" w:cs="Arial" w:eastAsia="Arial" w:hAnsi="Arial"/>
                <w:sz w:val="15"/>
                <w:szCs w:val="15"/>
                <w:color w:val="auto"/>
              </w:rPr>
              <w:t>Northern Europe</w:t>
            </w:r>
          </w:p>
        </w:tc>
        <w:tc>
          <w:tcPr>
            <w:tcW w:w="320" w:type="dxa"/>
            <w:vAlign w:val="bottom"/>
          </w:tcPr>
          <w:p>
            <w:pPr>
              <w:spacing w:after="0"/>
              <w:rPr>
                <w:sz w:val="19"/>
                <w:szCs w:val="19"/>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2,814.0</w:t>
            </w:r>
          </w:p>
        </w:tc>
        <w:tc>
          <w:tcPr>
            <w:tcW w:w="280" w:type="dxa"/>
            <w:vAlign w:val="bottom"/>
          </w:tcPr>
          <w:p>
            <w:pPr>
              <w:spacing w:after="0"/>
              <w:rPr>
                <w:sz w:val="19"/>
                <w:szCs w:val="19"/>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257.2</w:t>
            </w:r>
          </w:p>
        </w:tc>
        <w:tc>
          <w:tcPr>
            <w:tcW w:w="380" w:type="dxa"/>
            <w:vAlign w:val="bottom"/>
          </w:tcPr>
          <w:p>
            <w:pPr>
              <w:spacing w:after="0"/>
              <w:rPr>
                <w:sz w:val="19"/>
                <w:szCs w:val="19"/>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121.5</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111.6</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3,304.3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3,160.2</w:t>
            </w:r>
          </w:p>
        </w:tc>
        <w:tc>
          <w:tcPr>
            <w:tcW w:w="260" w:type="dxa"/>
            <w:vAlign w:val="bottom"/>
          </w:tcPr>
          <w:p>
            <w:pPr>
              <w:spacing w:after="0"/>
              <w:rPr>
                <w:sz w:val="19"/>
                <w:szCs w:val="19"/>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332.5</w:t>
            </w:r>
          </w:p>
        </w:tc>
        <w:tc>
          <w:tcPr>
            <w:tcW w:w="360" w:type="dxa"/>
            <w:vAlign w:val="bottom"/>
          </w:tcPr>
          <w:p>
            <w:pPr>
              <w:spacing w:after="0"/>
              <w:rPr>
                <w:sz w:val="19"/>
                <w:szCs w:val="19"/>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153.2</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102.1</w:t>
            </w:r>
          </w:p>
        </w:tc>
        <w:tc>
          <w:tcPr>
            <w:tcW w:w="220" w:type="dxa"/>
            <w:vAlign w:val="bottom"/>
          </w:tcPr>
          <w:p>
            <w:pPr>
              <w:spacing w:after="0"/>
              <w:rPr>
                <w:sz w:val="19"/>
                <w:szCs w:val="19"/>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3,748.0</w:t>
            </w:r>
          </w:p>
        </w:tc>
        <w:tc>
          <w:tcPr>
            <w:tcW w:w="0" w:type="dxa"/>
            <w:vAlign w:val="bottom"/>
          </w:tcPr>
          <w:p>
            <w:pPr>
              <w:spacing w:after="0"/>
              <w:rPr>
                <w:sz w:val="1"/>
                <w:szCs w:val="1"/>
                <w:color w:val="auto"/>
              </w:rPr>
            </w:pPr>
          </w:p>
        </w:tc>
      </w:tr>
      <w:tr>
        <w:trPr>
          <w:trHeight w:val="232"/>
        </w:trPr>
        <w:tc>
          <w:tcPr>
            <w:tcW w:w="15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5"/>
                <w:szCs w:val="15"/>
                <w:color w:val="auto"/>
              </w:rPr>
              <w:t>APME</w:t>
            </w:r>
          </w:p>
        </w:tc>
        <w:tc>
          <w:tcPr>
            <w:tcW w:w="32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1,746.1</w:t>
            </w:r>
          </w:p>
        </w:tc>
        <w:tc>
          <w:tcPr>
            <w:tcW w:w="280" w:type="dxa"/>
            <w:vAlign w:val="bottom"/>
            <w:tcBorders>
              <w:bottom w:val="single" w:sz="8" w:color="auto"/>
            </w:tcBorders>
            <w:shd w:val="clear" w:color="auto" w:fill="E5E9F3"/>
          </w:tcPr>
          <w:p>
            <w:pPr>
              <w:spacing w:after="0"/>
              <w:rPr>
                <w:sz w:val="20"/>
                <w:szCs w:val="20"/>
                <w:color w:val="auto"/>
              </w:rPr>
            </w:pPr>
          </w:p>
        </w:tc>
        <w:tc>
          <w:tcPr>
            <w:tcW w:w="68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321.9</w:t>
            </w:r>
          </w:p>
        </w:tc>
        <w:tc>
          <w:tcPr>
            <w:tcW w:w="380" w:type="dxa"/>
            <w:vAlign w:val="bottom"/>
            <w:tcBorders>
              <w:bottom w:val="single" w:sz="8" w:color="auto"/>
            </w:tcBorders>
            <w:shd w:val="clear" w:color="auto" w:fill="E5E9F3"/>
          </w:tcPr>
          <w:p>
            <w:pPr>
              <w:spacing w:after="0"/>
              <w:rPr>
                <w:sz w:val="20"/>
                <w:szCs w:val="20"/>
                <w:color w:val="auto"/>
              </w:rPr>
            </w:pPr>
          </w:p>
        </w:tc>
        <w:tc>
          <w:tcPr>
            <w:tcW w:w="66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52.8</w:t>
            </w:r>
          </w:p>
        </w:tc>
        <w:tc>
          <w:tcPr>
            <w:tcW w:w="260" w:type="dxa"/>
            <w:vAlign w:val="bottom"/>
            <w:tcBorders>
              <w:bottom w:val="single" w:sz="8" w:color="auto"/>
            </w:tcBorders>
            <w:shd w:val="clear" w:color="auto" w:fill="E5E9F3"/>
          </w:tcPr>
          <w:p>
            <w:pPr>
              <w:spacing w:after="0"/>
              <w:rPr>
                <w:sz w:val="20"/>
                <w:szCs w:val="20"/>
                <w:color w:val="auto"/>
              </w:rPr>
            </w:pPr>
          </w:p>
        </w:tc>
        <w:tc>
          <w:tcPr>
            <w:tcW w:w="4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40.5</w:t>
            </w:r>
          </w:p>
        </w:tc>
        <w:tc>
          <w:tcPr>
            <w:tcW w:w="280" w:type="dxa"/>
            <w:vAlign w:val="bottom"/>
            <w:tcBorders>
              <w:bottom w:val="single" w:sz="8" w:color="auto"/>
            </w:tcBorders>
            <w:shd w:val="clear" w:color="auto" w:fill="E5E9F3"/>
          </w:tcPr>
          <w:p>
            <w:pPr>
              <w:spacing w:after="0"/>
              <w:rPr>
                <w:sz w:val="20"/>
                <w:szCs w:val="20"/>
                <w:color w:val="auto"/>
              </w:rPr>
            </w:pPr>
          </w:p>
        </w:tc>
        <w:tc>
          <w:tcPr>
            <w:tcW w:w="6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5"/>
                <w:szCs w:val="15"/>
                <w:color w:val="auto"/>
              </w:rPr>
              <w:t>2,161.3</w:t>
            </w:r>
          </w:p>
        </w:tc>
        <w:tc>
          <w:tcPr>
            <w:tcW w:w="100" w:type="dxa"/>
            <w:vAlign w:val="bottom"/>
            <w:tcBorders>
              <w:bottom w:val="single" w:sz="8" w:color="auto"/>
            </w:tcBorders>
            <w:shd w:val="clear" w:color="auto" w:fill="E5E9F3"/>
          </w:tcPr>
          <w:p>
            <w:pPr>
              <w:spacing w:after="0"/>
              <w:rPr>
                <w:sz w:val="20"/>
                <w:szCs w:val="20"/>
                <w:color w:val="auto"/>
              </w:rPr>
            </w:pPr>
          </w:p>
        </w:tc>
        <w:tc>
          <w:tcPr>
            <w:tcW w:w="80" w:type="dxa"/>
            <w:vAlign w:val="bottom"/>
            <w:tcBorders>
              <w:bottom w:val="single" w:sz="8" w:color="auto"/>
            </w:tcBorders>
            <w:shd w:val="clear" w:color="auto" w:fill="E5E9F3"/>
          </w:tcPr>
          <w:p>
            <w:pPr>
              <w:spacing w:after="0"/>
              <w:rPr>
                <w:sz w:val="20"/>
                <w:szCs w:val="20"/>
                <w:color w:val="auto"/>
              </w:rPr>
            </w:pPr>
          </w:p>
        </w:tc>
        <w:tc>
          <w:tcPr>
            <w:tcW w:w="10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1,781.8</w:t>
            </w:r>
          </w:p>
        </w:tc>
        <w:tc>
          <w:tcPr>
            <w:tcW w:w="260" w:type="dxa"/>
            <w:vAlign w:val="bottom"/>
            <w:tcBorders>
              <w:bottom w:val="single" w:sz="8" w:color="auto"/>
            </w:tcBorders>
            <w:shd w:val="clear" w:color="auto" w:fill="E5E9F3"/>
          </w:tcPr>
          <w:p>
            <w:pPr>
              <w:spacing w:after="0"/>
              <w:rPr>
                <w:sz w:val="20"/>
                <w:szCs w:val="20"/>
                <w:color w:val="auto"/>
              </w:rPr>
            </w:pPr>
          </w:p>
        </w:tc>
        <w:tc>
          <w:tcPr>
            <w:tcW w:w="70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386.3</w:t>
            </w:r>
          </w:p>
        </w:tc>
        <w:tc>
          <w:tcPr>
            <w:tcW w:w="360" w:type="dxa"/>
            <w:vAlign w:val="bottom"/>
            <w:tcBorders>
              <w:bottom w:val="single" w:sz="8" w:color="auto"/>
            </w:tcBorders>
            <w:shd w:val="clear" w:color="auto" w:fill="E5E9F3"/>
          </w:tcPr>
          <w:p>
            <w:pPr>
              <w:spacing w:after="0"/>
              <w:rPr>
                <w:sz w:val="20"/>
                <w:szCs w:val="20"/>
                <w:color w:val="auto"/>
              </w:rPr>
            </w:pPr>
          </w:p>
        </w:tc>
        <w:tc>
          <w:tcPr>
            <w:tcW w:w="68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109.4</w:t>
            </w:r>
          </w:p>
        </w:tc>
        <w:tc>
          <w:tcPr>
            <w:tcW w:w="720" w:type="dxa"/>
            <w:vAlign w:val="bottom"/>
            <w:tcBorders>
              <w:bottom w:val="single" w:sz="8" w:color="auto"/>
            </w:tcBorders>
            <w:shd w:val="clear" w:color="auto" w:fill="E5E9F3"/>
          </w:tcPr>
          <w:p>
            <w:pPr>
              <w:jc w:val="right"/>
              <w:ind w:right="25"/>
              <w:spacing w:after="0"/>
              <w:rPr>
                <w:sz w:val="20"/>
                <w:szCs w:val="20"/>
                <w:color w:val="auto"/>
              </w:rPr>
            </w:pPr>
            <w:r>
              <w:rPr>
                <w:rFonts w:ascii="Arial" w:cs="Arial" w:eastAsia="Arial" w:hAnsi="Arial"/>
                <w:sz w:val="15"/>
                <w:szCs w:val="15"/>
                <w:color w:val="auto"/>
              </w:rPr>
              <w:t>44.8</w:t>
            </w:r>
          </w:p>
        </w:tc>
        <w:tc>
          <w:tcPr>
            <w:tcW w:w="220" w:type="dxa"/>
            <w:vAlign w:val="bottom"/>
            <w:tcBorders>
              <w:bottom w:val="single" w:sz="8" w:color="auto"/>
            </w:tcBorders>
            <w:shd w:val="clear" w:color="auto" w:fill="E5E9F3"/>
          </w:tcPr>
          <w:p>
            <w:pPr>
              <w:spacing w:after="0"/>
              <w:rPr>
                <w:sz w:val="20"/>
                <w:szCs w:val="20"/>
                <w:color w:val="auto"/>
              </w:rPr>
            </w:pPr>
          </w:p>
        </w:tc>
        <w:tc>
          <w:tcPr>
            <w:tcW w:w="720" w:type="dxa"/>
            <w:vAlign w:val="bottom"/>
            <w:tcBorders>
              <w:bottom w:val="single" w:sz="8" w:color="auto"/>
            </w:tcBorders>
            <w:shd w:val="clear" w:color="auto" w:fill="E5E9F3"/>
          </w:tcPr>
          <w:p>
            <w:pPr>
              <w:jc w:val="right"/>
              <w:ind w:right="45"/>
              <w:spacing w:after="0"/>
              <w:rPr>
                <w:sz w:val="20"/>
                <w:szCs w:val="20"/>
                <w:color w:val="auto"/>
              </w:rPr>
            </w:pPr>
            <w:r>
              <w:rPr>
                <w:rFonts w:ascii="Arial" w:cs="Arial" w:eastAsia="Arial" w:hAnsi="Arial"/>
                <w:sz w:val="15"/>
                <w:szCs w:val="15"/>
                <w:color w:val="auto"/>
              </w:rPr>
              <w:t>2,322.3</w:t>
            </w:r>
          </w:p>
        </w:tc>
        <w:tc>
          <w:tcPr>
            <w:tcW w:w="0" w:type="dxa"/>
            <w:vAlign w:val="bottom"/>
          </w:tcPr>
          <w:p>
            <w:pPr>
              <w:spacing w:after="0"/>
              <w:rPr>
                <w:sz w:val="1"/>
                <w:szCs w:val="1"/>
                <w:color w:val="auto"/>
              </w:rPr>
            </w:pPr>
          </w:p>
        </w:tc>
      </w:tr>
      <w:tr>
        <w:trPr>
          <w:trHeight w:val="222"/>
        </w:trPr>
        <w:tc>
          <w:tcPr>
            <w:tcW w:w="1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9"/>
              </w:rPr>
              <w:t>15,676.6</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1,258.8</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491.6</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17,908.8</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16,529.1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1,412.0</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615.3</w:t>
            </w: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444.0</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9"/>
              </w:rPr>
              <w:t>19,000.4</w:t>
            </w:r>
          </w:p>
        </w:tc>
        <w:tc>
          <w:tcPr>
            <w:tcW w:w="0" w:type="dxa"/>
            <w:vAlign w:val="bottom"/>
          </w:tcPr>
          <w:p>
            <w:pPr>
              <w:spacing w:after="0"/>
              <w:rPr>
                <w:sz w:val="1"/>
                <w:szCs w:val="1"/>
                <w:color w:val="auto"/>
              </w:rPr>
            </w:pPr>
          </w:p>
        </w:tc>
      </w:tr>
      <w:tr>
        <w:trPr>
          <w:trHeight w:val="161"/>
        </w:trPr>
        <w:tc>
          <w:tcPr>
            <w:tcW w:w="1520" w:type="dxa"/>
            <w:vAlign w:val="bottom"/>
            <w:shd w:val="clear" w:color="auto" w:fill="E5E9F3"/>
          </w:tcPr>
          <w:p>
            <w:pPr>
              <w:ind w:left="100"/>
              <w:spacing w:after="0" w:line="161" w:lineRule="exact"/>
              <w:rPr>
                <w:sz w:val="20"/>
                <w:szCs w:val="20"/>
                <w:color w:val="auto"/>
              </w:rPr>
            </w:pPr>
            <w:r>
              <w:rPr>
                <w:rFonts w:ascii="Arial" w:cs="Arial" w:eastAsia="Arial" w:hAnsi="Arial"/>
                <w:sz w:val="15"/>
                <w:szCs w:val="15"/>
                <w:color w:val="auto"/>
              </w:rPr>
              <w:t>Intercompany</w:t>
            </w:r>
          </w:p>
        </w:tc>
        <w:tc>
          <w:tcPr>
            <w:tcW w:w="320" w:type="dxa"/>
            <w:vAlign w:val="bottom"/>
            <w:shd w:val="clear" w:color="auto" w:fill="E5E9F3"/>
          </w:tcPr>
          <w:p>
            <w:pPr>
              <w:spacing w:after="0"/>
              <w:rPr>
                <w:sz w:val="14"/>
                <w:szCs w:val="14"/>
                <w:color w:val="auto"/>
              </w:rPr>
            </w:pPr>
          </w:p>
        </w:tc>
        <w:tc>
          <w:tcPr>
            <w:tcW w:w="700" w:type="dxa"/>
            <w:vAlign w:val="bottom"/>
            <w:shd w:val="clear" w:color="auto" w:fill="E5E9F3"/>
          </w:tcPr>
          <w:p>
            <w:pPr>
              <w:spacing w:after="0"/>
              <w:rPr>
                <w:sz w:val="14"/>
                <w:szCs w:val="14"/>
                <w:color w:val="auto"/>
              </w:rPr>
            </w:pPr>
          </w:p>
        </w:tc>
        <w:tc>
          <w:tcPr>
            <w:tcW w:w="280" w:type="dxa"/>
            <w:vAlign w:val="bottom"/>
            <w:shd w:val="clear" w:color="auto" w:fill="E5E9F3"/>
          </w:tcPr>
          <w:p>
            <w:pPr>
              <w:spacing w:after="0"/>
              <w:rPr>
                <w:sz w:val="14"/>
                <w:szCs w:val="14"/>
                <w:color w:val="auto"/>
              </w:rPr>
            </w:pPr>
          </w:p>
        </w:tc>
        <w:tc>
          <w:tcPr>
            <w:tcW w:w="680" w:type="dxa"/>
            <w:vAlign w:val="bottom"/>
            <w:shd w:val="clear" w:color="auto" w:fill="E5E9F3"/>
          </w:tcPr>
          <w:p>
            <w:pPr>
              <w:spacing w:after="0"/>
              <w:rPr>
                <w:sz w:val="14"/>
                <w:szCs w:val="14"/>
                <w:color w:val="auto"/>
              </w:rPr>
            </w:pPr>
          </w:p>
        </w:tc>
        <w:tc>
          <w:tcPr>
            <w:tcW w:w="380" w:type="dxa"/>
            <w:vAlign w:val="bottom"/>
            <w:shd w:val="clear" w:color="auto" w:fill="E5E9F3"/>
          </w:tcPr>
          <w:p>
            <w:pPr>
              <w:spacing w:after="0"/>
              <w:rPr>
                <w:sz w:val="14"/>
                <w:szCs w:val="14"/>
                <w:color w:val="auto"/>
              </w:rPr>
            </w:pPr>
          </w:p>
        </w:tc>
        <w:tc>
          <w:tcPr>
            <w:tcW w:w="660" w:type="dxa"/>
            <w:vAlign w:val="bottom"/>
            <w:shd w:val="clear" w:color="auto" w:fill="E5E9F3"/>
          </w:tcPr>
          <w:p>
            <w:pPr>
              <w:spacing w:after="0"/>
              <w:rPr>
                <w:sz w:val="14"/>
                <w:szCs w:val="14"/>
                <w:color w:val="auto"/>
              </w:rPr>
            </w:pPr>
          </w:p>
        </w:tc>
        <w:tc>
          <w:tcPr>
            <w:tcW w:w="260" w:type="dxa"/>
            <w:vAlign w:val="bottom"/>
            <w:shd w:val="clear" w:color="auto" w:fill="E5E9F3"/>
          </w:tcPr>
          <w:p>
            <w:pPr>
              <w:spacing w:after="0"/>
              <w:rPr>
                <w:sz w:val="14"/>
                <w:szCs w:val="14"/>
                <w:color w:val="auto"/>
              </w:rPr>
            </w:pPr>
          </w:p>
        </w:tc>
        <w:tc>
          <w:tcPr>
            <w:tcW w:w="460" w:type="dxa"/>
            <w:vAlign w:val="bottom"/>
            <w:shd w:val="clear" w:color="auto" w:fill="E5E9F3"/>
          </w:tcPr>
          <w:p>
            <w:pPr>
              <w:spacing w:after="0"/>
              <w:rPr>
                <w:sz w:val="14"/>
                <w:szCs w:val="14"/>
                <w:color w:val="auto"/>
              </w:rPr>
            </w:pPr>
          </w:p>
        </w:tc>
        <w:tc>
          <w:tcPr>
            <w:tcW w:w="280" w:type="dxa"/>
            <w:vAlign w:val="bottom"/>
            <w:shd w:val="clear" w:color="auto" w:fill="E5E9F3"/>
          </w:tcPr>
          <w:p>
            <w:pPr>
              <w:spacing w:after="0"/>
              <w:rPr>
                <w:sz w:val="14"/>
                <w:szCs w:val="14"/>
                <w:color w:val="auto"/>
              </w:rPr>
            </w:pPr>
          </w:p>
        </w:tc>
        <w:tc>
          <w:tcPr>
            <w:tcW w:w="620" w:type="dxa"/>
            <w:vAlign w:val="bottom"/>
            <w:vMerge w:val="restart"/>
            <w:shd w:val="clear" w:color="auto" w:fill="E5E9F3"/>
          </w:tcPr>
          <w:p>
            <w:pPr>
              <w:jc w:val="right"/>
              <w:spacing w:after="0"/>
              <w:rPr>
                <w:sz w:val="20"/>
                <w:szCs w:val="20"/>
                <w:color w:val="auto"/>
              </w:rPr>
            </w:pPr>
            <w:r>
              <w:rPr>
                <w:rFonts w:ascii="Arial" w:cs="Arial" w:eastAsia="Arial" w:hAnsi="Arial"/>
                <w:sz w:val="15"/>
                <w:szCs w:val="15"/>
                <w:color w:val="auto"/>
              </w:rPr>
              <w:t>(54.9</w:t>
            </w:r>
          </w:p>
        </w:tc>
        <w:tc>
          <w:tcPr>
            <w:tcW w:w="100" w:type="dxa"/>
            <w:vAlign w:val="bottom"/>
            <w:vMerge w:val="restart"/>
            <w:shd w:val="clear" w:color="auto" w:fill="E5E9F3"/>
          </w:tcPr>
          <w:p>
            <w:pPr>
              <w:jc w:val="right"/>
              <w:ind w:right="23"/>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5E9F3"/>
          </w:tcPr>
          <w:p>
            <w:pPr>
              <w:spacing w:after="0"/>
              <w:rPr>
                <w:sz w:val="14"/>
                <w:szCs w:val="14"/>
                <w:color w:val="auto"/>
              </w:rPr>
            </w:pPr>
          </w:p>
        </w:tc>
        <w:tc>
          <w:tcPr>
            <w:tcW w:w="100" w:type="dxa"/>
            <w:vAlign w:val="bottom"/>
            <w:shd w:val="clear" w:color="auto" w:fill="E5E9F3"/>
          </w:tcPr>
          <w:p>
            <w:pPr>
              <w:spacing w:after="0"/>
              <w:rPr>
                <w:sz w:val="14"/>
                <w:szCs w:val="14"/>
                <w:color w:val="auto"/>
              </w:rPr>
            </w:pPr>
          </w:p>
        </w:tc>
        <w:tc>
          <w:tcPr>
            <w:tcW w:w="700" w:type="dxa"/>
            <w:vAlign w:val="bottom"/>
            <w:shd w:val="clear" w:color="auto" w:fill="E5E9F3"/>
          </w:tcPr>
          <w:p>
            <w:pPr>
              <w:spacing w:after="0"/>
              <w:rPr>
                <w:sz w:val="14"/>
                <w:szCs w:val="14"/>
                <w:color w:val="auto"/>
              </w:rPr>
            </w:pPr>
          </w:p>
        </w:tc>
        <w:tc>
          <w:tcPr>
            <w:tcW w:w="260" w:type="dxa"/>
            <w:vAlign w:val="bottom"/>
            <w:shd w:val="clear" w:color="auto" w:fill="E5E9F3"/>
          </w:tcPr>
          <w:p>
            <w:pPr>
              <w:spacing w:after="0"/>
              <w:rPr>
                <w:sz w:val="14"/>
                <w:szCs w:val="14"/>
                <w:color w:val="auto"/>
              </w:rPr>
            </w:pPr>
          </w:p>
        </w:tc>
        <w:tc>
          <w:tcPr>
            <w:tcW w:w="700" w:type="dxa"/>
            <w:vAlign w:val="bottom"/>
            <w:shd w:val="clear" w:color="auto" w:fill="E5E9F3"/>
          </w:tcPr>
          <w:p>
            <w:pPr>
              <w:spacing w:after="0"/>
              <w:rPr>
                <w:sz w:val="14"/>
                <w:szCs w:val="14"/>
                <w:color w:val="auto"/>
              </w:rPr>
            </w:pPr>
          </w:p>
        </w:tc>
        <w:tc>
          <w:tcPr>
            <w:tcW w:w="360" w:type="dxa"/>
            <w:vAlign w:val="bottom"/>
            <w:shd w:val="clear" w:color="auto" w:fill="E5E9F3"/>
          </w:tcPr>
          <w:p>
            <w:pPr>
              <w:spacing w:after="0"/>
              <w:rPr>
                <w:sz w:val="14"/>
                <w:szCs w:val="14"/>
                <w:color w:val="auto"/>
              </w:rPr>
            </w:pPr>
          </w:p>
        </w:tc>
        <w:tc>
          <w:tcPr>
            <w:tcW w:w="680" w:type="dxa"/>
            <w:vAlign w:val="bottom"/>
            <w:shd w:val="clear" w:color="auto" w:fill="E5E9F3"/>
          </w:tcPr>
          <w:p>
            <w:pPr>
              <w:spacing w:after="0"/>
              <w:rPr>
                <w:sz w:val="14"/>
                <w:szCs w:val="14"/>
                <w:color w:val="auto"/>
              </w:rPr>
            </w:pPr>
          </w:p>
        </w:tc>
        <w:tc>
          <w:tcPr>
            <w:tcW w:w="720" w:type="dxa"/>
            <w:vAlign w:val="bottom"/>
            <w:shd w:val="clear" w:color="auto" w:fill="E5E9F3"/>
          </w:tcPr>
          <w:p>
            <w:pPr>
              <w:spacing w:after="0"/>
              <w:rPr>
                <w:sz w:val="14"/>
                <w:szCs w:val="14"/>
                <w:color w:val="auto"/>
              </w:rPr>
            </w:pPr>
          </w:p>
        </w:tc>
        <w:tc>
          <w:tcPr>
            <w:tcW w:w="220" w:type="dxa"/>
            <w:vAlign w:val="bottom"/>
            <w:shd w:val="clear" w:color="auto" w:fill="E5E9F3"/>
          </w:tcPr>
          <w:p>
            <w:pPr>
              <w:spacing w:after="0"/>
              <w:rPr>
                <w:sz w:val="14"/>
                <w:szCs w:val="14"/>
                <w:color w:val="auto"/>
              </w:rPr>
            </w:pPr>
          </w:p>
        </w:tc>
        <w:tc>
          <w:tcPr>
            <w:tcW w:w="720" w:type="dxa"/>
            <w:vAlign w:val="bottom"/>
            <w:vMerge w:val="restart"/>
            <w:shd w:val="clear" w:color="auto" w:fill="E5E9F3"/>
          </w:tcPr>
          <w:p>
            <w:pPr>
              <w:jc w:val="right"/>
              <w:spacing w:after="0"/>
              <w:rPr>
                <w:sz w:val="20"/>
                <w:szCs w:val="20"/>
                <w:color w:val="auto"/>
              </w:rPr>
            </w:pPr>
            <w:r>
              <w:rPr>
                <w:rFonts w:ascii="Arial" w:cs="Arial" w:eastAsia="Arial" w:hAnsi="Arial"/>
                <w:sz w:val="15"/>
                <w:szCs w:val="15"/>
                <w:color w:val="auto"/>
              </w:rPr>
              <w:t>(85.9 )</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5"/>
                <w:szCs w:val="15"/>
                <w:color w:val="auto"/>
              </w:rPr>
              <w:t>Eliminations</w:t>
            </w:r>
          </w:p>
        </w:tc>
        <w:tc>
          <w:tcPr>
            <w:tcW w:w="320" w:type="dxa"/>
            <w:vAlign w:val="bottom"/>
            <w:tcBorders>
              <w:bottom w:val="single" w:sz="8" w:color="auto"/>
            </w:tcBorders>
            <w:shd w:val="clear" w:color="auto" w:fill="E5E9F3"/>
          </w:tcPr>
          <w:p>
            <w:pPr>
              <w:spacing w:after="0"/>
              <w:rPr>
                <w:sz w:val="16"/>
                <w:szCs w:val="16"/>
                <w:color w:val="auto"/>
              </w:rPr>
            </w:pPr>
          </w:p>
        </w:tc>
        <w:tc>
          <w:tcPr>
            <w:tcW w:w="700" w:type="dxa"/>
            <w:vAlign w:val="bottom"/>
            <w:tcBorders>
              <w:bottom w:val="single" w:sz="8" w:color="auto"/>
            </w:tcBorders>
            <w:shd w:val="clear" w:color="auto" w:fill="E5E9F3"/>
          </w:tcPr>
          <w:p>
            <w:pPr>
              <w:spacing w:after="0"/>
              <w:rPr>
                <w:sz w:val="16"/>
                <w:szCs w:val="16"/>
                <w:color w:val="auto"/>
              </w:rPr>
            </w:pPr>
          </w:p>
        </w:tc>
        <w:tc>
          <w:tcPr>
            <w:tcW w:w="280" w:type="dxa"/>
            <w:vAlign w:val="bottom"/>
            <w:tcBorders>
              <w:bottom w:val="single" w:sz="8" w:color="auto"/>
            </w:tcBorders>
            <w:shd w:val="clear" w:color="auto" w:fill="E5E9F3"/>
          </w:tcPr>
          <w:p>
            <w:pPr>
              <w:spacing w:after="0"/>
              <w:rPr>
                <w:sz w:val="16"/>
                <w:szCs w:val="16"/>
                <w:color w:val="auto"/>
              </w:rPr>
            </w:pPr>
          </w:p>
        </w:tc>
        <w:tc>
          <w:tcPr>
            <w:tcW w:w="680" w:type="dxa"/>
            <w:vAlign w:val="bottom"/>
            <w:tcBorders>
              <w:bottom w:val="single" w:sz="8" w:color="auto"/>
            </w:tcBorders>
            <w:shd w:val="clear" w:color="auto" w:fill="E5E9F3"/>
          </w:tcPr>
          <w:p>
            <w:pPr>
              <w:spacing w:after="0"/>
              <w:rPr>
                <w:sz w:val="16"/>
                <w:szCs w:val="16"/>
                <w:color w:val="auto"/>
              </w:rPr>
            </w:pPr>
          </w:p>
        </w:tc>
        <w:tc>
          <w:tcPr>
            <w:tcW w:w="380" w:type="dxa"/>
            <w:vAlign w:val="bottom"/>
            <w:tcBorders>
              <w:bottom w:val="single" w:sz="8" w:color="auto"/>
            </w:tcBorders>
            <w:shd w:val="clear" w:color="auto" w:fill="E5E9F3"/>
          </w:tcPr>
          <w:p>
            <w:pPr>
              <w:spacing w:after="0"/>
              <w:rPr>
                <w:sz w:val="16"/>
                <w:szCs w:val="16"/>
                <w:color w:val="auto"/>
              </w:rPr>
            </w:pPr>
          </w:p>
        </w:tc>
        <w:tc>
          <w:tcPr>
            <w:tcW w:w="660" w:type="dxa"/>
            <w:vAlign w:val="bottom"/>
            <w:tcBorders>
              <w:bottom w:val="single" w:sz="8" w:color="auto"/>
            </w:tcBorders>
            <w:shd w:val="clear" w:color="auto" w:fill="E5E9F3"/>
          </w:tcPr>
          <w:p>
            <w:pPr>
              <w:spacing w:after="0"/>
              <w:rPr>
                <w:sz w:val="16"/>
                <w:szCs w:val="16"/>
                <w:color w:val="auto"/>
              </w:rPr>
            </w:pPr>
          </w:p>
        </w:tc>
        <w:tc>
          <w:tcPr>
            <w:tcW w:w="260" w:type="dxa"/>
            <w:vAlign w:val="bottom"/>
            <w:tcBorders>
              <w:bottom w:val="single" w:sz="8" w:color="auto"/>
            </w:tcBorders>
            <w:shd w:val="clear" w:color="auto" w:fill="E5E9F3"/>
          </w:tcPr>
          <w:p>
            <w:pPr>
              <w:spacing w:after="0"/>
              <w:rPr>
                <w:sz w:val="16"/>
                <w:szCs w:val="16"/>
                <w:color w:val="auto"/>
              </w:rPr>
            </w:pPr>
          </w:p>
        </w:tc>
        <w:tc>
          <w:tcPr>
            <w:tcW w:w="460" w:type="dxa"/>
            <w:vAlign w:val="bottom"/>
            <w:tcBorders>
              <w:bottom w:val="single" w:sz="8" w:color="auto"/>
            </w:tcBorders>
            <w:shd w:val="clear" w:color="auto" w:fill="E5E9F3"/>
          </w:tcPr>
          <w:p>
            <w:pPr>
              <w:spacing w:after="0"/>
              <w:rPr>
                <w:sz w:val="16"/>
                <w:szCs w:val="16"/>
                <w:color w:val="auto"/>
              </w:rPr>
            </w:pPr>
          </w:p>
        </w:tc>
        <w:tc>
          <w:tcPr>
            <w:tcW w:w="280" w:type="dxa"/>
            <w:vAlign w:val="bottom"/>
            <w:tcBorders>
              <w:bottom w:val="single" w:sz="8" w:color="auto"/>
            </w:tcBorders>
            <w:shd w:val="clear" w:color="auto" w:fill="E5E9F3"/>
          </w:tcPr>
          <w:p>
            <w:pPr>
              <w:spacing w:after="0"/>
              <w:rPr>
                <w:sz w:val="16"/>
                <w:szCs w:val="16"/>
                <w:color w:val="auto"/>
              </w:rPr>
            </w:pPr>
          </w:p>
        </w:tc>
        <w:tc>
          <w:tcPr>
            <w:tcW w:w="620" w:type="dxa"/>
            <w:vAlign w:val="bottom"/>
            <w:tcBorders>
              <w:bottom w:val="single" w:sz="8" w:color="auto"/>
            </w:tcBorders>
            <w:vMerge w:val="continue"/>
            <w:shd w:val="clear" w:color="auto" w:fill="E5E9F3"/>
          </w:tcPr>
          <w:p>
            <w:pPr>
              <w:spacing w:after="0"/>
              <w:rPr>
                <w:sz w:val="16"/>
                <w:szCs w:val="16"/>
                <w:color w:val="auto"/>
              </w:rPr>
            </w:pPr>
          </w:p>
        </w:tc>
        <w:tc>
          <w:tcPr>
            <w:tcW w:w="100" w:type="dxa"/>
            <w:vAlign w:val="bottom"/>
            <w:tcBorders>
              <w:bottom w:val="single" w:sz="8" w:color="auto"/>
            </w:tcBorders>
            <w:vMerge w:val="continue"/>
            <w:shd w:val="clear" w:color="auto" w:fill="E5E9F3"/>
          </w:tcPr>
          <w:p>
            <w:pPr>
              <w:spacing w:after="0"/>
              <w:rPr>
                <w:sz w:val="16"/>
                <w:szCs w:val="16"/>
                <w:color w:val="auto"/>
              </w:rPr>
            </w:pPr>
          </w:p>
        </w:tc>
        <w:tc>
          <w:tcPr>
            <w:tcW w:w="80" w:type="dxa"/>
            <w:vAlign w:val="bottom"/>
            <w:tcBorders>
              <w:bottom w:val="single" w:sz="8" w:color="auto"/>
            </w:tcBorders>
            <w:shd w:val="clear" w:color="auto" w:fill="E5E9F3"/>
          </w:tcPr>
          <w:p>
            <w:pPr>
              <w:spacing w:after="0"/>
              <w:rPr>
                <w:sz w:val="16"/>
                <w:szCs w:val="16"/>
                <w:color w:val="auto"/>
              </w:rPr>
            </w:pPr>
          </w:p>
        </w:tc>
        <w:tc>
          <w:tcPr>
            <w:tcW w:w="100" w:type="dxa"/>
            <w:vAlign w:val="bottom"/>
            <w:tcBorders>
              <w:bottom w:val="single" w:sz="8" w:color="auto"/>
            </w:tcBorders>
            <w:shd w:val="clear" w:color="auto" w:fill="E5E9F3"/>
          </w:tcPr>
          <w:p>
            <w:pPr>
              <w:spacing w:after="0"/>
              <w:rPr>
                <w:sz w:val="16"/>
                <w:szCs w:val="16"/>
                <w:color w:val="auto"/>
              </w:rPr>
            </w:pPr>
          </w:p>
        </w:tc>
        <w:tc>
          <w:tcPr>
            <w:tcW w:w="700" w:type="dxa"/>
            <w:vAlign w:val="bottom"/>
            <w:tcBorders>
              <w:bottom w:val="single" w:sz="8" w:color="auto"/>
            </w:tcBorders>
            <w:shd w:val="clear" w:color="auto" w:fill="E5E9F3"/>
          </w:tcPr>
          <w:p>
            <w:pPr>
              <w:spacing w:after="0"/>
              <w:rPr>
                <w:sz w:val="16"/>
                <w:szCs w:val="16"/>
                <w:color w:val="auto"/>
              </w:rPr>
            </w:pPr>
          </w:p>
        </w:tc>
        <w:tc>
          <w:tcPr>
            <w:tcW w:w="260" w:type="dxa"/>
            <w:vAlign w:val="bottom"/>
            <w:tcBorders>
              <w:bottom w:val="single" w:sz="8" w:color="auto"/>
            </w:tcBorders>
            <w:shd w:val="clear" w:color="auto" w:fill="E5E9F3"/>
          </w:tcPr>
          <w:p>
            <w:pPr>
              <w:spacing w:after="0"/>
              <w:rPr>
                <w:sz w:val="16"/>
                <w:szCs w:val="16"/>
                <w:color w:val="auto"/>
              </w:rPr>
            </w:pPr>
          </w:p>
        </w:tc>
        <w:tc>
          <w:tcPr>
            <w:tcW w:w="700" w:type="dxa"/>
            <w:vAlign w:val="bottom"/>
            <w:tcBorders>
              <w:bottom w:val="single" w:sz="8" w:color="auto"/>
            </w:tcBorders>
            <w:shd w:val="clear" w:color="auto" w:fill="E5E9F3"/>
          </w:tcPr>
          <w:p>
            <w:pPr>
              <w:spacing w:after="0"/>
              <w:rPr>
                <w:sz w:val="16"/>
                <w:szCs w:val="16"/>
                <w:color w:val="auto"/>
              </w:rPr>
            </w:pPr>
          </w:p>
        </w:tc>
        <w:tc>
          <w:tcPr>
            <w:tcW w:w="360" w:type="dxa"/>
            <w:vAlign w:val="bottom"/>
            <w:tcBorders>
              <w:bottom w:val="single" w:sz="8" w:color="auto"/>
            </w:tcBorders>
            <w:shd w:val="clear" w:color="auto" w:fill="E5E9F3"/>
          </w:tcPr>
          <w:p>
            <w:pPr>
              <w:spacing w:after="0"/>
              <w:rPr>
                <w:sz w:val="16"/>
                <w:szCs w:val="16"/>
                <w:color w:val="auto"/>
              </w:rPr>
            </w:pPr>
          </w:p>
        </w:tc>
        <w:tc>
          <w:tcPr>
            <w:tcW w:w="680" w:type="dxa"/>
            <w:vAlign w:val="bottom"/>
            <w:tcBorders>
              <w:bottom w:val="single" w:sz="8" w:color="auto"/>
            </w:tcBorders>
            <w:shd w:val="clear" w:color="auto" w:fill="E5E9F3"/>
          </w:tcPr>
          <w:p>
            <w:pPr>
              <w:spacing w:after="0"/>
              <w:rPr>
                <w:sz w:val="16"/>
                <w:szCs w:val="16"/>
                <w:color w:val="auto"/>
              </w:rPr>
            </w:pPr>
          </w:p>
        </w:tc>
        <w:tc>
          <w:tcPr>
            <w:tcW w:w="720" w:type="dxa"/>
            <w:vAlign w:val="bottom"/>
            <w:tcBorders>
              <w:bottom w:val="single" w:sz="8" w:color="auto"/>
            </w:tcBorders>
            <w:shd w:val="clear" w:color="auto" w:fill="E5E9F3"/>
          </w:tcPr>
          <w:p>
            <w:pPr>
              <w:spacing w:after="0"/>
              <w:rPr>
                <w:sz w:val="16"/>
                <w:szCs w:val="16"/>
                <w:color w:val="auto"/>
              </w:rPr>
            </w:pPr>
          </w:p>
        </w:tc>
        <w:tc>
          <w:tcPr>
            <w:tcW w:w="220" w:type="dxa"/>
            <w:vAlign w:val="bottom"/>
            <w:tcBorders>
              <w:bottom w:val="single" w:sz="8" w:color="auto"/>
            </w:tcBorders>
            <w:shd w:val="clear" w:color="auto" w:fill="E5E9F3"/>
          </w:tcPr>
          <w:p>
            <w:pPr>
              <w:spacing w:after="0"/>
              <w:rPr>
                <w:sz w:val="16"/>
                <w:szCs w:val="16"/>
                <w:color w:val="auto"/>
              </w:rPr>
            </w:pPr>
          </w:p>
        </w:tc>
        <w:tc>
          <w:tcPr>
            <w:tcW w:w="720" w:type="dxa"/>
            <w:vAlign w:val="bottom"/>
            <w:tcBorders>
              <w:bottom w:val="single" w:sz="8" w:color="auto"/>
            </w:tcBorders>
            <w:vMerge w:val="continue"/>
            <w:shd w:val="clear" w:color="auto" w:fill="E5E9F3"/>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17,853.9</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9"/>
              </w:rPr>
              <w:t>18,914.5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line="280" w:lineRule="auto"/>
        <w:tabs>
          <w:tab w:leader="none" w:pos="320" w:val="left"/>
        </w:tabs>
        <w:numPr>
          <w:ilvl w:val="0"/>
          <w:numId w:val="41"/>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ectPr>
          <w:pgSz w:w="12240" w:h="15840" w:orient="portrait"/>
          <w:cols w:equalWidth="0" w:num="1">
            <w:col w:w="10800"/>
          </w:cols>
          <w:pgMar w:left="720" w:top="734"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10800"/>
          </w:cols>
          <w:pgMar w:left="720" w:top="734" w:right="720" w:bottom="175" w:gutter="0" w:footer="0" w:header="0"/>
          <w:type w:val="continuous"/>
        </w:sectPr>
      </w:pPr>
    </w:p>
    <w:bookmarkStart w:id="69" w:name="page70"/>
    <w:bookmarkEnd w:id="6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91" o:spid="_x0000_s111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100965</wp:posOffset>
                </wp:positionV>
                <wp:extent cx="68580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95pt" to="540pt,7.95pt" o:allowincell="f" strokecolor="#000000" strokeweight="0.5pt"/>
            </w:pict>
          </mc:Fallback>
        </mc:AlternateConten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-113665</wp:posOffset>
                </wp:positionV>
                <wp:extent cx="6858000" cy="14859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8590"/>
                        </a:xfrm>
                        <a:prstGeom prst="rect">
                          <a:avLst/>
                        </a:prstGeom>
                        <a:solidFill>
                          <a:srgbClr val="97AAD0"/>
                        </a:solidFill>
                      </wps:spPr>
                      <wps:bodyPr/>
                    </wps:wsp>
                  </a:graphicData>
                </a:graphic>
              </wp:anchor>
            </w:drawing>
          </mc:Choice>
          <mc:Fallback>
            <w:pict>
              <v:rect id="Shape 93" o:spid="_x0000_s1118" style="position:absolute;margin-left:0pt;margin-top:-8.9499pt;width:540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700" w:type="dxa"/>
            <w:vAlign w:val="bottom"/>
            <w:tcBorders>
              <w:top w:val="single" w:sz="8" w:color="97AAD0"/>
              <w:bottom w:val="single" w:sz="8" w:color="97AAD0"/>
            </w:tcBorders>
            <w:shd w:val="clear" w:color="auto" w:fill="97AAD0"/>
          </w:tcPr>
          <w:p>
            <w:pPr>
              <w:spacing w:after="0"/>
              <w:rPr>
                <w:sz w:val="24"/>
                <w:szCs w:val="24"/>
                <w:color w:val="auto"/>
              </w:rPr>
            </w:pPr>
          </w:p>
        </w:tc>
        <w:tc>
          <w:tcPr>
            <w:tcW w:w="4120" w:type="dxa"/>
            <w:vAlign w:val="bottom"/>
            <w:tcBorders>
              <w:top w:val="single" w:sz="8" w:color="auto"/>
              <w:bottom w:val="single" w:sz="8" w:color="97AAD0"/>
            </w:tcBorders>
            <w:shd w:val="clear" w:color="auto" w:fill="97AAD0"/>
          </w:tcPr>
          <w:p>
            <w:pPr>
              <w:jc w:val="right"/>
              <w:ind w:right="188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97AAD0"/>
            </w:tcBorders>
            <w:shd w:val="clear" w:color="auto" w:fill="97AAD0"/>
          </w:tcPr>
          <w:p>
            <w:pPr>
              <w:spacing w:after="0"/>
              <w:rPr>
                <w:sz w:val="24"/>
                <w:szCs w:val="24"/>
                <w:color w:val="auto"/>
              </w:rPr>
            </w:pPr>
          </w:p>
        </w:tc>
        <w:tc>
          <w:tcPr>
            <w:tcW w:w="3880" w:type="dxa"/>
            <w:vAlign w:val="bottom"/>
            <w:tcBorders>
              <w:top w:val="single" w:sz="8" w:color="auto"/>
              <w:bottom w:val="single" w:sz="8" w:color="97AAD0"/>
            </w:tcBorders>
            <w:shd w:val="clear" w:color="auto" w:fill="97AAD0"/>
          </w:tcPr>
          <w:p>
            <w:pPr>
              <w:ind w:left="1640"/>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10"/>
                <w:szCs w:val="10"/>
                <w:b w:val="1"/>
                <w:bCs w:val="1"/>
                <w:color w:val="auto"/>
              </w:rPr>
              <w:t>(a)</w:t>
            </w:r>
          </w:p>
        </w:tc>
      </w:tr>
      <w:tr>
        <w:trPr>
          <w:trHeight w:val="20"/>
        </w:trPr>
        <w:tc>
          <w:tcPr>
            <w:tcW w:w="270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1708785" cy="52578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8785" cy="525780"/>
                        </a:xfrm>
                        <a:prstGeom prst="rect">
                          <a:avLst/>
                        </a:prstGeom>
                        <a:solidFill>
                          <a:srgbClr val="97AAD0"/>
                        </a:solidFill>
                      </wps:spPr>
                      <wps:bodyPr/>
                    </wps:wsp>
                  </a:graphicData>
                </a:graphic>
              </wp:anchor>
            </w:drawing>
          </mc:Choice>
          <mc:Fallback>
            <w:pict>
              <v:rect id="Shape 94" o:spid="_x0000_s1119" style="position:absolute;margin-left:0pt;margin-top:-0.4999pt;width:134.55pt;height:4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mc:AlternateContent>
          <mc:Choice Requires="wps">
            <w:drawing>
              <wp:anchor simplePos="0" relativeHeight="251657728" behindDoc="1" locked="0" layoutInCell="0" allowOverlap="1">
                <wp:simplePos x="0" y="0"/>
                <wp:positionH relativeFrom="column">
                  <wp:posOffset>4325620</wp:posOffset>
                </wp:positionH>
                <wp:positionV relativeFrom="paragraph">
                  <wp:posOffset>-6350</wp:posOffset>
                </wp:positionV>
                <wp:extent cx="68580" cy="52578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525780"/>
                        </a:xfrm>
                        <a:prstGeom prst="rect">
                          <a:avLst/>
                        </a:prstGeom>
                        <a:solidFill>
                          <a:srgbClr val="97AAD0"/>
                        </a:solidFill>
                      </wps:spPr>
                      <wps:bodyPr/>
                    </wps:wsp>
                  </a:graphicData>
                </a:graphic>
              </wp:anchor>
            </w:drawing>
          </mc:Choice>
          <mc:Fallback>
            <w:pict>
              <v:rect id="Shape 95" o:spid="_x0000_s1120" style="position:absolute;margin-left:340.6pt;margin-top:-0.4999pt;width:5.4pt;height:4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7AAD0" stroked="f"/>
            </w:pict>
          </mc:Fallback>
        </mc:AlternateContent>
      </w:r>
    </w:p>
    <w:p>
      <w:pPr>
        <w:sectPr>
          <w:pgSz w:w="12240" w:h="15840" w:orient="portrait"/>
          <w:cols w:equalWidth="0" w:num="1">
            <w:col w:w="10800"/>
          </w:cols>
          <w:pgMar w:left="720" w:top="734" w:right="720" w:bottom="175" w:gutter="0" w:footer="0" w:header="0"/>
        </w:sectPr>
      </w:pPr>
    </w:p>
    <w:p>
      <w:pPr>
        <w:spacing w:after="0" w:line="20" w:lineRule="exact"/>
        <w:rPr>
          <w:sz w:val="20"/>
          <w:szCs w:val="20"/>
          <w:color w:val="auto"/>
        </w:rPr>
      </w:pPr>
    </w:p>
    <w:tbl>
      <w:tblPr>
        <w:tblLayout w:type="fixed"/>
        <w:tblInd w:w="2700" w:type="dxa"/>
        <w:tblCellMar>
          <w:top w:w="0" w:type="dxa"/>
          <w:left w:w="0" w:type="dxa"/>
          <w:bottom w:w="0" w:type="dxa"/>
          <w:right w:w="0" w:type="dxa"/>
        </w:tblCellMar>
      </w:tblPr>
      <w:tr>
        <w:trPr>
          <w:trHeight w:val="228"/>
        </w:trPr>
        <w:tc>
          <w:tcPr>
            <w:tcW w:w="1200" w:type="dxa"/>
            <w:vAlign w:val="bottom"/>
            <w:vMerge w:val="restart"/>
            <w:shd w:val="clear" w:color="auto" w:fill="97AAD0"/>
          </w:tcPr>
          <w:p>
            <w:pPr>
              <w:jc w:val="center"/>
              <w:ind w:right="100"/>
              <w:spacing w:after="0"/>
              <w:rPr>
                <w:sz w:val="20"/>
                <w:szCs w:val="20"/>
                <w:color w:val="auto"/>
              </w:rPr>
            </w:pPr>
            <w:r>
              <w:rPr>
                <w:rFonts w:ascii="Arial" w:cs="Arial" w:eastAsia="Arial" w:hAnsi="Arial"/>
                <w:sz w:val="16"/>
                <w:szCs w:val="16"/>
                <w:b w:val="1"/>
                <w:bCs w:val="1"/>
                <w:color w:val="auto"/>
              </w:rPr>
              <w:t>Services</w:t>
            </w:r>
          </w:p>
        </w:tc>
        <w:tc>
          <w:tcPr>
            <w:tcW w:w="128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Services</w:t>
            </w:r>
          </w:p>
        </w:tc>
        <w:tc>
          <w:tcPr>
            <w:tcW w:w="1640" w:type="dxa"/>
            <w:vAlign w:val="bottom"/>
            <w:shd w:val="clear" w:color="auto" w:fill="97AAD0"/>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0" w:type="dxa"/>
            <w:vAlign w:val="bottom"/>
            <w:vMerge w:val="continue"/>
            <w:shd w:val="clear" w:color="auto" w:fill="97AAD0"/>
          </w:tcPr>
          <w:p>
            <w:pPr>
              <w:spacing w:after="0"/>
              <w:rPr>
                <w:sz w:val="15"/>
                <w:szCs w:val="15"/>
                <w:color w:val="auto"/>
              </w:rPr>
            </w:pPr>
          </w:p>
        </w:tc>
        <w:tc>
          <w:tcPr>
            <w:tcW w:w="128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transferred</w:t>
            </w:r>
          </w:p>
        </w:tc>
        <w:tc>
          <w:tcPr>
            <w:tcW w:w="164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97AAD0"/>
          </w:tcPr>
          <w:p>
            <w:pPr>
              <w:jc w:val="center"/>
              <w:ind w:right="80"/>
              <w:spacing w:after="0"/>
              <w:rPr>
                <w:sz w:val="20"/>
                <w:szCs w:val="20"/>
                <w:color w:val="auto"/>
              </w:rPr>
            </w:pPr>
            <w:r>
              <w:rPr>
                <w:rFonts w:ascii="Arial" w:cs="Arial" w:eastAsia="Arial" w:hAnsi="Arial"/>
                <w:sz w:val="16"/>
                <w:szCs w:val="16"/>
                <w:b w:val="1"/>
                <w:bCs w:val="1"/>
                <w:color w:val="auto"/>
                <w:w w:val="99"/>
              </w:rPr>
              <w:t>transferred</w:t>
            </w:r>
          </w:p>
        </w:tc>
        <w:tc>
          <w:tcPr>
            <w:tcW w:w="128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at a point</w:t>
            </w:r>
          </w:p>
        </w:tc>
        <w:tc>
          <w:tcPr>
            <w:tcW w:w="1640" w:type="dxa"/>
            <w:vAlign w:val="bottom"/>
            <w:vMerge w:val="restart"/>
            <w:shd w:val="clear" w:color="auto" w:fill="97AAD0"/>
          </w:tcPr>
          <w:p>
            <w:pPr>
              <w:ind w:left="6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200" w:type="dxa"/>
            <w:vAlign w:val="bottom"/>
            <w:shd w:val="clear" w:color="auto" w:fill="97AAD0"/>
          </w:tcPr>
          <w:p>
            <w:pPr>
              <w:jc w:val="center"/>
              <w:ind w:right="80"/>
              <w:spacing w:after="0"/>
              <w:rPr>
                <w:sz w:val="20"/>
                <w:szCs w:val="20"/>
                <w:color w:val="auto"/>
              </w:rPr>
            </w:pPr>
            <w:r>
              <w:rPr>
                <w:rFonts w:ascii="Arial" w:cs="Arial" w:eastAsia="Arial" w:hAnsi="Arial"/>
                <w:sz w:val="16"/>
                <w:szCs w:val="16"/>
                <w:b w:val="1"/>
                <w:bCs w:val="1"/>
                <w:color w:val="auto"/>
              </w:rPr>
              <w:t>over time</w:t>
            </w:r>
          </w:p>
        </w:tc>
        <w:tc>
          <w:tcPr>
            <w:tcW w:w="128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6"/>
              </w:rPr>
              <w:t>in time</w:t>
            </w:r>
          </w:p>
        </w:tc>
        <w:tc>
          <w:tcPr>
            <w:tcW w:w="1640" w:type="dxa"/>
            <w:vAlign w:val="bottom"/>
            <w:vMerge w:val="continue"/>
            <w:shd w:val="clear" w:color="auto" w:fill="97AAD0"/>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60" w:type="dxa"/>
            <w:vAlign w:val="bottom"/>
            <w:vMerge w:val="restart"/>
            <w:shd w:val="clear" w:color="auto" w:fill="97AAD0"/>
          </w:tcPr>
          <w:p>
            <w:pPr>
              <w:jc w:val="center"/>
              <w:ind w:right="60"/>
              <w:spacing w:after="0"/>
              <w:rPr>
                <w:sz w:val="20"/>
                <w:szCs w:val="20"/>
                <w:color w:val="auto"/>
              </w:rPr>
            </w:pPr>
            <w:r>
              <w:rPr>
                <w:rFonts w:ascii="Arial" w:cs="Arial" w:eastAsia="Arial" w:hAnsi="Arial"/>
                <w:sz w:val="16"/>
                <w:szCs w:val="16"/>
                <w:b w:val="1"/>
                <w:bCs w:val="1"/>
                <w:color w:val="auto"/>
              </w:rPr>
              <w:t>Services</w:t>
            </w:r>
          </w:p>
        </w:tc>
        <w:tc>
          <w:tcPr>
            <w:tcW w:w="1460" w:type="dxa"/>
            <w:vAlign w:val="bottom"/>
            <w:shd w:val="clear" w:color="auto" w:fill="97AAD0"/>
          </w:tcPr>
          <w:p>
            <w:pPr>
              <w:jc w:val="center"/>
              <w:ind w:right="80"/>
              <w:spacing w:after="0"/>
              <w:rPr>
                <w:sz w:val="20"/>
                <w:szCs w:val="20"/>
                <w:color w:val="auto"/>
              </w:rPr>
            </w:pPr>
            <w:r>
              <w:rPr>
                <w:rFonts w:ascii="Arial" w:cs="Arial" w:eastAsia="Arial" w:hAnsi="Arial"/>
                <w:sz w:val="16"/>
                <w:szCs w:val="16"/>
                <w:b w:val="1"/>
                <w:bCs w:val="1"/>
                <w:color w:val="auto"/>
              </w:rPr>
              <w:t>Services</w:t>
            </w:r>
          </w:p>
        </w:tc>
        <w:tc>
          <w:tcPr>
            <w:tcW w:w="1260" w:type="dxa"/>
            <w:vAlign w:val="bottom"/>
            <w:shd w:val="clear" w:color="auto" w:fill="97AAD0"/>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60" w:type="dxa"/>
            <w:vAlign w:val="bottom"/>
            <w:vMerge w:val="continue"/>
            <w:shd w:val="clear" w:color="auto" w:fill="97AAD0"/>
          </w:tcPr>
          <w:p>
            <w:pPr>
              <w:spacing w:after="0"/>
              <w:rPr>
                <w:sz w:val="15"/>
                <w:szCs w:val="15"/>
                <w:color w:val="auto"/>
              </w:rPr>
            </w:pPr>
          </w:p>
        </w:tc>
        <w:tc>
          <w:tcPr>
            <w:tcW w:w="1460" w:type="dxa"/>
            <w:vAlign w:val="bottom"/>
            <w:shd w:val="clear" w:color="auto" w:fill="97AAD0"/>
          </w:tcPr>
          <w:p>
            <w:pPr>
              <w:jc w:val="center"/>
              <w:ind w:right="60"/>
              <w:spacing w:after="0"/>
              <w:rPr>
                <w:sz w:val="20"/>
                <w:szCs w:val="20"/>
                <w:color w:val="auto"/>
              </w:rPr>
            </w:pPr>
            <w:r>
              <w:rPr>
                <w:rFonts w:ascii="Arial" w:cs="Arial" w:eastAsia="Arial" w:hAnsi="Arial"/>
                <w:sz w:val="16"/>
                <w:szCs w:val="16"/>
                <w:b w:val="1"/>
                <w:bCs w:val="1"/>
                <w:color w:val="auto"/>
                <w:w w:val="99"/>
              </w:rPr>
              <w:t>transferred</w:t>
            </w:r>
          </w:p>
        </w:tc>
        <w:tc>
          <w:tcPr>
            <w:tcW w:w="1260" w:type="dxa"/>
            <w:vAlign w:val="bottom"/>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60" w:type="dxa"/>
            <w:vAlign w:val="bottom"/>
            <w:shd w:val="clear" w:color="auto" w:fill="97AAD0"/>
          </w:tcPr>
          <w:p>
            <w:pPr>
              <w:jc w:val="center"/>
              <w:ind w:right="60"/>
              <w:spacing w:after="0"/>
              <w:rPr>
                <w:sz w:val="20"/>
                <w:szCs w:val="20"/>
                <w:color w:val="auto"/>
              </w:rPr>
            </w:pPr>
            <w:r>
              <w:rPr>
                <w:rFonts w:ascii="Arial" w:cs="Arial" w:eastAsia="Arial" w:hAnsi="Arial"/>
                <w:sz w:val="16"/>
                <w:szCs w:val="16"/>
                <w:b w:val="1"/>
                <w:bCs w:val="1"/>
                <w:color w:val="auto"/>
              </w:rPr>
              <w:t>transferred</w:t>
            </w:r>
          </w:p>
        </w:tc>
        <w:tc>
          <w:tcPr>
            <w:tcW w:w="1460" w:type="dxa"/>
            <w:vAlign w:val="bottom"/>
            <w:shd w:val="clear" w:color="auto" w:fill="97AAD0"/>
          </w:tcPr>
          <w:p>
            <w:pPr>
              <w:jc w:val="center"/>
              <w:ind w:right="60"/>
              <w:spacing w:after="0"/>
              <w:rPr>
                <w:sz w:val="20"/>
                <w:szCs w:val="20"/>
                <w:color w:val="auto"/>
              </w:rPr>
            </w:pPr>
            <w:r>
              <w:rPr>
                <w:rFonts w:ascii="Arial" w:cs="Arial" w:eastAsia="Arial" w:hAnsi="Arial"/>
                <w:sz w:val="16"/>
                <w:szCs w:val="16"/>
                <w:b w:val="1"/>
                <w:bCs w:val="1"/>
                <w:color w:val="auto"/>
              </w:rPr>
              <w:t>at a point</w:t>
            </w:r>
          </w:p>
        </w:tc>
        <w:tc>
          <w:tcPr>
            <w:tcW w:w="1260" w:type="dxa"/>
            <w:vAlign w:val="bottom"/>
            <w:vMerge w:val="restart"/>
            <w:shd w:val="clear" w:color="auto" w:fill="97AAD0"/>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160" w:type="dxa"/>
            <w:vAlign w:val="bottom"/>
            <w:shd w:val="clear" w:color="auto" w:fill="97AAD0"/>
          </w:tcPr>
          <w:p>
            <w:pPr>
              <w:jc w:val="center"/>
              <w:ind w:right="60"/>
              <w:spacing w:after="0"/>
              <w:rPr>
                <w:sz w:val="20"/>
                <w:szCs w:val="20"/>
                <w:color w:val="auto"/>
              </w:rPr>
            </w:pPr>
            <w:r>
              <w:rPr>
                <w:rFonts w:ascii="Arial" w:cs="Arial" w:eastAsia="Arial" w:hAnsi="Arial"/>
                <w:sz w:val="16"/>
                <w:szCs w:val="16"/>
                <w:b w:val="1"/>
                <w:bCs w:val="1"/>
                <w:color w:val="auto"/>
                <w:w w:val="98"/>
              </w:rPr>
              <w:t>over time</w:t>
            </w:r>
          </w:p>
        </w:tc>
        <w:tc>
          <w:tcPr>
            <w:tcW w:w="1460" w:type="dxa"/>
            <w:vAlign w:val="bottom"/>
            <w:shd w:val="clear" w:color="auto" w:fill="97AAD0"/>
          </w:tcPr>
          <w:p>
            <w:pPr>
              <w:jc w:val="center"/>
              <w:ind w:right="60"/>
              <w:spacing w:after="0"/>
              <w:rPr>
                <w:sz w:val="20"/>
                <w:szCs w:val="20"/>
                <w:color w:val="auto"/>
              </w:rPr>
            </w:pPr>
            <w:r>
              <w:rPr>
                <w:rFonts w:ascii="Arial" w:cs="Arial" w:eastAsia="Arial" w:hAnsi="Arial"/>
                <w:sz w:val="16"/>
                <w:szCs w:val="16"/>
                <w:b w:val="1"/>
                <w:bCs w:val="1"/>
                <w:color w:val="auto"/>
              </w:rPr>
              <w:t>in time</w:t>
            </w:r>
          </w:p>
        </w:tc>
        <w:tc>
          <w:tcPr>
            <w:tcW w:w="1260" w:type="dxa"/>
            <w:vAlign w:val="bottom"/>
            <w:vMerge w:val="continue"/>
            <w:shd w:val="clear" w:color="auto" w:fill="97AAD0"/>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2">
            <w:col w:w="6820" w:space="100"/>
            <w:col w:w="3880"/>
          </w:cols>
          <w:pgMar w:left="720" w:top="734" w:right="720" w:bottom="175"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2340" w:type="dxa"/>
            <w:vAlign w:val="bottom"/>
            <w:tcBorders>
              <w:top w:val="single" w:sz="8" w:color="auto"/>
              <w:bottom w:val="single" w:sz="8" w:color="E5E9F3"/>
            </w:tcBorders>
            <w:shd w:val="clear" w:color="auto" w:fill="E5E9F3"/>
          </w:tcPr>
          <w:p>
            <w:pPr>
              <w:ind w:left="100"/>
              <w:spacing w:after="0"/>
              <w:rPr>
                <w:sz w:val="20"/>
                <w:szCs w:val="20"/>
                <w:color w:val="auto"/>
              </w:rPr>
            </w:pPr>
            <w:r>
              <w:rPr>
                <w:rFonts w:ascii="Arial" w:cs="Arial" w:eastAsia="Arial" w:hAnsi="Arial"/>
                <w:sz w:val="16"/>
                <w:szCs w:val="16"/>
                <w:color w:val="auto"/>
              </w:rPr>
              <w:t>Americas:</w:t>
            </w:r>
          </w:p>
        </w:tc>
        <w:tc>
          <w:tcPr>
            <w:tcW w:w="600" w:type="dxa"/>
            <w:vAlign w:val="bottom"/>
            <w:tcBorders>
              <w:top w:val="single" w:sz="8" w:color="auto"/>
              <w:bottom w:val="single" w:sz="8" w:color="E5E9F3"/>
            </w:tcBorders>
            <w:shd w:val="clear" w:color="auto" w:fill="E5E9F3"/>
          </w:tcPr>
          <w:p>
            <w:pPr>
              <w:spacing w:after="0"/>
              <w:rPr>
                <w:sz w:val="21"/>
                <w:szCs w:val="21"/>
                <w:color w:val="auto"/>
              </w:rPr>
            </w:pPr>
          </w:p>
        </w:tc>
        <w:tc>
          <w:tcPr>
            <w:tcW w:w="920" w:type="dxa"/>
            <w:vAlign w:val="bottom"/>
            <w:tcBorders>
              <w:top w:val="single" w:sz="8" w:color="auto"/>
              <w:bottom w:val="single" w:sz="8" w:color="E5E9F3"/>
            </w:tcBorders>
            <w:shd w:val="clear" w:color="auto" w:fill="E5E9F3"/>
          </w:tcPr>
          <w:p>
            <w:pPr>
              <w:spacing w:after="0"/>
              <w:rPr>
                <w:sz w:val="21"/>
                <w:szCs w:val="21"/>
                <w:color w:val="auto"/>
              </w:rPr>
            </w:pPr>
          </w:p>
        </w:tc>
        <w:tc>
          <w:tcPr>
            <w:tcW w:w="560" w:type="dxa"/>
            <w:vAlign w:val="bottom"/>
            <w:tcBorders>
              <w:top w:val="single" w:sz="8" w:color="auto"/>
              <w:bottom w:val="single" w:sz="8" w:color="E5E9F3"/>
            </w:tcBorders>
            <w:shd w:val="clear" w:color="auto" w:fill="E5E9F3"/>
          </w:tcPr>
          <w:p>
            <w:pPr>
              <w:spacing w:after="0"/>
              <w:rPr>
                <w:sz w:val="21"/>
                <w:szCs w:val="21"/>
                <w:color w:val="auto"/>
              </w:rPr>
            </w:pPr>
          </w:p>
        </w:tc>
        <w:tc>
          <w:tcPr>
            <w:tcW w:w="760" w:type="dxa"/>
            <w:vAlign w:val="bottom"/>
            <w:tcBorders>
              <w:top w:val="single" w:sz="8" w:color="auto"/>
              <w:bottom w:val="single" w:sz="8" w:color="E5E9F3"/>
            </w:tcBorders>
            <w:shd w:val="clear" w:color="auto" w:fill="E5E9F3"/>
          </w:tcPr>
          <w:p>
            <w:pPr>
              <w:spacing w:after="0"/>
              <w:rPr>
                <w:sz w:val="21"/>
                <w:szCs w:val="21"/>
                <w:color w:val="auto"/>
              </w:rPr>
            </w:pPr>
          </w:p>
        </w:tc>
        <w:tc>
          <w:tcPr>
            <w:tcW w:w="600" w:type="dxa"/>
            <w:vAlign w:val="bottom"/>
            <w:tcBorders>
              <w:top w:val="single" w:sz="8" w:color="auto"/>
              <w:bottom w:val="single" w:sz="8" w:color="E5E9F3"/>
            </w:tcBorders>
            <w:shd w:val="clear" w:color="auto" w:fill="E5E9F3"/>
          </w:tcPr>
          <w:p>
            <w:pPr>
              <w:spacing w:after="0"/>
              <w:rPr>
                <w:sz w:val="21"/>
                <w:szCs w:val="21"/>
                <w:color w:val="auto"/>
              </w:rPr>
            </w:pPr>
          </w:p>
        </w:tc>
        <w:tc>
          <w:tcPr>
            <w:tcW w:w="920" w:type="dxa"/>
            <w:vAlign w:val="bottom"/>
            <w:tcBorders>
              <w:top w:val="single" w:sz="8" w:color="auto"/>
              <w:bottom w:val="single" w:sz="8" w:color="E5E9F3"/>
            </w:tcBorders>
            <w:shd w:val="clear" w:color="auto" w:fill="E5E9F3"/>
          </w:tcPr>
          <w:p>
            <w:pPr>
              <w:spacing w:after="0"/>
              <w:rPr>
                <w:sz w:val="21"/>
                <w:szCs w:val="21"/>
                <w:color w:val="auto"/>
              </w:rPr>
            </w:pPr>
          </w:p>
        </w:tc>
        <w:tc>
          <w:tcPr>
            <w:tcW w:w="120" w:type="dxa"/>
            <w:vAlign w:val="bottom"/>
            <w:tcBorders>
              <w:top w:val="single" w:sz="8" w:color="auto"/>
              <w:bottom w:val="single" w:sz="8" w:color="E5E9F3"/>
            </w:tcBorders>
            <w:shd w:val="clear" w:color="auto" w:fill="E5E9F3"/>
          </w:tcPr>
          <w:p>
            <w:pPr>
              <w:spacing w:after="0"/>
              <w:rPr>
                <w:sz w:val="21"/>
                <w:szCs w:val="21"/>
                <w:color w:val="auto"/>
              </w:rPr>
            </w:pPr>
          </w:p>
        </w:tc>
        <w:tc>
          <w:tcPr>
            <w:tcW w:w="100" w:type="dxa"/>
            <w:vAlign w:val="bottom"/>
            <w:tcBorders>
              <w:top w:val="single" w:sz="8" w:color="97AAD0"/>
              <w:bottom w:val="single" w:sz="8" w:color="E5E9F3"/>
            </w:tcBorders>
            <w:shd w:val="clear" w:color="auto" w:fill="E5E9F3"/>
          </w:tcPr>
          <w:p>
            <w:pPr>
              <w:spacing w:after="0"/>
              <w:rPr>
                <w:sz w:val="21"/>
                <w:szCs w:val="21"/>
                <w:color w:val="auto"/>
              </w:rPr>
            </w:pPr>
          </w:p>
        </w:tc>
        <w:tc>
          <w:tcPr>
            <w:tcW w:w="240" w:type="dxa"/>
            <w:vAlign w:val="bottom"/>
            <w:tcBorders>
              <w:top w:val="single" w:sz="8" w:color="auto"/>
              <w:bottom w:val="single" w:sz="8" w:color="E5E9F3"/>
            </w:tcBorders>
            <w:shd w:val="clear" w:color="auto" w:fill="E5E9F3"/>
          </w:tcPr>
          <w:p>
            <w:pPr>
              <w:spacing w:after="0"/>
              <w:rPr>
                <w:sz w:val="21"/>
                <w:szCs w:val="21"/>
                <w:color w:val="auto"/>
              </w:rPr>
            </w:pPr>
          </w:p>
        </w:tc>
        <w:tc>
          <w:tcPr>
            <w:tcW w:w="900" w:type="dxa"/>
            <w:vAlign w:val="bottom"/>
            <w:tcBorders>
              <w:top w:val="single" w:sz="8" w:color="auto"/>
              <w:bottom w:val="single" w:sz="8" w:color="E5E9F3"/>
            </w:tcBorders>
            <w:shd w:val="clear" w:color="auto" w:fill="E5E9F3"/>
          </w:tcPr>
          <w:p>
            <w:pPr>
              <w:spacing w:after="0"/>
              <w:rPr>
                <w:sz w:val="21"/>
                <w:szCs w:val="21"/>
                <w:color w:val="auto"/>
              </w:rPr>
            </w:pPr>
          </w:p>
        </w:tc>
        <w:tc>
          <w:tcPr>
            <w:tcW w:w="520" w:type="dxa"/>
            <w:vAlign w:val="bottom"/>
            <w:tcBorders>
              <w:top w:val="single" w:sz="8" w:color="auto"/>
              <w:bottom w:val="single" w:sz="8" w:color="E5E9F3"/>
            </w:tcBorders>
            <w:shd w:val="clear" w:color="auto" w:fill="E5E9F3"/>
          </w:tcPr>
          <w:p>
            <w:pPr>
              <w:spacing w:after="0"/>
              <w:rPr>
                <w:sz w:val="21"/>
                <w:szCs w:val="21"/>
                <w:color w:val="auto"/>
              </w:rPr>
            </w:pPr>
          </w:p>
        </w:tc>
        <w:tc>
          <w:tcPr>
            <w:tcW w:w="840" w:type="dxa"/>
            <w:vAlign w:val="bottom"/>
            <w:tcBorders>
              <w:top w:val="single" w:sz="8" w:color="auto"/>
              <w:bottom w:val="single" w:sz="8" w:color="E5E9F3"/>
            </w:tcBorders>
            <w:shd w:val="clear" w:color="auto" w:fill="E5E9F3"/>
          </w:tcPr>
          <w:p>
            <w:pPr>
              <w:spacing w:after="0"/>
              <w:rPr>
                <w:sz w:val="21"/>
                <w:szCs w:val="21"/>
                <w:color w:val="auto"/>
              </w:rPr>
            </w:pPr>
          </w:p>
        </w:tc>
        <w:tc>
          <w:tcPr>
            <w:tcW w:w="420" w:type="dxa"/>
            <w:vAlign w:val="bottom"/>
            <w:tcBorders>
              <w:top w:val="single" w:sz="8" w:color="auto"/>
              <w:bottom w:val="single" w:sz="8" w:color="E5E9F3"/>
            </w:tcBorders>
            <w:shd w:val="clear" w:color="auto" w:fill="E5E9F3"/>
          </w:tcPr>
          <w:p>
            <w:pPr>
              <w:spacing w:after="0"/>
              <w:rPr>
                <w:sz w:val="21"/>
                <w:szCs w:val="21"/>
                <w:color w:val="auto"/>
              </w:rPr>
            </w:pPr>
          </w:p>
        </w:tc>
        <w:tc>
          <w:tcPr>
            <w:tcW w:w="960" w:type="dxa"/>
            <w:vAlign w:val="bottom"/>
            <w:tcBorders>
              <w:top w:val="single" w:sz="8" w:color="auto"/>
              <w:bottom w:val="single" w:sz="8" w:color="E5E9F3"/>
            </w:tcBorders>
            <w:shd w:val="clear" w:color="auto" w:fill="E5E9F3"/>
          </w:tcPr>
          <w:p>
            <w:pPr>
              <w:spacing w:after="0"/>
              <w:rPr>
                <w:sz w:val="21"/>
                <w:szCs w:val="21"/>
                <w:color w:val="auto"/>
              </w:rPr>
            </w:pPr>
          </w:p>
        </w:tc>
      </w:tr>
      <w:tr>
        <w:trPr>
          <w:trHeight w:val="244"/>
        </w:trPr>
        <w:tc>
          <w:tcPr>
            <w:tcW w:w="234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2,695.4</w:t>
            </w: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71.2</w:t>
            </w:r>
          </w:p>
        </w:tc>
        <w:tc>
          <w:tcPr>
            <w:tcW w:w="6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2,766.6</w:t>
            </w:r>
          </w:p>
        </w:tc>
        <w:tc>
          <w:tcPr>
            <w:tcW w:w="1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2,789.8</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76.4</w:t>
            </w:r>
          </w:p>
        </w:tc>
        <w:tc>
          <w:tcPr>
            <w:tcW w:w="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2,866.2</w:t>
            </w:r>
          </w:p>
        </w:tc>
      </w:tr>
      <w:tr>
        <w:trPr>
          <w:trHeight w:val="244"/>
        </w:trPr>
        <w:tc>
          <w:tcPr>
            <w:tcW w:w="234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6"/>
                <w:szCs w:val="16"/>
                <w:color w:val="auto"/>
              </w:rPr>
              <w:t>Other Americas</w:t>
            </w:r>
          </w:p>
        </w:tc>
        <w:tc>
          <w:tcPr>
            <w:tcW w:w="600" w:type="dxa"/>
            <w:vAlign w:val="bottom"/>
            <w:tcBorders>
              <w:bottom w:val="single" w:sz="8" w:color="auto"/>
            </w:tcBorders>
            <w:shd w:val="clear" w:color="auto" w:fill="E5E9F3"/>
          </w:tcPr>
          <w:p>
            <w:pPr>
              <w:spacing w:after="0"/>
              <w:rPr>
                <w:sz w:val="21"/>
                <w:szCs w:val="21"/>
                <w:color w:val="auto"/>
              </w:rPr>
            </w:pPr>
          </w:p>
        </w:tc>
        <w:tc>
          <w:tcPr>
            <w:tcW w:w="92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1,432.0</w:t>
            </w:r>
          </w:p>
        </w:tc>
        <w:tc>
          <w:tcPr>
            <w:tcW w:w="560" w:type="dxa"/>
            <w:vAlign w:val="bottom"/>
            <w:tcBorders>
              <w:bottom w:val="single" w:sz="8" w:color="auto"/>
            </w:tcBorders>
            <w:shd w:val="clear" w:color="auto" w:fill="E5E9F3"/>
          </w:tcPr>
          <w:p>
            <w:pPr>
              <w:spacing w:after="0"/>
              <w:rPr>
                <w:sz w:val="21"/>
                <w:szCs w:val="21"/>
                <w:color w:val="auto"/>
              </w:rPr>
            </w:pPr>
          </w:p>
        </w:tc>
        <w:tc>
          <w:tcPr>
            <w:tcW w:w="7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26.3</w:t>
            </w:r>
          </w:p>
        </w:tc>
        <w:tc>
          <w:tcPr>
            <w:tcW w:w="600" w:type="dxa"/>
            <w:vAlign w:val="bottom"/>
            <w:tcBorders>
              <w:bottom w:val="single" w:sz="8" w:color="auto"/>
            </w:tcBorders>
            <w:shd w:val="clear" w:color="auto" w:fill="E5E9F3"/>
          </w:tcPr>
          <w:p>
            <w:pPr>
              <w:spacing w:after="0"/>
              <w:rPr>
                <w:sz w:val="21"/>
                <w:szCs w:val="21"/>
                <w:color w:val="auto"/>
              </w:rPr>
            </w:pPr>
          </w:p>
        </w:tc>
        <w:tc>
          <w:tcPr>
            <w:tcW w:w="9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1,458.3</w:t>
            </w:r>
          </w:p>
        </w:tc>
        <w:tc>
          <w:tcPr>
            <w:tcW w:w="120" w:type="dxa"/>
            <w:vAlign w:val="bottom"/>
            <w:tcBorders>
              <w:bottom w:val="single" w:sz="8" w:color="auto"/>
            </w:tcBorders>
            <w:shd w:val="clear" w:color="auto" w:fill="E5E9F3"/>
          </w:tcPr>
          <w:p>
            <w:pPr>
              <w:spacing w:after="0"/>
              <w:rPr>
                <w:sz w:val="21"/>
                <w:szCs w:val="21"/>
                <w:color w:val="auto"/>
              </w:rPr>
            </w:pPr>
          </w:p>
        </w:tc>
        <w:tc>
          <w:tcPr>
            <w:tcW w:w="100" w:type="dxa"/>
            <w:vAlign w:val="bottom"/>
            <w:tcBorders>
              <w:bottom w:val="single" w:sz="8" w:color="auto"/>
            </w:tcBorders>
            <w:shd w:val="clear" w:color="auto" w:fill="E5E9F3"/>
          </w:tcPr>
          <w:p>
            <w:pPr>
              <w:spacing w:after="0"/>
              <w:rPr>
                <w:sz w:val="21"/>
                <w:szCs w:val="21"/>
                <w:color w:val="auto"/>
              </w:rPr>
            </w:pPr>
          </w:p>
        </w:tc>
        <w:tc>
          <w:tcPr>
            <w:tcW w:w="240" w:type="dxa"/>
            <w:vAlign w:val="bottom"/>
            <w:tcBorders>
              <w:bottom w:val="single" w:sz="8" w:color="auto"/>
            </w:tcBorders>
            <w:shd w:val="clear" w:color="auto" w:fill="E5E9F3"/>
          </w:tcPr>
          <w:p>
            <w:pPr>
              <w:spacing w:after="0"/>
              <w:rPr>
                <w:sz w:val="21"/>
                <w:szCs w:val="21"/>
                <w:color w:val="auto"/>
              </w:rPr>
            </w:pPr>
          </w:p>
        </w:tc>
        <w:tc>
          <w:tcPr>
            <w:tcW w:w="90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1,518.8</w:t>
            </w:r>
          </w:p>
        </w:tc>
        <w:tc>
          <w:tcPr>
            <w:tcW w:w="520" w:type="dxa"/>
            <w:vAlign w:val="bottom"/>
            <w:tcBorders>
              <w:bottom w:val="single" w:sz="8" w:color="auto"/>
            </w:tcBorders>
            <w:shd w:val="clear" w:color="auto" w:fill="E5E9F3"/>
          </w:tcPr>
          <w:p>
            <w:pPr>
              <w:spacing w:after="0"/>
              <w:rPr>
                <w:sz w:val="21"/>
                <w:szCs w:val="21"/>
                <w:color w:val="auto"/>
              </w:rPr>
            </w:pPr>
          </w:p>
        </w:tc>
        <w:tc>
          <w:tcPr>
            <w:tcW w:w="84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29.8</w:t>
            </w:r>
          </w:p>
        </w:tc>
        <w:tc>
          <w:tcPr>
            <w:tcW w:w="420" w:type="dxa"/>
            <w:vAlign w:val="bottom"/>
            <w:tcBorders>
              <w:bottom w:val="single" w:sz="8" w:color="auto"/>
            </w:tcBorders>
            <w:shd w:val="clear" w:color="auto" w:fill="E5E9F3"/>
          </w:tcPr>
          <w:p>
            <w:pPr>
              <w:spacing w:after="0"/>
              <w:rPr>
                <w:sz w:val="21"/>
                <w:szCs w:val="21"/>
                <w:color w:val="auto"/>
              </w:rPr>
            </w:pPr>
          </w:p>
        </w:tc>
        <w:tc>
          <w:tcPr>
            <w:tcW w:w="96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1,548.6</w:t>
            </w:r>
          </w:p>
        </w:tc>
      </w:tr>
      <w:tr>
        <w:trPr>
          <w:trHeight w:val="234"/>
        </w:trPr>
        <w:tc>
          <w:tcPr>
            <w:tcW w:w="2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4,127.4</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4,224.9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4,308.6</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106.2</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4,414.8</w:t>
            </w:r>
          </w:p>
        </w:tc>
      </w:tr>
      <w:tr>
        <w:trPr>
          <w:trHeight w:val="214"/>
        </w:trPr>
        <w:tc>
          <w:tcPr>
            <w:tcW w:w="234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6"/>
                <w:szCs w:val="16"/>
                <w:color w:val="auto"/>
              </w:rPr>
              <w:t>Southern Europe:</w:t>
            </w:r>
          </w:p>
        </w:tc>
        <w:tc>
          <w:tcPr>
            <w:tcW w:w="600" w:type="dxa"/>
            <w:vAlign w:val="bottom"/>
            <w:tcBorders>
              <w:bottom w:val="single" w:sz="8" w:color="E5E9F3"/>
            </w:tcBorders>
            <w:shd w:val="clear" w:color="auto" w:fill="E5E9F3"/>
          </w:tcPr>
          <w:p>
            <w:pPr>
              <w:spacing w:after="0"/>
              <w:rPr>
                <w:sz w:val="18"/>
                <w:szCs w:val="18"/>
                <w:color w:val="auto"/>
              </w:rPr>
            </w:pPr>
          </w:p>
        </w:tc>
        <w:tc>
          <w:tcPr>
            <w:tcW w:w="920" w:type="dxa"/>
            <w:vAlign w:val="bottom"/>
            <w:tcBorders>
              <w:bottom w:val="single" w:sz="8" w:color="E5E9F3"/>
            </w:tcBorders>
            <w:shd w:val="clear" w:color="auto" w:fill="E5E9F3"/>
          </w:tcPr>
          <w:p>
            <w:pPr>
              <w:spacing w:after="0"/>
              <w:rPr>
                <w:sz w:val="18"/>
                <w:szCs w:val="18"/>
                <w:color w:val="auto"/>
              </w:rPr>
            </w:pPr>
          </w:p>
        </w:tc>
        <w:tc>
          <w:tcPr>
            <w:tcW w:w="560" w:type="dxa"/>
            <w:vAlign w:val="bottom"/>
            <w:tcBorders>
              <w:bottom w:val="single" w:sz="8" w:color="E5E9F3"/>
            </w:tcBorders>
            <w:shd w:val="clear" w:color="auto" w:fill="E5E9F3"/>
          </w:tcPr>
          <w:p>
            <w:pPr>
              <w:spacing w:after="0"/>
              <w:rPr>
                <w:sz w:val="18"/>
                <w:szCs w:val="18"/>
                <w:color w:val="auto"/>
              </w:rPr>
            </w:pPr>
          </w:p>
        </w:tc>
        <w:tc>
          <w:tcPr>
            <w:tcW w:w="760" w:type="dxa"/>
            <w:vAlign w:val="bottom"/>
            <w:tcBorders>
              <w:bottom w:val="single" w:sz="8" w:color="E5E9F3"/>
            </w:tcBorders>
            <w:shd w:val="clear" w:color="auto" w:fill="E5E9F3"/>
          </w:tcPr>
          <w:p>
            <w:pPr>
              <w:spacing w:after="0"/>
              <w:rPr>
                <w:sz w:val="18"/>
                <w:szCs w:val="18"/>
                <w:color w:val="auto"/>
              </w:rPr>
            </w:pPr>
          </w:p>
        </w:tc>
        <w:tc>
          <w:tcPr>
            <w:tcW w:w="600" w:type="dxa"/>
            <w:vAlign w:val="bottom"/>
            <w:tcBorders>
              <w:bottom w:val="single" w:sz="8" w:color="E5E9F3"/>
            </w:tcBorders>
            <w:shd w:val="clear" w:color="auto" w:fill="E5E9F3"/>
          </w:tcPr>
          <w:p>
            <w:pPr>
              <w:spacing w:after="0"/>
              <w:rPr>
                <w:sz w:val="18"/>
                <w:szCs w:val="18"/>
                <w:color w:val="auto"/>
              </w:rPr>
            </w:pPr>
          </w:p>
        </w:tc>
        <w:tc>
          <w:tcPr>
            <w:tcW w:w="920" w:type="dxa"/>
            <w:vAlign w:val="bottom"/>
            <w:tcBorders>
              <w:bottom w:val="single" w:sz="8" w:color="E5E9F3"/>
            </w:tcBorders>
            <w:shd w:val="clear" w:color="auto" w:fill="E5E9F3"/>
          </w:tcPr>
          <w:p>
            <w:pPr>
              <w:spacing w:after="0"/>
              <w:rPr>
                <w:sz w:val="18"/>
                <w:szCs w:val="18"/>
                <w:color w:val="auto"/>
              </w:rPr>
            </w:pPr>
          </w:p>
        </w:tc>
        <w:tc>
          <w:tcPr>
            <w:tcW w:w="120" w:type="dxa"/>
            <w:vAlign w:val="bottom"/>
            <w:tcBorders>
              <w:bottom w:val="single" w:sz="8" w:color="E5E9F3"/>
            </w:tcBorders>
            <w:shd w:val="clear" w:color="auto" w:fill="E5E9F3"/>
          </w:tcPr>
          <w:p>
            <w:pPr>
              <w:spacing w:after="0"/>
              <w:rPr>
                <w:sz w:val="18"/>
                <w:szCs w:val="18"/>
                <w:color w:val="auto"/>
              </w:rPr>
            </w:pPr>
          </w:p>
        </w:tc>
        <w:tc>
          <w:tcPr>
            <w:tcW w:w="100" w:type="dxa"/>
            <w:vAlign w:val="bottom"/>
            <w:tcBorders>
              <w:bottom w:val="single" w:sz="8" w:color="E5E9F3"/>
            </w:tcBorders>
            <w:shd w:val="clear" w:color="auto" w:fill="E5E9F3"/>
          </w:tcPr>
          <w:p>
            <w:pPr>
              <w:spacing w:after="0"/>
              <w:rPr>
                <w:sz w:val="18"/>
                <w:szCs w:val="18"/>
                <w:color w:val="auto"/>
              </w:rPr>
            </w:pPr>
          </w:p>
        </w:tc>
        <w:tc>
          <w:tcPr>
            <w:tcW w:w="240" w:type="dxa"/>
            <w:vAlign w:val="bottom"/>
            <w:tcBorders>
              <w:bottom w:val="single" w:sz="8" w:color="E5E9F3"/>
            </w:tcBorders>
            <w:shd w:val="clear" w:color="auto" w:fill="E5E9F3"/>
          </w:tcPr>
          <w:p>
            <w:pPr>
              <w:spacing w:after="0"/>
              <w:rPr>
                <w:sz w:val="18"/>
                <w:szCs w:val="18"/>
                <w:color w:val="auto"/>
              </w:rPr>
            </w:pPr>
          </w:p>
        </w:tc>
        <w:tc>
          <w:tcPr>
            <w:tcW w:w="900" w:type="dxa"/>
            <w:vAlign w:val="bottom"/>
            <w:tcBorders>
              <w:bottom w:val="single" w:sz="8" w:color="E5E9F3"/>
            </w:tcBorders>
            <w:shd w:val="clear" w:color="auto" w:fill="E5E9F3"/>
          </w:tcPr>
          <w:p>
            <w:pPr>
              <w:spacing w:after="0"/>
              <w:rPr>
                <w:sz w:val="18"/>
                <w:szCs w:val="18"/>
                <w:color w:val="auto"/>
              </w:rPr>
            </w:pPr>
          </w:p>
        </w:tc>
        <w:tc>
          <w:tcPr>
            <w:tcW w:w="520" w:type="dxa"/>
            <w:vAlign w:val="bottom"/>
            <w:tcBorders>
              <w:bottom w:val="single" w:sz="8" w:color="E5E9F3"/>
            </w:tcBorders>
            <w:shd w:val="clear" w:color="auto" w:fill="E5E9F3"/>
          </w:tcPr>
          <w:p>
            <w:pPr>
              <w:spacing w:after="0"/>
              <w:rPr>
                <w:sz w:val="18"/>
                <w:szCs w:val="18"/>
                <w:color w:val="auto"/>
              </w:rPr>
            </w:pPr>
          </w:p>
        </w:tc>
        <w:tc>
          <w:tcPr>
            <w:tcW w:w="840" w:type="dxa"/>
            <w:vAlign w:val="bottom"/>
            <w:tcBorders>
              <w:bottom w:val="single" w:sz="8" w:color="E5E9F3"/>
            </w:tcBorders>
            <w:shd w:val="clear" w:color="auto" w:fill="E5E9F3"/>
          </w:tcPr>
          <w:p>
            <w:pPr>
              <w:spacing w:after="0"/>
              <w:rPr>
                <w:sz w:val="18"/>
                <w:szCs w:val="18"/>
                <w:color w:val="auto"/>
              </w:rPr>
            </w:pPr>
          </w:p>
        </w:tc>
        <w:tc>
          <w:tcPr>
            <w:tcW w:w="420" w:type="dxa"/>
            <w:vAlign w:val="bottom"/>
            <w:tcBorders>
              <w:bottom w:val="single" w:sz="8" w:color="E5E9F3"/>
            </w:tcBorders>
            <w:shd w:val="clear" w:color="auto" w:fill="E5E9F3"/>
          </w:tcPr>
          <w:p>
            <w:pPr>
              <w:spacing w:after="0"/>
              <w:rPr>
                <w:sz w:val="18"/>
                <w:szCs w:val="18"/>
                <w:color w:val="auto"/>
              </w:rPr>
            </w:pPr>
          </w:p>
        </w:tc>
        <w:tc>
          <w:tcPr>
            <w:tcW w:w="960" w:type="dxa"/>
            <w:vAlign w:val="bottom"/>
            <w:tcBorders>
              <w:bottom w:val="single" w:sz="8" w:color="E5E9F3"/>
            </w:tcBorders>
            <w:shd w:val="clear" w:color="auto" w:fill="E5E9F3"/>
          </w:tcPr>
          <w:p>
            <w:pPr>
              <w:spacing w:after="0"/>
              <w:rPr>
                <w:sz w:val="18"/>
                <w:szCs w:val="18"/>
                <w:color w:val="auto"/>
              </w:rPr>
            </w:pPr>
          </w:p>
        </w:tc>
      </w:tr>
      <w:tr>
        <w:trPr>
          <w:trHeight w:val="244"/>
        </w:trPr>
        <w:tc>
          <w:tcPr>
            <w:tcW w:w="2340" w:type="dxa"/>
            <w:vAlign w:val="bottom"/>
          </w:tcPr>
          <w:p>
            <w:pPr>
              <w:ind w:left="200"/>
              <w:spacing w:after="0"/>
              <w:rPr>
                <w:sz w:val="20"/>
                <w:szCs w:val="20"/>
                <w:color w:val="auto"/>
              </w:rPr>
            </w:pPr>
            <w:r>
              <w:rPr>
                <w:rFonts w:ascii="Arial" w:cs="Arial" w:eastAsia="Arial" w:hAnsi="Arial"/>
                <w:sz w:val="16"/>
                <w:szCs w:val="16"/>
                <w:color w:val="auto"/>
              </w:rPr>
              <w:t>France</w:t>
            </w:r>
          </w:p>
        </w:tc>
        <w:tc>
          <w:tcPr>
            <w:tcW w:w="6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4,573.3</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4,814.5</w:t>
            </w:r>
          </w:p>
        </w:tc>
        <w:tc>
          <w:tcPr>
            <w:tcW w:w="5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4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4,867.1</w:t>
            </w:r>
          </w:p>
        </w:tc>
      </w:tr>
      <w:tr>
        <w:trPr>
          <w:trHeight w:val="244"/>
        </w:trPr>
        <w:tc>
          <w:tcPr>
            <w:tcW w:w="2340" w:type="dxa"/>
            <w:vAlign w:val="bottom"/>
            <w:shd w:val="clear" w:color="auto" w:fill="E5E9F3"/>
          </w:tcPr>
          <w:p>
            <w:pPr>
              <w:ind w:left="200"/>
              <w:spacing w:after="0"/>
              <w:rPr>
                <w:sz w:val="20"/>
                <w:szCs w:val="20"/>
                <w:color w:val="auto"/>
              </w:rPr>
            </w:pPr>
            <w:r>
              <w:rPr>
                <w:rFonts w:ascii="Arial" w:cs="Arial" w:eastAsia="Arial" w:hAnsi="Arial"/>
                <w:sz w:val="16"/>
                <w:szCs w:val="16"/>
                <w:color w:val="auto"/>
              </w:rPr>
              <w:t>Italy</w:t>
            </w:r>
          </w:p>
        </w:tc>
        <w:tc>
          <w:tcPr>
            <w:tcW w:w="600" w:type="dxa"/>
            <w:vAlign w:val="bottom"/>
            <w:shd w:val="clear" w:color="auto" w:fill="E5E9F3"/>
          </w:tcPr>
          <w:p>
            <w:pPr>
              <w:spacing w:after="0"/>
              <w:rPr>
                <w:sz w:val="21"/>
                <w:szCs w:val="21"/>
                <w:color w:val="auto"/>
              </w:rPr>
            </w:pPr>
          </w:p>
        </w:tc>
        <w:tc>
          <w:tcPr>
            <w:tcW w:w="920" w:type="dxa"/>
            <w:vAlign w:val="bottom"/>
            <w:shd w:val="clear" w:color="auto" w:fill="E5E9F3"/>
          </w:tcPr>
          <w:p>
            <w:pPr>
              <w:jc w:val="right"/>
              <w:ind w:right="40"/>
              <w:spacing w:after="0"/>
              <w:rPr>
                <w:sz w:val="20"/>
                <w:szCs w:val="20"/>
                <w:color w:val="auto"/>
              </w:rPr>
            </w:pPr>
            <w:r>
              <w:rPr>
                <w:rFonts w:ascii="Arial" w:cs="Arial" w:eastAsia="Arial" w:hAnsi="Arial"/>
                <w:sz w:val="16"/>
                <w:szCs w:val="16"/>
                <w:color w:val="auto"/>
              </w:rPr>
              <w:t>1,632.6</w:t>
            </w:r>
          </w:p>
        </w:tc>
        <w:tc>
          <w:tcPr>
            <w:tcW w:w="560" w:type="dxa"/>
            <w:vAlign w:val="bottom"/>
            <w:shd w:val="clear" w:color="auto" w:fill="E5E9F3"/>
          </w:tcPr>
          <w:p>
            <w:pPr>
              <w:spacing w:after="0"/>
              <w:rPr>
                <w:sz w:val="21"/>
                <w:szCs w:val="21"/>
                <w:color w:val="auto"/>
              </w:rPr>
            </w:pPr>
          </w:p>
        </w:tc>
        <w:tc>
          <w:tcPr>
            <w:tcW w:w="760" w:type="dxa"/>
            <w:vAlign w:val="bottom"/>
            <w:shd w:val="clear" w:color="auto" w:fill="E5E9F3"/>
          </w:tcPr>
          <w:p>
            <w:pPr>
              <w:jc w:val="right"/>
              <w:spacing w:after="0"/>
              <w:rPr>
                <w:sz w:val="20"/>
                <w:szCs w:val="20"/>
                <w:color w:val="auto"/>
              </w:rPr>
            </w:pPr>
            <w:r>
              <w:rPr>
                <w:rFonts w:ascii="Arial" w:cs="Arial" w:eastAsia="Arial" w:hAnsi="Arial"/>
                <w:sz w:val="16"/>
                <w:szCs w:val="16"/>
                <w:color w:val="auto"/>
              </w:rPr>
              <w:t>44.4</w:t>
            </w:r>
          </w:p>
        </w:tc>
        <w:tc>
          <w:tcPr>
            <w:tcW w:w="600" w:type="dxa"/>
            <w:vAlign w:val="bottom"/>
            <w:shd w:val="clear" w:color="auto" w:fill="E5E9F3"/>
          </w:tcPr>
          <w:p>
            <w:pPr>
              <w:spacing w:after="0"/>
              <w:rPr>
                <w:sz w:val="21"/>
                <w:szCs w:val="21"/>
                <w:color w:val="auto"/>
              </w:rPr>
            </w:pPr>
          </w:p>
        </w:tc>
        <w:tc>
          <w:tcPr>
            <w:tcW w:w="920" w:type="dxa"/>
            <w:vAlign w:val="bottom"/>
            <w:shd w:val="clear" w:color="auto" w:fill="E5E9F3"/>
          </w:tcPr>
          <w:p>
            <w:pPr>
              <w:jc w:val="right"/>
              <w:spacing w:after="0"/>
              <w:rPr>
                <w:sz w:val="20"/>
                <w:szCs w:val="20"/>
                <w:color w:val="auto"/>
              </w:rPr>
            </w:pPr>
            <w:r>
              <w:rPr>
                <w:rFonts w:ascii="Arial" w:cs="Arial" w:eastAsia="Arial" w:hAnsi="Arial"/>
                <w:sz w:val="16"/>
                <w:szCs w:val="16"/>
                <w:color w:val="auto"/>
              </w:rPr>
              <w:t>1,677.0</w:t>
            </w:r>
          </w:p>
        </w:tc>
        <w:tc>
          <w:tcPr>
            <w:tcW w:w="120" w:type="dxa"/>
            <w:vAlign w:val="bottom"/>
            <w:shd w:val="clear" w:color="auto" w:fill="E5E9F3"/>
          </w:tcPr>
          <w:p>
            <w:pPr>
              <w:spacing w:after="0"/>
              <w:rPr>
                <w:sz w:val="21"/>
                <w:szCs w:val="21"/>
                <w:color w:val="auto"/>
              </w:rPr>
            </w:pPr>
          </w:p>
        </w:tc>
        <w:tc>
          <w:tcPr>
            <w:tcW w:w="100" w:type="dxa"/>
            <w:vAlign w:val="bottom"/>
            <w:shd w:val="clear" w:color="auto" w:fill="E5E9F3"/>
          </w:tcPr>
          <w:p>
            <w:pPr>
              <w:spacing w:after="0"/>
              <w:rPr>
                <w:sz w:val="21"/>
                <w:szCs w:val="21"/>
                <w:color w:val="auto"/>
              </w:rPr>
            </w:pPr>
          </w:p>
        </w:tc>
        <w:tc>
          <w:tcPr>
            <w:tcW w:w="240" w:type="dxa"/>
            <w:vAlign w:val="bottom"/>
            <w:shd w:val="clear" w:color="auto" w:fill="E5E9F3"/>
          </w:tcPr>
          <w:p>
            <w:pPr>
              <w:spacing w:after="0"/>
              <w:rPr>
                <w:sz w:val="21"/>
                <w:szCs w:val="21"/>
                <w:color w:val="auto"/>
              </w:rPr>
            </w:pPr>
          </w:p>
        </w:tc>
        <w:tc>
          <w:tcPr>
            <w:tcW w:w="900" w:type="dxa"/>
            <w:vAlign w:val="bottom"/>
            <w:shd w:val="clear" w:color="auto" w:fill="E5E9F3"/>
          </w:tcPr>
          <w:p>
            <w:pPr>
              <w:jc w:val="right"/>
              <w:ind w:right="40"/>
              <w:spacing w:after="0"/>
              <w:rPr>
                <w:sz w:val="20"/>
                <w:szCs w:val="20"/>
                <w:color w:val="auto"/>
              </w:rPr>
            </w:pPr>
            <w:r>
              <w:rPr>
                <w:rFonts w:ascii="Arial" w:cs="Arial" w:eastAsia="Arial" w:hAnsi="Arial"/>
                <w:sz w:val="16"/>
                <w:szCs w:val="16"/>
                <w:color w:val="auto"/>
              </w:rPr>
              <w:t>1,657.8</w:t>
            </w:r>
          </w:p>
        </w:tc>
        <w:tc>
          <w:tcPr>
            <w:tcW w:w="520" w:type="dxa"/>
            <w:vAlign w:val="bottom"/>
            <w:shd w:val="clear" w:color="auto" w:fill="E5E9F3"/>
          </w:tcPr>
          <w:p>
            <w:pPr>
              <w:spacing w:after="0"/>
              <w:rPr>
                <w:sz w:val="21"/>
                <w:szCs w:val="21"/>
                <w:color w:val="auto"/>
              </w:rPr>
            </w:pPr>
          </w:p>
        </w:tc>
        <w:tc>
          <w:tcPr>
            <w:tcW w:w="840" w:type="dxa"/>
            <w:vAlign w:val="bottom"/>
            <w:shd w:val="clear" w:color="auto" w:fill="E5E9F3"/>
          </w:tcPr>
          <w:p>
            <w:pPr>
              <w:jc w:val="right"/>
              <w:ind w:right="60"/>
              <w:spacing w:after="0"/>
              <w:rPr>
                <w:sz w:val="20"/>
                <w:szCs w:val="20"/>
                <w:color w:val="auto"/>
              </w:rPr>
            </w:pPr>
            <w:r>
              <w:rPr>
                <w:rFonts w:ascii="Arial" w:cs="Arial" w:eastAsia="Arial" w:hAnsi="Arial"/>
                <w:sz w:val="16"/>
                <w:szCs w:val="16"/>
                <w:color w:val="auto"/>
              </w:rPr>
              <w:t>51.0</w:t>
            </w:r>
          </w:p>
        </w:tc>
        <w:tc>
          <w:tcPr>
            <w:tcW w:w="420" w:type="dxa"/>
            <w:vAlign w:val="bottom"/>
            <w:shd w:val="clear" w:color="auto" w:fill="E5E9F3"/>
          </w:tcPr>
          <w:p>
            <w:pPr>
              <w:spacing w:after="0"/>
              <w:rPr>
                <w:sz w:val="21"/>
                <w:szCs w:val="21"/>
                <w:color w:val="auto"/>
              </w:rPr>
            </w:pPr>
          </w:p>
        </w:tc>
        <w:tc>
          <w:tcPr>
            <w:tcW w:w="960" w:type="dxa"/>
            <w:vAlign w:val="bottom"/>
            <w:shd w:val="clear" w:color="auto" w:fill="E5E9F3"/>
          </w:tcPr>
          <w:p>
            <w:pPr>
              <w:jc w:val="right"/>
              <w:ind w:right="60"/>
              <w:spacing w:after="0"/>
              <w:rPr>
                <w:sz w:val="20"/>
                <w:szCs w:val="20"/>
                <w:color w:val="auto"/>
              </w:rPr>
            </w:pPr>
            <w:r>
              <w:rPr>
                <w:rFonts w:ascii="Arial" w:cs="Arial" w:eastAsia="Arial" w:hAnsi="Arial"/>
                <w:sz w:val="16"/>
                <w:szCs w:val="16"/>
                <w:color w:val="auto"/>
              </w:rPr>
              <w:t>1,708.8</w:t>
            </w:r>
          </w:p>
        </w:tc>
      </w:tr>
      <w:tr>
        <w:trPr>
          <w:trHeight w:val="244"/>
        </w:trPr>
        <w:tc>
          <w:tcPr>
            <w:tcW w:w="23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Southern Europe</w:t>
            </w: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1,880.6</w:t>
            </w: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1,922.9</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1,891.1</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48.3</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1,939.4</w:t>
            </w:r>
          </w:p>
        </w:tc>
      </w:tr>
      <w:tr>
        <w:trPr>
          <w:trHeight w:val="234"/>
        </w:trPr>
        <w:tc>
          <w:tcPr>
            <w:tcW w:w="2340" w:type="dxa"/>
            <w:vAlign w:val="bottom"/>
            <w:tcBorders>
              <w:bottom w:val="single" w:sz="8" w:color="auto"/>
            </w:tcBorders>
            <w:shd w:val="clear" w:color="auto" w:fill="E5E9F3"/>
          </w:tcPr>
          <w:p>
            <w:pPr>
              <w:spacing w:after="0"/>
              <w:rPr>
                <w:sz w:val="20"/>
                <w:szCs w:val="20"/>
                <w:color w:val="auto"/>
              </w:rPr>
            </w:pPr>
          </w:p>
        </w:tc>
        <w:tc>
          <w:tcPr>
            <w:tcW w:w="600" w:type="dxa"/>
            <w:vAlign w:val="bottom"/>
            <w:tcBorders>
              <w:bottom w:val="single" w:sz="8" w:color="auto"/>
            </w:tcBorders>
            <w:shd w:val="clear" w:color="auto" w:fill="E5E9F3"/>
          </w:tcPr>
          <w:p>
            <w:pPr>
              <w:spacing w:after="0"/>
              <w:rPr>
                <w:sz w:val="20"/>
                <w:szCs w:val="20"/>
                <w:color w:val="auto"/>
              </w:rPr>
            </w:pPr>
          </w:p>
        </w:tc>
        <w:tc>
          <w:tcPr>
            <w:tcW w:w="92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8,086.5</w:t>
            </w:r>
          </w:p>
        </w:tc>
        <w:tc>
          <w:tcPr>
            <w:tcW w:w="560" w:type="dxa"/>
            <w:vAlign w:val="bottom"/>
            <w:tcBorders>
              <w:bottom w:val="single" w:sz="8" w:color="auto"/>
            </w:tcBorders>
            <w:shd w:val="clear" w:color="auto" w:fill="E5E9F3"/>
          </w:tcPr>
          <w:p>
            <w:pPr>
              <w:spacing w:after="0"/>
              <w:rPr>
                <w:sz w:val="20"/>
                <w:szCs w:val="20"/>
                <w:color w:val="auto"/>
              </w:rPr>
            </w:pPr>
          </w:p>
        </w:tc>
        <w:tc>
          <w:tcPr>
            <w:tcW w:w="7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131.8</w:t>
            </w:r>
          </w:p>
        </w:tc>
        <w:tc>
          <w:tcPr>
            <w:tcW w:w="600" w:type="dxa"/>
            <w:vAlign w:val="bottom"/>
            <w:tcBorders>
              <w:bottom w:val="single" w:sz="8" w:color="auto"/>
            </w:tcBorders>
            <w:shd w:val="clear" w:color="auto" w:fill="E5E9F3"/>
          </w:tcPr>
          <w:p>
            <w:pPr>
              <w:spacing w:after="0"/>
              <w:rPr>
                <w:sz w:val="20"/>
                <w:szCs w:val="20"/>
                <w:color w:val="auto"/>
              </w:rPr>
            </w:pPr>
          </w:p>
        </w:tc>
        <w:tc>
          <w:tcPr>
            <w:tcW w:w="9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8,218.3</w:t>
            </w:r>
          </w:p>
        </w:tc>
        <w:tc>
          <w:tcPr>
            <w:tcW w:w="120" w:type="dxa"/>
            <w:vAlign w:val="bottom"/>
            <w:tcBorders>
              <w:bottom w:val="single" w:sz="8" w:color="auto"/>
            </w:tcBorders>
            <w:shd w:val="clear" w:color="auto" w:fill="E5E9F3"/>
          </w:tcPr>
          <w:p>
            <w:pPr>
              <w:spacing w:after="0"/>
              <w:rPr>
                <w:sz w:val="20"/>
                <w:szCs w:val="20"/>
                <w:color w:val="auto"/>
              </w:rPr>
            </w:pPr>
          </w:p>
        </w:tc>
        <w:tc>
          <w:tcPr>
            <w:tcW w:w="100" w:type="dxa"/>
            <w:vAlign w:val="bottom"/>
            <w:tcBorders>
              <w:bottom w:val="single" w:sz="8" w:color="auto"/>
            </w:tcBorders>
            <w:shd w:val="clear" w:color="auto" w:fill="E5E9F3"/>
          </w:tcPr>
          <w:p>
            <w:pPr>
              <w:spacing w:after="0"/>
              <w:rPr>
                <w:sz w:val="20"/>
                <w:szCs w:val="20"/>
                <w:color w:val="auto"/>
              </w:rPr>
            </w:pPr>
          </w:p>
        </w:tc>
        <w:tc>
          <w:tcPr>
            <w:tcW w:w="240" w:type="dxa"/>
            <w:vAlign w:val="bottom"/>
            <w:tcBorders>
              <w:bottom w:val="single" w:sz="8" w:color="auto"/>
            </w:tcBorders>
            <w:shd w:val="clear" w:color="auto" w:fill="E5E9F3"/>
          </w:tcPr>
          <w:p>
            <w:pPr>
              <w:spacing w:after="0"/>
              <w:rPr>
                <w:sz w:val="20"/>
                <w:szCs w:val="20"/>
                <w:color w:val="auto"/>
              </w:rPr>
            </w:pPr>
          </w:p>
        </w:tc>
        <w:tc>
          <w:tcPr>
            <w:tcW w:w="90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8,363.4</w:t>
            </w:r>
          </w:p>
        </w:tc>
        <w:tc>
          <w:tcPr>
            <w:tcW w:w="520" w:type="dxa"/>
            <w:vAlign w:val="bottom"/>
            <w:tcBorders>
              <w:bottom w:val="single" w:sz="8" w:color="auto"/>
            </w:tcBorders>
            <w:shd w:val="clear" w:color="auto" w:fill="E5E9F3"/>
          </w:tcPr>
          <w:p>
            <w:pPr>
              <w:spacing w:after="0"/>
              <w:rPr>
                <w:sz w:val="20"/>
                <w:szCs w:val="20"/>
                <w:color w:val="auto"/>
              </w:rPr>
            </w:pPr>
          </w:p>
        </w:tc>
        <w:tc>
          <w:tcPr>
            <w:tcW w:w="84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151.9</w:t>
            </w:r>
          </w:p>
        </w:tc>
        <w:tc>
          <w:tcPr>
            <w:tcW w:w="420" w:type="dxa"/>
            <w:vAlign w:val="bottom"/>
            <w:tcBorders>
              <w:bottom w:val="single" w:sz="8" w:color="auto"/>
            </w:tcBorders>
            <w:shd w:val="clear" w:color="auto" w:fill="E5E9F3"/>
          </w:tcPr>
          <w:p>
            <w:pPr>
              <w:spacing w:after="0"/>
              <w:rPr>
                <w:sz w:val="20"/>
                <w:szCs w:val="20"/>
                <w:color w:val="auto"/>
              </w:rPr>
            </w:pPr>
          </w:p>
        </w:tc>
        <w:tc>
          <w:tcPr>
            <w:tcW w:w="96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8,515.3</w:t>
            </w:r>
          </w:p>
        </w:tc>
      </w:tr>
      <w:tr>
        <w:trPr>
          <w:trHeight w:val="234"/>
        </w:trPr>
        <w:tc>
          <w:tcPr>
            <w:tcW w:w="2340" w:type="dxa"/>
            <w:vAlign w:val="bottom"/>
          </w:tcPr>
          <w:p>
            <w:pPr>
              <w:ind w:left="100"/>
              <w:spacing w:after="0"/>
              <w:rPr>
                <w:sz w:val="20"/>
                <w:szCs w:val="20"/>
                <w:color w:val="auto"/>
              </w:rPr>
            </w:pPr>
            <w:r>
              <w:rPr>
                <w:rFonts w:ascii="Arial" w:cs="Arial" w:eastAsia="Arial" w:hAnsi="Arial"/>
                <w:sz w:val="16"/>
                <w:szCs w:val="16"/>
                <w:color w:val="auto"/>
              </w:rPr>
              <w:t>Northern Europe</w:t>
            </w:r>
          </w:p>
        </w:tc>
        <w:tc>
          <w:tcPr>
            <w:tcW w:w="6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3,208.9</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95.4</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3,627.5</w:t>
            </w:r>
          </w:p>
        </w:tc>
        <w:tc>
          <w:tcPr>
            <w:tcW w:w="52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120.5</w:t>
            </w:r>
          </w:p>
        </w:tc>
        <w:tc>
          <w:tcPr>
            <w:tcW w:w="4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3,748.0</w:t>
            </w:r>
          </w:p>
        </w:tc>
      </w:tr>
      <w:tr>
        <w:trPr>
          <w:trHeight w:val="244"/>
        </w:trPr>
        <w:tc>
          <w:tcPr>
            <w:tcW w:w="23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6"/>
                <w:szCs w:val="16"/>
                <w:color w:val="auto"/>
              </w:rPr>
              <w:t>APME</w:t>
            </w:r>
          </w:p>
        </w:tc>
        <w:tc>
          <w:tcPr>
            <w:tcW w:w="600" w:type="dxa"/>
            <w:vAlign w:val="bottom"/>
            <w:tcBorders>
              <w:bottom w:val="single" w:sz="8" w:color="auto"/>
            </w:tcBorders>
            <w:shd w:val="clear" w:color="auto" w:fill="E5E9F3"/>
          </w:tcPr>
          <w:p>
            <w:pPr>
              <w:spacing w:after="0"/>
              <w:rPr>
                <w:sz w:val="21"/>
                <w:szCs w:val="21"/>
                <w:color w:val="auto"/>
              </w:rPr>
            </w:pPr>
          </w:p>
        </w:tc>
        <w:tc>
          <w:tcPr>
            <w:tcW w:w="92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2,116.2</w:t>
            </w:r>
          </w:p>
        </w:tc>
        <w:tc>
          <w:tcPr>
            <w:tcW w:w="560" w:type="dxa"/>
            <w:vAlign w:val="bottom"/>
            <w:tcBorders>
              <w:bottom w:val="single" w:sz="8" w:color="auto"/>
            </w:tcBorders>
            <w:shd w:val="clear" w:color="auto" w:fill="E5E9F3"/>
          </w:tcPr>
          <w:p>
            <w:pPr>
              <w:spacing w:after="0"/>
              <w:rPr>
                <w:sz w:val="21"/>
                <w:szCs w:val="21"/>
                <w:color w:val="auto"/>
              </w:rPr>
            </w:pPr>
          </w:p>
        </w:tc>
        <w:tc>
          <w:tcPr>
            <w:tcW w:w="7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45.1</w:t>
            </w:r>
          </w:p>
        </w:tc>
        <w:tc>
          <w:tcPr>
            <w:tcW w:w="600" w:type="dxa"/>
            <w:vAlign w:val="bottom"/>
            <w:tcBorders>
              <w:bottom w:val="single" w:sz="8" w:color="auto"/>
            </w:tcBorders>
            <w:shd w:val="clear" w:color="auto" w:fill="E5E9F3"/>
          </w:tcPr>
          <w:p>
            <w:pPr>
              <w:spacing w:after="0"/>
              <w:rPr>
                <w:sz w:val="21"/>
                <w:szCs w:val="21"/>
                <w:color w:val="auto"/>
              </w:rPr>
            </w:pPr>
          </w:p>
        </w:tc>
        <w:tc>
          <w:tcPr>
            <w:tcW w:w="9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2,161.3</w:t>
            </w:r>
          </w:p>
        </w:tc>
        <w:tc>
          <w:tcPr>
            <w:tcW w:w="120" w:type="dxa"/>
            <w:vAlign w:val="bottom"/>
            <w:tcBorders>
              <w:bottom w:val="single" w:sz="8" w:color="auto"/>
            </w:tcBorders>
            <w:shd w:val="clear" w:color="auto" w:fill="E5E9F3"/>
          </w:tcPr>
          <w:p>
            <w:pPr>
              <w:spacing w:after="0"/>
              <w:rPr>
                <w:sz w:val="21"/>
                <w:szCs w:val="21"/>
                <w:color w:val="auto"/>
              </w:rPr>
            </w:pPr>
          </w:p>
        </w:tc>
        <w:tc>
          <w:tcPr>
            <w:tcW w:w="100" w:type="dxa"/>
            <w:vAlign w:val="bottom"/>
            <w:tcBorders>
              <w:bottom w:val="single" w:sz="8" w:color="auto"/>
            </w:tcBorders>
            <w:shd w:val="clear" w:color="auto" w:fill="E5E9F3"/>
          </w:tcPr>
          <w:p>
            <w:pPr>
              <w:spacing w:after="0"/>
              <w:rPr>
                <w:sz w:val="21"/>
                <w:szCs w:val="21"/>
                <w:color w:val="auto"/>
              </w:rPr>
            </w:pPr>
          </w:p>
        </w:tc>
        <w:tc>
          <w:tcPr>
            <w:tcW w:w="240" w:type="dxa"/>
            <w:vAlign w:val="bottom"/>
            <w:tcBorders>
              <w:bottom w:val="single" w:sz="8" w:color="auto"/>
            </w:tcBorders>
            <w:shd w:val="clear" w:color="auto" w:fill="E5E9F3"/>
          </w:tcPr>
          <w:p>
            <w:pPr>
              <w:spacing w:after="0"/>
              <w:rPr>
                <w:sz w:val="21"/>
                <w:szCs w:val="21"/>
                <w:color w:val="auto"/>
              </w:rPr>
            </w:pPr>
          </w:p>
        </w:tc>
        <w:tc>
          <w:tcPr>
            <w:tcW w:w="900" w:type="dxa"/>
            <w:vAlign w:val="bottom"/>
            <w:tcBorders>
              <w:bottom w:val="single" w:sz="8" w:color="auto"/>
            </w:tcBorders>
            <w:shd w:val="clear" w:color="auto" w:fill="E5E9F3"/>
          </w:tcPr>
          <w:p>
            <w:pPr>
              <w:jc w:val="right"/>
              <w:ind w:right="40"/>
              <w:spacing w:after="0"/>
              <w:rPr>
                <w:sz w:val="20"/>
                <w:szCs w:val="20"/>
                <w:color w:val="auto"/>
              </w:rPr>
            </w:pPr>
            <w:r>
              <w:rPr>
                <w:rFonts w:ascii="Arial" w:cs="Arial" w:eastAsia="Arial" w:hAnsi="Arial"/>
                <w:sz w:val="16"/>
                <w:szCs w:val="16"/>
                <w:color w:val="auto"/>
              </w:rPr>
              <w:t>2,255.2</w:t>
            </w:r>
          </w:p>
        </w:tc>
        <w:tc>
          <w:tcPr>
            <w:tcW w:w="520" w:type="dxa"/>
            <w:vAlign w:val="bottom"/>
            <w:tcBorders>
              <w:bottom w:val="single" w:sz="8" w:color="auto"/>
            </w:tcBorders>
            <w:shd w:val="clear" w:color="auto" w:fill="E5E9F3"/>
          </w:tcPr>
          <w:p>
            <w:pPr>
              <w:spacing w:after="0"/>
              <w:rPr>
                <w:sz w:val="21"/>
                <w:szCs w:val="21"/>
                <w:color w:val="auto"/>
              </w:rPr>
            </w:pPr>
          </w:p>
        </w:tc>
        <w:tc>
          <w:tcPr>
            <w:tcW w:w="84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67.1</w:t>
            </w:r>
          </w:p>
        </w:tc>
        <w:tc>
          <w:tcPr>
            <w:tcW w:w="420" w:type="dxa"/>
            <w:vAlign w:val="bottom"/>
            <w:tcBorders>
              <w:bottom w:val="single" w:sz="8" w:color="auto"/>
            </w:tcBorders>
            <w:shd w:val="clear" w:color="auto" w:fill="E5E9F3"/>
          </w:tcPr>
          <w:p>
            <w:pPr>
              <w:spacing w:after="0"/>
              <w:rPr>
                <w:sz w:val="21"/>
                <w:szCs w:val="21"/>
                <w:color w:val="auto"/>
              </w:rPr>
            </w:pPr>
          </w:p>
        </w:tc>
        <w:tc>
          <w:tcPr>
            <w:tcW w:w="960" w:type="dxa"/>
            <w:vAlign w:val="bottom"/>
            <w:tcBorders>
              <w:bottom w:val="single" w:sz="8" w:color="auto"/>
            </w:tcBorders>
            <w:shd w:val="clear" w:color="auto" w:fill="E5E9F3"/>
          </w:tcPr>
          <w:p>
            <w:pPr>
              <w:jc w:val="right"/>
              <w:ind w:right="60"/>
              <w:spacing w:after="0"/>
              <w:rPr>
                <w:sz w:val="20"/>
                <w:szCs w:val="20"/>
                <w:color w:val="auto"/>
              </w:rPr>
            </w:pPr>
            <w:r>
              <w:rPr>
                <w:rFonts w:ascii="Arial" w:cs="Arial" w:eastAsia="Arial" w:hAnsi="Arial"/>
                <w:sz w:val="16"/>
                <w:szCs w:val="16"/>
                <w:color w:val="auto"/>
              </w:rPr>
              <w:t>2,322.3</w:t>
            </w:r>
          </w:p>
        </w:tc>
      </w:tr>
      <w:tr>
        <w:trPr>
          <w:trHeight w:val="234"/>
        </w:trPr>
        <w:tc>
          <w:tcPr>
            <w:tcW w:w="2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17,539.0</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17,908.8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18,554.7</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445.7</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19,000.4</w:t>
            </w:r>
          </w:p>
        </w:tc>
      </w:tr>
      <w:tr>
        <w:trPr>
          <w:trHeight w:val="234"/>
        </w:trPr>
        <w:tc>
          <w:tcPr>
            <w:tcW w:w="23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6"/>
                <w:szCs w:val="16"/>
                <w:color w:val="auto"/>
              </w:rPr>
              <w:t>Intercompany Eliminations</w:t>
            </w:r>
          </w:p>
        </w:tc>
        <w:tc>
          <w:tcPr>
            <w:tcW w:w="600" w:type="dxa"/>
            <w:vAlign w:val="bottom"/>
            <w:tcBorders>
              <w:bottom w:val="single" w:sz="8" w:color="auto"/>
            </w:tcBorders>
            <w:shd w:val="clear" w:color="auto" w:fill="E5E9F3"/>
          </w:tcPr>
          <w:p>
            <w:pPr>
              <w:spacing w:after="0"/>
              <w:rPr>
                <w:sz w:val="20"/>
                <w:szCs w:val="20"/>
                <w:color w:val="auto"/>
              </w:rPr>
            </w:pPr>
          </w:p>
        </w:tc>
        <w:tc>
          <w:tcPr>
            <w:tcW w:w="920" w:type="dxa"/>
            <w:vAlign w:val="bottom"/>
            <w:tcBorders>
              <w:bottom w:val="single" w:sz="8" w:color="auto"/>
            </w:tcBorders>
            <w:shd w:val="clear" w:color="auto" w:fill="E5E9F3"/>
          </w:tcPr>
          <w:p>
            <w:pPr>
              <w:spacing w:after="0"/>
              <w:rPr>
                <w:sz w:val="20"/>
                <w:szCs w:val="20"/>
                <w:color w:val="auto"/>
              </w:rPr>
            </w:pPr>
          </w:p>
        </w:tc>
        <w:tc>
          <w:tcPr>
            <w:tcW w:w="560" w:type="dxa"/>
            <w:vAlign w:val="bottom"/>
            <w:tcBorders>
              <w:bottom w:val="single" w:sz="8" w:color="auto"/>
            </w:tcBorders>
            <w:shd w:val="clear" w:color="auto" w:fill="E5E9F3"/>
          </w:tcPr>
          <w:p>
            <w:pPr>
              <w:spacing w:after="0"/>
              <w:rPr>
                <w:sz w:val="20"/>
                <w:szCs w:val="20"/>
                <w:color w:val="auto"/>
              </w:rPr>
            </w:pPr>
          </w:p>
        </w:tc>
        <w:tc>
          <w:tcPr>
            <w:tcW w:w="760" w:type="dxa"/>
            <w:vAlign w:val="bottom"/>
            <w:tcBorders>
              <w:bottom w:val="single" w:sz="8" w:color="auto"/>
            </w:tcBorders>
            <w:shd w:val="clear" w:color="auto" w:fill="E5E9F3"/>
          </w:tcPr>
          <w:p>
            <w:pPr>
              <w:spacing w:after="0"/>
              <w:rPr>
                <w:sz w:val="20"/>
                <w:szCs w:val="20"/>
                <w:color w:val="auto"/>
              </w:rPr>
            </w:pPr>
          </w:p>
        </w:tc>
        <w:tc>
          <w:tcPr>
            <w:tcW w:w="600" w:type="dxa"/>
            <w:vAlign w:val="bottom"/>
            <w:tcBorders>
              <w:bottom w:val="single" w:sz="8" w:color="auto"/>
            </w:tcBorders>
            <w:shd w:val="clear" w:color="auto" w:fill="E5E9F3"/>
          </w:tcPr>
          <w:p>
            <w:pPr>
              <w:spacing w:after="0"/>
              <w:rPr>
                <w:sz w:val="20"/>
                <w:szCs w:val="20"/>
                <w:color w:val="auto"/>
              </w:rPr>
            </w:pPr>
          </w:p>
        </w:tc>
        <w:tc>
          <w:tcPr>
            <w:tcW w:w="9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E5E9F3"/>
          </w:tcPr>
          <w:p>
            <w:pPr>
              <w:spacing w:after="0"/>
              <w:rPr>
                <w:sz w:val="20"/>
                <w:szCs w:val="20"/>
                <w:color w:val="auto"/>
              </w:rPr>
            </w:pPr>
          </w:p>
        </w:tc>
        <w:tc>
          <w:tcPr>
            <w:tcW w:w="240" w:type="dxa"/>
            <w:vAlign w:val="bottom"/>
            <w:tcBorders>
              <w:bottom w:val="single" w:sz="8" w:color="auto"/>
            </w:tcBorders>
            <w:shd w:val="clear" w:color="auto" w:fill="E5E9F3"/>
          </w:tcPr>
          <w:p>
            <w:pPr>
              <w:spacing w:after="0"/>
              <w:rPr>
                <w:sz w:val="20"/>
                <w:szCs w:val="20"/>
                <w:color w:val="auto"/>
              </w:rPr>
            </w:pPr>
          </w:p>
        </w:tc>
        <w:tc>
          <w:tcPr>
            <w:tcW w:w="900" w:type="dxa"/>
            <w:vAlign w:val="bottom"/>
            <w:tcBorders>
              <w:bottom w:val="single" w:sz="8" w:color="auto"/>
            </w:tcBorders>
            <w:shd w:val="clear" w:color="auto" w:fill="E5E9F3"/>
          </w:tcPr>
          <w:p>
            <w:pPr>
              <w:spacing w:after="0"/>
              <w:rPr>
                <w:sz w:val="20"/>
                <w:szCs w:val="20"/>
                <w:color w:val="auto"/>
              </w:rPr>
            </w:pPr>
          </w:p>
        </w:tc>
        <w:tc>
          <w:tcPr>
            <w:tcW w:w="520" w:type="dxa"/>
            <w:vAlign w:val="bottom"/>
            <w:tcBorders>
              <w:bottom w:val="single" w:sz="8" w:color="auto"/>
            </w:tcBorders>
            <w:shd w:val="clear" w:color="auto" w:fill="E5E9F3"/>
          </w:tcPr>
          <w:p>
            <w:pPr>
              <w:spacing w:after="0"/>
              <w:rPr>
                <w:sz w:val="20"/>
                <w:szCs w:val="20"/>
                <w:color w:val="auto"/>
              </w:rPr>
            </w:pPr>
          </w:p>
        </w:tc>
        <w:tc>
          <w:tcPr>
            <w:tcW w:w="840" w:type="dxa"/>
            <w:vAlign w:val="bottom"/>
            <w:tcBorders>
              <w:bottom w:val="single" w:sz="8" w:color="auto"/>
            </w:tcBorders>
            <w:shd w:val="clear" w:color="auto" w:fill="E5E9F3"/>
          </w:tcPr>
          <w:p>
            <w:pPr>
              <w:spacing w:after="0"/>
              <w:rPr>
                <w:sz w:val="20"/>
                <w:szCs w:val="20"/>
                <w:color w:val="auto"/>
              </w:rPr>
            </w:pPr>
          </w:p>
        </w:tc>
        <w:tc>
          <w:tcPr>
            <w:tcW w:w="420" w:type="dxa"/>
            <w:vAlign w:val="bottom"/>
            <w:tcBorders>
              <w:bottom w:val="single" w:sz="8" w:color="auto"/>
            </w:tcBorders>
            <w:shd w:val="clear" w:color="auto" w:fill="E5E9F3"/>
          </w:tcPr>
          <w:p>
            <w:pPr>
              <w:spacing w:after="0"/>
              <w:rPr>
                <w:sz w:val="20"/>
                <w:szCs w:val="20"/>
                <w:color w:val="auto"/>
              </w:rPr>
            </w:pPr>
          </w:p>
        </w:tc>
        <w:tc>
          <w:tcPr>
            <w:tcW w:w="9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6"/>
                <w:szCs w:val="16"/>
                <w:color w:val="auto"/>
              </w:rPr>
              <w:t>(85.9 )</w:t>
            </w:r>
          </w:p>
        </w:tc>
      </w:tr>
      <w:tr>
        <w:trPr>
          <w:trHeight w:val="222"/>
        </w:trPr>
        <w:tc>
          <w:tcPr>
            <w:tcW w:w="2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17,853.9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18,914.5</w:t>
            </w:r>
          </w:p>
        </w:tc>
      </w:tr>
    </w:tbl>
    <w:p>
      <w:pPr>
        <w:spacing w:after="0" w:line="123" w:lineRule="exact"/>
        <w:rPr>
          <w:sz w:val="20"/>
          <w:szCs w:val="20"/>
          <w:color w:val="auto"/>
        </w:rPr>
      </w:pPr>
    </w:p>
    <w:p>
      <w:pPr>
        <w:ind w:left="320" w:hanging="320"/>
        <w:spacing w:after="0" w:line="280" w:lineRule="auto"/>
        <w:tabs>
          <w:tab w:leader="none" w:pos="320" w:val="left"/>
        </w:tabs>
        <w:numPr>
          <w:ilvl w:val="0"/>
          <w:numId w:val="42"/>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ectPr>
          <w:pgSz w:w="12240" w:h="15840" w:orient="portrait"/>
          <w:cols w:equalWidth="0" w:num="1">
            <w:col w:w="10800"/>
          </w:cols>
          <w:pgMar w:left="720" w:top="734"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10800"/>
          </w:cols>
          <w:pgMar w:left="720" w:top="734" w:right="720" w:bottom="175" w:gutter="0" w:footer="0" w:header="0"/>
          <w:type w:val="continuous"/>
        </w:sectPr>
      </w:pPr>
    </w:p>
    <w:bookmarkStart w:id="70" w:name="page71"/>
    <w:bookmarkEnd w:id="70"/>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96" o:spid="_x0000_s112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ind w:left="420" w:hanging="420"/>
        <w:spacing w:after="0"/>
        <w:tabs>
          <w:tab w:leader="none" w:pos="420" w:val="left"/>
        </w:tabs>
        <w:numPr>
          <w:ilvl w:val="0"/>
          <w:numId w:val="43"/>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Share-Based Compensation Plans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During 2024, 2023 and 2022, we recognized $27.3, $28.7 and $37.6, respectively, in share-based compensation expense related to stock options, deferred stock, restricted stock and performance share units, all of which is recorded in selling and administrative expenses. Consideration received from share-based awards for 2024, 2023 and 2022 was $0.8, $1.8 and $0.3, respectively. The income tax benefit recognized during 2024, 2023 and 2022 was $1.3, $1.0 and $2.6, respectively, for the United States share-based compensation and $1.2, $1.6 and $1.3, respectively, for non-United States share-based compensation. We recognize compensation expense on grants of share-based compensation awards on a straight-line basis over the vesting period of each award.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Stock Options and Stock Appreciation Rights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All share-based compensation is granted under the 2011 Equity Incentive Plan of ManpowerGroup Inc. (“2011 Plan”). Under the 2011 Plan, stock options and stock appreciation rights are required to be granted at a price not less than 100% of the fair market value of the common stock at the date of grant. Generally, options are granted with a ratable vesting period of up to four years and expire 10 years from date of grant. No options were granted subsequent to 2021, and we have not granted stock appreciation rights under the 2011 Plan. A summary of stock option activity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top w:val="single" w:sz="8" w:color="auto"/>
            </w:tcBorders>
            <w:shd w:val="clear" w:color="auto" w:fill="97AAD0"/>
          </w:tcPr>
          <w:p>
            <w:pPr>
              <w:spacing w:after="0"/>
              <w:rPr>
                <w:sz w:val="16"/>
                <w:szCs w:val="16"/>
                <w:color w:val="auto"/>
              </w:rPr>
            </w:pPr>
          </w:p>
        </w:tc>
        <w:tc>
          <w:tcPr>
            <w:tcW w:w="2040" w:type="dxa"/>
            <w:vAlign w:val="bottom"/>
            <w:tcBorders>
              <w:top w:val="single" w:sz="8" w:color="auto"/>
            </w:tcBorders>
            <w:shd w:val="clear" w:color="auto" w:fill="97AAD0"/>
          </w:tcPr>
          <w:p>
            <w:pPr>
              <w:spacing w:after="0"/>
              <w:rPr>
                <w:sz w:val="16"/>
                <w:szCs w:val="16"/>
                <w:color w:val="auto"/>
              </w:rPr>
            </w:pPr>
          </w:p>
        </w:tc>
        <w:tc>
          <w:tcPr>
            <w:tcW w:w="220" w:type="dxa"/>
            <w:vAlign w:val="bottom"/>
            <w:tcBorders>
              <w:top w:val="single" w:sz="8" w:color="auto"/>
            </w:tcBorders>
            <w:shd w:val="clear" w:color="auto" w:fill="97AAD0"/>
          </w:tcPr>
          <w:p>
            <w:pPr>
              <w:spacing w:after="0"/>
              <w:rPr>
                <w:sz w:val="16"/>
                <w:szCs w:val="16"/>
                <w:color w:val="auto"/>
              </w:rPr>
            </w:pPr>
          </w:p>
        </w:tc>
        <w:tc>
          <w:tcPr>
            <w:tcW w:w="260" w:type="dxa"/>
            <w:vAlign w:val="bottom"/>
            <w:tcBorders>
              <w:top w:val="single" w:sz="8" w:color="auto"/>
            </w:tcBorders>
            <w:shd w:val="clear" w:color="auto" w:fill="97AAD0"/>
          </w:tcPr>
          <w:p>
            <w:pPr>
              <w:spacing w:after="0"/>
              <w:rPr>
                <w:sz w:val="16"/>
                <w:szCs w:val="16"/>
                <w:color w:val="auto"/>
              </w:rPr>
            </w:pPr>
          </w:p>
        </w:tc>
        <w:tc>
          <w:tcPr>
            <w:tcW w:w="1440" w:type="dxa"/>
            <w:vAlign w:val="bottom"/>
            <w:tcBorders>
              <w:top w:val="single" w:sz="8" w:color="auto"/>
            </w:tcBorders>
            <w:vMerge w:val="restart"/>
            <w:shd w:val="clear" w:color="auto" w:fill="97AAD0"/>
          </w:tcPr>
          <w:p>
            <w:pPr>
              <w:jc w:val="center"/>
              <w:ind w:right="231"/>
              <w:spacing w:after="0"/>
              <w:rPr>
                <w:sz w:val="20"/>
                <w:szCs w:val="20"/>
                <w:color w:val="auto"/>
              </w:rPr>
            </w:pPr>
            <w:r>
              <w:rPr>
                <w:rFonts w:ascii="Arial" w:cs="Arial" w:eastAsia="Arial" w:hAnsi="Arial"/>
                <w:sz w:val="16"/>
                <w:szCs w:val="16"/>
                <w:b w:val="1"/>
                <w:bCs w:val="1"/>
                <w:color w:val="auto"/>
                <w:w w:val="97"/>
              </w:rPr>
              <w:t>Wtd. Avg.</w:t>
            </w:r>
          </w:p>
        </w:tc>
        <w:tc>
          <w:tcPr>
            <w:tcW w:w="1540" w:type="dxa"/>
            <w:vAlign w:val="bottom"/>
            <w:tcBorders>
              <w:top w:val="single" w:sz="8" w:color="auto"/>
            </w:tcBorders>
            <w:shd w:val="clear" w:color="auto" w:fill="97AAD0"/>
          </w:tcPr>
          <w:p>
            <w:pPr>
              <w:jc w:val="center"/>
              <w:ind w:right="34"/>
              <w:spacing w:after="0"/>
              <w:rPr>
                <w:sz w:val="20"/>
                <w:szCs w:val="20"/>
                <w:color w:val="auto"/>
              </w:rPr>
            </w:pPr>
            <w:r>
              <w:rPr>
                <w:rFonts w:ascii="Arial" w:cs="Arial" w:eastAsia="Arial" w:hAnsi="Arial"/>
                <w:sz w:val="16"/>
                <w:szCs w:val="16"/>
                <w:b w:val="1"/>
                <w:bCs w:val="1"/>
                <w:color w:val="auto"/>
              </w:rPr>
              <w:t>Wtd. Avg.</w:t>
            </w:r>
          </w:p>
        </w:tc>
        <w:tc>
          <w:tcPr>
            <w:tcW w:w="260" w:type="dxa"/>
            <w:vAlign w:val="bottom"/>
            <w:tcBorders>
              <w:top w:val="single" w:sz="8" w:color="auto"/>
            </w:tcBorders>
            <w:shd w:val="clear" w:color="auto" w:fill="97AAD0"/>
          </w:tcPr>
          <w:p>
            <w:pPr>
              <w:spacing w:after="0"/>
              <w:rPr>
                <w:sz w:val="16"/>
                <w:szCs w:val="16"/>
                <w:color w:val="auto"/>
              </w:rPr>
            </w:pPr>
          </w:p>
        </w:tc>
        <w:tc>
          <w:tcPr>
            <w:tcW w:w="1360" w:type="dxa"/>
            <w:vAlign w:val="bottom"/>
            <w:tcBorders>
              <w:top w:val="single" w:sz="8" w:color="auto"/>
            </w:tcBorders>
            <w:vMerge w:val="restart"/>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4"/>
        </w:trPr>
        <w:tc>
          <w:tcPr>
            <w:tcW w:w="3680" w:type="dxa"/>
            <w:vAlign w:val="bottom"/>
            <w:shd w:val="clear" w:color="auto" w:fill="97AAD0"/>
          </w:tcPr>
          <w:p>
            <w:pPr>
              <w:spacing w:after="0"/>
              <w:rPr>
                <w:sz w:val="15"/>
                <w:szCs w:val="15"/>
                <w:color w:val="auto"/>
              </w:rPr>
            </w:pPr>
          </w:p>
        </w:tc>
        <w:tc>
          <w:tcPr>
            <w:tcW w:w="204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260" w:type="dxa"/>
            <w:vAlign w:val="bottom"/>
            <w:shd w:val="clear" w:color="auto" w:fill="97AAD0"/>
          </w:tcPr>
          <w:p>
            <w:pPr>
              <w:spacing w:after="0"/>
              <w:rPr>
                <w:sz w:val="15"/>
                <w:szCs w:val="15"/>
                <w:color w:val="auto"/>
              </w:rPr>
            </w:pPr>
          </w:p>
        </w:tc>
        <w:tc>
          <w:tcPr>
            <w:tcW w:w="1440" w:type="dxa"/>
            <w:vAlign w:val="bottom"/>
            <w:vMerge w:val="continue"/>
            <w:shd w:val="clear" w:color="auto" w:fill="97AAD0"/>
          </w:tcPr>
          <w:p>
            <w:pPr>
              <w:spacing w:after="0"/>
              <w:rPr>
                <w:sz w:val="15"/>
                <w:szCs w:val="15"/>
                <w:color w:val="auto"/>
              </w:rPr>
            </w:pPr>
          </w:p>
        </w:tc>
        <w:tc>
          <w:tcPr>
            <w:tcW w:w="154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Remaining</w:t>
            </w:r>
          </w:p>
        </w:tc>
        <w:tc>
          <w:tcPr>
            <w:tcW w:w="260" w:type="dxa"/>
            <w:vAlign w:val="bottom"/>
            <w:shd w:val="clear" w:color="auto" w:fill="97AAD0"/>
          </w:tcPr>
          <w:p>
            <w:pPr>
              <w:spacing w:after="0"/>
              <w:rPr>
                <w:sz w:val="15"/>
                <w:szCs w:val="15"/>
                <w:color w:val="auto"/>
              </w:rPr>
            </w:pPr>
          </w:p>
        </w:tc>
        <w:tc>
          <w:tcPr>
            <w:tcW w:w="136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97AAD0"/>
          </w:tcPr>
          <w:p>
            <w:pPr>
              <w:spacing w:after="0"/>
              <w:rPr>
                <w:sz w:val="15"/>
                <w:szCs w:val="15"/>
                <w:color w:val="auto"/>
              </w:rPr>
            </w:pPr>
          </w:p>
        </w:tc>
        <w:tc>
          <w:tcPr>
            <w:tcW w:w="2260" w:type="dxa"/>
            <w:vAlign w:val="bottom"/>
            <w:gridSpan w:val="2"/>
            <w:vMerge w:val="restart"/>
            <w:shd w:val="clear" w:color="auto" w:fill="97AAD0"/>
          </w:tcPr>
          <w:p>
            <w:pPr>
              <w:jc w:val="right"/>
              <w:ind w:right="320"/>
              <w:spacing w:after="0"/>
              <w:rPr>
                <w:sz w:val="20"/>
                <w:szCs w:val="20"/>
                <w:color w:val="auto"/>
              </w:rPr>
            </w:pPr>
            <w:r>
              <w:rPr>
                <w:rFonts w:ascii="Arial" w:cs="Arial" w:eastAsia="Arial" w:hAnsi="Arial"/>
                <w:sz w:val="16"/>
                <w:szCs w:val="16"/>
                <w:b w:val="1"/>
                <w:bCs w:val="1"/>
                <w:color w:val="auto"/>
              </w:rPr>
              <w:t>Shares (000)</w:t>
            </w:r>
          </w:p>
        </w:tc>
        <w:tc>
          <w:tcPr>
            <w:tcW w:w="260" w:type="dxa"/>
            <w:vAlign w:val="bottom"/>
            <w:shd w:val="clear" w:color="auto" w:fill="97AAD0"/>
          </w:tcPr>
          <w:p>
            <w:pPr>
              <w:spacing w:after="0"/>
              <w:rPr>
                <w:sz w:val="15"/>
                <w:szCs w:val="15"/>
                <w:color w:val="auto"/>
              </w:rPr>
            </w:pPr>
          </w:p>
        </w:tc>
        <w:tc>
          <w:tcPr>
            <w:tcW w:w="1440" w:type="dxa"/>
            <w:vAlign w:val="bottom"/>
            <w:shd w:val="clear" w:color="auto" w:fill="97AAD0"/>
          </w:tcPr>
          <w:p>
            <w:pPr>
              <w:jc w:val="center"/>
              <w:ind w:right="231"/>
              <w:spacing w:after="0"/>
              <w:rPr>
                <w:sz w:val="20"/>
                <w:szCs w:val="20"/>
                <w:color w:val="auto"/>
              </w:rPr>
            </w:pPr>
            <w:r>
              <w:rPr>
                <w:rFonts w:ascii="Arial" w:cs="Arial" w:eastAsia="Arial" w:hAnsi="Arial"/>
                <w:sz w:val="16"/>
                <w:szCs w:val="16"/>
                <w:b w:val="1"/>
                <w:bCs w:val="1"/>
                <w:color w:val="auto"/>
                <w:w w:val="98"/>
              </w:rPr>
              <w:t>Exercise Price</w:t>
            </w:r>
          </w:p>
        </w:tc>
        <w:tc>
          <w:tcPr>
            <w:tcW w:w="154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Contractual</w:t>
            </w:r>
          </w:p>
        </w:tc>
        <w:tc>
          <w:tcPr>
            <w:tcW w:w="260" w:type="dxa"/>
            <w:vAlign w:val="bottom"/>
            <w:shd w:val="clear" w:color="auto" w:fill="97AAD0"/>
          </w:tcPr>
          <w:p>
            <w:pPr>
              <w:spacing w:after="0"/>
              <w:rPr>
                <w:sz w:val="15"/>
                <w:szCs w:val="15"/>
                <w:color w:val="auto"/>
              </w:rPr>
            </w:pPr>
          </w:p>
        </w:tc>
        <w:tc>
          <w:tcPr>
            <w:tcW w:w="1360" w:type="dxa"/>
            <w:vAlign w:val="bottom"/>
            <w:shd w:val="clear" w:color="auto" w:fill="97AAD0"/>
          </w:tcPr>
          <w:p>
            <w:pPr>
              <w:jc w:val="center"/>
              <w:ind w:right="173"/>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shd w:val="clear" w:color="auto" w:fill="97AAD0"/>
          </w:tcPr>
          <w:p>
            <w:pPr>
              <w:spacing w:after="0"/>
              <w:rPr>
                <w:sz w:val="20"/>
                <w:szCs w:val="20"/>
                <w:color w:val="auto"/>
              </w:rPr>
            </w:pPr>
          </w:p>
        </w:tc>
        <w:tc>
          <w:tcPr>
            <w:tcW w:w="2260" w:type="dxa"/>
            <w:vAlign w:val="bottom"/>
            <w:tcBorders>
              <w:bottom w:val="single" w:sz="8" w:color="auto"/>
            </w:tcBorders>
            <w:gridSpan w:val="2"/>
            <w:vMerge w:val="continue"/>
            <w:shd w:val="clear" w:color="auto" w:fill="97AAD0"/>
          </w:tcPr>
          <w:p>
            <w:pPr>
              <w:spacing w:after="0"/>
              <w:rPr>
                <w:sz w:val="20"/>
                <w:szCs w:val="20"/>
                <w:color w:val="auto"/>
              </w:rPr>
            </w:pPr>
          </w:p>
        </w:tc>
        <w:tc>
          <w:tcPr>
            <w:tcW w:w="260" w:type="dxa"/>
            <w:vAlign w:val="bottom"/>
            <w:tcBorders>
              <w:bottom w:val="single" w:sz="8" w:color="auto"/>
            </w:tcBorders>
            <w:shd w:val="clear" w:color="auto" w:fill="97AAD0"/>
          </w:tcPr>
          <w:p>
            <w:pPr>
              <w:spacing w:after="0"/>
              <w:rPr>
                <w:sz w:val="20"/>
                <w:szCs w:val="20"/>
                <w:color w:val="auto"/>
              </w:rPr>
            </w:pPr>
          </w:p>
        </w:tc>
        <w:tc>
          <w:tcPr>
            <w:tcW w:w="1440" w:type="dxa"/>
            <w:vAlign w:val="bottom"/>
            <w:tcBorders>
              <w:bottom w:val="single" w:sz="8" w:color="auto"/>
            </w:tcBorders>
            <w:shd w:val="clear" w:color="auto" w:fill="97AAD0"/>
          </w:tcPr>
          <w:p>
            <w:pPr>
              <w:jc w:val="center"/>
              <w:ind w:right="231"/>
              <w:spacing w:after="0"/>
              <w:rPr>
                <w:sz w:val="20"/>
                <w:szCs w:val="20"/>
                <w:color w:val="auto"/>
              </w:rPr>
            </w:pPr>
            <w:r>
              <w:rPr>
                <w:rFonts w:ascii="Arial" w:cs="Arial" w:eastAsia="Arial" w:hAnsi="Arial"/>
                <w:sz w:val="16"/>
                <w:szCs w:val="16"/>
                <w:b w:val="1"/>
                <w:bCs w:val="1"/>
                <w:color w:val="auto"/>
              </w:rPr>
              <w:t>Per Share</w:t>
            </w:r>
          </w:p>
        </w:tc>
        <w:tc>
          <w:tcPr>
            <w:tcW w:w="1540" w:type="dxa"/>
            <w:vAlign w:val="bottom"/>
            <w:tcBorders>
              <w:bottom w:val="single" w:sz="8" w:color="auto"/>
            </w:tcBorders>
            <w:shd w:val="clear" w:color="auto" w:fill="97AAD0"/>
          </w:tcPr>
          <w:p>
            <w:pPr>
              <w:jc w:val="center"/>
              <w:ind w:right="14"/>
              <w:spacing w:after="0"/>
              <w:rPr>
                <w:sz w:val="20"/>
                <w:szCs w:val="20"/>
                <w:color w:val="auto"/>
              </w:rPr>
            </w:pPr>
            <w:r>
              <w:rPr>
                <w:rFonts w:ascii="Arial" w:cs="Arial" w:eastAsia="Arial" w:hAnsi="Arial"/>
                <w:sz w:val="16"/>
                <w:szCs w:val="16"/>
                <w:b w:val="1"/>
                <w:bCs w:val="1"/>
                <w:color w:val="auto"/>
                <w:w w:val="99"/>
              </w:rPr>
              <w:t>Term (years)</w:t>
            </w:r>
          </w:p>
        </w:tc>
        <w:tc>
          <w:tcPr>
            <w:tcW w:w="260" w:type="dxa"/>
            <w:vAlign w:val="bottom"/>
            <w:tcBorders>
              <w:bottom w:val="single" w:sz="8" w:color="auto"/>
            </w:tcBorders>
            <w:shd w:val="clear" w:color="auto" w:fill="97AAD0"/>
          </w:tcPr>
          <w:p>
            <w:pPr>
              <w:spacing w:after="0"/>
              <w:rPr>
                <w:sz w:val="20"/>
                <w:szCs w:val="20"/>
                <w:color w:val="auto"/>
              </w:rPr>
            </w:pPr>
          </w:p>
        </w:tc>
        <w:tc>
          <w:tcPr>
            <w:tcW w:w="1360" w:type="dxa"/>
            <w:vAlign w:val="bottom"/>
            <w:tcBorders>
              <w:bottom w:val="single" w:sz="8" w:color="auto"/>
            </w:tcBorders>
            <w:shd w:val="clear" w:color="auto" w:fill="97AAD0"/>
          </w:tcPr>
          <w:p>
            <w:pPr>
              <w:jc w:val="center"/>
              <w:ind w:right="17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62"/>
        </w:trPr>
        <w:tc>
          <w:tcPr>
            <w:tcW w:w="36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Outstanding, January 1, 2022</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E5E9F3"/>
          </w:tcPr>
          <w:p>
            <w:pPr>
              <w:spacing w:after="0"/>
              <w:rPr>
                <w:sz w:val="22"/>
                <w:szCs w:val="22"/>
                <w:color w:val="auto"/>
              </w:rPr>
            </w:pPr>
          </w:p>
        </w:tc>
        <w:tc>
          <w:tcPr>
            <w:tcW w:w="2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3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80" w:type="dxa"/>
            <w:vAlign w:val="bottom"/>
          </w:tcPr>
          <w:p>
            <w:pPr>
              <w:ind w:left="300"/>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Exercised</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36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Expired or cancelled</w:t>
            </w:r>
          </w:p>
        </w:tc>
        <w:tc>
          <w:tcPr>
            <w:tcW w:w="2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Outstanding, December 31, 2022</w:t>
            </w:r>
          </w:p>
        </w:tc>
        <w:tc>
          <w:tcPr>
            <w:tcW w:w="20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auto"/>
            </w:tcBorders>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E5E9F3"/>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tcBorders>
              <w:bottom w:val="single" w:sz="8" w:color="auto"/>
            </w:tcBorders>
            <w:shd w:val="clear" w:color="auto" w:fill="E5E9F3"/>
          </w:tcPr>
          <w:p>
            <w:pPr>
              <w:jc w:val="right"/>
              <w:ind w:right="54"/>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9F3"/>
          </w:tcPr>
          <w:p>
            <w:pPr>
              <w:jc w:val="right"/>
              <w:ind w:right="5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Exercisable, December 31, 2022</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6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Outstanding, January 1, 2023</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E5E9F3"/>
          </w:tcPr>
          <w:p>
            <w:pPr>
              <w:spacing w:after="0"/>
              <w:rPr>
                <w:sz w:val="22"/>
                <w:szCs w:val="22"/>
                <w:color w:val="auto"/>
              </w:rPr>
            </w:pPr>
          </w:p>
        </w:tc>
        <w:tc>
          <w:tcPr>
            <w:tcW w:w="2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3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80" w:type="dxa"/>
            <w:vAlign w:val="bottom"/>
          </w:tcPr>
          <w:p>
            <w:pPr>
              <w:ind w:left="300"/>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Exercised</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5E9F3"/>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E5E9F3"/>
          </w:tcPr>
          <w:p>
            <w:pPr>
              <w:spacing w:after="0"/>
              <w:rPr>
                <w:sz w:val="23"/>
                <w:szCs w:val="23"/>
                <w:color w:val="auto"/>
              </w:rPr>
            </w:pP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76</w:t>
            </w:r>
          </w:p>
        </w:tc>
        <w:tc>
          <w:tcPr>
            <w:tcW w:w="154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36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Expired or cancelled</w:t>
            </w:r>
          </w:p>
        </w:tc>
        <w:tc>
          <w:tcPr>
            <w:tcW w:w="2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(19 )</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w:t>
            </w:r>
          </w:p>
        </w:tc>
        <w:tc>
          <w:tcPr>
            <w:tcW w:w="15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Outstanding, December 31, 2023</w:t>
            </w:r>
          </w:p>
        </w:tc>
        <w:tc>
          <w:tcPr>
            <w:tcW w:w="20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bottom w:val="single" w:sz="8" w:color="auto"/>
            </w:tcBorders>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E5E9F3"/>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tcBorders>
              <w:bottom w:val="single" w:sz="8" w:color="auto"/>
            </w:tcBorders>
            <w:shd w:val="clear" w:color="auto" w:fill="E5E9F3"/>
          </w:tcPr>
          <w:p>
            <w:pPr>
              <w:jc w:val="right"/>
              <w:ind w:right="54"/>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9F3"/>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Exercisable, December 31, 2023</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6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Outstanding, January 1, 2024</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E5E9F3"/>
          </w:tcPr>
          <w:p>
            <w:pPr>
              <w:spacing w:after="0"/>
              <w:rPr>
                <w:sz w:val="22"/>
                <w:szCs w:val="22"/>
                <w:color w:val="auto"/>
              </w:rPr>
            </w:pPr>
          </w:p>
        </w:tc>
        <w:tc>
          <w:tcPr>
            <w:tcW w:w="2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90</w:t>
            </w:r>
          </w:p>
        </w:tc>
        <w:tc>
          <w:tcPr>
            <w:tcW w:w="154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3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80" w:type="dxa"/>
            <w:vAlign w:val="bottom"/>
          </w:tcPr>
          <w:p>
            <w:pPr>
              <w:ind w:left="300"/>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Exercised</w:t>
            </w:r>
          </w:p>
        </w:tc>
        <w:tc>
          <w:tcPr>
            <w:tcW w:w="2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44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36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Expired or cancelled</w:t>
            </w:r>
          </w:p>
        </w:tc>
        <w:tc>
          <w:tcPr>
            <w:tcW w:w="2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(48 )</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w:t>
            </w:r>
          </w:p>
        </w:tc>
        <w:tc>
          <w:tcPr>
            <w:tcW w:w="15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Outstanding, December 31, 2024</w:t>
            </w:r>
          </w:p>
        </w:tc>
        <w:tc>
          <w:tcPr>
            <w:tcW w:w="20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auto"/>
            </w:tcBorders>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E5E9F3"/>
          </w:tcPr>
          <w:p>
            <w:pPr>
              <w:jc w:val="right"/>
              <w:ind w:right="131"/>
              <w:spacing w:after="0"/>
              <w:rPr>
                <w:sz w:val="20"/>
                <w:szCs w:val="20"/>
                <w:color w:val="auto"/>
              </w:rPr>
            </w:pPr>
            <w:r>
              <w:rPr>
                <w:rFonts w:ascii="Arial" w:cs="Arial" w:eastAsia="Arial" w:hAnsi="Arial"/>
                <w:sz w:val="18"/>
                <w:szCs w:val="18"/>
                <w:color w:val="auto"/>
              </w:rPr>
              <w:t>91</w:t>
            </w:r>
          </w:p>
        </w:tc>
        <w:tc>
          <w:tcPr>
            <w:tcW w:w="1540" w:type="dxa"/>
            <w:vAlign w:val="bottom"/>
            <w:tcBorders>
              <w:bottom w:val="single" w:sz="8" w:color="auto"/>
            </w:tcBorders>
            <w:shd w:val="clear" w:color="auto" w:fill="E5E9F3"/>
          </w:tcPr>
          <w:p>
            <w:pPr>
              <w:jc w:val="right"/>
              <w:ind w:right="54"/>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9F3"/>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Exercisable, December 31, 2024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91</w:t>
            </w: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Options outstanding and exercisable as of December 31,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860" w:type="dxa"/>
            <w:vAlign w:val="bottom"/>
            <w:tcBorders>
              <w:top w:val="single" w:sz="8" w:color="auto"/>
              <w:bottom w:val="single" w:sz="8" w:color="97AAD0"/>
            </w:tcBorders>
            <w:shd w:val="clear" w:color="auto" w:fill="97AAD0"/>
          </w:tcPr>
          <w:p>
            <w:pPr>
              <w:spacing w:after="0"/>
              <w:rPr>
                <w:sz w:val="24"/>
                <w:szCs w:val="24"/>
                <w:color w:val="auto"/>
              </w:rPr>
            </w:pPr>
          </w:p>
        </w:tc>
        <w:tc>
          <w:tcPr>
            <w:tcW w:w="1220" w:type="dxa"/>
            <w:vAlign w:val="bottom"/>
            <w:tcBorders>
              <w:top w:val="single" w:sz="8" w:color="auto"/>
              <w:bottom w:val="single" w:sz="8" w:color="auto"/>
            </w:tcBorders>
            <w:shd w:val="clear" w:color="auto" w:fill="97AAD0"/>
          </w:tcPr>
          <w:p>
            <w:pPr>
              <w:spacing w:after="0"/>
              <w:rPr>
                <w:sz w:val="24"/>
                <w:szCs w:val="24"/>
                <w:color w:val="auto"/>
              </w:rPr>
            </w:pPr>
          </w:p>
        </w:tc>
        <w:tc>
          <w:tcPr>
            <w:tcW w:w="1640" w:type="dxa"/>
            <w:vAlign w:val="bottom"/>
            <w:tcBorders>
              <w:top w:val="single" w:sz="8" w:color="auto"/>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w w:val="99"/>
              </w:rPr>
              <w:t>Options Outstanding</w:t>
            </w:r>
          </w:p>
        </w:tc>
        <w:tc>
          <w:tcPr>
            <w:tcW w:w="200" w:type="dxa"/>
            <w:vAlign w:val="bottom"/>
            <w:tcBorders>
              <w:top w:val="single" w:sz="8" w:color="auto"/>
              <w:bottom w:val="single" w:sz="8" w:color="auto"/>
            </w:tcBorders>
            <w:shd w:val="clear" w:color="auto" w:fill="97AAD0"/>
          </w:tcPr>
          <w:p>
            <w:pPr>
              <w:spacing w:after="0"/>
              <w:rPr>
                <w:sz w:val="24"/>
                <w:szCs w:val="24"/>
                <w:color w:val="auto"/>
              </w:rPr>
            </w:pPr>
          </w:p>
        </w:tc>
        <w:tc>
          <w:tcPr>
            <w:tcW w:w="1100" w:type="dxa"/>
            <w:vAlign w:val="bottom"/>
            <w:tcBorders>
              <w:top w:val="single" w:sz="8" w:color="auto"/>
              <w:bottom w:val="single" w:sz="8" w:color="auto"/>
            </w:tcBorders>
            <w:shd w:val="clear" w:color="auto" w:fill="97AAD0"/>
          </w:tcPr>
          <w:p>
            <w:pPr>
              <w:spacing w:after="0"/>
              <w:rPr>
                <w:sz w:val="24"/>
                <w:szCs w:val="24"/>
                <w:color w:val="auto"/>
              </w:rPr>
            </w:pPr>
          </w:p>
        </w:tc>
        <w:tc>
          <w:tcPr>
            <w:tcW w:w="100" w:type="dxa"/>
            <w:vAlign w:val="bottom"/>
            <w:tcBorders>
              <w:top w:val="single" w:sz="8" w:color="auto"/>
              <w:bottom w:val="single" w:sz="8" w:color="97AAD0"/>
            </w:tcBorders>
            <w:shd w:val="clear" w:color="auto" w:fill="97AAD0"/>
          </w:tcPr>
          <w:p>
            <w:pPr>
              <w:spacing w:after="0"/>
              <w:rPr>
                <w:sz w:val="24"/>
                <w:szCs w:val="24"/>
                <w:color w:val="auto"/>
              </w:rPr>
            </w:pPr>
          </w:p>
        </w:tc>
        <w:tc>
          <w:tcPr>
            <w:tcW w:w="2680" w:type="dxa"/>
            <w:vAlign w:val="bottom"/>
            <w:tcBorders>
              <w:top w:val="single" w:sz="8" w:color="auto"/>
              <w:bottom w:val="single" w:sz="8" w:color="auto"/>
            </w:tcBorders>
            <w:gridSpan w:val="3"/>
            <w:shd w:val="clear" w:color="auto" w:fill="97AAD0"/>
          </w:tcPr>
          <w:p>
            <w:pPr>
              <w:jc w:val="right"/>
              <w:ind w:right="534"/>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20"/>
        </w:trPr>
        <w:tc>
          <w:tcPr>
            <w:tcW w:w="3860" w:type="dxa"/>
            <w:vAlign w:val="bottom"/>
            <w:shd w:val="clear" w:color="auto" w:fill="97AAD0"/>
          </w:tcPr>
          <w:p>
            <w:pPr>
              <w:spacing w:after="0" w:line="20" w:lineRule="exact"/>
              <w:rPr>
                <w:sz w:val="1"/>
                <w:szCs w:val="1"/>
                <w:color w:val="auto"/>
              </w:rPr>
            </w:pPr>
          </w:p>
        </w:tc>
        <w:tc>
          <w:tcPr>
            <w:tcW w:w="1220" w:type="dxa"/>
            <w:vAlign w:val="bottom"/>
            <w:shd w:val="clear" w:color="auto" w:fill="97AAD0"/>
          </w:tcPr>
          <w:p>
            <w:pPr>
              <w:spacing w:after="0" w:line="20" w:lineRule="exact"/>
              <w:rPr>
                <w:sz w:val="1"/>
                <w:szCs w:val="1"/>
                <w:color w:val="auto"/>
              </w:rPr>
            </w:pPr>
          </w:p>
        </w:tc>
        <w:tc>
          <w:tcPr>
            <w:tcW w:w="1640" w:type="dxa"/>
            <w:vAlign w:val="bottom"/>
            <w:vMerge w:val="restart"/>
            <w:shd w:val="clear" w:color="auto" w:fill="97AAD0"/>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00" w:type="dxa"/>
            <w:vAlign w:val="bottom"/>
            <w:shd w:val="clear" w:color="auto" w:fill="97AAD0"/>
          </w:tcPr>
          <w:p>
            <w:pPr>
              <w:spacing w:after="0" w:line="20" w:lineRule="exact"/>
              <w:rPr>
                <w:sz w:val="1"/>
                <w:szCs w:val="1"/>
                <w:color w:val="auto"/>
              </w:rPr>
            </w:pPr>
          </w:p>
        </w:tc>
        <w:tc>
          <w:tcPr>
            <w:tcW w:w="1100" w:type="dxa"/>
            <w:vAlign w:val="bottom"/>
            <w:vMerge w:val="restart"/>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w w:val="98"/>
              </w:rPr>
              <w:t>Weighted-</w:t>
            </w:r>
          </w:p>
        </w:tc>
        <w:tc>
          <w:tcPr>
            <w:tcW w:w="100" w:type="dxa"/>
            <w:vAlign w:val="bottom"/>
            <w:shd w:val="clear" w:color="auto" w:fill="97AAD0"/>
          </w:tcPr>
          <w:p>
            <w:pPr>
              <w:spacing w:after="0" w:line="20" w:lineRule="exact"/>
              <w:rPr>
                <w:sz w:val="1"/>
                <w:szCs w:val="1"/>
                <w:color w:val="auto"/>
              </w:rPr>
            </w:pPr>
          </w:p>
        </w:tc>
        <w:tc>
          <w:tcPr>
            <w:tcW w:w="1280" w:type="dxa"/>
            <w:vAlign w:val="bottom"/>
            <w:shd w:val="clear" w:color="auto" w:fill="97AAD0"/>
          </w:tcPr>
          <w:p>
            <w:pPr>
              <w:spacing w:after="0" w:line="20" w:lineRule="exact"/>
              <w:rPr>
                <w:sz w:val="1"/>
                <w:szCs w:val="1"/>
                <w:color w:val="auto"/>
              </w:rPr>
            </w:pPr>
          </w:p>
        </w:tc>
        <w:tc>
          <w:tcPr>
            <w:tcW w:w="260" w:type="dxa"/>
            <w:vAlign w:val="bottom"/>
            <w:shd w:val="clear" w:color="auto" w:fill="97AAD0"/>
          </w:tcPr>
          <w:p>
            <w:pPr>
              <w:spacing w:after="0" w:line="20" w:lineRule="exact"/>
              <w:rPr>
                <w:sz w:val="1"/>
                <w:szCs w:val="1"/>
                <w:color w:val="auto"/>
              </w:rPr>
            </w:pPr>
          </w:p>
        </w:tc>
        <w:tc>
          <w:tcPr>
            <w:tcW w:w="1140" w:type="dxa"/>
            <w:vAlign w:val="bottom"/>
            <w:vMerge w:val="restart"/>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line="20" w:lineRule="exact"/>
              <w:rPr>
                <w:sz w:val="1"/>
                <w:szCs w:val="1"/>
                <w:color w:val="auto"/>
              </w:rPr>
            </w:pPr>
          </w:p>
        </w:tc>
      </w:tr>
      <w:tr>
        <w:trPr>
          <w:trHeight w:val="158"/>
        </w:trPr>
        <w:tc>
          <w:tcPr>
            <w:tcW w:w="3860" w:type="dxa"/>
            <w:vAlign w:val="bottom"/>
            <w:shd w:val="clear" w:color="auto" w:fill="97AAD0"/>
          </w:tcPr>
          <w:p>
            <w:pPr>
              <w:spacing w:after="0"/>
              <w:rPr>
                <w:sz w:val="13"/>
                <w:szCs w:val="13"/>
                <w:color w:val="auto"/>
              </w:rPr>
            </w:pPr>
          </w:p>
        </w:tc>
        <w:tc>
          <w:tcPr>
            <w:tcW w:w="1220" w:type="dxa"/>
            <w:vAlign w:val="bottom"/>
            <w:shd w:val="clear" w:color="auto" w:fill="97AAD0"/>
          </w:tcPr>
          <w:p>
            <w:pPr>
              <w:spacing w:after="0"/>
              <w:rPr>
                <w:sz w:val="13"/>
                <w:szCs w:val="13"/>
                <w:color w:val="auto"/>
              </w:rPr>
            </w:pPr>
          </w:p>
        </w:tc>
        <w:tc>
          <w:tcPr>
            <w:tcW w:w="1640" w:type="dxa"/>
            <w:vAlign w:val="bottom"/>
            <w:vMerge w:val="continue"/>
            <w:shd w:val="clear" w:color="auto" w:fill="97AAD0"/>
          </w:tcPr>
          <w:p>
            <w:pPr>
              <w:spacing w:after="0"/>
              <w:rPr>
                <w:sz w:val="13"/>
                <w:szCs w:val="13"/>
                <w:color w:val="auto"/>
              </w:rPr>
            </w:pPr>
          </w:p>
        </w:tc>
        <w:tc>
          <w:tcPr>
            <w:tcW w:w="200" w:type="dxa"/>
            <w:vAlign w:val="bottom"/>
            <w:shd w:val="clear" w:color="auto" w:fill="97AAD0"/>
          </w:tcPr>
          <w:p>
            <w:pPr>
              <w:spacing w:after="0"/>
              <w:rPr>
                <w:sz w:val="13"/>
                <w:szCs w:val="13"/>
                <w:color w:val="auto"/>
              </w:rPr>
            </w:pPr>
          </w:p>
        </w:tc>
        <w:tc>
          <w:tcPr>
            <w:tcW w:w="1100" w:type="dxa"/>
            <w:vAlign w:val="bottom"/>
            <w:vMerge w:val="continue"/>
            <w:shd w:val="clear" w:color="auto" w:fill="97AAD0"/>
          </w:tcPr>
          <w:p>
            <w:pPr>
              <w:spacing w:after="0"/>
              <w:rPr>
                <w:sz w:val="13"/>
                <w:szCs w:val="13"/>
                <w:color w:val="auto"/>
              </w:rPr>
            </w:pPr>
          </w:p>
        </w:tc>
        <w:tc>
          <w:tcPr>
            <w:tcW w:w="100" w:type="dxa"/>
            <w:vAlign w:val="bottom"/>
            <w:shd w:val="clear" w:color="auto" w:fill="97AAD0"/>
          </w:tcPr>
          <w:p>
            <w:pPr>
              <w:spacing w:after="0"/>
              <w:rPr>
                <w:sz w:val="13"/>
                <w:szCs w:val="13"/>
                <w:color w:val="auto"/>
              </w:rPr>
            </w:pPr>
          </w:p>
        </w:tc>
        <w:tc>
          <w:tcPr>
            <w:tcW w:w="1280" w:type="dxa"/>
            <w:vAlign w:val="bottom"/>
            <w:shd w:val="clear" w:color="auto" w:fill="97AAD0"/>
          </w:tcPr>
          <w:p>
            <w:pPr>
              <w:spacing w:after="0"/>
              <w:rPr>
                <w:sz w:val="13"/>
                <w:szCs w:val="13"/>
                <w:color w:val="auto"/>
              </w:rPr>
            </w:pPr>
          </w:p>
        </w:tc>
        <w:tc>
          <w:tcPr>
            <w:tcW w:w="260" w:type="dxa"/>
            <w:vAlign w:val="bottom"/>
            <w:shd w:val="clear" w:color="auto" w:fill="97AAD0"/>
          </w:tcPr>
          <w:p>
            <w:pPr>
              <w:spacing w:after="0"/>
              <w:rPr>
                <w:sz w:val="13"/>
                <w:szCs w:val="13"/>
                <w:color w:val="auto"/>
              </w:rPr>
            </w:pPr>
          </w:p>
        </w:tc>
        <w:tc>
          <w:tcPr>
            <w:tcW w:w="1140" w:type="dxa"/>
            <w:vAlign w:val="bottom"/>
            <w:vMerge w:val="continue"/>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97AAD0"/>
          </w:tcPr>
          <w:p>
            <w:pPr>
              <w:spacing w:after="0"/>
              <w:rPr>
                <w:sz w:val="15"/>
                <w:szCs w:val="15"/>
                <w:color w:val="auto"/>
              </w:rPr>
            </w:pPr>
          </w:p>
        </w:tc>
        <w:tc>
          <w:tcPr>
            <w:tcW w:w="1220" w:type="dxa"/>
            <w:vAlign w:val="bottom"/>
            <w:shd w:val="clear" w:color="auto" w:fill="97AAD0"/>
          </w:tcPr>
          <w:p>
            <w:pPr>
              <w:spacing w:after="0"/>
              <w:rPr>
                <w:sz w:val="15"/>
                <w:szCs w:val="15"/>
                <w:color w:val="auto"/>
              </w:rPr>
            </w:pPr>
          </w:p>
        </w:tc>
        <w:tc>
          <w:tcPr>
            <w:tcW w:w="164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shd w:val="clear" w:color="auto" w:fill="97AAD0"/>
          </w:tcPr>
          <w:p>
            <w:pPr>
              <w:spacing w:after="0"/>
              <w:rPr>
                <w:sz w:val="15"/>
                <w:szCs w:val="15"/>
                <w:color w:val="auto"/>
              </w:rPr>
            </w:pPr>
          </w:p>
        </w:tc>
        <w:tc>
          <w:tcPr>
            <w:tcW w:w="1100" w:type="dxa"/>
            <w:vAlign w:val="bottom"/>
            <w:vMerge w:val="continue"/>
            <w:shd w:val="clear" w:color="auto" w:fill="97AAD0"/>
          </w:tcPr>
          <w:p>
            <w:pPr>
              <w:spacing w:after="0"/>
              <w:rPr>
                <w:sz w:val="15"/>
                <w:szCs w:val="15"/>
                <w:color w:val="auto"/>
              </w:rPr>
            </w:pPr>
          </w:p>
        </w:tc>
        <w:tc>
          <w:tcPr>
            <w:tcW w:w="100" w:type="dxa"/>
            <w:vAlign w:val="bottom"/>
            <w:shd w:val="clear" w:color="auto" w:fill="97AAD0"/>
          </w:tcPr>
          <w:p>
            <w:pPr>
              <w:spacing w:after="0"/>
              <w:rPr>
                <w:sz w:val="15"/>
                <w:szCs w:val="15"/>
                <w:color w:val="auto"/>
              </w:rPr>
            </w:pPr>
          </w:p>
        </w:tc>
        <w:tc>
          <w:tcPr>
            <w:tcW w:w="1280" w:type="dxa"/>
            <w:vAlign w:val="bottom"/>
            <w:shd w:val="clear" w:color="auto" w:fill="97AAD0"/>
          </w:tcPr>
          <w:p>
            <w:pPr>
              <w:spacing w:after="0"/>
              <w:rPr>
                <w:sz w:val="15"/>
                <w:szCs w:val="15"/>
                <w:color w:val="auto"/>
              </w:rPr>
            </w:pPr>
          </w:p>
        </w:tc>
        <w:tc>
          <w:tcPr>
            <w:tcW w:w="26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97AAD0"/>
          </w:tcPr>
          <w:p>
            <w:pPr>
              <w:spacing w:after="0"/>
              <w:rPr>
                <w:sz w:val="15"/>
                <w:szCs w:val="15"/>
                <w:color w:val="auto"/>
              </w:rPr>
            </w:pPr>
          </w:p>
        </w:tc>
        <w:tc>
          <w:tcPr>
            <w:tcW w:w="1220" w:type="dxa"/>
            <w:vAlign w:val="bottom"/>
            <w:shd w:val="clear" w:color="auto" w:fill="97AAD0"/>
          </w:tcPr>
          <w:p>
            <w:pPr>
              <w:spacing w:after="0"/>
              <w:rPr>
                <w:sz w:val="15"/>
                <w:szCs w:val="15"/>
                <w:color w:val="auto"/>
              </w:rPr>
            </w:pPr>
          </w:p>
        </w:tc>
        <w:tc>
          <w:tcPr>
            <w:tcW w:w="1640" w:type="dxa"/>
            <w:vAlign w:val="bottom"/>
            <w:shd w:val="clear" w:color="auto" w:fill="97AAD0"/>
          </w:tcPr>
          <w:p>
            <w:pPr>
              <w:jc w:val="center"/>
              <w:ind w:left="15"/>
              <w:spacing w:after="0"/>
              <w:rPr>
                <w:sz w:val="20"/>
                <w:szCs w:val="20"/>
                <w:color w:val="auto"/>
              </w:rPr>
            </w:pPr>
            <w:r>
              <w:rPr>
                <w:rFonts w:ascii="Arial" w:cs="Arial" w:eastAsia="Arial" w:hAnsi="Arial"/>
                <w:sz w:val="16"/>
                <w:szCs w:val="16"/>
                <w:b w:val="1"/>
                <w:bCs w:val="1"/>
                <w:color w:val="auto"/>
              </w:rPr>
              <w:t>Remaining</w:t>
            </w:r>
          </w:p>
        </w:tc>
        <w:tc>
          <w:tcPr>
            <w:tcW w:w="200" w:type="dxa"/>
            <w:vAlign w:val="bottom"/>
            <w:shd w:val="clear" w:color="auto" w:fill="97AAD0"/>
          </w:tcPr>
          <w:p>
            <w:pPr>
              <w:spacing w:after="0"/>
              <w:rPr>
                <w:sz w:val="15"/>
                <w:szCs w:val="15"/>
                <w:color w:val="auto"/>
              </w:rPr>
            </w:pPr>
          </w:p>
        </w:tc>
        <w:tc>
          <w:tcPr>
            <w:tcW w:w="1100" w:type="dxa"/>
            <w:vAlign w:val="bottom"/>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rPr>
              <w:t>Average</w:t>
            </w:r>
          </w:p>
        </w:tc>
        <w:tc>
          <w:tcPr>
            <w:tcW w:w="100" w:type="dxa"/>
            <w:vAlign w:val="bottom"/>
            <w:shd w:val="clear" w:color="auto" w:fill="97AAD0"/>
          </w:tcPr>
          <w:p>
            <w:pPr>
              <w:spacing w:after="0"/>
              <w:rPr>
                <w:sz w:val="15"/>
                <w:szCs w:val="15"/>
                <w:color w:val="auto"/>
              </w:rPr>
            </w:pPr>
          </w:p>
        </w:tc>
        <w:tc>
          <w:tcPr>
            <w:tcW w:w="1280" w:type="dxa"/>
            <w:vAlign w:val="bottom"/>
            <w:shd w:val="clear" w:color="auto" w:fill="97AAD0"/>
          </w:tcPr>
          <w:p>
            <w:pPr>
              <w:spacing w:after="0"/>
              <w:rPr>
                <w:sz w:val="15"/>
                <w:szCs w:val="15"/>
                <w:color w:val="auto"/>
              </w:rPr>
            </w:pPr>
          </w:p>
        </w:tc>
        <w:tc>
          <w:tcPr>
            <w:tcW w:w="26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4"/>
        </w:trPr>
        <w:tc>
          <w:tcPr>
            <w:tcW w:w="386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Exercise Price</w:t>
            </w:r>
          </w:p>
        </w:tc>
        <w:tc>
          <w:tcPr>
            <w:tcW w:w="1220" w:type="dxa"/>
            <w:vAlign w:val="bottom"/>
            <w:vMerge w:val="restart"/>
            <w:shd w:val="clear" w:color="auto" w:fill="97AAD0"/>
          </w:tcPr>
          <w:p>
            <w:pPr>
              <w:jc w:val="right"/>
              <w:ind w:right="52"/>
              <w:spacing w:after="0"/>
              <w:rPr>
                <w:sz w:val="20"/>
                <w:szCs w:val="20"/>
                <w:color w:val="auto"/>
              </w:rPr>
            </w:pPr>
            <w:r>
              <w:rPr>
                <w:rFonts w:ascii="Arial" w:cs="Arial" w:eastAsia="Arial" w:hAnsi="Arial"/>
                <w:sz w:val="16"/>
                <w:szCs w:val="16"/>
                <w:b w:val="1"/>
                <w:bCs w:val="1"/>
                <w:color w:val="auto"/>
              </w:rPr>
              <w:t>Shares (000)</w:t>
            </w:r>
          </w:p>
        </w:tc>
        <w:tc>
          <w:tcPr>
            <w:tcW w:w="1640" w:type="dxa"/>
            <w:vAlign w:val="bottom"/>
            <w:shd w:val="clear" w:color="auto" w:fill="97AAD0"/>
          </w:tcPr>
          <w:p>
            <w:pPr>
              <w:jc w:val="center"/>
              <w:ind w:left="15"/>
              <w:spacing w:after="0"/>
              <w:rPr>
                <w:sz w:val="20"/>
                <w:szCs w:val="20"/>
                <w:color w:val="auto"/>
              </w:rPr>
            </w:pPr>
            <w:r>
              <w:rPr>
                <w:rFonts w:ascii="Arial" w:cs="Arial" w:eastAsia="Arial" w:hAnsi="Arial"/>
                <w:sz w:val="16"/>
                <w:szCs w:val="16"/>
                <w:b w:val="1"/>
                <w:bCs w:val="1"/>
                <w:color w:val="auto"/>
              </w:rPr>
              <w:t>Contractual</w:t>
            </w:r>
          </w:p>
        </w:tc>
        <w:tc>
          <w:tcPr>
            <w:tcW w:w="200" w:type="dxa"/>
            <w:vAlign w:val="bottom"/>
            <w:shd w:val="clear" w:color="auto" w:fill="97AAD0"/>
          </w:tcPr>
          <w:p>
            <w:pPr>
              <w:spacing w:after="0"/>
              <w:rPr>
                <w:sz w:val="15"/>
                <w:szCs w:val="15"/>
                <w:color w:val="auto"/>
              </w:rPr>
            </w:pPr>
          </w:p>
        </w:tc>
        <w:tc>
          <w:tcPr>
            <w:tcW w:w="1100" w:type="dxa"/>
            <w:vAlign w:val="bottom"/>
            <w:shd w:val="clear" w:color="auto" w:fill="97AAD0"/>
          </w:tcPr>
          <w:p>
            <w:pPr>
              <w:jc w:val="center"/>
              <w:ind w:right="194"/>
              <w:spacing w:after="0"/>
              <w:rPr>
                <w:sz w:val="20"/>
                <w:szCs w:val="20"/>
                <w:color w:val="auto"/>
              </w:rPr>
            </w:pPr>
            <w:r>
              <w:rPr>
                <w:rFonts w:ascii="Arial" w:cs="Arial" w:eastAsia="Arial" w:hAnsi="Arial"/>
                <w:sz w:val="16"/>
                <w:szCs w:val="16"/>
                <w:b w:val="1"/>
                <w:bCs w:val="1"/>
                <w:color w:val="auto"/>
              </w:rPr>
              <w:t>Exercise</w:t>
            </w:r>
          </w:p>
        </w:tc>
        <w:tc>
          <w:tcPr>
            <w:tcW w:w="100" w:type="dxa"/>
            <w:vAlign w:val="bottom"/>
            <w:shd w:val="clear" w:color="auto" w:fill="97AAD0"/>
          </w:tcPr>
          <w:p>
            <w:pPr>
              <w:spacing w:after="0"/>
              <w:rPr>
                <w:sz w:val="15"/>
                <w:szCs w:val="15"/>
                <w:color w:val="auto"/>
              </w:rPr>
            </w:pPr>
          </w:p>
        </w:tc>
        <w:tc>
          <w:tcPr>
            <w:tcW w:w="1280" w:type="dxa"/>
            <w:vAlign w:val="bottom"/>
            <w:vMerge w:val="restart"/>
            <w:shd w:val="clear" w:color="auto" w:fill="97AAD0"/>
          </w:tcPr>
          <w:p>
            <w:pPr>
              <w:jc w:val="right"/>
              <w:ind w:right="140"/>
              <w:spacing w:after="0"/>
              <w:rPr>
                <w:sz w:val="20"/>
                <w:szCs w:val="20"/>
                <w:color w:val="auto"/>
              </w:rPr>
            </w:pPr>
            <w:r>
              <w:rPr>
                <w:rFonts w:ascii="Arial" w:cs="Arial" w:eastAsia="Arial" w:hAnsi="Arial"/>
                <w:sz w:val="16"/>
                <w:szCs w:val="16"/>
                <w:b w:val="1"/>
                <w:bCs w:val="1"/>
                <w:color w:val="auto"/>
              </w:rPr>
              <w:t>Shares (000)</w:t>
            </w:r>
          </w:p>
        </w:tc>
        <w:tc>
          <w:tcPr>
            <w:tcW w:w="26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54"/>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26"/>
        </w:trPr>
        <w:tc>
          <w:tcPr>
            <w:tcW w:w="3860" w:type="dxa"/>
            <w:vAlign w:val="bottom"/>
            <w:tcBorders>
              <w:bottom w:val="single" w:sz="8" w:color="97AAD0"/>
            </w:tcBorders>
            <w:vMerge w:val="continue"/>
            <w:shd w:val="clear" w:color="auto" w:fill="97AAD0"/>
          </w:tcPr>
          <w:p>
            <w:pPr>
              <w:spacing w:after="0"/>
              <w:rPr>
                <w:sz w:val="19"/>
                <w:szCs w:val="19"/>
                <w:color w:val="auto"/>
              </w:rPr>
            </w:pPr>
          </w:p>
        </w:tc>
        <w:tc>
          <w:tcPr>
            <w:tcW w:w="1220" w:type="dxa"/>
            <w:vAlign w:val="bottom"/>
            <w:tcBorders>
              <w:bottom w:val="single" w:sz="8" w:color="97AAD0"/>
            </w:tcBorders>
            <w:vMerge w:val="continue"/>
            <w:shd w:val="clear" w:color="auto" w:fill="97AAD0"/>
          </w:tcPr>
          <w:p>
            <w:pPr>
              <w:spacing w:after="0"/>
              <w:rPr>
                <w:sz w:val="19"/>
                <w:szCs w:val="19"/>
                <w:color w:val="auto"/>
              </w:rPr>
            </w:pPr>
          </w:p>
        </w:tc>
        <w:tc>
          <w:tcPr>
            <w:tcW w:w="1640" w:type="dxa"/>
            <w:vAlign w:val="bottom"/>
            <w:tcBorders>
              <w:bottom w:val="single" w:sz="8" w:color="97AAD0"/>
            </w:tcBorders>
            <w:shd w:val="clear" w:color="auto" w:fill="97AAD0"/>
          </w:tcPr>
          <w:p>
            <w:pPr>
              <w:jc w:val="center"/>
              <w:spacing w:after="0"/>
              <w:rPr>
                <w:sz w:val="20"/>
                <w:szCs w:val="20"/>
                <w:color w:val="auto"/>
              </w:rPr>
            </w:pPr>
            <w:r>
              <w:rPr>
                <w:rFonts w:ascii="Arial" w:cs="Arial" w:eastAsia="Arial" w:hAnsi="Arial"/>
                <w:sz w:val="16"/>
                <w:szCs w:val="16"/>
                <w:b w:val="1"/>
                <w:bCs w:val="1"/>
                <w:color w:val="auto"/>
              </w:rPr>
              <w:t>Life (years)</w:t>
            </w:r>
          </w:p>
        </w:tc>
        <w:tc>
          <w:tcPr>
            <w:tcW w:w="200" w:type="dxa"/>
            <w:vAlign w:val="bottom"/>
            <w:tcBorders>
              <w:bottom w:val="single" w:sz="8" w:color="97AAD0"/>
            </w:tcBorders>
            <w:shd w:val="clear" w:color="auto" w:fill="97AAD0"/>
          </w:tcPr>
          <w:p>
            <w:pPr>
              <w:spacing w:after="0"/>
              <w:rPr>
                <w:sz w:val="19"/>
                <w:szCs w:val="19"/>
                <w:color w:val="auto"/>
              </w:rPr>
            </w:pPr>
          </w:p>
        </w:tc>
        <w:tc>
          <w:tcPr>
            <w:tcW w:w="1100" w:type="dxa"/>
            <w:vAlign w:val="bottom"/>
            <w:tcBorders>
              <w:bottom w:val="single" w:sz="8" w:color="97AAD0"/>
            </w:tcBorders>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97AAD0"/>
            </w:tcBorders>
            <w:shd w:val="clear" w:color="auto" w:fill="97AAD0"/>
          </w:tcPr>
          <w:p>
            <w:pPr>
              <w:spacing w:after="0"/>
              <w:rPr>
                <w:sz w:val="19"/>
                <w:szCs w:val="19"/>
                <w:color w:val="auto"/>
              </w:rPr>
            </w:pPr>
          </w:p>
        </w:tc>
        <w:tc>
          <w:tcPr>
            <w:tcW w:w="1280" w:type="dxa"/>
            <w:vAlign w:val="bottom"/>
            <w:tcBorders>
              <w:bottom w:val="single" w:sz="8" w:color="97AAD0"/>
            </w:tcBorders>
            <w:vMerge w:val="continue"/>
            <w:shd w:val="clear" w:color="auto" w:fill="97AAD0"/>
          </w:tcPr>
          <w:p>
            <w:pPr>
              <w:spacing w:after="0"/>
              <w:rPr>
                <w:sz w:val="19"/>
                <w:szCs w:val="19"/>
                <w:color w:val="auto"/>
              </w:rPr>
            </w:pPr>
          </w:p>
        </w:tc>
        <w:tc>
          <w:tcPr>
            <w:tcW w:w="260" w:type="dxa"/>
            <w:vAlign w:val="bottom"/>
            <w:tcBorders>
              <w:bottom w:val="single" w:sz="8" w:color="97AAD0"/>
            </w:tcBorders>
            <w:shd w:val="clear" w:color="auto" w:fill="97AAD0"/>
          </w:tcPr>
          <w:p>
            <w:pPr>
              <w:spacing w:after="0"/>
              <w:rPr>
                <w:sz w:val="19"/>
                <w:szCs w:val="19"/>
                <w:color w:val="auto"/>
              </w:rPr>
            </w:pPr>
          </w:p>
        </w:tc>
        <w:tc>
          <w:tcPr>
            <w:tcW w:w="1140" w:type="dxa"/>
            <w:vAlign w:val="bottom"/>
            <w:tcBorders>
              <w:bottom w:val="single" w:sz="8" w:color="97AAD0"/>
            </w:tcBorders>
            <w:shd w:val="clear" w:color="auto" w:fill="97AAD0"/>
          </w:tcPr>
          <w:p>
            <w:pPr>
              <w:jc w:val="center"/>
              <w:ind w:right="174"/>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43"/>
        </w:trPr>
        <w:tc>
          <w:tcPr>
            <w:tcW w:w="386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$75-$80</w:t>
            </w:r>
          </w:p>
        </w:tc>
        <w:tc>
          <w:tcPr>
            <w:tcW w:w="122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155</w:t>
            </w:r>
          </w:p>
        </w:tc>
        <w:tc>
          <w:tcPr>
            <w:tcW w:w="1640" w:type="dxa"/>
            <w:vAlign w:val="bottom"/>
            <w:tcBorders>
              <w:top w:val="single" w:sz="8" w:color="auto"/>
            </w:tcBorders>
            <w:shd w:val="clear" w:color="auto" w:fill="E5E9F3"/>
          </w:tcPr>
          <w:p>
            <w:pPr>
              <w:jc w:val="right"/>
              <w:ind w:right="95"/>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9F3"/>
          </w:tcPr>
          <w:p>
            <w:pPr>
              <w:jc w:val="right"/>
              <w:ind w:right="34"/>
              <w:spacing w:after="0"/>
              <w:rPr>
                <w:sz w:val="20"/>
                <w:szCs w:val="20"/>
                <w:color w:val="auto"/>
              </w:rPr>
            </w:pPr>
            <w:r>
              <w:rPr>
                <w:rFonts w:ascii="Arial" w:cs="Arial" w:eastAsia="Arial" w:hAnsi="Arial"/>
                <w:sz w:val="18"/>
                <w:szCs w:val="18"/>
                <w:color w:val="auto"/>
              </w:rPr>
              <w:t>76</w:t>
            </w:r>
          </w:p>
        </w:tc>
        <w:tc>
          <w:tcPr>
            <w:tcW w:w="1380" w:type="dxa"/>
            <w:vAlign w:val="bottom"/>
            <w:tcBorders>
              <w:top w:val="single" w:sz="8" w:color="auto"/>
            </w:tcBorders>
            <w:gridSpan w:val="2"/>
            <w:shd w:val="clear" w:color="auto" w:fill="E5E9F3"/>
          </w:tcPr>
          <w:p>
            <w:pPr>
              <w:jc w:val="right"/>
              <w:ind w:right="20"/>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E5E9F3"/>
          </w:tcPr>
          <w:p>
            <w:pPr>
              <w:jc w:val="right"/>
              <w:ind w:right="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3"/>
        </w:trPr>
        <w:tc>
          <w:tcPr>
            <w:tcW w:w="3860" w:type="dxa"/>
            <w:vAlign w:val="bottom"/>
          </w:tcPr>
          <w:p>
            <w:pPr>
              <w:ind w:left="100"/>
              <w:spacing w:after="0"/>
              <w:rPr>
                <w:sz w:val="20"/>
                <w:szCs w:val="20"/>
                <w:color w:val="auto"/>
              </w:rPr>
            </w:pPr>
            <w:r>
              <w:rPr>
                <w:rFonts w:ascii="Arial" w:cs="Arial" w:eastAsia="Arial" w:hAnsi="Arial"/>
                <w:sz w:val="18"/>
                <w:szCs w:val="18"/>
                <w:color w:val="auto"/>
              </w:rPr>
              <w:t>$81-$89</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64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3"/>
        </w:trPr>
        <w:tc>
          <w:tcPr>
            <w:tcW w:w="38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$90-$95</w:t>
            </w:r>
          </w:p>
        </w:tc>
        <w:tc>
          <w:tcPr>
            <w:tcW w:w="12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286</w:t>
            </w:r>
          </w:p>
        </w:tc>
        <w:tc>
          <w:tcPr>
            <w:tcW w:w="1640" w:type="dxa"/>
            <w:vAlign w:val="bottom"/>
            <w:shd w:val="clear" w:color="auto" w:fill="E5E9F3"/>
          </w:tcPr>
          <w:p>
            <w:pPr>
              <w:jc w:val="right"/>
              <w:ind w:right="95"/>
              <w:spacing w:after="0"/>
              <w:rPr>
                <w:sz w:val="20"/>
                <w:szCs w:val="20"/>
                <w:color w:val="auto"/>
              </w:rPr>
            </w:pPr>
            <w:r>
              <w:rPr>
                <w:rFonts w:ascii="Arial" w:cs="Arial" w:eastAsia="Arial" w:hAnsi="Arial"/>
                <w:sz w:val="18"/>
                <w:szCs w:val="18"/>
                <w:color w:val="auto"/>
              </w:rPr>
              <w:t>5.6</w:t>
            </w:r>
          </w:p>
        </w:tc>
        <w:tc>
          <w:tcPr>
            <w:tcW w:w="200" w:type="dxa"/>
            <w:vAlign w:val="bottom"/>
            <w:shd w:val="clear" w:color="auto" w:fill="E5E9F3"/>
          </w:tcPr>
          <w:p>
            <w:pPr>
              <w:spacing w:after="0"/>
              <w:rPr>
                <w:sz w:val="22"/>
                <w:szCs w:val="22"/>
                <w:color w:val="auto"/>
              </w:rPr>
            </w:pPr>
          </w:p>
        </w:tc>
        <w:tc>
          <w:tcPr>
            <w:tcW w:w="1100" w:type="dxa"/>
            <w:vAlign w:val="bottom"/>
            <w:shd w:val="clear" w:color="auto" w:fill="E5E9F3"/>
          </w:tcPr>
          <w:p>
            <w:pPr>
              <w:jc w:val="right"/>
              <w:ind w:right="34"/>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E5E9F3"/>
          </w:tcPr>
          <w:p>
            <w:pPr>
              <w:jc w:val="right"/>
              <w:ind w:right="2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E5E9F3"/>
          </w:tcPr>
          <w:p>
            <w:pPr>
              <w:spacing w:after="0"/>
              <w:rPr>
                <w:sz w:val="22"/>
                <w:szCs w:val="22"/>
                <w:color w:val="auto"/>
              </w:rPr>
            </w:pPr>
          </w:p>
        </w:tc>
        <w:tc>
          <w:tcPr>
            <w:tcW w:w="1140" w:type="dxa"/>
            <w:vAlign w:val="bottom"/>
            <w:shd w:val="clear" w:color="auto" w:fill="E5E9F3"/>
          </w:tcPr>
          <w:p>
            <w:pPr>
              <w:jc w:val="right"/>
              <w:ind w:right="3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$96-$123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E5E9F3"/>
          </w:tcPr>
          <w:p>
            <w:pPr>
              <w:spacing w:after="0"/>
              <w:rPr>
                <w:sz w:val="21"/>
                <w:szCs w:val="21"/>
                <w:color w:val="auto"/>
              </w:rPr>
            </w:pPr>
          </w:p>
        </w:tc>
        <w:tc>
          <w:tcPr>
            <w:tcW w:w="1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762</w:t>
            </w:r>
          </w:p>
        </w:tc>
        <w:tc>
          <w:tcPr>
            <w:tcW w:w="1640" w:type="dxa"/>
            <w:vAlign w:val="bottom"/>
            <w:tcBorders>
              <w:bottom w:val="single" w:sz="8" w:color="auto"/>
            </w:tcBorders>
            <w:shd w:val="clear" w:color="auto" w:fill="E5E9F3"/>
          </w:tcPr>
          <w:p>
            <w:pPr>
              <w:jc w:val="right"/>
              <w:ind w:right="95"/>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E9F3"/>
          </w:tcPr>
          <w:p>
            <w:pPr>
              <w:jc w:val="right"/>
              <w:ind w:right="34"/>
              <w:spacing w:after="0"/>
              <w:rPr>
                <w:sz w:val="20"/>
                <w:szCs w:val="20"/>
                <w:color w:val="auto"/>
              </w:rPr>
            </w:pPr>
            <w:r>
              <w:rPr>
                <w:rFonts w:ascii="Arial" w:cs="Arial" w:eastAsia="Arial" w:hAnsi="Arial"/>
                <w:sz w:val="18"/>
                <w:szCs w:val="18"/>
                <w:color w:val="auto"/>
              </w:rPr>
              <w:t>91</w:t>
            </w:r>
          </w:p>
        </w:tc>
        <w:tc>
          <w:tcPr>
            <w:tcW w:w="1380" w:type="dxa"/>
            <w:vAlign w:val="bottom"/>
            <w:tcBorders>
              <w:bottom w:val="single" w:sz="8" w:color="auto"/>
            </w:tcBorders>
            <w:gridSpan w:val="2"/>
            <w:shd w:val="clear" w:color="auto" w:fill="E5E9F3"/>
          </w:tcPr>
          <w:p>
            <w:pPr>
              <w:jc w:val="right"/>
              <w:ind w:right="20"/>
              <w:spacing w:after="0"/>
              <w:rPr>
                <w:sz w:val="20"/>
                <w:szCs w:val="20"/>
                <w:color w:val="auto"/>
              </w:rPr>
            </w:pPr>
            <w:r>
              <w:rPr>
                <w:rFonts w:ascii="Arial" w:cs="Arial" w:eastAsia="Arial" w:hAnsi="Arial"/>
                <w:sz w:val="18"/>
                <w:szCs w:val="18"/>
                <w:color w:val="auto"/>
              </w:rPr>
              <w:t>730</w:t>
            </w:r>
          </w:p>
        </w:tc>
        <w:tc>
          <w:tcPr>
            <w:tcW w:w="26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ind w:right="3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20"/>
          <w:szCs w:val="20"/>
          <w:color w:val="auto"/>
        </w:rPr>
        <w:t>We recognized expense of $ 0.2, $0.5 and $0.8 related to stock options for the years ended December 31, 2024, 2023 and 2022, respectively. The total fair value of options vested during the same periods was $1.5, $2.2 and $2.8, respectively. As of December 31, 2024, there was no unrecognized compensation cost.</w:t>
      </w:r>
    </w:p>
    <w:p>
      <w:pPr>
        <w:sectPr>
          <w:pgSz w:w="12240" w:h="15840" w:orient="portrait"/>
          <w:cols w:equalWidth="0" w:num="1">
            <w:col w:w="10800"/>
          </w:cols>
          <w:pgMar w:left="720" w:top="734" w:right="720" w:bottom="175"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10800"/>
          </w:cols>
          <w:pgMar w:left="720" w:top="734" w:right="720" w:bottom="175" w:gutter="0" w:footer="0" w:header="0"/>
          <w:type w:val="continuous"/>
        </w:sectPr>
      </w:pPr>
    </w:p>
    <w:bookmarkStart w:id="71" w:name="page72"/>
    <w:bookmarkEnd w:id="7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97" o:spid="_x0000_s112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Deferred Stock</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2024, 2023 and 2022, there were 4,716, 4,463 and 4,775, respectively, shares of deferred stock awarded under this arrangement, all of which are vested.</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three years after the date of grant (which may in most cases be extended at the directors’ election) or upon a director’s termination of service in accordance with the terms and conditions under the 2011 Plan. During 2024, 2023 and 2022, there were 14,362, 14,721 and 12,698, respectively, shares of deferred stock awarded under this arrangement, all of which are vested. We recognized expense of $1.7, $1.9 and $1.8 related to deferred stock in 2024, 2023 and 2022,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Restricted Stock and Restricted Stock Units</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grant restricted stock and restricted stock unit awards to certain employees and to non-employee directors who may elect to receive restricted stock rather than deferred stock as described above. Restrictions lapse over periods ranging up to five years, and in some cases upon retirement. We value restricted stock awards at the closing market value of our common stock on the date of grant.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A summary of restricted stock and restricted stock unit activity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Borders>
              <w:top w:val="single" w:sz="8" w:color="auto"/>
            </w:tcBorders>
            <w:shd w:val="clear" w:color="auto" w:fill="97AAD0"/>
          </w:tcPr>
          <w:p>
            <w:pPr>
              <w:spacing w:after="0"/>
              <w:rPr>
                <w:sz w:val="18"/>
                <w:szCs w:val="18"/>
                <w:color w:val="auto"/>
              </w:rPr>
            </w:pPr>
          </w:p>
        </w:tc>
        <w:tc>
          <w:tcPr>
            <w:tcW w:w="2180" w:type="dxa"/>
            <w:vAlign w:val="bottom"/>
            <w:tcBorders>
              <w:top w:val="single" w:sz="8" w:color="auto"/>
            </w:tcBorders>
            <w:shd w:val="clear" w:color="auto" w:fill="97AAD0"/>
          </w:tcPr>
          <w:p>
            <w:pPr>
              <w:spacing w:after="0"/>
              <w:rPr>
                <w:sz w:val="18"/>
                <w:szCs w:val="18"/>
                <w:color w:val="auto"/>
              </w:rPr>
            </w:pPr>
          </w:p>
        </w:tc>
        <w:tc>
          <w:tcPr>
            <w:tcW w:w="220" w:type="dxa"/>
            <w:vAlign w:val="bottom"/>
            <w:tcBorders>
              <w:top w:val="single" w:sz="8" w:color="auto"/>
            </w:tcBorders>
            <w:shd w:val="clear" w:color="auto" w:fill="97AAD0"/>
          </w:tcPr>
          <w:p>
            <w:pPr>
              <w:spacing w:after="0"/>
              <w:rPr>
                <w:sz w:val="18"/>
                <w:szCs w:val="18"/>
                <w:color w:val="auto"/>
              </w:rPr>
            </w:pPr>
          </w:p>
        </w:tc>
        <w:tc>
          <w:tcPr>
            <w:tcW w:w="1260" w:type="dxa"/>
            <w:vAlign w:val="bottom"/>
            <w:tcBorders>
              <w:top w:val="single" w:sz="8" w:color="auto"/>
            </w:tcBorders>
            <w:vMerge w:val="restart"/>
            <w:shd w:val="clear" w:color="auto" w:fill="97AAD0"/>
          </w:tcPr>
          <w:p>
            <w:pPr>
              <w:jc w:val="center"/>
              <w:ind w:left="290"/>
              <w:spacing w:after="0"/>
              <w:rPr>
                <w:sz w:val="20"/>
                <w:szCs w:val="20"/>
                <w:color w:val="auto"/>
              </w:rPr>
            </w:pPr>
            <w:r>
              <w:rPr>
                <w:rFonts w:ascii="Arial" w:cs="Arial" w:eastAsia="Arial" w:hAnsi="Arial"/>
                <w:sz w:val="18"/>
                <w:szCs w:val="18"/>
                <w:b w:val="1"/>
                <w:bCs w:val="1"/>
                <w:color w:val="auto"/>
              </w:rPr>
              <w:t>Wtd. Avg.</w:t>
            </w:r>
          </w:p>
        </w:tc>
        <w:tc>
          <w:tcPr>
            <w:tcW w:w="420" w:type="dxa"/>
            <w:vAlign w:val="bottom"/>
            <w:tcBorders>
              <w:top w:val="single" w:sz="8" w:color="auto"/>
            </w:tcBorders>
            <w:shd w:val="clear" w:color="auto" w:fill="97AAD0"/>
          </w:tcPr>
          <w:p>
            <w:pPr>
              <w:spacing w:after="0"/>
              <w:rPr>
                <w:sz w:val="18"/>
                <w:szCs w:val="18"/>
                <w:color w:val="auto"/>
              </w:rPr>
            </w:pPr>
          </w:p>
        </w:tc>
        <w:tc>
          <w:tcPr>
            <w:tcW w:w="1560" w:type="dxa"/>
            <w:vAlign w:val="bottom"/>
            <w:tcBorders>
              <w:top w:val="single" w:sz="8" w:color="auto"/>
            </w:tcBorders>
            <w:shd w:val="clear" w:color="auto" w:fill="97AAD0"/>
          </w:tcPr>
          <w:p>
            <w:pPr>
              <w:jc w:val="center"/>
              <w:spacing w:after="0"/>
              <w:rPr>
                <w:sz w:val="20"/>
                <w:szCs w:val="20"/>
                <w:color w:val="auto"/>
              </w:rPr>
            </w:pPr>
            <w:r>
              <w:rPr>
                <w:rFonts w:ascii="Arial" w:cs="Arial" w:eastAsia="Arial" w:hAnsi="Arial"/>
                <w:sz w:val="18"/>
                <w:szCs w:val="18"/>
                <w:b w:val="1"/>
                <w:bCs w:val="1"/>
                <w:color w:val="auto"/>
              </w:rPr>
              <w:t>Wtd. Avg.</w:t>
            </w:r>
          </w:p>
        </w:tc>
        <w:tc>
          <w:tcPr>
            <w:tcW w:w="280" w:type="dxa"/>
            <w:vAlign w:val="bottom"/>
            <w:tcBorders>
              <w:top w:val="single" w:sz="8" w:color="auto"/>
            </w:tcBorders>
            <w:shd w:val="clear" w:color="auto" w:fill="97AAD0"/>
          </w:tcPr>
          <w:p>
            <w:pPr>
              <w:spacing w:after="0"/>
              <w:rPr>
                <w:sz w:val="18"/>
                <w:szCs w:val="18"/>
                <w:color w:val="auto"/>
              </w:rPr>
            </w:pPr>
          </w:p>
        </w:tc>
        <w:tc>
          <w:tcPr>
            <w:tcW w:w="1340" w:type="dxa"/>
            <w:vAlign w:val="bottom"/>
            <w:tcBorders>
              <w:top w:val="single" w:sz="8" w:color="auto"/>
            </w:tcBorders>
            <w:shd w:val="clear" w:color="auto" w:fill="97AAD0"/>
          </w:tcPr>
          <w:p>
            <w:pPr>
              <w:jc w:val="center"/>
              <w:ind w:right="17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7"/>
        </w:trPr>
        <w:tc>
          <w:tcPr>
            <w:tcW w:w="3540" w:type="dxa"/>
            <w:vAlign w:val="bottom"/>
            <w:shd w:val="clear" w:color="auto" w:fill="97AAD0"/>
          </w:tcPr>
          <w:p>
            <w:pPr>
              <w:spacing w:after="0"/>
              <w:rPr>
                <w:sz w:val="17"/>
                <w:szCs w:val="17"/>
                <w:color w:val="auto"/>
              </w:rPr>
            </w:pPr>
          </w:p>
        </w:tc>
        <w:tc>
          <w:tcPr>
            <w:tcW w:w="2180" w:type="dxa"/>
            <w:vAlign w:val="bottom"/>
            <w:shd w:val="clear" w:color="auto" w:fill="97AAD0"/>
          </w:tcPr>
          <w:p>
            <w:pPr>
              <w:spacing w:after="0"/>
              <w:rPr>
                <w:sz w:val="17"/>
                <w:szCs w:val="17"/>
                <w:color w:val="auto"/>
              </w:rPr>
            </w:pPr>
          </w:p>
        </w:tc>
        <w:tc>
          <w:tcPr>
            <w:tcW w:w="220" w:type="dxa"/>
            <w:vAlign w:val="bottom"/>
            <w:shd w:val="clear" w:color="auto" w:fill="97AAD0"/>
          </w:tcPr>
          <w:p>
            <w:pPr>
              <w:spacing w:after="0"/>
              <w:rPr>
                <w:sz w:val="17"/>
                <w:szCs w:val="17"/>
                <w:color w:val="auto"/>
              </w:rPr>
            </w:pPr>
          </w:p>
        </w:tc>
        <w:tc>
          <w:tcPr>
            <w:tcW w:w="1260" w:type="dxa"/>
            <w:vAlign w:val="bottom"/>
            <w:vMerge w:val="continue"/>
            <w:shd w:val="clear" w:color="auto" w:fill="97AAD0"/>
          </w:tcPr>
          <w:p>
            <w:pPr>
              <w:spacing w:after="0"/>
              <w:rPr>
                <w:sz w:val="17"/>
                <w:szCs w:val="17"/>
                <w:color w:val="auto"/>
              </w:rPr>
            </w:pPr>
          </w:p>
        </w:tc>
        <w:tc>
          <w:tcPr>
            <w:tcW w:w="420" w:type="dxa"/>
            <w:vAlign w:val="bottom"/>
            <w:shd w:val="clear" w:color="auto" w:fill="97AAD0"/>
          </w:tcPr>
          <w:p>
            <w:pPr>
              <w:spacing w:after="0"/>
              <w:rPr>
                <w:sz w:val="17"/>
                <w:szCs w:val="17"/>
                <w:color w:val="auto"/>
              </w:rPr>
            </w:pPr>
          </w:p>
        </w:tc>
        <w:tc>
          <w:tcPr>
            <w:tcW w:w="1560" w:type="dxa"/>
            <w:vAlign w:val="bottom"/>
            <w:shd w:val="clear" w:color="auto" w:fill="97AAD0"/>
          </w:tcPr>
          <w:p>
            <w:pPr>
              <w:jc w:val="center"/>
              <w:spacing w:after="0"/>
              <w:rPr>
                <w:sz w:val="20"/>
                <w:szCs w:val="20"/>
                <w:color w:val="auto"/>
              </w:rPr>
            </w:pPr>
            <w:r>
              <w:rPr>
                <w:rFonts w:ascii="Arial" w:cs="Arial" w:eastAsia="Arial" w:hAnsi="Arial"/>
                <w:sz w:val="18"/>
                <w:szCs w:val="18"/>
                <w:b w:val="1"/>
                <w:bCs w:val="1"/>
                <w:color w:val="auto"/>
                <w:w w:val="99"/>
              </w:rPr>
              <w:t>Remaining</w:t>
            </w:r>
          </w:p>
        </w:tc>
        <w:tc>
          <w:tcPr>
            <w:tcW w:w="280" w:type="dxa"/>
            <w:vAlign w:val="bottom"/>
            <w:shd w:val="clear" w:color="auto" w:fill="97AAD0"/>
          </w:tcPr>
          <w:p>
            <w:pPr>
              <w:spacing w:after="0"/>
              <w:rPr>
                <w:sz w:val="17"/>
                <w:szCs w:val="17"/>
                <w:color w:val="auto"/>
              </w:rPr>
            </w:pPr>
          </w:p>
        </w:tc>
        <w:tc>
          <w:tcPr>
            <w:tcW w:w="1340" w:type="dxa"/>
            <w:vAlign w:val="bottom"/>
            <w:shd w:val="clear" w:color="auto" w:fill="97AAD0"/>
          </w:tcPr>
          <w:p>
            <w:pPr>
              <w:jc w:val="center"/>
              <w:ind w:right="190"/>
              <w:spacing w:after="0"/>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7"/>
        </w:trPr>
        <w:tc>
          <w:tcPr>
            <w:tcW w:w="3540" w:type="dxa"/>
            <w:vAlign w:val="bottom"/>
            <w:shd w:val="clear" w:color="auto" w:fill="97AAD0"/>
          </w:tcPr>
          <w:p>
            <w:pPr>
              <w:spacing w:after="0"/>
              <w:rPr>
                <w:sz w:val="17"/>
                <w:szCs w:val="17"/>
                <w:color w:val="auto"/>
              </w:rPr>
            </w:pPr>
          </w:p>
        </w:tc>
        <w:tc>
          <w:tcPr>
            <w:tcW w:w="2400" w:type="dxa"/>
            <w:vAlign w:val="bottom"/>
            <w:gridSpan w:val="2"/>
            <w:vMerge w:val="restart"/>
            <w:shd w:val="clear" w:color="auto" w:fill="97AAD0"/>
          </w:tcPr>
          <w:p>
            <w:pPr>
              <w:jc w:val="right"/>
              <w:ind w:right="260"/>
              <w:spacing w:after="0"/>
              <w:rPr>
                <w:sz w:val="20"/>
                <w:szCs w:val="20"/>
                <w:color w:val="auto"/>
              </w:rPr>
            </w:pPr>
            <w:r>
              <w:rPr>
                <w:rFonts w:ascii="Arial" w:cs="Arial" w:eastAsia="Arial" w:hAnsi="Arial"/>
                <w:sz w:val="18"/>
                <w:szCs w:val="18"/>
                <w:b w:val="1"/>
                <w:bCs w:val="1"/>
                <w:color w:val="auto"/>
              </w:rPr>
              <w:t>Shares (000)</w:t>
            </w:r>
          </w:p>
        </w:tc>
        <w:tc>
          <w:tcPr>
            <w:tcW w:w="1260" w:type="dxa"/>
            <w:vAlign w:val="bottom"/>
            <w:shd w:val="clear" w:color="auto" w:fill="97AAD0"/>
          </w:tcPr>
          <w:p>
            <w:pPr>
              <w:jc w:val="center"/>
              <w:ind w:left="310"/>
              <w:spacing w:after="0"/>
              <w:rPr>
                <w:sz w:val="20"/>
                <w:szCs w:val="20"/>
                <w:color w:val="auto"/>
              </w:rPr>
            </w:pPr>
            <w:r>
              <w:rPr>
                <w:rFonts w:ascii="Arial" w:cs="Arial" w:eastAsia="Arial" w:hAnsi="Arial"/>
                <w:sz w:val="18"/>
                <w:szCs w:val="18"/>
                <w:b w:val="1"/>
                <w:bCs w:val="1"/>
                <w:color w:val="auto"/>
                <w:w w:val="99"/>
              </w:rPr>
              <w:t>Price Per</w:t>
            </w:r>
          </w:p>
        </w:tc>
        <w:tc>
          <w:tcPr>
            <w:tcW w:w="420" w:type="dxa"/>
            <w:vAlign w:val="bottom"/>
            <w:shd w:val="clear" w:color="auto" w:fill="97AAD0"/>
          </w:tcPr>
          <w:p>
            <w:pPr>
              <w:spacing w:after="0"/>
              <w:rPr>
                <w:sz w:val="17"/>
                <w:szCs w:val="17"/>
                <w:color w:val="auto"/>
              </w:rPr>
            </w:pPr>
          </w:p>
        </w:tc>
        <w:tc>
          <w:tcPr>
            <w:tcW w:w="1560" w:type="dxa"/>
            <w:vAlign w:val="bottom"/>
            <w:shd w:val="clear" w:color="auto" w:fill="97AAD0"/>
          </w:tcPr>
          <w:p>
            <w:pPr>
              <w:jc w:val="center"/>
              <w:spacing w:after="0"/>
              <w:rPr>
                <w:sz w:val="20"/>
                <w:szCs w:val="20"/>
                <w:color w:val="auto"/>
              </w:rPr>
            </w:pPr>
            <w:r>
              <w:rPr>
                <w:rFonts w:ascii="Arial" w:cs="Arial" w:eastAsia="Arial" w:hAnsi="Arial"/>
                <w:sz w:val="18"/>
                <w:szCs w:val="18"/>
                <w:b w:val="1"/>
                <w:bCs w:val="1"/>
                <w:color w:val="auto"/>
                <w:w w:val="99"/>
              </w:rPr>
              <w:t>Contractual</w:t>
            </w:r>
          </w:p>
        </w:tc>
        <w:tc>
          <w:tcPr>
            <w:tcW w:w="280" w:type="dxa"/>
            <w:vAlign w:val="bottom"/>
            <w:shd w:val="clear" w:color="auto" w:fill="97AAD0"/>
          </w:tcPr>
          <w:p>
            <w:pPr>
              <w:spacing w:after="0"/>
              <w:rPr>
                <w:sz w:val="17"/>
                <w:szCs w:val="17"/>
                <w:color w:val="auto"/>
              </w:rPr>
            </w:pPr>
          </w:p>
        </w:tc>
        <w:tc>
          <w:tcPr>
            <w:tcW w:w="1340" w:type="dxa"/>
            <w:vAlign w:val="bottom"/>
            <w:shd w:val="clear" w:color="auto" w:fill="97AAD0"/>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59"/>
        </w:trPr>
        <w:tc>
          <w:tcPr>
            <w:tcW w:w="3540" w:type="dxa"/>
            <w:vAlign w:val="bottom"/>
            <w:tcBorders>
              <w:bottom w:val="single" w:sz="8" w:color="auto"/>
            </w:tcBorders>
            <w:shd w:val="clear" w:color="auto" w:fill="97AAD0"/>
          </w:tcPr>
          <w:p>
            <w:pPr>
              <w:spacing w:after="0"/>
              <w:rPr>
                <w:sz w:val="22"/>
                <w:szCs w:val="22"/>
                <w:color w:val="auto"/>
              </w:rPr>
            </w:pPr>
          </w:p>
        </w:tc>
        <w:tc>
          <w:tcPr>
            <w:tcW w:w="2400" w:type="dxa"/>
            <w:vAlign w:val="bottom"/>
            <w:tcBorders>
              <w:bottom w:val="single" w:sz="8" w:color="auto"/>
            </w:tcBorders>
            <w:gridSpan w:val="2"/>
            <w:vMerge w:val="continue"/>
            <w:shd w:val="clear" w:color="auto" w:fill="97AAD0"/>
          </w:tcPr>
          <w:p>
            <w:pPr>
              <w:spacing w:after="0"/>
              <w:rPr>
                <w:sz w:val="22"/>
                <w:szCs w:val="22"/>
                <w:color w:val="auto"/>
              </w:rPr>
            </w:pPr>
          </w:p>
        </w:tc>
        <w:tc>
          <w:tcPr>
            <w:tcW w:w="1260" w:type="dxa"/>
            <w:vAlign w:val="bottom"/>
            <w:tcBorders>
              <w:bottom w:val="single" w:sz="8" w:color="auto"/>
            </w:tcBorders>
            <w:shd w:val="clear" w:color="auto" w:fill="97AAD0"/>
          </w:tcPr>
          <w:p>
            <w:pPr>
              <w:jc w:val="center"/>
              <w:ind w:left="310"/>
              <w:spacing w:after="0"/>
              <w:rPr>
                <w:sz w:val="20"/>
                <w:szCs w:val="20"/>
                <w:color w:val="auto"/>
              </w:rPr>
            </w:pPr>
            <w:r>
              <w:rPr>
                <w:rFonts w:ascii="Arial" w:cs="Arial" w:eastAsia="Arial" w:hAnsi="Arial"/>
                <w:sz w:val="18"/>
                <w:szCs w:val="18"/>
                <w:b w:val="1"/>
                <w:bCs w:val="1"/>
                <w:color w:val="auto"/>
                <w:w w:val="99"/>
              </w:rPr>
              <w:t>Share</w:t>
            </w:r>
          </w:p>
        </w:tc>
        <w:tc>
          <w:tcPr>
            <w:tcW w:w="420" w:type="dxa"/>
            <w:vAlign w:val="bottom"/>
            <w:tcBorders>
              <w:bottom w:val="single" w:sz="8" w:color="auto"/>
            </w:tcBorders>
            <w:shd w:val="clear" w:color="auto" w:fill="97AAD0"/>
          </w:tcPr>
          <w:p>
            <w:pPr>
              <w:spacing w:after="0"/>
              <w:rPr>
                <w:sz w:val="22"/>
                <w:szCs w:val="22"/>
                <w:color w:val="auto"/>
              </w:rPr>
            </w:pPr>
          </w:p>
        </w:tc>
        <w:tc>
          <w:tcPr>
            <w:tcW w:w="1560" w:type="dxa"/>
            <w:vAlign w:val="bottom"/>
            <w:tcBorders>
              <w:bottom w:val="single" w:sz="8" w:color="auto"/>
            </w:tcBorders>
            <w:shd w:val="clear" w:color="auto" w:fill="97AAD0"/>
          </w:tcPr>
          <w:p>
            <w:pPr>
              <w:jc w:val="center"/>
              <w:spacing w:after="0"/>
              <w:rPr>
                <w:sz w:val="20"/>
                <w:szCs w:val="20"/>
                <w:color w:val="auto"/>
              </w:rPr>
            </w:pPr>
            <w:r>
              <w:rPr>
                <w:rFonts w:ascii="Arial" w:cs="Arial" w:eastAsia="Arial" w:hAnsi="Arial"/>
                <w:sz w:val="18"/>
                <w:szCs w:val="18"/>
                <w:b w:val="1"/>
                <w:bCs w:val="1"/>
                <w:color w:val="auto"/>
                <w:w w:val="99"/>
              </w:rPr>
              <w:t>Term (years)</w:t>
            </w:r>
          </w:p>
        </w:tc>
        <w:tc>
          <w:tcPr>
            <w:tcW w:w="280" w:type="dxa"/>
            <w:vAlign w:val="bottom"/>
            <w:tcBorders>
              <w:bottom w:val="single" w:sz="8" w:color="auto"/>
            </w:tcBorders>
            <w:shd w:val="clear" w:color="auto" w:fill="97AAD0"/>
          </w:tcPr>
          <w:p>
            <w:pPr>
              <w:spacing w:after="0"/>
              <w:rPr>
                <w:sz w:val="22"/>
                <w:szCs w:val="22"/>
                <w:color w:val="auto"/>
              </w:rPr>
            </w:pPr>
          </w:p>
        </w:tc>
        <w:tc>
          <w:tcPr>
            <w:tcW w:w="1340" w:type="dxa"/>
            <w:vAlign w:val="bottom"/>
            <w:tcBorders>
              <w:bottom w:val="single" w:sz="8" w:color="auto"/>
            </w:tcBorders>
            <w:shd w:val="clear" w:color="auto" w:fill="97AAD0"/>
          </w:tcPr>
          <w:p>
            <w:pPr>
              <w:jc w:val="center"/>
              <w:ind w:right="170"/>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62"/>
        </w:trPr>
        <w:tc>
          <w:tcPr>
            <w:tcW w:w="35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Unvested, January 1, 2022</w:t>
            </w:r>
          </w:p>
        </w:tc>
        <w:tc>
          <w:tcPr>
            <w:tcW w:w="2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E5E9F3"/>
          </w:tcPr>
          <w:p>
            <w:pPr>
              <w:spacing w:after="0"/>
              <w:rPr>
                <w:sz w:val="22"/>
                <w:szCs w:val="22"/>
                <w:color w:val="auto"/>
              </w:rPr>
            </w:pPr>
          </w:p>
        </w:tc>
        <w:tc>
          <w:tcPr>
            <w:tcW w:w="1260" w:type="dxa"/>
            <w:vAlign w:val="bottom"/>
            <w:shd w:val="clear" w:color="auto" w:fill="E5E9F3"/>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w w:val="99"/>
              </w:rPr>
              <w:t>85</w:t>
            </w:r>
          </w:p>
        </w:tc>
        <w:tc>
          <w:tcPr>
            <w:tcW w:w="15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E5E9F3"/>
          </w:tcPr>
          <w:p>
            <w:pPr>
              <w:spacing w:after="0"/>
              <w:rPr>
                <w:sz w:val="22"/>
                <w:szCs w:val="22"/>
                <w:color w:val="auto"/>
              </w:rPr>
            </w:pPr>
          </w:p>
        </w:tc>
        <w:tc>
          <w:tcPr>
            <w:tcW w:w="134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tcPr>
          <w:p>
            <w:pPr>
              <w:ind w:left="30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3"/>
                <w:szCs w:val="23"/>
                <w:color w:val="auto"/>
              </w:rPr>
            </w:pP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E5E9F3"/>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shd w:val="clear" w:color="auto" w:fill="E5E9F3"/>
          </w:tcPr>
          <w:p>
            <w:pPr>
              <w:spacing w:after="0"/>
              <w:rPr>
                <w:sz w:val="23"/>
                <w:szCs w:val="23"/>
                <w:color w:val="auto"/>
              </w:rPr>
            </w:pPr>
          </w:p>
        </w:tc>
        <w:tc>
          <w:tcPr>
            <w:tcW w:w="42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w w:val="99"/>
              </w:rPr>
              <w:t>80</w:t>
            </w:r>
          </w:p>
        </w:tc>
        <w:tc>
          <w:tcPr>
            <w:tcW w:w="1560" w:type="dxa"/>
            <w:vAlign w:val="bottom"/>
            <w:shd w:val="clear" w:color="auto" w:fill="E5E9F3"/>
          </w:tcPr>
          <w:p>
            <w:pPr>
              <w:spacing w:after="0"/>
              <w:rPr>
                <w:sz w:val="23"/>
                <w:szCs w:val="23"/>
                <w:color w:val="auto"/>
              </w:rPr>
            </w:pPr>
          </w:p>
        </w:tc>
        <w:tc>
          <w:tcPr>
            <w:tcW w:w="280" w:type="dxa"/>
            <w:vAlign w:val="bottom"/>
            <w:shd w:val="clear" w:color="auto" w:fill="E5E9F3"/>
          </w:tcPr>
          <w:p>
            <w:pPr>
              <w:spacing w:after="0"/>
              <w:rPr>
                <w:sz w:val="23"/>
                <w:szCs w:val="23"/>
                <w:color w:val="auto"/>
              </w:rPr>
            </w:pPr>
          </w:p>
        </w:tc>
        <w:tc>
          <w:tcPr>
            <w:tcW w:w="134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Forfeited</w:t>
            </w:r>
          </w:p>
        </w:tc>
        <w:tc>
          <w:tcPr>
            <w:tcW w:w="2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(25 )</w:t>
            </w:r>
          </w:p>
        </w:tc>
        <w:tc>
          <w:tcPr>
            <w:tcW w:w="12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88</w:t>
            </w:r>
          </w:p>
        </w:tc>
        <w:tc>
          <w:tcPr>
            <w:tcW w:w="15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Unvested, December 31, 2022</w:t>
            </w:r>
          </w:p>
        </w:tc>
        <w:tc>
          <w:tcPr>
            <w:tcW w:w="2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auto"/>
            </w:tcBorders>
            <w:shd w:val="clear" w:color="auto" w:fill="E5E9F3"/>
          </w:tcPr>
          <w:p>
            <w:pPr>
              <w:spacing w:after="0"/>
              <w:rPr>
                <w:sz w:val="22"/>
                <w:szCs w:val="22"/>
                <w:color w:val="auto"/>
              </w:rPr>
            </w:pPr>
          </w:p>
        </w:tc>
        <w:tc>
          <w:tcPr>
            <w:tcW w:w="1260" w:type="dxa"/>
            <w:vAlign w:val="bottom"/>
            <w:tcBorders>
              <w:bottom w:val="single" w:sz="8" w:color="auto"/>
            </w:tcBorders>
            <w:shd w:val="clear" w:color="auto" w:fill="E5E9F3"/>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w w:val="99"/>
              </w:rPr>
              <w:t>94</w:t>
            </w:r>
          </w:p>
        </w:tc>
        <w:tc>
          <w:tcPr>
            <w:tcW w:w="15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E5E9F3"/>
          </w:tcPr>
          <w:p>
            <w:pPr>
              <w:spacing w:after="0"/>
              <w:rPr>
                <w:sz w:val="22"/>
                <w:szCs w:val="22"/>
                <w:color w:val="auto"/>
              </w:rPr>
            </w:pPr>
          </w:p>
        </w:tc>
        <w:tc>
          <w:tcPr>
            <w:tcW w:w="1340" w:type="dxa"/>
            <w:vAlign w:val="bottom"/>
            <w:tcBorders>
              <w:bottom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30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82</w:t>
            </w: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E5E9F3"/>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shd w:val="clear" w:color="auto" w:fill="E5E9F3"/>
          </w:tcPr>
          <w:p>
            <w:pPr>
              <w:spacing w:after="0"/>
              <w:rPr>
                <w:sz w:val="23"/>
                <w:szCs w:val="23"/>
                <w:color w:val="auto"/>
              </w:rPr>
            </w:pPr>
          </w:p>
        </w:tc>
        <w:tc>
          <w:tcPr>
            <w:tcW w:w="42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w w:val="99"/>
              </w:rPr>
              <w:t>87</w:t>
            </w:r>
          </w:p>
        </w:tc>
        <w:tc>
          <w:tcPr>
            <w:tcW w:w="1560" w:type="dxa"/>
            <w:vAlign w:val="bottom"/>
            <w:shd w:val="clear" w:color="auto" w:fill="E5E9F3"/>
          </w:tcPr>
          <w:p>
            <w:pPr>
              <w:spacing w:after="0"/>
              <w:rPr>
                <w:sz w:val="23"/>
                <w:szCs w:val="23"/>
                <w:color w:val="auto"/>
              </w:rPr>
            </w:pPr>
          </w:p>
        </w:tc>
        <w:tc>
          <w:tcPr>
            <w:tcW w:w="280" w:type="dxa"/>
            <w:vAlign w:val="bottom"/>
            <w:shd w:val="clear" w:color="auto" w:fill="E5E9F3"/>
          </w:tcPr>
          <w:p>
            <w:pPr>
              <w:spacing w:after="0"/>
              <w:rPr>
                <w:sz w:val="23"/>
                <w:szCs w:val="23"/>
                <w:color w:val="auto"/>
              </w:rPr>
            </w:pPr>
          </w:p>
        </w:tc>
        <w:tc>
          <w:tcPr>
            <w:tcW w:w="134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Forfeited</w:t>
            </w:r>
          </w:p>
        </w:tc>
        <w:tc>
          <w:tcPr>
            <w:tcW w:w="2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(44 )</w:t>
            </w:r>
          </w:p>
        </w:tc>
        <w:tc>
          <w:tcPr>
            <w:tcW w:w="12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90</w:t>
            </w:r>
          </w:p>
        </w:tc>
        <w:tc>
          <w:tcPr>
            <w:tcW w:w="15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Unvested, December 31, 2023</w:t>
            </w:r>
          </w:p>
        </w:tc>
        <w:tc>
          <w:tcPr>
            <w:tcW w:w="2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auto"/>
            </w:tcBorders>
            <w:shd w:val="clear" w:color="auto" w:fill="E5E9F3"/>
          </w:tcPr>
          <w:p>
            <w:pPr>
              <w:spacing w:after="0"/>
              <w:rPr>
                <w:sz w:val="22"/>
                <w:szCs w:val="22"/>
                <w:color w:val="auto"/>
              </w:rPr>
            </w:pPr>
          </w:p>
        </w:tc>
        <w:tc>
          <w:tcPr>
            <w:tcW w:w="1260" w:type="dxa"/>
            <w:vAlign w:val="bottom"/>
            <w:tcBorders>
              <w:bottom w:val="single" w:sz="8" w:color="auto"/>
            </w:tcBorders>
            <w:shd w:val="clear" w:color="auto" w:fill="E5E9F3"/>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w w:val="99"/>
              </w:rPr>
              <w:t>91</w:t>
            </w:r>
          </w:p>
        </w:tc>
        <w:tc>
          <w:tcPr>
            <w:tcW w:w="15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E5E9F3"/>
          </w:tcPr>
          <w:p>
            <w:pPr>
              <w:spacing w:after="0"/>
              <w:rPr>
                <w:sz w:val="22"/>
                <w:szCs w:val="22"/>
                <w:color w:val="auto"/>
              </w:rPr>
            </w:pPr>
          </w:p>
        </w:tc>
        <w:tc>
          <w:tcPr>
            <w:tcW w:w="1340" w:type="dxa"/>
            <w:vAlign w:val="bottom"/>
            <w:tcBorders>
              <w:bottom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30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64</w:t>
            </w: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shd w:val="clear" w:color="auto" w:fill="E5E9F3"/>
          </w:tcPr>
          <w:p>
            <w:pPr>
              <w:ind w:left="30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E5E9F3"/>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shd w:val="clear" w:color="auto" w:fill="E5E9F3"/>
          </w:tcPr>
          <w:p>
            <w:pPr>
              <w:spacing w:after="0"/>
              <w:rPr>
                <w:sz w:val="23"/>
                <w:szCs w:val="23"/>
                <w:color w:val="auto"/>
              </w:rPr>
            </w:pPr>
          </w:p>
        </w:tc>
        <w:tc>
          <w:tcPr>
            <w:tcW w:w="42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w w:val="99"/>
              </w:rPr>
              <w:t>86</w:t>
            </w:r>
          </w:p>
        </w:tc>
        <w:tc>
          <w:tcPr>
            <w:tcW w:w="1560" w:type="dxa"/>
            <w:vAlign w:val="bottom"/>
            <w:shd w:val="clear" w:color="auto" w:fill="E5E9F3"/>
          </w:tcPr>
          <w:p>
            <w:pPr>
              <w:spacing w:after="0"/>
              <w:rPr>
                <w:sz w:val="23"/>
                <w:szCs w:val="23"/>
                <w:color w:val="auto"/>
              </w:rPr>
            </w:pPr>
          </w:p>
        </w:tc>
        <w:tc>
          <w:tcPr>
            <w:tcW w:w="280" w:type="dxa"/>
            <w:vAlign w:val="bottom"/>
            <w:shd w:val="clear" w:color="auto" w:fill="E5E9F3"/>
          </w:tcPr>
          <w:p>
            <w:pPr>
              <w:spacing w:after="0"/>
              <w:rPr>
                <w:sz w:val="23"/>
                <w:szCs w:val="23"/>
                <w:color w:val="auto"/>
              </w:rPr>
            </w:pPr>
          </w:p>
        </w:tc>
        <w:tc>
          <w:tcPr>
            <w:tcW w:w="134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Forfeited</w:t>
            </w:r>
          </w:p>
        </w:tc>
        <w:tc>
          <w:tcPr>
            <w:tcW w:w="2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(38 )</w:t>
            </w:r>
          </w:p>
        </w:tc>
        <w:tc>
          <w:tcPr>
            <w:tcW w:w="12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83</w:t>
            </w:r>
          </w:p>
        </w:tc>
        <w:tc>
          <w:tcPr>
            <w:tcW w:w="15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Unvested, December 31, 2024</w:t>
            </w:r>
          </w:p>
        </w:tc>
        <w:tc>
          <w:tcPr>
            <w:tcW w:w="2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Borders>
              <w:bottom w:val="single" w:sz="8" w:color="auto"/>
            </w:tcBorders>
            <w:shd w:val="clear" w:color="auto" w:fill="E5E9F3"/>
          </w:tcPr>
          <w:p>
            <w:pPr>
              <w:spacing w:after="0"/>
              <w:rPr>
                <w:sz w:val="22"/>
                <w:szCs w:val="22"/>
                <w:color w:val="auto"/>
              </w:rPr>
            </w:pPr>
          </w:p>
        </w:tc>
        <w:tc>
          <w:tcPr>
            <w:tcW w:w="1260" w:type="dxa"/>
            <w:vAlign w:val="bottom"/>
            <w:tcBorders>
              <w:bottom w:val="single" w:sz="8" w:color="auto"/>
            </w:tcBorders>
            <w:shd w:val="clear" w:color="auto" w:fill="E5E9F3"/>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w w:val="99"/>
              </w:rPr>
              <w:t>80</w:t>
            </w:r>
          </w:p>
        </w:tc>
        <w:tc>
          <w:tcPr>
            <w:tcW w:w="15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jc w:val="both"/>
        <w:spacing w:after="0" w:line="245" w:lineRule="auto"/>
        <w:rPr>
          <w:sz w:val="20"/>
          <w:szCs w:val="20"/>
          <w:color w:val="auto"/>
        </w:rPr>
      </w:pPr>
      <w:r>
        <w:rPr>
          <w:rFonts w:ascii="Arial" w:cs="Arial" w:eastAsia="Arial" w:hAnsi="Arial"/>
          <w:sz w:val="20"/>
          <w:szCs w:val="20"/>
          <w:color w:val="auto"/>
        </w:rPr>
        <w:t>During 2024, 2023 and 2022, there were 9,060, 8,412 and 7,192, respectively, shares of restricted stock granted to our non-employee directors, all of which are vested. During 2024, 2023 and 2022, we recognized $18.9, $18.9 and $19.1, respectively, of expense related to restricted stock awards. As of December 31, 2024, there was $14.5 of total unrecognized compensation cost related to unvested restricted stock, which we expect to recognize over a weighted-average period of approximately 2.0 years.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Performance Share Units</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("the Committee") at the time of grant. Final determination of the payout is at the discretion of the Committee.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10800"/>
          </w:cols>
          <w:pgMar w:left="720" w:top="734" w:right="720" w:bottom="175" w:gutter="0" w:footer="0" w:header="0"/>
          <w:type w:val="continuous"/>
        </w:sectPr>
      </w:pPr>
    </w:p>
    <w:bookmarkStart w:id="72" w:name="page73"/>
    <w:bookmarkEnd w:id="7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98" o:spid="_x0000_s112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the event the performance criteria exceed the Target Award level, an additional number of shares, up to the Outstanding Award level, may be granted. In the event the performance criteria fall below the Target Award level, a reduced number of shares, as low as the Threshold Award level, may be granted. If the performance criteria fall below the Threshold Award level, no shares will be granted.</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performance share units detail by grant year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Borders>
              <w:top w:val="single" w:sz="8" w:color="auto"/>
            </w:tcBorders>
            <w:shd w:val="clear" w:color="auto" w:fill="97AAD0"/>
          </w:tcPr>
          <w:p>
            <w:pPr>
              <w:spacing w:after="0"/>
              <w:rPr>
                <w:sz w:val="16"/>
                <w:szCs w:val="16"/>
                <w:color w:val="auto"/>
              </w:rPr>
            </w:pPr>
          </w:p>
        </w:tc>
        <w:tc>
          <w:tcPr>
            <w:tcW w:w="1360" w:type="dxa"/>
            <w:vAlign w:val="bottom"/>
            <w:tcBorders>
              <w:top w:val="single" w:sz="8" w:color="auto"/>
            </w:tcBorders>
            <w:shd w:val="clear" w:color="auto" w:fill="97AAD0"/>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97AAD0"/>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top w:val="single" w:sz="8" w:color="auto"/>
            </w:tcBorders>
            <w:shd w:val="clear" w:color="auto" w:fill="97AAD0"/>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tcBorders>
            <w:shd w:val="clear" w:color="auto" w:fill="97AAD0"/>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tcBorders>
            <w:vMerge w:val="restart"/>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top w:val="single" w:sz="8" w:color="auto"/>
            </w:tcBorders>
            <w:vMerge w:val="restart"/>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0"/>
        </w:trPr>
        <w:tc>
          <w:tcPr>
            <w:tcW w:w="3200" w:type="dxa"/>
            <w:vAlign w:val="bottom"/>
            <w:tcBorders>
              <w:bottom w:val="single" w:sz="8" w:color="97AAD0"/>
            </w:tcBorders>
            <w:shd w:val="clear" w:color="auto" w:fill="97AAD0"/>
          </w:tcPr>
          <w:p>
            <w:pPr>
              <w:spacing w:after="0"/>
              <w:rPr>
                <w:sz w:val="20"/>
                <w:szCs w:val="20"/>
                <w:color w:val="auto"/>
              </w:rPr>
            </w:pPr>
          </w:p>
        </w:tc>
        <w:tc>
          <w:tcPr>
            <w:tcW w:w="1360" w:type="dxa"/>
            <w:vAlign w:val="bottom"/>
            <w:tcBorders>
              <w:bottom w:val="single" w:sz="8" w:color="97AAD0"/>
            </w:tcBorders>
            <w:shd w:val="clear" w:color="auto" w:fill="97AAD0"/>
          </w:tcPr>
          <w:p>
            <w:pPr>
              <w:jc w:val="right"/>
              <w:ind w:right="192"/>
              <w:spacing w:after="0"/>
              <w:rPr>
                <w:sz w:val="20"/>
                <w:szCs w:val="20"/>
                <w:color w:val="auto"/>
              </w:rPr>
            </w:pPr>
            <w:r>
              <w:rPr>
                <w:rFonts w:ascii="Arial" w:cs="Arial" w:eastAsia="Arial" w:hAnsi="Arial"/>
                <w:sz w:val="16"/>
                <w:szCs w:val="16"/>
                <w:b w:val="1"/>
                <w:bCs w:val="1"/>
                <w:color w:val="auto"/>
              </w:rPr>
              <w:t>(Regular)</w:t>
            </w:r>
          </w:p>
        </w:tc>
        <w:tc>
          <w:tcPr>
            <w:tcW w:w="1200" w:type="dxa"/>
            <w:vAlign w:val="bottom"/>
            <w:tcBorders>
              <w:bottom w:val="single" w:sz="8" w:color="97AAD0"/>
            </w:tcBorders>
            <w:shd w:val="clear" w:color="auto" w:fill="97AAD0"/>
          </w:tcPr>
          <w:p>
            <w:pPr>
              <w:jc w:val="right"/>
              <w:ind w:right="12"/>
              <w:spacing w:after="0"/>
              <w:rPr>
                <w:sz w:val="20"/>
                <w:szCs w:val="20"/>
                <w:color w:val="auto"/>
              </w:rPr>
            </w:pPr>
            <w:r>
              <w:rPr>
                <w:rFonts w:ascii="Arial" w:cs="Arial" w:eastAsia="Arial" w:hAnsi="Arial"/>
                <w:sz w:val="16"/>
                <w:szCs w:val="16"/>
                <w:b w:val="1"/>
                <w:bCs w:val="1"/>
                <w:color w:val="auto"/>
              </w:rPr>
              <w:t>(Additional)</w:t>
            </w:r>
          </w:p>
        </w:tc>
        <w:tc>
          <w:tcPr>
            <w:tcW w:w="1300" w:type="dxa"/>
            <w:vAlign w:val="bottom"/>
            <w:tcBorders>
              <w:bottom w:val="single" w:sz="8" w:color="97AAD0"/>
            </w:tcBorders>
            <w:shd w:val="clear" w:color="auto" w:fill="97AAD0"/>
          </w:tcPr>
          <w:p>
            <w:pPr>
              <w:jc w:val="right"/>
              <w:ind w:right="172"/>
              <w:spacing w:after="0"/>
              <w:rPr>
                <w:sz w:val="20"/>
                <w:szCs w:val="20"/>
                <w:color w:val="auto"/>
              </w:rPr>
            </w:pPr>
            <w:r>
              <w:rPr>
                <w:rFonts w:ascii="Arial" w:cs="Arial" w:eastAsia="Arial" w:hAnsi="Arial"/>
                <w:sz w:val="16"/>
                <w:szCs w:val="16"/>
                <w:b w:val="1"/>
                <w:bCs w:val="1"/>
                <w:color w:val="auto"/>
              </w:rPr>
              <w:t>(Regular)</w:t>
            </w:r>
          </w:p>
        </w:tc>
        <w:tc>
          <w:tcPr>
            <w:tcW w:w="1240" w:type="dxa"/>
            <w:vAlign w:val="bottom"/>
            <w:tcBorders>
              <w:bottom w:val="single" w:sz="8" w:color="97AAD0"/>
            </w:tcBorders>
            <w:shd w:val="clear" w:color="auto" w:fill="97AAD0"/>
          </w:tcPr>
          <w:p>
            <w:pPr>
              <w:jc w:val="right"/>
              <w:ind w:right="192"/>
              <w:spacing w:after="0"/>
              <w:rPr>
                <w:sz w:val="20"/>
                <w:szCs w:val="20"/>
                <w:color w:val="auto"/>
              </w:rPr>
            </w:pPr>
            <w:r>
              <w:rPr>
                <w:rFonts w:ascii="Arial" w:cs="Arial" w:eastAsia="Arial" w:hAnsi="Arial"/>
                <w:sz w:val="16"/>
                <w:szCs w:val="16"/>
                <w:b w:val="1"/>
                <w:bCs w:val="1"/>
                <w:color w:val="auto"/>
              </w:rPr>
              <w:t>(Experis)</w:t>
            </w:r>
          </w:p>
        </w:tc>
        <w:tc>
          <w:tcPr>
            <w:tcW w:w="1240" w:type="dxa"/>
            <w:vAlign w:val="bottom"/>
            <w:tcBorders>
              <w:bottom w:val="single" w:sz="8" w:color="97AAD0"/>
            </w:tcBorders>
            <w:vMerge w:val="continue"/>
            <w:shd w:val="clear" w:color="auto" w:fill="97AAD0"/>
          </w:tcPr>
          <w:p>
            <w:pPr>
              <w:spacing w:after="0"/>
              <w:rPr>
                <w:sz w:val="20"/>
                <w:szCs w:val="20"/>
                <w:color w:val="auto"/>
              </w:rPr>
            </w:pPr>
          </w:p>
        </w:tc>
        <w:tc>
          <w:tcPr>
            <w:tcW w:w="1260" w:type="dxa"/>
            <w:vAlign w:val="bottom"/>
            <w:tcBorders>
              <w:bottom w:val="single" w:sz="8" w:color="97AAD0"/>
            </w:tcBorders>
            <w:vMerge w:val="continue"/>
            <w:shd w:val="clear" w:color="auto" w:fill="97AAD0"/>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200" w:type="dxa"/>
            <w:vAlign w:val="bottom"/>
            <w:tcBorders>
              <w:top w:val="single" w:sz="8" w:color="auto"/>
            </w:tcBorders>
            <w:vMerge w:val="restart"/>
            <w:shd w:val="clear" w:color="auto" w:fill="E5E9F3"/>
          </w:tcPr>
          <w:p>
            <w:pPr>
              <w:ind w:left="100"/>
              <w:spacing w:after="0"/>
              <w:rPr>
                <w:sz w:val="20"/>
                <w:szCs w:val="20"/>
                <w:color w:val="auto"/>
              </w:rPr>
            </w:pPr>
            <w:r>
              <w:rPr>
                <w:rFonts w:ascii="Arial" w:cs="Arial" w:eastAsia="Arial" w:hAnsi="Arial"/>
                <w:sz w:val="18"/>
                <w:szCs w:val="18"/>
                <w:color w:val="auto"/>
              </w:rPr>
              <w:t>Grant Date(s)</w:t>
            </w:r>
          </w:p>
        </w:tc>
        <w:tc>
          <w:tcPr>
            <w:tcW w:w="1360" w:type="dxa"/>
            <w:vAlign w:val="bottom"/>
            <w:tcBorders>
              <w:top w:val="single" w:sz="8" w:color="auto"/>
            </w:tcBorders>
            <w:shd w:val="clear" w:color="auto" w:fill="E5E9F3"/>
          </w:tcPr>
          <w:p>
            <w:pPr>
              <w:jc w:val="right"/>
              <w:ind w:right="32"/>
              <w:spacing w:after="0" w:line="193" w:lineRule="exact"/>
              <w:rPr>
                <w:sz w:val="20"/>
                <w:szCs w:val="20"/>
                <w:color w:val="auto"/>
              </w:rPr>
            </w:pPr>
            <w:r>
              <w:rPr>
                <w:rFonts w:ascii="Arial" w:cs="Arial" w:eastAsia="Arial" w:hAnsi="Arial"/>
                <w:sz w:val="18"/>
                <w:szCs w:val="18"/>
                <w:color w:val="auto"/>
              </w:rPr>
              <w:t>February 12,</w:t>
            </w:r>
          </w:p>
        </w:tc>
        <w:tc>
          <w:tcPr>
            <w:tcW w:w="1200" w:type="dxa"/>
            <w:vAlign w:val="bottom"/>
            <w:tcBorders>
              <w:top w:val="single" w:sz="8" w:color="auto"/>
            </w:tcBorders>
            <w:shd w:val="clear" w:color="auto" w:fill="E5E9F3"/>
          </w:tcPr>
          <w:p>
            <w:pPr>
              <w:jc w:val="right"/>
              <w:spacing w:after="0" w:line="193" w:lineRule="exact"/>
              <w:rPr>
                <w:sz w:val="20"/>
                <w:szCs w:val="20"/>
                <w:color w:val="auto"/>
              </w:rPr>
            </w:pPr>
            <w:r>
              <w:rPr>
                <w:rFonts w:ascii="Arial" w:cs="Arial" w:eastAsia="Arial" w:hAnsi="Arial"/>
                <w:sz w:val="18"/>
                <w:szCs w:val="18"/>
                <w:color w:val="auto"/>
              </w:rPr>
              <w:t>February 12,</w:t>
            </w:r>
          </w:p>
        </w:tc>
        <w:tc>
          <w:tcPr>
            <w:tcW w:w="1300" w:type="dxa"/>
            <w:vAlign w:val="bottom"/>
            <w:tcBorders>
              <w:top w:val="single" w:sz="8" w:color="auto"/>
            </w:tcBorders>
            <w:shd w:val="clear" w:color="auto" w:fill="E5E9F3"/>
          </w:tcPr>
          <w:p>
            <w:pPr>
              <w:jc w:val="right"/>
              <w:ind w:right="12"/>
              <w:spacing w:after="0" w:line="193" w:lineRule="exact"/>
              <w:rPr>
                <w:sz w:val="20"/>
                <w:szCs w:val="20"/>
                <w:color w:val="auto"/>
              </w:rPr>
            </w:pPr>
            <w:r>
              <w:rPr>
                <w:rFonts w:ascii="Arial" w:cs="Arial" w:eastAsia="Arial" w:hAnsi="Arial"/>
                <w:sz w:val="18"/>
                <w:szCs w:val="18"/>
                <w:color w:val="auto"/>
              </w:rPr>
              <w:t>February 11,</w:t>
            </w:r>
          </w:p>
        </w:tc>
        <w:tc>
          <w:tcPr>
            <w:tcW w:w="1240" w:type="dxa"/>
            <w:vAlign w:val="bottom"/>
            <w:tcBorders>
              <w:top w:val="single" w:sz="8" w:color="auto"/>
            </w:tcBorders>
            <w:shd w:val="clear" w:color="auto" w:fill="E5E9F3"/>
          </w:tcPr>
          <w:p>
            <w:pPr>
              <w:jc w:val="right"/>
              <w:ind w:right="12"/>
              <w:spacing w:after="0" w:line="193" w:lineRule="exact"/>
              <w:rPr>
                <w:sz w:val="20"/>
                <w:szCs w:val="20"/>
                <w:color w:val="auto"/>
              </w:rPr>
            </w:pPr>
            <w:r>
              <w:rPr>
                <w:rFonts w:ascii="Arial" w:cs="Arial" w:eastAsia="Arial" w:hAnsi="Arial"/>
                <w:sz w:val="18"/>
                <w:szCs w:val="18"/>
                <w:color w:val="auto"/>
              </w:rPr>
              <w:t>February 11,</w:t>
            </w:r>
          </w:p>
        </w:tc>
        <w:tc>
          <w:tcPr>
            <w:tcW w:w="1240" w:type="dxa"/>
            <w:vAlign w:val="bottom"/>
            <w:tcBorders>
              <w:top w:val="single" w:sz="8" w:color="auto"/>
            </w:tcBorders>
            <w:shd w:val="clear" w:color="auto" w:fill="E5E9F3"/>
          </w:tcPr>
          <w:p>
            <w:pPr>
              <w:jc w:val="right"/>
              <w:ind w:right="11"/>
              <w:spacing w:after="0" w:line="193" w:lineRule="exact"/>
              <w:rPr>
                <w:sz w:val="20"/>
                <w:szCs w:val="20"/>
                <w:color w:val="auto"/>
              </w:rPr>
            </w:pPr>
            <w:r>
              <w:rPr>
                <w:rFonts w:ascii="Arial" w:cs="Arial" w:eastAsia="Arial" w:hAnsi="Arial"/>
                <w:sz w:val="18"/>
                <w:szCs w:val="18"/>
                <w:color w:val="auto"/>
              </w:rPr>
              <w:t>February 17,</w:t>
            </w:r>
          </w:p>
        </w:tc>
        <w:tc>
          <w:tcPr>
            <w:tcW w:w="1260" w:type="dxa"/>
            <w:vAlign w:val="bottom"/>
            <w:tcBorders>
              <w:top w:val="single" w:sz="8" w:color="auto"/>
            </w:tcBorders>
            <w:shd w:val="clear" w:color="auto" w:fill="E5E9F3"/>
          </w:tcPr>
          <w:p>
            <w:pPr>
              <w:jc w:val="right"/>
              <w:ind w:right="31"/>
              <w:spacing w:after="0" w:line="193" w:lineRule="exact"/>
              <w:rPr>
                <w:sz w:val="20"/>
                <w:szCs w:val="20"/>
                <w:color w:val="auto"/>
              </w:rPr>
            </w:pPr>
            <w:r>
              <w:rPr>
                <w:rFonts w:ascii="Arial" w:cs="Arial" w:eastAsia="Arial" w:hAnsi="Arial"/>
                <w:sz w:val="18"/>
                <w:szCs w:val="18"/>
                <w:color w:val="auto"/>
              </w:rPr>
              <w:t>February 16,</w:t>
            </w:r>
          </w:p>
        </w:tc>
        <w:tc>
          <w:tcPr>
            <w:tcW w:w="0" w:type="dxa"/>
            <w:vAlign w:val="bottom"/>
          </w:tcPr>
          <w:p>
            <w:pPr>
              <w:spacing w:after="0"/>
              <w:rPr>
                <w:sz w:val="1"/>
                <w:szCs w:val="1"/>
                <w:color w:val="auto"/>
              </w:rPr>
            </w:pPr>
          </w:p>
        </w:tc>
      </w:tr>
      <w:tr>
        <w:trPr>
          <w:trHeight w:val="225"/>
        </w:trPr>
        <w:tc>
          <w:tcPr>
            <w:tcW w:w="3200" w:type="dxa"/>
            <w:vAlign w:val="bottom"/>
            <w:vMerge w:val="continue"/>
            <w:shd w:val="clear" w:color="auto" w:fill="E5E9F3"/>
          </w:tcPr>
          <w:p>
            <w:pPr>
              <w:spacing w:after="0"/>
              <w:rPr>
                <w:sz w:val="19"/>
                <w:szCs w:val="19"/>
                <w:color w:val="auto"/>
              </w:rPr>
            </w:pPr>
          </w:p>
        </w:tc>
        <w:tc>
          <w:tcPr>
            <w:tcW w:w="136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2021</w:t>
            </w:r>
          </w:p>
        </w:tc>
        <w:tc>
          <w:tcPr>
            <w:tcW w:w="1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2023</w:t>
            </w:r>
          </w:p>
        </w:tc>
        <w:tc>
          <w:tcPr>
            <w:tcW w:w="12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67"/>
        </w:trPr>
        <w:tc>
          <w:tcPr>
            <w:tcW w:w="3200" w:type="dxa"/>
            <w:vAlign w:val="bottom"/>
          </w:tcPr>
          <w:p>
            <w:pPr>
              <w:ind w:left="100"/>
              <w:spacing w:after="0"/>
              <w:rPr>
                <w:sz w:val="20"/>
                <w:szCs w:val="20"/>
                <w:color w:val="auto"/>
              </w:rPr>
            </w:pPr>
            <w:r>
              <w:rPr>
                <w:rFonts w:ascii="Arial" w:cs="Arial" w:eastAsia="Arial" w:hAnsi="Arial"/>
                <w:sz w:val="18"/>
                <w:szCs w:val="18"/>
                <w:color w:val="auto"/>
              </w:rPr>
              <w:t>Performance Period (years)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2021</w:t>
            </w:r>
          </w:p>
        </w:tc>
        <w:tc>
          <w:tcPr>
            <w:tcW w:w="1200" w:type="dxa"/>
            <w:vAlign w:val="bottom"/>
          </w:tcPr>
          <w:p>
            <w:pPr>
              <w:jc w:val="right"/>
              <w:spacing w:after="0"/>
              <w:rPr>
                <w:sz w:val="20"/>
                <w:szCs w:val="20"/>
                <w:color w:val="auto"/>
              </w:rPr>
            </w:pPr>
            <w:r>
              <w:rPr>
                <w:rFonts w:ascii="Arial" w:cs="Arial" w:eastAsia="Arial" w:hAnsi="Arial"/>
                <w:sz w:val="18"/>
                <w:szCs w:val="18"/>
                <w:color w:val="auto"/>
              </w:rPr>
              <w:t>2021-2022</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2022-2024</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2022-2024</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2023-2025</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2024-2026</w:t>
            </w:r>
          </w:p>
        </w:tc>
        <w:tc>
          <w:tcPr>
            <w:tcW w:w="0" w:type="dxa"/>
            <w:vAlign w:val="bottom"/>
          </w:tcPr>
          <w:p>
            <w:pPr>
              <w:spacing w:after="0"/>
              <w:rPr>
                <w:sz w:val="1"/>
                <w:szCs w:val="1"/>
                <w:color w:val="auto"/>
              </w:rPr>
            </w:pPr>
          </w:p>
        </w:tc>
      </w:tr>
      <w:tr>
        <w:trPr>
          <w:trHeight w:val="203"/>
        </w:trPr>
        <w:tc>
          <w:tcPr>
            <w:tcW w:w="3200" w:type="dxa"/>
            <w:vAlign w:val="bottom"/>
            <w:vMerge w:val="restart"/>
            <w:shd w:val="clear" w:color="auto" w:fill="E5E9F3"/>
          </w:tcPr>
          <w:p>
            <w:pPr>
              <w:ind w:left="100"/>
              <w:spacing w:after="0"/>
              <w:rPr>
                <w:sz w:val="20"/>
                <w:szCs w:val="20"/>
                <w:color w:val="auto"/>
              </w:rPr>
            </w:pPr>
            <w:r>
              <w:rPr>
                <w:rFonts w:ascii="Arial" w:cs="Arial" w:eastAsia="Arial" w:hAnsi="Arial"/>
                <w:sz w:val="18"/>
                <w:szCs w:val="18"/>
                <w:color w:val="auto"/>
              </w:rPr>
              <w:t>Vesting Date</w:t>
            </w:r>
            <w:r>
              <w:rPr>
                <w:rFonts w:ascii="Arial" w:cs="Arial" w:eastAsia="Arial" w:hAnsi="Arial"/>
                <w:sz w:val="24"/>
                <w:szCs w:val="24"/>
                <w:color w:val="auto"/>
                <w:vertAlign w:val="superscript"/>
              </w:rPr>
              <w:t>(1)</w:t>
            </w:r>
          </w:p>
        </w:tc>
        <w:tc>
          <w:tcPr>
            <w:tcW w:w="1360" w:type="dxa"/>
            <w:vAlign w:val="bottom"/>
            <w:shd w:val="clear" w:color="auto" w:fill="E5E9F3"/>
          </w:tcPr>
          <w:p>
            <w:pPr>
              <w:jc w:val="right"/>
              <w:ind w:right="32"/>
              <w:spacing w:after="0" w:line="203" w:lineRule="exact"/>
              <w:rPr>
                <w:sz w:val="20"/>
                <w:szCs w:val="20"/>
                <w:color w:val="auto"/>
              </w:rPr>
            </w:pPr>
            <w:r>
              <w:rPr>
                <w:rFonts w:ascii="Arial" w:cs="Arial" w:eastAsia="Arial" w:hAnsi="Arial"/>
                <w:sz w:val="18"/>
                <w:szCs w:val="18"/>
                <w:color w:val="auto"/>
              </w:rPr>
              <w:t>February</w:t>
            </w:r>
          </w:p>
        </w:tc>
        <w:tc>
          <w:tcPr>
            <w:tcW w:w="1200" w:type="dxa"/>
            <w:vAlign w:val="bottom"/>
            <w:shd w:val="clear" w:color="auto" w:fill="E5E9F3"/>
          </w:tcPr>
          <w:p>
            <w:pPr>
              <w:jc w:val="right"/>
              <w:spacing w:after="0" w:line="203" w:lineRule="exact"/>
              <w:rPr>
                <w:sz w:val="20"/>
                <w:szCs w:val="20"/>
                <w:color w:val="auto"/>
              </w:rPr>
            </w:pPr>
            <w:r>
              <w:rPr>
                <w:rFonts w:ascii="Arial" w:cs="Arial" w:eastAsia="Arial" w:hAnsi="Arial"/>
                <w:sz w:val="18"/>
                <w:szCs w:val="18"/>
                <w:color w:val="auto"/>
              </w:rPr>
              <w:t>February</w:t>
            </w:r>
          </w:p>
        </w:tc>
        <w:tc>
          <w:tcPr>
            <w:tcW w:w="1300" w:type="dxa"/>
            <w:vAlign w:val="bottom"/>
            <w:shd w:val="clear" w:color="auto" w:fill="E5E9F3"/>
          </w:tcPr>
          <w:p>
            <w:pPr>
              <w:jc w:val="right"/>
              <w:ind w:right="12"/>
              <w:spacing w:after="0" w:line="203" w:lineRule="exact"/>
              <w:rPr>
                <w:sz w:val="20"/>
                <w:szCs w:val="20"/>
                <w:color w:val="auto"/>
              </w:rPr>
            </w:pPr>
            <w:r>
              <w:rPr>
                <w:rFonts w:ascii="Arial" w:cs="Arial" w:eastAsia="Arial" w:hAnsi="Arial"/>
                <w:sz w:val="18"/>
                <w:szCs w:val="18"/>
                <w:color w:val="auto"/>
              </w:rPr>
              <w:t>February</w:t>
            </w:r>
          </w:p>
        </w:tc>
        <w:tc>
          <w:tcPr>
            <w:tcW w:w="1240" w:type="dxa"/>
            <w:vAlign w:val="bottom"/>
            <w:shd w:val="clear" w:color="auto" w:fill="E5E9F3"/>
          </w:tcPr>
          <w:p>
            <w:pPr>
              <w:jc w:val="right"/>
              <w:ind w:right="12"/>
              <w:spacing w:after="0" w:line="203" w:lineRule="exact"/>
              <w:rPr>
                <w:sz w:val="20"/>
                <w:szCs w:val="20"/>
                <w:color w:val="auto"/>
              </w:rPr>
            </w:pPr>
            <w:r>
              <w:rPr>
                <w:rFonts w:ascii="Arial" w:cs="Arial" w:eastAsia="Arial" w:hAnsi="Arial"/>
                <w:sz w:val="18"/>
                <w:szCs w:val="18"/>
                <w:color w:val="auto"/>
              </w:rPr>
              <w:t>February</w:t>
            </w:r>
          </w:p>
        </w:tc>
        <w:tc>
          <w:tcPr>
            <w:tcW w:w="1240" w:type="dxa"/>
            <w:vAlign w:val="bottom"/>
            <w:shd w:val="clear" w:color="auto" w:fill="E5E9F3"/>
          </w:tcPr>
          <w:p>
            <w:pPr>
              <w:jc w:val="right"/>
              <w:ind w:right="11"/>
              <w:spacing w:after="0" w:line="203" w:lineRule="exact"/>
              <w:rPr>
                <w:sz w:val="20"/>
                <w:szCs w:val="20"/>
                <w:color w:val="auto"/>
              </w:rPr>
            </w:pPr>
            <w:r>
              <w:rPr>
                <w:rFonts w:ascii="Arial" w:cs="Arial" w:eastAsia="Arial" w:hAnsi="Arial"/>
                <w:sz w:val="18"/>
                <w:szCs w:val="18"/>
                <w:color w:val="auto"/>
              </w:rPr>
              <w:t>February</w:t>
            </w:r>
          </w:p>
        </w:tc>
        <w:tc>
          <w:tcPr>
            <w:tcW w:w="1260" w:type="dxa"/>
            <w:vAlign w:val="bottom"/>
            <w:shd w:val="clear" w:color="auto" w:fill="E5E9F3"/>
          </w:tcPr>
          <w:p>
            <w:pPr>
              <w:jc w:val="right"/>
              <w:ind w:right="31"/>
              <w:spacing w:after="0" w:line="203" w:lineRule="exact"/>
              <w:rPr>
                <w:sz w:val="20"/>
                <w:szCs w:val="20"/>
                <w:color w:val="auto"/>
              </w:rPr>
            </w:pPr>
            <w:r>
              <w:rPr>
                <w:rFonts w:ascii="Arial" w:cs="Arial" w:eastAsia="Arial" w:hAnsi="Arial"/>
                <w:sz w:val="18"/>
                <w:szCs w:val="18"/>
                <w:color w:val="auto"/>
              </w:rPr>
              <w:t>February</w:t>
            </w:r>
          </w:p>
        </w:tc>
        <w:tc>
          <w:tcPr>
            <w:tcW w:w="0" w:type="dxa"/>
            <w:vAlign w:val="bottom"/>
          </w:tcPr>
          <w:p>
            <w:pPr>
              <w:spacing w:after="0"/>
              <w:rPr>
                <w:sz w:val="1"/>
                <w:szCs w:val="1"/>
                <w:color w:val="auto"/>
              </w:rPr>
            </w:pPr>
          </w:p>
        </w:tc>
      </w:tr>
      <w:tr>
        <w:trPr>
          <w:trHeight w:val="225"/>
        </w:trPr>
        <w:tc>
          <w:tcPr>
            <w:tcW w:w="3200" w:type="dxa"/>
            <w:vAlign w:val="bottom"/>
            <w:vMerge w:val="continue"/>
            <w:shd w:val="clear" w:color="auto" w:fill="E5E9F3"/>
          </w:tcPr>
          <w:p>
            <w:pPr>
              <w:spacing w:after="0"/>
              <w:rPr>
                <w:sz w:val="19"/>
                <w:szCs w:val="19"/>
                <w:color w:val="auto"/>
              </w:rPr>
            </w:pPr>
          </w:p>
        </w:tc>
        <w:tc>
          <w:tcPr>
            <w:tcW w:w="136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2023</w:t>
            </w:r>
          </w:p>
        </w:tc>
        <w:tc>
          <w:tcPr>
            <w:tcW w:w="130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2025</w:t>
            </w:r>
          </w:p>
        </w:tc>
        <w:tc>
          <w:tcPr>
            <w:tcW w:w="124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2025</w:t>
            </w:r>
          </w:p>
        </w:tc>
        <w:tc>
          <w:tcPr>
            <w:tcW w:w="124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2026</w:t>
            </w:r>
          </w:p>
        </w:tc>
        <w:tc>
          <w:tcPr>
            <w:tcW w:w="12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67"/>
        </w:trPr>
        <w:tc>
          <w:tcPr>
            <w:tcW w:w="3200" w:type="dxa"/>
            <w:vAlign w:val="bottom"/>
          </w:tcPr>
          <w:p>
            <w:pPr>
              <w:ind w:left="100"/>
              <w:spacing w:after="0"/>
              <w:rPr>
                <w:sz w:val="20"/>
                <w:szCs w:val="20"/>
                <w:color w:val="auto"/>
              </w:rPr>
            </w:pPr>
            <w:r>
              <w:rPr>
                <w:rFonts w:ascii="Arial" w:cs="Arial" w:eastAsia="Arial" w:hAnsi="Arial"/>
                <w:sz w:val="18"/>
                <w:szCs w:val="18"/>
                <w:color w:val="auto"/>
              </w:rPr>
              <w:t>Payout Levels (in units):</w:t>
            </w:r>
          </w:p>
        </w:tc>
        <w:tc>
          <w:tcPr>
            <w:tcW w:w="1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Threshold Award</w:t>
            </w:r>
          </w:p>
        </w:tc>
        <w:tc>
          <w:tcPr>
            <w:tcW w:w="136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61,076</w:t>
            </w:r>
          </w:p>
        </w:tc>
        <w:tc>
          <w:tcPr>
            <w:tcW w:w="1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39,882</w:t>
            </w:r>
          </w:p>
        </w:tc>
        <w:tc>
          <w:tcPr>
            <w:tcW w:w="130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3200" w:type="dxa"/>
            <w:vAlign w:val="bottom"/>
          </w:tcPr>
          <w:p>
            <w:pPr>
              <w:ind w:left="300"/>
              <w:spacing w:after="0"/>
              <w:rPr>
                <w:sz w:val="20"/>
                <w:szCs w:val="20"/>
                <w:color w:val="auto"/>
              </w:rPr>
            </w:pPr>
            <w:r>
              <w:rPr>
                <w:rFonts w:ascii="Arial" w:cs="Arial" w:eastAsia="Arial" w:hAnsi="Arial"/>
                <w:sz w:val="18"/>
                <w:szCs w:val="18"/>
                <w:color w:val="auto"/>
              </w:rPr>
              <w:t>Target Award</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122,152</w:t>
            </w:r>
          </w:p>
        </w:tc>
        <w:tc>
          <w:tcPr>
            <w:tcW w:w="1200" w:type="dxa"/>
            <w:vAlign w:val="bottom"/>
          </w:tcPr>
          <w:p>
            <w:pPr>
              <w:jc w:val="right"/>
              <w:spacing w:after="0"/>
              <w:rPr>
                <w:sz w:val="20"/>
                <w:szCs w:val="20"/>
                <w:color w:val="auto"/>
              </w:rPr>
            </w:pPr>
            <w:r>
              <w:rPr>
                <w:rFonts w:ascii="Arial" w:cs="Arial" w:eastAsia="Arial" w:hAnsi="Arial"/>
                <w:sz w:val="18"/>
                <w:szCs w:val="18"/>
                <w:color w:val="auto"/>
              </w:rPr>
              <w:t>79,763</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106,116</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28,275</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132,537</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179,099</w:t>
            </w:r>
          </w:p>
        </w:tc>
        <w:tc>
          <w:tcPr>
            <w:tcW w:w="0" w:type="dxa"/>
            <w:vAlign w:val="bottom"/>
          </w:tcPr>
          <w:p>
            <w:pPr>
              <w:spacing w:after="0"/>
              <w:rPr>
                <w:sz w:val="1"/>
                <w:szCs w:val="1"/>
                <w:color w:val="auto"/>
              </w:rPr>
            </w:pPr>
          </w:p>
        </w:tc>
      </w:tr>
      <w:tr>
        <w:trPr>
          <w:trHeight w:val="267"/>
        </w:trPr>
        <w:tc>
          <w:tcPr>
            <w:tcW w:w="32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Outstanding Award</w:t>
            </w:r>
          </w:p>
        </w:tc>
        <w:tc>
          <w:tcPr>
            <w:tcW w:w="1360" w:type="dxa"/>
            <w:vAlign w:val="bottom"/>
            <w:tcBorders>
              <w:bottom w:val="single" w:sz="8" w:color="auto"/>
            </w:tcBorders>
            <w:shd w:val="clear" w:color="auto" w:fill="E5E9F3"/>
          </w:tcPr>
          <w:p>
            <w:pPr>
              <w:jc w:val="right"/>
              <w:ind w:right="32"/>
              <w:spacing w:after="0"/>
              <w:rPr>
                <w:sz w:val="20"/>
                <w:szCs w:val="20"/>
                <w:color w:val="auto"/>
              </w:rPr>
            </w:pPr>
            <w:r>
              <w:rPr>
                <w:rFonts w:ascii="Arial" w:cs="Arial" w:eastAsia="Arial" w:hAnsi="Arial"/>
                <w:sz w:val="18"/>
                <w:szCs w:val="18"/>
                <w:color w:val="auto"/>
              </w:rPr>
              <w:t>244,304</w:t>
            </w:r>
          </w:p>
        </w:tc>
        <w:tc>
          <w:tcPr>
            <w:tcW w:w="1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159,526</w:t>
            </w:r>
          </w:p>
        </w:tc>
        <w:tc>
          <w:tcPr>
            <w:tcW w:w="1300" w:type="dxa"/>
            <w:vAlign w:val="bottom"/>
            <w:tcBorders>
              <w:bottom w:val="single" w:sz="8" w:color="auto"/>
            </w:tcBorders>
            <w:shd w:val="clear" w:color="auto" w:fill="E5E9F3"/>
          </w:tcPr>
          <w:p>
            <w:pPr>
              <w:jc w:val="right"/>
              <w:ind w:right="12"/>
              <w:spacing w:after="0"/>
              <w:rPr>
                <w:sz w:val="20"/>
                <w:szCs w:val="20"/>
                <w:color w:val="auto"/>
              </w:rPr>
            </w:pPr>
            <w:r>
              <w:rPr>
                <w:rFonts w:ascii="Arial" w:cs="Arial" w:eastAsia="Arial" w:hAnsi="Arial"/>
                <w:sz w:val="18"/>
                <w:szCs w:val="18"/>
                <w:color w:val="auto"/>
              </w:rPr>
              <w:t>212,232</w:t>
            </w:r>
          </w:p>
        </w:tc>
        <w:tc>
          <w:tcPr>
            <w:tcW w:w="1240" w:type="dxa"/>
            <w:vAlign w:val="bottom"/>
            <w:tcBorders>
              <w:bottom w:val="single" w:sz="8" w:color="auto"/>
            </w:tcBorders>
            <w:shd w:val="clear" w:color="auto" w:fill="E5E9F3"/>
          </w:tcPr>
          <w:p>
            <w:pPr>
              <w:jc w:val="right"/>
              <w:ind w:right="12"/>
              <w:spacing w:after="0"/>
              <w:rPr>
                <w:sz w:val="20"/>
                <w:szCs w:val="20"/>
                <w:color w:val="auto"/>
              </w:rPr>
            </w:pPr>
            <w:r>
              <w:rPr>
                <w:rFonts w:ascii="Arial" w:cs="Arial" w:eastAsia="Arial" w:hAnsi="Arial"/>
                <w:sz w:val="18"/>
                <w:szCs w:val="18"/>
                <w:color w:val="auto"/>
              </w:rPr>
              <w:t>84,826</w:t>
            </w:r>
          </w:p>
        </w:tc>
        <w:tc>
          <w:tcPr>
            <w:tcW w:w="124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265,074</w:t>
            </w:r>
          </w:p>
        </w:tc>
        <w:tc>
          <w:tcPr>
            <w:tcW w:w="12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358,198</w:t>
            </w:r>
          </w:p>
        </w:tc>
        <w:tc>
          <w:tcPr>
            <w:tcW w:w="0" w:type="dxa"/>
            <w:vAlign w:val="bottom"/>
          </w:tcPr>
          <w:p>
            <w:pPr>
              <w:spacing w:after="0"/>
              <w:rPr>
                <w:sz w:val="1"/>
                <w:szCs w:val="1"/>
                <w:color w:val="auto"/>
              </w:rPr>
            </w:pPr>
          </w:p>
        </w:tc>
      </w:tr>
      <w:tr>
        <w:trPr>
          <w:trHeight w:val="257"/>
        </w:trPr>
        <w:tc>
          <w:tcPr>
            <w:tcW w:w="3200" w:type="dxa"/>
            <w:vAlign w:val="bottom"/>
          </w:tcPr>
          <w:p>
            <w:pPr>
              <w:ind w:left="100"/>
              <w:spacing w:after="0"/>
              <w:rPr>
                <w:sz w:val="20"/>
                <w:szCs w:val="20"/>
                <w:color w:val="auto"/>
              </w:rPr>
            </w:pPr>
            <w:r>
              <w:rPr>
                <w:rFonts w:ascii="Arial" w:cs="Arial" w:eastAsia="Arial" w:hAnsi="Arial"/>
                <w:sz w:val="18"/>
                <w:szCs w:val="18"/>
                <w:color w:val="auto"/>
              </w:rPr>
              <w:t>Shares Issued in 2024</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238,726</w:t>
            </w: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7"/>
        </w:trPr>
        <w:tc>
          <w:tcPr>
            <w:tcW w:w="32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Shares Issued in 2023</w:t>
            </w:r>
          </w:p>
        </w:tc>
        <w:tc>
          <w:tcPr>
            <w:tcW w:w="136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159,526</w:t>
            </w:r>
          </w:p>
        </w:tc>
        <w:tc>
          <w:tcPr>
            <w:tcW w:w="130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E9F3"/>
          </w:tcPr>
          <w:p>
            <w:pPr>
              <w:jc w:val="right"/>
              <w:ind w:right="12"/>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line="203" w:lineRule="exact"/>
              <w:rPr>
                <w:sz w:val="20"/>
                <w:szCs w:val="20"/>
                <w:color w:val="auto"/>
              </w:rPr>
            </w:pPr>
            <w:r>
              <w:rPr>
                <w:rFonts w:ascii="Arial" w:cs="Arial" w:eastAsia="Arial" w:hAnsi="Arial"/>
                <w:sz w:val="18"/>
                <w:szCs w:val="18"/>
                <w:color w:val="auto"/>
              </w:rPr>
              <w:t>Payout Achieved Over Performance</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238,726</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159,526</w:t>
            </w: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67,422</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N/A</w:t>
            </w:r>
          </w:p>
        </w:tc>
        <w:tc>
          <w:tcPr>
            <w:tcW w:w="1260" w:type="dxa"/>
            <w:vAlign w:val="bottom"/>
            <w:vMerge w:val="restart"/>
          </w:tcPr>
          <w:p>
            <w:pPr>
              <w:jc w:val="right"/>
              <w:ind w:right="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5"/>
        </w:trPr>
        <w:tc>
          <w:tcPr>
            <w:tcW w:w="32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Period</w:t>
            </w:r>
          </w:p>
        </w:tc>
        <w:tc>
          <w:tcPr>
            <w:tcW w:w="13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tabs>
          <w:tab w:leader="none" w:pos="320" w:val="left"/>
        </w:tabs>
        <w:numPr>
          <w:ilvl w:val="0"/>
          <w:numId w:val="44"/>
        </w:numPr>
        <w:rPr>
          <w:rFonts w:ascii="Arial" w:cs="Arial" w:eastAsia="Arial" w:hAnsi="Arial"/>
          <w:sz w:val="10"/>
          <w:szCs w:val="10"/>
          <w:color w:val="auto"/>
        </w:rPr>
      </w:pPr>
      <w:r>
        <w:rPr>
          <w:rFonts w:ascii="Arial" w:cs="Arial" w:eastAsia="Arial" w:hAnsi="Arial"/>
          <w:sz w:val="16"/>
          <w:szCs w:val="16"/>
          <w:color w:val="auto"/>
        </w:rPr>
        <w:t>Awards are scheduled to vest after the Committee determines the achievement of the performance criteria.</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$6.1, $7.2 and $15.6 in 2024, 2023 and 2022, respectively, related to the performance share units. The lower expense in 2024 and 2023 compared to 2022 resulted from lower estimated payout levels for all the grants.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Savings Related Share Option Scheme</w:t>
      </w:r>
    </w:p>
    <w:p>
      <w:pPr>
        <w:spacing w:after="0" w:line="222"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We also maintain the Savings Related Share Option Scheme for United Kingdom employees with at least two years of service. The employees are offered the opportunity to obtain an option for a specified number of shares of common stock at 85% of its market value on the day prior to the offer to participate in the plan. Options vest after three years, but may lapse earlier. Funds used to purchase the shares are accumulated through specified payroll deductions over a 36-month period. We recognized expense of $0.4, $0.2 and $0.3 in 2024, 2023 and 2022, respectively, for shares purchased under the plan.</w:t>
      </w:r>
    </w:p>
    <w:p>
      <w:pPr>
        <w:spacing w:after="0" w:line="101" w:lineRule="exact"/>
        <w:rPr>
          <w:sz w:val="20"/>
          <w:szCs w:val="20"/>
          <w:color w:val="auto"/>
        </w:rPr>
      </w:pPr>
    </w:p>
    <w:p>
      <w:pPr>
        <w:ind w:left="420" w:hanging="420"/>
        <w:spacing w:after="0"/>
        <w:tabs>
          <w:tab w:leader="none" w:pos="420" w:val="left"/>
        </w:tabs>
        <w:numPr>
          <w:ilvl w:val="0"/>
          <w:numId w:val="45"/>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Acquisitions and Dispositions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Acquisitions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From time to time, we acquire and invest in companies throughout the world, including franchises. The total cash consideration paid for acquisitions, net of cash acquired, for the years ended December 31, 2024, 2023, and 2022 was $7.7, $0.0 and $20.2, respectively. The 2024 payments represent a consideration payment for a franchise in the United States and contingent consideration payments related to a previous acquisition. The 2022 payments primarily represent a consideration payment for the acquisition of Tingari, a talent solutions company in France. Also included in the 2022 payments are consideration payments for franchises in the United States and contingent consideration payments related to previous acquisitions, of which $3.8 had been recognized as a liability at the acquisition date.</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of December 31, 2024, goodwill and other intangible assets resulting from the 2024 acquisitions were $1.4 and $3.1, respectively. We did not make any acquisitions in 2023.</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10800"/>
          </w:cols>
          <w:pgMar w:left="720" w:top="734" w:right="720" w:bottom="175" w:gutter="0" w:footer="0" w:header="0"/>
          <w:type w:val="continuous"/>
        </w:sectPr>
      </w:pPr>
    </w:p>
    <w:bookmarkStart w:id="73" w:name="page74"/>
    <w:bookmarkEnd w:id="7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99" o:spid="_x0000_s112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Dispositions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Occasionally, we dispose of parts of our operations based on risk considerations and to optimize our global strategic and geographic footprint as well as improve our overall efficiency. 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and $324.2 of revenues for the year ended December 31, 2023 and 2022, respectively.</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spacing w:after="0" w:line="200" w:lineRule="exact"/>
        <w:rPr>
          <w:sz w:val="20"/>
          <w:szCs w:val="20"/>
          <w:color w:val="auto"/>
        </w:rPr>
      </w:pPr>
    </w:p>
    <w:p>
      <w:pPr>
        <w:spacing w:after="0" w:line="254" w:lineRule="exact"/>
        <w:rPr>
          <w:sz w:val="20"/>
          <w:szCs w:val="20"/>
          <w:color w:val="auto"/>
        </w:rPr>
      </w:pPr>
    </w:p>
    <w:p>
      <w:pPr>
        <w:ind w:left="420" w:hanging="420"/>
        <w:spacing w:after="0"/>
        <w:tabs>
          <w:tab w:leader="none" w:pos="420" w:val="left"/>
        </w:tabs>
        <w:numPr>
          <w:ilvl w:val="0"/>
          <w:numId w:val="46"/>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provision for income taxes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78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94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00" w:type="dxa"/>
            <w:vAlign w:val="bottom"/>
            <w:tcBorders>
              <w:top w:val="single" w:sz="8" w:color="auto"/>
              <w:bottom w:val="single" w:sz="8" w:color="auto"/>
            </w:tcBorders>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243"/>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Current</w:t>
            </w:r>
          </w:p>
        </w:tc>
        <w:tc>
          <w:tcPr>
            <w:tcW w:w="2940" w:type="dxa"/>
            <w:vAlign w:val="bottom"/>
            <w:shd w:val="clear" w:color="auto" w:fill="E5E9F3"/>
          </w:tcPr>
          <w:p>
            <w:pPr>
              <w:spacing w:after="0"/>
              <w:rPr>
                <w:sz w:val="21"/>
                <w:szCs w:val="21"/>
                <w:color w:val="auto"/>
              </w:rPr>
            </w:pPr>
          </w:p>
        </w:tc>
        <w:tc>
          <w:tcPr>
            <w:tcW w:w="860" w:type="dxa"/>
            <w:vAlign w:val="bottom"/>
            <w:shd w:val="clear" w:color="auto" w:fill="E5E9F3"/>
          </w:tcPr>
          <w:p>
            <w:pPr>
              <w:spacing w:after="0"/>
              <w:rPr>
                <w:sz w:val="21"/>
                <w:szCs w:val="21"/>
                <w:color w:val="auto"/>
              </w:rPr>
            </w:pPr>
          </w:p>
        </w:tc>
        <w:tc>
          <w:tcPr>
            <w:tcW w:w="280" w:type="dxa"/>
            <w:vAlign w:val="bottom"/>
            <w:shd w:val="clear" w:color="auto" w:fill="E5E9F3"/>
          </w:tcPr>
          <w:p>
            <w:pPr>
              <w:spacing w:after="0"/>
              <w:rPr>
                <w:sz w:val="21"/>
                <w:szCs w:val="21"/>
                <w:color w:val="auto"/>
              </w:rPr>
            </w:pPr>
          </w:p>
        </w:tc>
        <w:tc>
          <w:tcPr>
            <w:tcW w:w="860" w:type="dxa"/>
            <w:vAlign w:val="bottom"/>
            <w:shd w:val="clear" w:color="auto" w:fill="E5E9F3"/>
          </w:tcPr>
          <w:p>
            <w:pPr>
              <w:spacing w:after="0"/>
              <w:rPr>
                <w:sz w:val="21"/>
                <w:szCs w:val="21"/>
                <w:color w:val="auto"/>
              </w:rPr>
            </w:pPr>
          </w:p>
        </w:tc>
        <w:tc>
          <w:tcPr>
            <w:tcW w:w="280" w:type="dxa"/>
            <w:vAlign w:val="bottom"/>
            <w:shd w:val="clear" w:color="auto" w:fill="E5E9F3"/>
          </w:tcPr>
          <w:p>
            <w:pPr>
              <w:spacing w:after="0"/>
              <w:rPr>
                <w:sz w:val="21"/>
                <w:szCs w:val="21"/>
                <w:color w:val="auto"/>
              </w:rPr>
            </w:pPr>
          </w:p>
        </w:tc>
        <w:tc>
          <w:tcPr>
            <w:tcW w:w="800" w:type="dxa"/>
            <w:vAlign w:val="bottom"/>
            <w:shd w:val="clear" w:color="auto" w:fill="E5E9F3"/>
          </w:tcPr>
          <w:p>
            <w:pPr>
              <w:spacing w:after="0"/>
              <w:rPr>
                <w:sz w:val="21"/>
                <w:szCs w:val="21"/>
                <w:color w:val="auto"/>
              </w:rPr>
            </w:pPr>
          </w:p>
        </w:tc>
      </w:tr>
      <w:tr>
        <w:trPr>
          <w:trHeight w:val="253"/>
        </w:trPr>
        <w:tc>
          <w:tcPr>
            <w:tcW w:w="47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2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3"/>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Federal</w:t>
            </w:r>
          </w:p>
        </w:tc>
        <w:tc>
          <w:tcPr>
            <w:tcW w:w="29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(2.9)</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17.6</w:t>
            </w:r>
          </w:p>
        </w:tc>
      </w:tr>
      <w:tr>
        <w:trPr>
          <w:trHeight w:val="253"/>
        </w:trPr>
        <w:tc>
          <w:tcPr>
            <w:tcW w:w="4780" w:type="dxa"/>
            <w:vAlign w:val="bottom"/>
          </w:tcPr>
          <w:p>
            <w:pPr>
              <w:ind w:left="300"/>
              <w:spacing w:after="0"/>
              <w:rPr>
                <w:sz w:val="20"/>
                <w:szCs w:val="20"/>
                <w:color w:val="auto"/>
              </w:rPr>
            </w:pPr>
            <w:r>
              <w:rPr>
                <w:rFonts w:ascii="Arial" w:cs="Arial" w:eastAsia="Arial" w:hAnsi="Arial"/>
                <w:sz w:val="18"/>
                <w:szCs w:val="18"/>
                <w:color w:val="auto"/>
              </w:rPr>
              <w:t>State</w:t>
            </w:r>
          </w:p>
        </w:tc>
        <w:tc>
          <w:tcPr>
            <w:tcW w:w="29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53"/>
        </w:trPr>
        <w:tc>
          <w:tcPr>
            <w:tcW w:w="47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Non-United States</w:t>
            </w:r>
          </w:p>
        </w:tc>
        <w:tc>
          <w:tcPr>
            <w:tcW w:w="294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111"/>
              <w:spacing w:after="0"/>
              <w:rPr>
                <w:sz w:val="20"/>
                <w:szCs w:val="20"/>
                <w:color w:val="auto"/>
              </w:rPr>
            </w:pPr>
            <w:r>
              <w:rPr>
                <w:rFonts w:ascii="Arial" w:cs="Arial" w:eastAsia="Arial" w:hAnsi="Arial"/>
                <w:sz w:val="18"/>
                <w:szCs w:val="18"/>
                <w:color w:val="auto"/>
              </w:rPr>
              <w:t>140.9</w:t>
            </w:r>
          </w:p>
        </w:tc>
        <w:tc>
          <w:tcPr>
            <w:tcW w:w="28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133.3</w:t>
            </w:r>
          </w:p>
        </w:tc>
        <w:tc>
          <w:tcPr>
            <w:tcW w:w="280" w:type="dxa"/>
            <w:vAlign w:val="bottom"/>
            <w:tcBorders>
              <w:bottom w:val="single" w:sz="8" w:color="auto"/>
            </w:tcBorders>
            <w:shd w:val="clear" w:color="auto" w:fill="E5E9F3"/>
          </w:tcPr>
          <w:p>
            <w:pPr>
              <w:spacing w:after="0"/>
              <w:rPr>
                <w:sz w:val="22"/>
                <w:szCs w:val="22"/>
                <w:color w:val="auto"/>
              </w:rPr>
            </w:pP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154.1</w:t>
            </w:r>
          </w:p>
        </w:tc>
      </w:tr>
      <w:tr>
        <w:trPr>
          <w:trHeight w:val="243"/>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current</w:t>
            </w:r>
          </w:p>
        </w:tc>
        <w:tc>
          <w:tcPr>
            <w:tcW w:w="29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144.1</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137.7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178.5</w:t>
            </w:r>
          </w:p>
        </w:tc>
      </w:tr>
      <w:tr>
        <w:trPr>
          <w:trHeight w:val="243"/>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Deferred</w:t>
            </w:r>
          </w:p>
        </w:tc>
        <w:tc>
          <w:tcPr>
            <w:tcW w:w="2940" w:type="dxa"/>
            <w:vAlign w:val="bottom"/>
            <w:shd w:val="clear" w:color="auto" w:fill="E5E9F3"/>
          </w:tcPr>
          <w:p>
            <w:pPr>
              <w:spacing w:after="0"/>
              <w:rPr>
                <w:sz w:val="21"/>
                <w:szCs w:val="21"/>
                <w:color w:val="auto"/>
              </w:rPr>
            </w:pPr>
          </w:p>
        </w:tc>
        <w:tc>
          <w:tcPr>
            <w:tcW w:w="860" w:type="dxa"/>
            <w:vAlign w:val="bottom"/>
            <w:shd w:val="clear" w:color="auto" w:fill="E5E9F3"/>
          </w:tcPr>
          <w:p>
            <w:pPr>
              <w:spacing w:after="0"/>
              <w:rPr>
                <w:sz w:val="21"/>
                <w:szCs w:val="21"/>
                <w:color w:val="auto"/>
              </w:rPr>
            </w:pPr>
          </w:p>
        </w:tc>
        <w:tc>
          <w:tcPr>
            <w:tcW w:w="280" w:type="dxa"/>
            <w:vAlign w:val="bottom"/>
            <w:shd w:val="clear" w:color="auto" w:fill="E5E9F3"/>
          </w:tcPr>
          <w:p>
            <w:pPr>
              <w:spacing w:after="0"/>
              <w:rPr>
                <w:sz w:val="21"/>
                <w:szCs w:val="21"/>
                <w:color w:val="auto"/>
              </w:rPr>
            </w:pPr>
          </w:p>
        </w:tc>
        <w:tc>
          <w:tcPr>
            <w:tcW w:w="860" w:type="dxa"/>
            <w:vAlign w:val="bottom"/>
            <w:shd w:val="clear" w:color="auto" w:fill="E5E9F3"/>
          </w:tcPr>
          <w:p>
            <w:pPr>
              <w:spacing w:after="0"/>
              <w:rPr>
                <w:sz w:val="21"/>
                <w:szCs w:val="21"/>
                <w:color w:val="auto"/>
              </w:rPr>
            </w:pPr>
          </w:p>
        </w:tc>
        <w:tc>
          <w:tcPr>
            <w:tcW w:w="280" w:type="dxa"/>
            <w:vAlign w:val="bottom"/>
            <w:shd w:val="clear" w:color="auto" w:fill="E5E9F3"/>
          </w:tcPr>
          <w:p>
            <w:pPr>
              <w:spacing w:after="0"/>
              <w:rPr>
                <w:sz w:val="21"/>
                <w:szCs w:val="21"/>
                <w:color w:val="auto"/>
              </w:rPr>
            </w:pPr>
          </w:p>
        </w:tc>
        <w:tc>
          <w:tcPr>
            <w:tcW w:w="800" w:type="dxa"/>
            <w:vAlign w:val="bottom"/>
            <w:shd w:val="clear" w:color="auto" w:fill="E5E9F3"/>
          </w:tcPr>
          <w:p>
            <w:pPr>
              <w:spacing w:after="0"/>
              <w:rPr>
                <w:sz w:val="21"/>
                <w:szCs w:val="21"/>
                <w:color w:val="auto"/>
              </w:rPr>
            </w:pPr>
          </w:p>
        </w:tc>
      </w:tr>
      <w:tr>
        <w:trPr>
          <w:trHeight w:val="253"/>
        </w:trPr>
        <w:tc>
          <w:tcPr>
            <w:tcW w:w="47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2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3"/>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Federal</w:t>
            </w:r>
          </w:p>
        </w:tc>
        <w:tc>
          <w:tcPr>
            <w:tcW w:w="294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(8.6)</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11.2</w:t>
            </w:r>
          </w:p>
        </w:tc>
      </w:tr>
      <w:tr>
        <w:trPr>
          <w:trHeight w:val="253"/>
        </w:trPr>
        <w:tc>
          <w:tcPr>
            <w:tcW w:w="4780" w:type="dxa"/>
            <w:vAlign w:val="bottom"/>
          </w:tcPr>
          <w:p>
            <w:pPr>
              <w:ind w:left="300"/>
              <w:spacing w:after="0"/>
              <w:rPr>
                <w:sz w:val="20"/>
                <w:szCs w:val="20"/>
                <w:color w:val="auto"/>
              </w:rPr>
            </w:pPr>
            <w:r>
              <w:rPr>
                <w:rFonts w:ascii="Arial" w:cs="Arial" w:eastAsia="Arial" w:hAnsi="Arial"/>
                <w:sz w:val="18"/>
                <w:szCs w:val="18"/>
                <w:color w:val="auto"/>
              </w:rPr>
              <w:t>State</w:t>
            </w:r>
          </w:p>
        </w:tc>
        <w:tc>
          <w:tcPr>
            <w:tcW w:w="29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0.9</w:t>
            </w:r>
          </w:p>
        </w:tc>
      </w:tr>
      <w:tr>
        <w:trPr>
          <w:trHeight w:val="253"/>
        </w:trPr>
        <w:tc>
          <w:tcPr>
            <w:tcW w:w="47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Non-United States</w:t>
            </w:r>
          </w:p>
        </w:tc>
        <w:tc>
          <w:tcPr>
            <w:tcW w:w="294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shd w:val="clear" w:color="auto" w:fill="E5E9F3"/>
          </w:tcPr>
          <w:p>
            <w:pPr>
              <w:spacing w:after="0"/>
              <w:rPr>
                <w:sz w:val="22"/>
                <w:szCs w:val="22"/>
                <w:color w:val="auto"/>
              </w:rPr>
            </w:pPr>
          </w:p>
        </w:tc>
        <w:tc>
          <w:tcPr>
            <w:tcW w:w="8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deferred</w:t>
            </w:r>
          </w:p>
        </w:tc>
        <w:tc>
          <w:tcPr>
            <w:tcW w:w="29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r>
      <w:tr>
        <w:trPr>
          <w:trHeight w:val="243"/>
        </w:trPr>
        <w:tc>
          <w:tcPr>
            <w:tcW w:w="47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 provision</w:t>
            </w:r>
          </w:p>
        </w:tc>
        <w:tc>
          <w:tcPr>
            <w:tcW w:w="29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9F3"/>
          </w:tcPr>
          <w:p>
            <w:pPr>
              <w:jc w:val="right"/>
              <w:ind w:right="111"/>
              <w:spacing w:after="0"/>
              <w:rPr>
                <w:sz w:val="20"/>
                <w:szCs w:val="20"/>
                <w:color w:val="auto"/>
              </w:rPr>
            </w:pPr>
            <w:r>
              <w:rPr>
                <w:rFonts w:ascii="Arial" w:cs="Arial" w:eastAsia="Arial" w:hAnsi="Arial"/>
                <w:sz w:val="18"/>
                <w:szCs w:val="18"/>
                <w:color w:val="auto"/>
              </w:rPr>
              <w:t>111.7</w:t>
            </w:r>
          </w:p>
        </w:tc>
        <w:tc>
          <w:tcPr>
            <w:tcW w:w="2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117.1</w:t>
            </w:r>
          </w:p>
        </w:tc>
        <w:tc>
          <w:tcPr>
            <w:tcW w:w="2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183.3</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10800"/>
          </w:cols>
          <w:pgMar w:left="720" w:top="734" w:right="720" w:bottom="175" w:gutter="0" w:footer="0" w:header="0"/>
          <w:type w:val="continuous"/>
        </w:sectPr>
      </w:pPr>
    </w:p>
    <w:bookmarkStart w:id="74" w:name="page75"/>
    <w:bookmarkEnd w:id="74"/>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0" o:spid="_x0000_s112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393"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A tax reconciliation between taxes computed at the United States federal statutory rate of 21% and the consolidated effective tax rate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72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00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00" w:type="dxa"/>
            <w:vAlign w:val="bottom"/>
            <w:tcBorders>
              <w:top w:val="single" w:sz="8" w:color="auto"/>
              <w:bottom w:val="single" w:sz="8" w:color="auto"/>
            </w:tcBorders>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243"/>
        </w:trPr>
        <w:tc>
          <w:tcPr>
            <w:tcW w:w="57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Income tax based on statutory rate</w:t>
            </w:r>
          </w:p>
        </w:tc>
        <w:tc>
          <w:tcPr>
            <w:tcW w:w="20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43.2</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117.0</w:t>
            </w:r>
          </w:p>
        </w:tc>
      </w:tr>
      <w:tr>
        <w:trPr>
          <w:trHeight w:val="253"/>
        </w:trPr>
        <w:tc>
          <w:tcPr>
            <w:tcW w:w="5720" w:type="dxa"/>
            <w:vAlign w:val="bottom"/>
          </w:tcPr>
          <w:p>
            <w:pPr>
              <w:ind w:left="100"/>
              <w:spacing w:after="0"/>
              <w:rPr>
                <w:sz w:val="20"/>
                <w:szCs w:val="20"/>
                <w:color w:val="auto"/>
              </w:rPr>
            </w:pPr>
            <w:r>
              <w:rPr>
                <w:rFonts w:ascii="Arial" w:cs="Arial" w:eastAsia="Arial" w:hAnsi="Arial"/>
                <w:sz w:val="18"/>
                <w:szCs w:val="18"/>
                <w:color w:val="auto"/>
              </w:rPr>
              <w:t>Increase (decrease) resulting from:</w:t>
            </w:r>
          </w:p>
        </w:tc>
        <w:tc>
          <w:tcPr>
            <w:tcW w:w="2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3"/>
        </w:trPr>
        <w:tc>
          <w:tcPr>
            <w:tcW w:w="57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Non-United States tax rate difference:</w:t>
            </w:r>
          </w:p>
        </w:tc>
        <w:tc>
          <w:tcPr>
            <w:tcW w:w="2000" w:type="dxa"/>
            <w:vAlign w:val="bottom"/>
            <w:shd w:val="clear" w:color="auto" w:fill="E5E9F3"/>
          </w:tcPr>
          <w:p>
            <w:pPr>
              <w:spacing w:after="0"/>
              <w:rPr>
                <w:sz w:val="22"/>
                <w:szCs w:val="22"/>
                <w:color w:val="auto"/>
              </w:rPr>
            </w:pPr>
          </w:p>
        </w:tc>
        <w:tc>
          <w:tcPr>
            <w:tcW w:w="860" w:type="dxa"/>
            <w:vAlign w:val="bottom"/>
            <w:shd w:val="clear" w:color="auto" w:fill="E5E9F3"/>
          </w:tcPr>
          <w:p>
            <w:pPr>
              <w:spacing w:after="0"/>
              <w:rPr>
                <w:sz w:val="22"/>
                <w:szCs w:val="22"/>
                <w:color w:val="auto"/>
              </w:rPr>
            </w:pP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spacing w:after="0"/>
              <w:rPr>
                <w:sz w:val="22"/>
                <w:szCs w:val="22"/>
                <w:color w:val="auto"/>
              </w:rPr>
            </w:pP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spacing w:after="0"/>
              <w:rPr>
                <w:sz w:val="22"/>
                <w:szCs w:val="22"/>
                <w:color w:val="auto"/>
              </w:rPr>
            </w:pPr>
          </w:p>
        </w:tc>
      </w:tr>
      <w:tr>
        <w:trPr>
          <w:trHeight w:val="253"/>
        </w:trPr>
        <w:tc>
          <w:tcPr>
            <w:tcW w:w="5720" w:type="dxa"/>
            <w:vAlign w:val="bottom"/>
          </w:tcPr>
          <w:p>
            <w:pPr>
              <w:ind w:left="500"/>
              <w:spacing w:after="0" w:line="253" w:lineRule="exact"/>
              <w:rPr>
                <w:sz w:val="20"/>
                <w:szCs w:val="20"/>
                <w:color w:val="auto"/>
              </w:rPr>
            </w:pPr>
            <w:r>
              <w:rPr>
                <w:rFonts w:ascii="Arial" w:cs="Arial" w:eastAsia="Arial" w:hAnsi="Arial"/>
                <w:sz w:val="18"/>
                <w:szCs w:val="18"/>
                <w:color w:val="auto"/>
              </w:rPr>
              <w:t>French business tax</w:t>
            </w:r>
            <w:r>
              <w:rPr>
                <w:rFonts w:ascii="Arial" w:cs="Arial" w:eastAsia="Arial" w:hAnsi="Arial"/>
                <w:sz w:val="24"/>
                <w:szCs w:val="24"/>
                <w:color w:val="auto"/>
                <w:vertAlign w:val="superscript"/>
              </w:rPr>
              <w:t>(a)</w:t>
            </w:r>
          </w:p>
        </w:tc>
        <w:tc>
          <w:tcPr>
            <w:tcW w:w="20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24.6</w:t>
            </w:r>
          </w:p>
        </w:tc>
      </w:tr>
      <w:tr>
        <w:trPr>
          <w:trHeight w:val="253"/>
        </w:trPr>
        <w:tc>
          <w:tcPr>
            <w:tcW w:w="5720" w:type="dxa"/>
            <w:vAlign w:val="bottom"/>
            <w:shd w:val="clear" w:color="auto" w:fill="E5E9F3"/>
          </w:tcPr>
          <w:p>
            <w:pPr>
              <w:ind w:left="500"/>
              <w:spacing w:after="0" w:line="253"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(b)</w:t>
            </w:r>
          </w:p>
        </w:tc>
        <w:tc>
          <w:tcPr>
            <w:tcW w:w="200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15.2</w:t>
            </w:r>
          </w:p>
        </w:tc>
      </w:tr>
      <w:tr>
        <w:trPr>
          <w:trHeight w:val="253"/>
        </w:trPr>
        <w:tc>
          <w:tcPr>
            <w:tcW w:w="5720" w:type="dxa"/>
            <w:vAlign w:val="bottom"/>
          </w:tcPr>
          <w:p>
            <w:pPr>
              <w:ind w:left="300"/>
              <w:spacing w:after="0"/>
              <w:rPr>
                <w:sz w:val="20"/>
                <w:szCs w:val="20"/>
                <w:color w:val="auto"/>
              </w:rPr>
            </w:pPr>
            <w:r>
              <w:rPr>
                <w:rFonts w:ascii="Arial" w:cs="Arial" w:eastAsia="Arial" w:hAnsi="Arial"/>
                <w:sz w:val="18"/>
                <w:szCs w:val="18"/>
                <w:color w:val="auto"/>
              </w:rPr>
              <w:t>Repatriation of non-United States earnings</w:t>
            </w:r>
          </w:p>
        </w:tc>
        <w:tc>
          <w:tcPr>
            <w:tcW w:w="20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10.7</w:t>
            </w:r>
          </w:p>
        </w:tc>
      </w:tr>
      <w:tr>
        <w:trPr>
          <w:trHeight w:val="253"/>
        </w:trPr>
        <w:tc>
          <w:tcPr>
            <w:tcW w:w="57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State income taxes, net of federal benefit</w:t>
            </w:r>
          </w:p>
        </w:tc>
        <w:tc>
          <w:tcPr>
            <w:tcW w:w="200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5.5</w:t>
            </w:r>
          </w:p>
        </w:tc>
      </w:tr>
      <w:tr>
        <w:trPr>
          <w:trHeight w:val="253"/>
        </w:trPr>
        <w:tc>
          <w:tcPr>
            <w:tcW w:w="5720" w:type="dxa"/>
            <w:vAlign w:val="bottom"/>
          </w:tcPr>
          <w:p>
            <w:pPr>
              <w:ind w:left="300"/>
              <w:spacing w:after="0" w:line="253" w:lineRule="exact"/>
              <w:rPr>
                <w:sz w:val="20"/>
                <w:szCs w:val="20"/>
                <w:color w:val="auto"/>
              </w:rPr>
            </w:pPr>
            <w:r>
              <w:rPr>
                <w:rFonts w:ascii="Arial" w:cs="Arial" w:eastAsia="Arial" w:hAnsi="Arial"/>
                <w:sz w:val="18"/>
                <w:szCs w:val="18"/>
                <w:color w:val="auto"/>
              </w:rPr>
              <w:t>Change in valuation allowance</w:t>
            </w:r>
            <w:r>
              <w:rPr>
                <w:rFonts w:ascii="Arial" w:cs="Arial" w:eastAsia="Arial" w:hAnsi="Arial"/>
                <w:sz w:val="24"/>
                <w:szCs w:val="24"/>
                <w:color w:val="auto"/>
                <w:vertAlign w:val="superscript"/>
              </w:rPr>
              <w:t>(c)</w:t>
            </w:r>
          </w:p>
        </w:tc>
        <w:tc>
          <w:tcPr>
            <w:tcW w:w="20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13.7</w:t>
            </w:r>
          </w:p>
        </w:tc>
      </w:tr>
      <w:tr>
        <w:trPr>
          <w:trHeight w:val="253"/>
        </w:trPr>
        <w:tc>
          <w:tcPr>
            <w:tcW w:w="5720" w:type="dxa"/>
            <w:vAlign w:val="bottom"/>
            <w:shd w:val="clear" w:color="auto" w:fill="E5E9F3"/>
          </w:tcPr>
          <w:p>
            <w:pPr>
              <w:ind w:left="300"/>
              <w:spacing w:after="0" w:line="253" w:lineRule="exact"/>
              <w:rPr>
                <w:sz w:val="20"/>
                <w:szCs w:val="20"/>
                <w:color w:val="auto"/>
              </w:rPr>
            </w:pPr>
            <w:r>
              <w:rPr>
                <w:rFonts w:ascii="Arial" w:cs="Arial" w:eastAsia="Arial" w:hAnsi="Arial"/>
                <w:sz w:val="18"/>
                <w:szCs w:val="18"/>
                <w:color w:val="auto"/>
              </w:rPr>
              <w:t>Work Opportunity Tax Credit</w:t>
            </w:r>
            <w:r>
              <w:rPr>
                <w:rFonts w:ascii="Arial" w:cs="Arial" w:eastAsia="Arial" w:hAnsi="Arial"/>
                <w:sz w:val="24"/>
                <w:szCs w:val="24"/>
                <w:color w:val="auto"/>
                <w:vertAlign w:val="superscript"/>
              </w:rPr>
              <w:t>(d)</w:t>
            </w:r>
          </w:p>
        </w:tc>
        <w:tc>
          <w:tcPr>
            <w:tcW w:w="200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(4.6)</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(14.4)</w:t>
            </w:r>
          </w:p>
        </w:tc>
      </w:tr>
      <w:tr>
        <w:trPr>
          <w:trHeight w:val="253"/>
        </w:trPr>
        <w:tc>
          <w:tcPr>
            <w:tcW w:w="5720" w:type="dxa"/>
            <w:vAlign w:val="bottom"/>
          </w:tcPr>
          <w:p>
            <w:pPr>
              <w:ind w:left="300"/>
              <w:spacing w:after="0"/>
              <w:rPr>
                <w:sz w:val="20"/>
                <w:szCs w:val="20"/>
                <w:color w:val="auto"/>
              </w:rPr>
            </w:pPr>
            <w:r>
              <w:rPr>
                <w:rFonts w:ascii="Arial" w:cs="Arial" w:eastAsia="Arial" w:hAnsi="Arial"/>
                <w:sz w:val="18"/>
                <w:szCs w:val="18"/>
                <w:color w:val="auto"/>
              </w:rPr>
              <w:t>Foreign-Derived Intangible Income deduction</w:t>
            </w:r>
          </w:p>
        </w:tc>
        <w:tc>
          <w:tcPr>
            <w:tcW w:w="20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3"/>
        </w:trPr>
        <w:tc>
          <w:tcPr>
            <w:tcW w:w="5720" w:type="dxa"/>
            <w:vAlign w:val="bottom"/>
            <w:shd w:val="clear" w:color="auto" w:fill="E5E9F3"/>
          </w:tcPr>
          <w:p>
            <w:pPr>
              <w:ind w:left="300"/>
              <w:spacing w:after="0" w:line="253"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4"/>
                <w:szCs w:val="24"/>
                <w:color w:val="auto"/>
                <w:vertAlign w:val="superscript"/>
              </w:rPr>
              <w:t>(e)</w:t>
            </w:r>
          </w:p>
        </w:tc>
        <w:tc>
          <w:tcPr>
            <w:tcW w:w="200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8.9</w:t>
            </w:r>
          </w:p>
        </w:tc>
      </w:tr>
      <w:tr>
        <w:trPr>
          <w:trHeight w:val="253"/>
        </w:trPr>
        <w:tc>
          <w:tcPr>
            <w:tcW w:w="5720" w:type="dxa"/>
            <w:vAlign w:val="bottom"/>
          </w:tcPr>
          <w:p>
            <w:pPr>
              <w:ind w:left="300"/>
              <w:spacing w:after="0" w:line="253" w:lineRule="exact"/>
              <w:rPr>
                <w:sz w:val="20"/>
                <w:szCs w:val="20"/>
                <w:color w:val="auto"/>
              </w:rPr>
            </w:pPr>
            <w:r>
              <w:rPr>
                <w:rFonts w:ascii="Arial" w:cs="Arial" w:eastAsia="Arial" w:hAnsi="Arial"/>
                <w:sz w:val="18"/>
                <w:szCs w:val="18"/>
                <w:color w:val="auto"/>
              </w:rPr>
              <w:t>Change in unrecognized tax benefits</w:t>
            </w:r>
            <w:r>
              <w:rPr>
                <w:rFonts w:ascii="Arial" w:cs="Arial" w:eastAsia="Arial" w:hAnsi="Arial"/>
                <w:sz w:val="24"/>
                <w:szCs w:val="24"/>
                <w:color w:val="auto"/>
                <w:vertAlign w:val="superscript"/>
              </w:rPr>
              <w:t>(f)</w:t>
            </w:r>
          </w:p>
        </w:tc>
        <w:tc>
          <w:tcPr>
            <w:tcW w:w="20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53"/>
        </w:trPr>
        <w:tc>
          <w:tcPr>
            <w:tcW w:w="572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E5E9F3"/>
          </w:tcPr>
          <w:p>
            <w:pPr>
              <w:spacing w:after="0"/>
              <w:rPr>
                <w:sz w:val="21"/>
                <w:szCs w:val="21"/>
                <w:color w:val="auto"/>
              </w:rPr>
            </w:pPr>
          </w:p>
        </w:tc>
        <w:tc>
          <w:tcPr>
            <w:tcW w:w="860" w:type="dxa"/>
            <w:vAlign w:val="bottom"/>
            <w:tcBorders>
              <w:bottom w:val="single" w:sz="8" w:color="auto"/>
            </w:tcBorders>
            <w:shd w:val="clear" w:color="auto" w:fill="E5E9F3"/>
          </w:tcPr>
          <w:p>
            <w:pPr>
              <w:jc w:val="right"/>
              <w:ind w:right="111"/>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shd w:val="clear" w:color="auto" w:fill="E5E9F3"/>
          </w:tcPr>
          <w:p>
            <w:pPr>
              <w:spacing w:after="0"/>
              <w:rPr>
                <w:sz w:val="21"/>
                <w:szCs w:val="21"/>
                <w:color w:val="auto"/>
              </w:rPr>
            </w:pP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E5E9F3"/>
          </w:tcPr>
          <w:p>
            <w:pPr>
              <w:spacing w:after="0"/>
              <w:rPr>
                <w:sz w:val="21"/>
                <w:szCs w:val="21"/>
                <w:color w:val="auto"/>
              </w:rPr>
            </w:pP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7.5</w:t>
            </w:r>
          </w:p>
        </w:tc>
      </w:tr>
      <w:tr>
        <w:trPr>
          <w:trHeight w:val="243"/>
        </w:trPr>
        <w:tc>
          <w:tcPr>
            <w:tcW w:w="5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Tax provision</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183.3</w:t>
            </w:r>
          </w:p>
        </w:tc>
      </w:tr>
    </w:tbl>
    <w:p>
      <w:pPr>
        <w:spacing w:after="0" w:line="123" w:lineRule="exact"/>
        <w:rPr>
          <w:sz w:val="20"/>
          <w:szCs w:val="20"/>
          <w:color w:val="auto"/>
        </w:rPr>
      </w:pPr>
    </w:p>
    <w:p>
      <w:pPr>
        <w:jc w:val="both"/>
        <w:ind w:left="360" w:hanging="360"/>
        <w:spacing w:after="0" w:line="244" w:lineRule="auto"/>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The French business tax is allowed as a deduction for French income tax purposes. The gross amount of the French business tax was $11.7, $16.4 and $31.2 for 2024, 2023, and 2022 respectively. The amounts in the table above of $9.2, $13.0 and $24.6 for 2024, 2023, and 2022, respectively, represent the French business tax expense net of the French tax benefit using the United States federal rate of 21%. In December 2023, the French Parliament approved the Finance Bill for 2024 which reversed the scheduled elimination of the business tax in 2024 and replaced it with a gradual reduction of the tax rate (i.e., 0.28% in 2024, 0.19% in 2025, 0.09% in 2026) before eliminating altogether in 2027. Recent proposals have called for a delay in the gradual reduction of the French business tax, which could defer the scheduled reductions to future years.</w:t>
      </w:r>
    </w:p>
    <w:p>
      <w:pPr>
        <w:spacing w:after="0" w:line="1" w:lineRule="exact"/>
        <w:rPr>
          <w:rFonts w:ascii="Arial" w:cs="Arial" w:eastAsia="Arial" w:hAnsi="Arial"/>
          <w:sz w:val="10"/>
          <w:szCs w:val="10"/>
          <w:color w:val="auto"/>
        </w:rPr>
      </w:pPr>
    </w:p>
    <w:p>
      <w:pPr>
        <w:jc w:val="both"/>
        <w:ind w:left="360" w:hanging="360"/>
        <w:spacing w:after="0" w:line="244" w:lineRule="auto"/>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Included in Other Non-United States tax rate differences is the impact of all Non-United States pre-tax earnings and permanent tax differences at the local statutory tax rate versus the United States federal rate of 21%. This includes benefits of $0.6, $0.8 and $1.5 for 2024, 2023 and 2022, respectively, related to the difference between the United States federal rate and the French tax rate applied to the respective gross amounts of the French business tax deduction previously mentioned.</w:t>
      </w:r>
    </w:p>
    <w:p>
      <w:pPr>
        <w:spacing w:after="0" w:line="7" w:lineRule="exact"/>
        <w:rPr>
          <w:rFonts w:ascii="Arial" w:cs="Arial" w:eastAsia="Arial" w:hAnsi="Arial"/>
          <w:sz w:val="10"/>
          <w:szCs w:val="10"/>
          <w:color w:val="auto"/>
        </w:rPr>
      </w:pPr>
    </w:p>
    <w:p>
      <w:pPr>
        <w:ind w:left="360" w:hanging="360"/>
        <w:spacing w:after="0"/>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Losses incurred in 2024, 2023 and 2022 in Germany resulted in an increase in valuation allowance of $16.1, $46.3 and $13.5, respectively.</w:t>
      </w:r>
    </w:p>
    <w:p>
      <w:pPr>
        <w:spacing w:after="0" w:line="39" w:lineRule="exact"/>
        <w:rPr>
          <w:rFonts w:ascii="Arial" w:cs="Arial" w:eastAsia="Arial" w:hAnsi="Arial"/>
          <w:sz w:val="10"/>
          <w:szCs w:val="10"/>
          <w:color w:val="auto"/>
        </w:rPr>
      </w:pPr>
    </w:p>
    <w:p>
      <w:pPr>
        <w:ind w:left="360" w:hanging="360"/>
        <w:spacing w:after="0"/>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The Work Opportunity Tax Credit is currently authorized until December 31, 2025.</w:t>
      </w:r>
    </w:p>
    <w:p>
      <w:pPr>
        <w:spacing w:after="0" w:line="39" w:lineRule="exact"/>
        <w:rPr>
          <w:rFonts w:ascii="Arial" w:cs="Arial" w:eastAsia="Arial" w:hAnsi="Arial"/>
          <w:sz w:val="10"/>
          <w:szCs w:val="10"/>
          <w:color w:val="auto"/>
        </w:rPr>
      </w:pPr>
    </w:p>
    <w:p>
      <w:pPr>
        <w:ind w:left="360" w:hanging="360"/>
        <w:spacing w:after="0"/>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Non-deductible portion of the goodwill impairment charges recorded in the Netherlands in 2023 and 2022.</w:t>
      </w:r>
    </w:p>
    <w:p>
      <w:pPr>
        <w:spacing w:after="0" w:line="39" w:lineRule="exact"/>
        <w:rPr>
          <w:rFonts w:ascii="Arial" w:cs="Arial" w:eastAsia="Arial" w:hAnsi="Arial"/>
          <w:sz w:val="10"/>
          <w:szCs w:val="10"/>
          <w:color w:val="auto"/>
        </w:rPr>
      </w:pPr>
    </w:p>
    <w:p>
      <w:pPr>
        <w:ind w:left="360" w:hanging="360"/>
        <w:spacing w:after="0"/>
        <w:tabs>
          <w:tab w:leader="none" w:pos="3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Effective settlement of an audit during the third quarter of 2023 resulted in the recognition of a tax benefit of $10.8.</w:t>
      </w:r>
    </w:p>
    <w:p>
      <w:pPr>
        <w:spacing w:after="0" w:line="115"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Deferred income taxes are recorded based on temporary differences at the tax rate expected to be in effect when the temporary differences reverse. Temporary differences, which give rise to the deferred taxes,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596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December 31</w:t>
            </w:r>
          </w:p>
        </w:tc>
        <w:tc>
          <w:tcPr>
            <w:tcW w:w="2680" w:type="dxa"/>
            <w:vAlign w:val="bottom"/>
            <w:tcBorders>
              <w:top w:val="single" w:sz="8" w:color="auto"/>
              <w:bottom w:val="single" w:sz="8" w:color="auto"/>
            </w:tcBorders>
            <w:shd w:val="clear" w:color="auto" w:fill="97AAD0"/>
          </w:tcPr>
          <w:p>
            <w:pPr>
              <w:spacing w:after="0"/>
              <w:rPr>
                <w:sz w:val="24"/>
                <w:szCs w:val="24"/>
                <w:color w:val="auto"/>
              </w:rPr>
            </w:pPr>
          </w:p>
        </w:tc>
        <w:tc>
          <w:tcPr>
            <w:tcW w:w="960" w:type="dxa"/>
            <w:vAlign w:val="bottom"/>
            <w:tcBorders>
              <w:top w:val="single" w:sz="8" w:color="auto"/>
              <w:bottom w:val="single" w:sz="8" w:color="auto"/>
            </w:tcBorders>
            <w:shd w:val="clear" w:color="auto" w:fill="97AAD0"/>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top w:val="single" w:sz="8" w:color="auto"/>
              <w:bottom w:val="single" w:sz="8" w:color="auto"/>
            </w:tcBorders>
            <w:shd w:val="clear" w:color="auto" w:fill="97AAD0"/>
          </w:tcPr>
          <w:p>
            <w:pPr>
              <w:spacing w:after="0"/>
              <w:rPr>
                <w:sz w:val="24"/>
                <w:szCs w:val="24"/>
                <w:color w:val="auto"/>
              </w:rPr>
            </w:pPr>
          </w:p>
        </w:tc>
        <w:tc>
          <w:tcPr>
            <w:tcW w:w="88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r>
      <w:tr>
        <w:trPr>
          <w:trHeight w:val="262"/>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Future Income Tax Benefits (Expense)</w:t>
            </w:r>
          </w:p>
        </w:tc>
        <w:tc>
          <w:tcPr>
            <w:tcW w:w="2680" w:type="dxa"/>
            <w:vAlign w:val="bottom"/>
            <w:shd w:val="clear" w:color="auto" w:fill="E5E9F3"/>
          </w:tcPr>
          <w:p>
            <w:pPr>
              <w:spacing w:after="0"/>
              <w:rPr>
                <w:sz w:val="22"/>
                <w:szCs w:val="22"/>
                <w:color w:val="auto"/>
              </w:rPr>
            </w:pPr>
          </w:p>
        </w:tc>
        <w:tc>
          <w:tcPr>
            <w:tcW w:w="960" w:type="dxa"/>
            <w:vAlign w:val="bottom"/>
            <w:shd w:val="clear" w:color="auto" w:fill="E5E9F3"/>
          </w:tcPr>
          <w:p>
            <w:pPr>
              <w:spacing w:after="0"/>
              <w:rPr>
                <w:sz w:val="22"/>
                <w:szCs w:val="22"/>
                <w:color w:val="auto"/>
              </w:rPr>
            </w:pPr>
          </w:p>
        </w:tc>
        <w:tc>
          <w:tcPr>
            <w:tcW w:w="320" w:type="dxa"/>
            <w:vAlign w:val="bottom"/>
            <w:shd w:val="clear" w:color="auto" w:fill="E5E9F3"/>
          </w:tcPr>
          <w:p>
            <w:pPr>
              <w:spacing w:after="0"/>
              <w:rPr>
                <w:sz w:val="22"/>
                <w:szCs w:val="22"/>
                <w:color w:val="auto"/>
              </w:rPr>
            </w:pPr>
          </w:p>
        </w:tc>
        <w:tc>
          <w:tcPr>
            <w:tcW w:w="880" w:type="dxa"/>
            <w:vAlign w:val="bottom"/>
            <w:shd w:val="clear" w:color="auto" w:fill="E5E9F3"/>
          </w:tcPr>
          <w:p>
            <w:pPr>
              <w:spacing w:after="0"/>
              <w:rPr>
                <w:sz w:val="22"/>
                <w:szCs w:val="22"/>
                <w:color w:val="auto"/>
              </w:rPr>
            </w:pP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Accrued payroll taxes and insurance</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11.2</w:t>
            </w:r>
          </w:p>
        </w:tc>
      </w:tr>
      <w:tr>
        <w:trPr>
          <w:trHeight w:val="26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Employee compensation payable</w:t>
            </w:r>
          </w:p>
        </w:tc>
        <w:tc>
          <w:tcPr>
            <w:tcW w:w="2680" w:type="dxa"/>
            <w:vAlign w:val="bottom"/>
            <w:shd w:val="clear" w:color="auto" w:fill="E5E9F3"/>
          </w:tcPr>
          <w:p>
            <w:pPr>
              <w:spacing w:after="0"/>
              <w:rPr>
                <w:sz w:val="23"/>
                <w:szCs w:val="23"/>
                <w:color w:val="auto"/>
              </w:rPr>
            </w:pPr>
          </w:p>
        </w:tc>
        <w:tc>
          <w:tcPr>
            <w:tcW w:w="96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40.8</w:t>
            </w: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Pension and postretirement benefits</w:t>
            </w:r>
          </w:p>
        </w:tc>
        <w:tc>
          <w:tcPr>
            <w:tcW w:w="26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71.8</w:t>
            </w:r>
          </w:p>
        </w:tc>
      </w:tr>
      <w:tr>
        <w:trPr>
          <w:trHeight w:val="26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E5E9F3"/>
          </w:tcPr>
          <w:p>
            <w:pPr>
              <w:spacing w:after="0"/>
              <w:rPr>
                <w:sz w:val="23"/>
                <w:szCs w:val="23"/>
                <w:color w:val="auto"/>
              </w:rPr>
            </w:pPr>
          </w:p>
        </w:tc>
        <w:tc>
          <w:tcPr>
            <w:tcW w:w="9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(130.9 )</w:t>
            </w:r>
          </w:p>
        </w:tc>
        <w:tc>
          <w:tcPr>
            <w:tcW w:w="320" w:type="dxa"/>
            <w:vAlign w:val="bottom"/>
            <w:shd w:val="clear" w:color="auto" w:fill="E5E9F3"/>
          </w:tcPr>
          <w:p>
            <w:pPr>
              <w:spacing w:after="0"/>
              <w:rPr>
                <w:sz w:val="23"/>
                <w:szCs w:val="23"/>
                <w:color w:val="auto"/>
              </w:rPr>
            </w:pPr>
          </w:p>
        </w:tc>
        <w:tc>
          <w:tcPr>
            <w:tcW w:w="8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(129.3 )</w:t>
            </w: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Repatriation of non-United States earnings</w:t>
            </w:r>
          </w:p>
        </w:tc>
        <w:tc>
          <w:tcPr>
            <w:tcW w:w="268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(24.2 )</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6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Loans denominated in foreign currencies</w:t>
            </w:r>
          </w:p>
        </w:tc>
        <w:tc>
          <w:tcPr>
            <w:tcW w:w="2680" w:type="dxa"/>
            <w:vAlign w:val="bottom"/>
            <w:shd w:val="clear" w:color="auto" w:fill="E5E9F3"/>
          </w:tcPr>
          <w:p>
            <w:pPr>
              <w:spacing w:after="0"/>
              <w:rPr>
                <w:sz w:val="23"/>
                <w:szCs w:val="23"/>
                <w:color w:val="auto"/>
              </w:rPr>
            </w:pPr>
          </w:p>
        </w:tc>
        <w:tc>
          <w:tcPr>
            <w:tcW w:w="9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(4.8 )</w:t>
            </w:r>
          </w:p>
        </w:tc>
        <w:tc>
          <w:tcPr>
            <w:tcW w:w="32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16.8</w:t>
            </w: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Operating lease ROU assets</w:t>
            </w:r>
          </w:p>
        </w:tc>
        <w:tc>
          <w:tcPr>
            <w:tcW w:w="268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(95.1 )</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(104.5 )</w:t>
            </w:r>
          </w:p>
        </w:tc>
      </w:tr>
      <w:tr>
        <w:trPr>
          <w:trHeight w:val="26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Operating lease liabilities</w:t>
            </w:r>
          </w:p>
        </w:tc>
        <w:tc>
          <w:tcPr>
            <w:tcW w:w="2680" w:type="dxa"/>
            <w:vAlign w:val="bottom"/>
            <w:shd w:val="clear" w:color="auto" w:fill="E5E9F3"/>
          </w:tcPr>
          <w:p>
            <w:pPr>
              <w:spacing w:after="0"/>
              <w:rPr>
                <w:sz w:val="23"/>
                <w:szCs w:val="23"/>
                <w:color w:val="auto"/>
              </w:rPr>
            </w:pPr>
          </w:p>
        </w:tc>
        <w:tc>
          <w:tcPr>
            <w:tcW w:w="96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107.0</w:t>
            </w: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Tax credit and other carryforwards</w:t>
            </w:r>
          </w:p>
        </w:tc>
        <w:tc>
          <w:tcPr>
            <w:tcW w:w="26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20.6</w:t>
            </w:r>
          </w:p>
        </w:tc>
      </w:tr>
      <w:tr>
        <w:trPr>
          <w:trHeight w:val="26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Tax loss carryforwards</w:t>
            </w:r>
          </w:p>
        </w:tc>
        <w:tc>
          <w:tcPr>
            <w:tcW w:w="2680" w:type="dxa"/>
            <w:vAlign w:val="bottom"/>
            <w:shd w:val="clear" w:color="auto" w:fill="E5E9F3"/>
          </w:tcPr>
          <w:p>
            <w:pPr>
              <w:spacing w:after="0"/>
              <w:rPr>
                <w:sz w:val="23"/>
                <w:szCs w:val="23"/>
                <w:color w:val="auto"/>
              </w:rPr>
            </w:pPr>
          </w:p>
        </w:tc>
        <w:tc>
          <w:tcPr>
            <w:tcW w:w="96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212.1</w:t>
            </w:r>
          </w:p>
        </w:tc>
        <w:tc>
          <w:tcPr>
            <w:tcW w:w="320" w:type="dxa"/>
            <w:vAlign w:val="bottom"/>
            <w:shd w:val="clear" w:color="auto" w:fill="E5E9F3"/>
          </w:tcPr>
          <w:p>
            <w:pPr>
              <w:spacing w:after="0"/>
              <w:rPr>
                <w:sz w:val="23"/>
                <w:szCs w:val="23"/>
                <w:color w:val="auto"/>
              </w:rPr>
            </w:pPr>
          </w:p>
        </w:tc>
        <w:tc>
          <w:tcPr>
            <w:tcW w:w="8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212.9</w:t>
            </w:r>
          </w:p>
        </w:tc>
      </w:tr>
      <w:tr>
        <w:trPr>
          <w:trHeight w:val="267"/>
        </w:trPr>
        <w:tc>
          <w:tcPr>
            <w:tcW w:w="5960" w:type="dxa"/>
            <w:vAlign w:val="bottom"/>
          </w:tcPr>
          <w:p>
            <w:pPr>
              <w:ind w:left="100"/>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115.9</w:t>
            </w:r>
          </w:p>
        </w:tc>
        <w:tc>
          <w:tcPr>
            <w:tcW w:w="32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120.5</w:t>
            </w:r>
          </w:p>
        </w:tc>
      </w:tr>
      <w:tr>
        <w:trPr>
          <w:trHeight w:val="267"/>
        </w:trPr>
        <w:tc>
          <w:tcPr>
            <w:tcW w:w="59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Valuation allowance</w:t>
            </w:r>
          </w:p>
        </w:tc>
        <w:tc>
          <w:tcPr>
            <w:tcW w:w="2680" w:type="dxa"/>
            <w:vAlign w:val="bottom"/>
            <w:tcBorders>
              <w:bottom w:val="single" w:sz="8" w:color="auto"/>
            </w:tcBorders>
            <w:shd w:val="clear" w:color="auto" w:fill="E5E9F3"/>
          </w:tcPr>
          <w:p>
            <w:pPr>
              <w:spacing w:after="0"/>
              <w:rPr>
                <w:sz w:val="23"/>
                <w:szCs w:val="23"/>
                <w:color w:val="auto"/>
              </w:rPr>
            </w:pPr>
          </w:p>
        </w:tc>
        <w:tc>
          <w:tcPr>
            <w:tcW w:w="9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(222.9 )</w:t>
            </w:r>
          </w:p>
        </w:tc>
        <w:tc>
          <w:tcPr>
            <w:tcW w:w="320" w:type="dxa"/>
            <w:vAlign w:val="bottom"/>
            <w:tcBorders>
              <w:bottom w:val="single" w:sz="8" w:color="auto"/>
            </w:tcBorders>
            <w:shd w:val="clear" w:color="auto" w:fill="E5E9F3"/>
          </w:tcPr>
          <w:p>
            <w:pPr>
              <w:spacing w:after="0"/>
              <w:rPr>
                <w:sz w:val="23"/>
                <w:szCs w:val="23"/>
                <w:color w:val="auto"/>
              </w:rPr>
            </w:pPr>
          </w:p>
        </w:tc>
        <w:tc>
          <w:tcPr>
            <w:tcW w:w="8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(219.8 )</w:t>
            </w:r>
          </w:p>
        </w:tc>
      </w:tr>
      <w:tr>
        <w:trPr>
          <w:trHeight w:val="257"/>
        </w:trPr>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future tax benefits</w:t>
            </w:r>
          </w:p>
        </w:tc>
        <w:tc>
          <w:tcPr>
            <w:tcW w:w="2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119.4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127.6</w:t>
            </w:r>
          </w:p>
        </w:tc>
      </w:tr>
      <w:tr>
        <w:trPr>
          <w:trHeight w:val="257"/>
        </w:trPr>
        <w:tc>
          <w:tcPr>
            <w:tcW w:w="59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Deferred tax asset</w:t>
            </w:r>
          </w:p>
        </w:tc>
        <w:tc>
          <w:tcPr>
            <w:tcW w:w="268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9F3"/>
          </w:tcPr>
          <w:p>
            <w:pPr>
              <w:jc w:val="right"/>
              <w:ind w:right="131"/>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138.3</w:t>
            </w:r>
          </w:p>
        </w:tc>
      </w:tr>
      <w:tr>
        <w:trPr>
          <w:trHeight w:val="267"/>
        </w:trPr>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Deferred tax liability</w:t>
            </w:r>
          </w:p>
        </w:tc>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(15.6 )</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57"/>
        </w:trPr>
        <w:tc>
          <w:tcPr>
            <w:tcW w:w="59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 future tax benefits</w:t>
            </w:r>
          </w:p>
        </w:tc>
        <w:tc>
          <w:tcPr>
            <w:tcW w:w="268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9F3"/>
          </w:tcPr>
          <w:p>
            <w:pPr>
              <w:jc w:val="right"/>
              <w:ind w:right="131"/>
              <w:spacing w:after="0"/>
              <w:rPr>
                <w:sz w:val="20"/>
                <w:szCs w:val="20"/>
                <w:color w:val="auto"/>
              </w:rPr>
            </w:pPr>
            <w:r>
              <w:rPr>
                <w:rFonts w:ascii="Arial" w:cs="Arial" w:eastAsia="Arial" w:hAnsi="Arial"/>
                <w:sz w:val="18"/>
                <w:szCs w:val="18"/>
                <w:color w:val="auto"/>
              </w:rPr>
              <w:t>119.4</w:t>
            </w:r>
          </w:p>
        </w:tc>
        <w:tc>
          <w:tcPr>
            <w:tcW w:w="320" w:type="dxa"/>
            <w:vAlign w:val="bottom"/>
            <w:tcBorders>
              <w:bottom w:val="single" w:sz="8" w:color="auto"/>
            </w:tcBorders>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127.6</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10800"/>
          </w:cols>
          <w:pgMar w:left="720" w:top="734" w:right="720" w:bottom="175" w:gutter="0" w:footer="0" w:header="0"/>
          <w:type w:val="continuous"/>
        </w:sectPr>
      </w:pPr>
    </w:p>
    <w:bookmarkStart w:id="75" w:name="page76"/>
    <w:bookmarkEnd w:id="7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1" o:spid="_x0000_s112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7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For 2024, the Other category was updated to remove tax credit, capital loss, and other carryforwards. The capital loss carryforwards of $27.4 and $25.2 for 2024 and 2023, respectively, were combined with net operating losses, and the category was renamed to Tax loss carryforwards. The capital loss carryforwards are fully offset by valuation allowance due to the expiration of carryforwards and uncertain source of future capital gains. The tax credit and other carryforwards were combined in a new category and consist primarily of U.S. foreign and general business tax credits. A related valuation allowance of $11.8 was recorded as of December 31, 2024, as management believes that realization of certain tax credit carryforwards is unlikely.</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Pre-tax earnings of non-United States operations were $246.0, $165.2 and $380.9 in 2024, 2023, and 2022, respectively. We have not provided deferred taxes on $289.4 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2024, deferred taxes for non-United States withholding and other taxes were provided on $1,353.5 of accumulated unremitted earnings of non-United States subsidiaries that may be remitted to the United States. As of December 31, 2024 and 2023, we have recorded a deferred tax liability of $25.9 and $23.1, respectively, related to these non-United States earnings that may be remitted.</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had United States federal and non-United States net operating loss carryforwards and United States state net operating loss carryforwards totaling $1,041.2 and $151.5, respectively, as of December 31, 2024. The net operating loss carryforwards expire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Borders>
              <w:top w:val="single" w:sz="8" w:color="auto"/>
            </w:tcBorders>
            <w:shd w:val="clear" w:color="auto" w:fill="97AAD0"/>
          </w:tcPr>
          <w:p>
            <w:pPr>
              <w:spacing w:after="0"/>
              <w:rPr>
                <w:sz w:val="15"/>
                <w:szCs w:val="15"/>
                <w:color w:val="auto"/>
              </w:rPr>
            </w:pPr>
          </w:p>
        </w:tc>
        <w:tc>
          <w:tcPr>
            <w:tcW w:w="200" w:type="dxa"/>
            <w:vAlign w:val="bottom"/>
            <w:tcBorders>
              <w:top w:val="single" w:sz="8" w:color="auto"/>
            </w:tcBorders>
            <w:shd w:val="clear" w:color="auto" w:fill="97AAD0"/>
          </w:tcPr>
          <w:p>
            <w:pPr>
              <w:spacing w:after="0"/>
              <w:rPr>
                <w:sz w:val="15"/>
                <w:szCs w:val="15"/>
                <w:color w:val="auto"/>
              </w:rPr>
            </w:pPr>
          </w:p>
        </w:tc>
        <w:tc>
          <w:tcPr>
            <w:tcW w:w="1120" w:type="dxa"/>
            <w:vAlign w:val="bottom"/>
            <w:tcBorders>
              <w:top w:val="single" w:sz="8" w:color="auto"/>
            </w:tcBorders>
            <w:shd w:val="clear" w:color="auto" w:fill="97AAD0"/>
          </w:tcPr>
          <w:p>
            <w:pPr>
              <w:jc w:val="center"/>
              <w:ind w:right="98"/>
              <w:spacing w:after="0" w:line="175" w:lineRule="exact"/>
              <w:rPr>
                <w:sz w:val="20"/>
                <w:szCs w:val="20"/>
                <w:color w:val="auto"/>
              </w:rPr>
            </w:pPr>
            <w:r>
              <w:rPr>
                <w:rFonts w:ascii="Arial" w:cs="Arial" w:eastAsia="Arial" w:hAnsi="Arial"/>
                <w:sz w:val="16"/>
                <w:szCs w:val="16"/>
                <w:b w:val="1"/>
                <w:bCs w:val="1"/>
                <w:color w:val="auto"/>
              </w:rPr>
              <w:t>United</w:t>
            </w:r>
          </w:p>
        </w:tc>
        <w:tc>
          <w:tcPr>
            <w:tcW w:w="320" w:type="dxa"/>
            <w:vAlign w:val="bottom"/>
            <w:tcBorders>
              <w:top w:val="single" w:sz="8" w:color="auto"/>
            </w:tcBorders>
            <w:shd w:val="clear" w:color="auto" w:fill="97AAD0"/>
          </w:tcPr>
          <w:p>
            <w:pPr>
              <w:spacing w:after="0"/>
              <w:rPr>
                <w:sz w:val="15"/>
                <w:szCs w:val="15"/>
                <w:color w:val="auto"/>
              </w:rPr>
            </w:pPr>
          </w:p>
        </w:tc>
        <w:tc>
          <w:tcPr>
            <w:tcW w:w="920" w:type="dxa"/>
            <w:vAlign w:val="bottom"/>
            <w:tcBorders>
              <w:top w:val="single" w:sz="8" w:color="auto"/>
            </w:tcBorders>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97AAD0"/>
          </w:tcPr>
          <w:p>
            <w:pPr>
              <w:spacing w:after="0"/>
              <w:rPr>
                <w:sz w:val="15"/>
                <w:szCs w:val="15"/>
                <w:color w:val="auto"/>
              </w:rPr>
            </w:pPr>
          </w:p>
        </w:tc>
        <w:tc>
          <w:tcPr>
            <w:tcW w:w="20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78"/>
              <w:spacing w:after="0"/>
              <w:rPr>
                <w:sz w:val="20"/>
                <w:szCs w:val="20"/>
                <w:color w:val="auto"/>
              </w:rPr>
            </w:pPr>
            <w:r>
              <w:rPr>
                <w:rFonts w:ascii="Arial" w:cs="Arial" w:eastAsia="Arial" w:hAnsi="Arial"/>
                <w:sz w:val="16"/>
                <w:szCs w:val="16"/>
                <w:b w:val="1"/>
                <w:bCs w:val="1"/>
                <w:color w:val="auto"/>
                <w:w w:val="99"/>
              </w:rPr>
              <w:t>States</w:t>
            </w:r>
          </w:p>
        </w:tc>
        <w:tc>
          <w:tcPr>
            <w:tcW w:w="320" w:type="dxa"/>
            <w:vAlign w:val="bottom"/>
            <w:shd w:val="clear" w:color="auto" w:fill="97AAD0"/>
          </w:tcPr>
          <w:p>
            <w:pPr>
              <w:spacing w:after="0"/>
              <w:rPr>
                <w:sz w:val="15"/>
                <w:szCs w:val="15"/>
                <w:color w:val="auto"/>
              </w:rPr>
            </w:pPr>
          </w:p>
        </w:tc>
        <w:tc>
          <w:tcPr>
            <w:tcW w:w="920" w:type="dxa"/>
            <w:vAlign w:val="bottom"/>
            <w:vMerge w:val="restart"/>
            <w:shd w:val="clear" w:color="auto" w:fill="97AAD0"/>
          </w:tcPr>
          <w:p>
            <w:pPr>
              <w:jc w:val="center"/>
              <w:ind w:right="213"/>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184"/>
        </w:trPr>
        <w:tc>
          <w:tcPr>
            <w:tcW w:w="8240" w:type="dxa"/>
            <w:vAlign w:val="bottom"/>
            <w:shd w:val="clear" w:color="auto" w:fill="97AAD0"/>
          </w:tcPr>
          <w:p>
            <w:pPr>
              <w:spacing w:after="0"/>
              <w:rPr>
                <w:sz w:val="15"/>
                <w:szCs w:val="15"/>
                <w:color w:val="auto"/>
              </w:rPr>
            </w:pPr>
          </w:p>
        </w:tc>
        <w:tc>
          <w:tcPr>
            <w:tcW w:w="20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98"/>
              <w:spacing w:after="0"/>
              <w:rPr>
                <w:sz w:val="20"/>
                <w:szCs w:val="20"/>
                <w:color w:val="auto"/>
              </w:rPr>
            </w:pPr>
            <w:r>
              <w:rPr>
                <w:rFonts w:ascii="Arial" w:cs="Arial" w:eastAsia="Arial" w:hAnsi="Arial"/>
                <w:sz w:val="16"/>
                <w:szCs w:val="16"/>
                <w:b w:val="1"/>
                <w:bCs w:val="1"/>
                <w:color w:val="auto"/>
              </w:rPr>
              <w:t>Federal and</w:t>
            </w:r>
          </w:p>
        </w:tc>
        <w:tc>
          <w:tcPr>
            <w:tcW w:w="320" w:type="dxa"/>
            <w:vAlign w:val="bottom"/>
            <w:shd w:val="clear" w:color="auto" w:fill="97AAD0"/>
          </w:tcPr>
          <w:p>
            <w:pPr>
              <w:spacing w:after="0"/>
              <w:rPr>
                <w:sz w:val="15"/>
                <w:szCs w:val="15"/>
                <w:color w:val="auto"/>
              </w:rPr>
            </w:pPr>
          </w:p>
        </w:tc>
        <w:tc>
          <w:tcPr>
            <w:tcW w:w="92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97AAD0"/>
          </w:tcPr>
          <w:p>
            <w:pPr>
              <w:spacing w:after="0"/>
              <w:rPr>
                <w:sz w:val="15"/>
                <w:szCs w:val="15"/>
                <w:color w:val="auto"/>
              </w:rPr>
            </w:pPr>
          </w:p>
        </w:tc>
        <w:tc>
          <w:tcPr>
            <w:tcW w:w="20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98"/>
              <w:spacing w:after="0"/>
              <w:rPr>
                <w:sz w:val="20"/>
                <w:szCs w:val="20"/>
                <w:color w:val="auto"/>
              </w:rPr>
            </w:pPr>
            <w:r>
              <w:rPr>
                <w:rFonts w:ascii="Arial" w:cs="Arial" w:eastAsia="Arial" w:hAnsi="Arial"/>
                <w:sz w:val="16"/>
                <w:szCs w:val="16"/>
                <w:b w:val="1"/>
                <w:bCs w:val="1"/>
                <w:color w:val="auto"/>
                <w:w w:val="99"/>
              </w:rPr>
              <w:t>Non-United</w:t>
            </w:r>
          </w:p>
        </w:tc>
        <w:tc>
          <w:tcPr>
            <w:tcW w:w="320" w:type="dxa"/>
            <w:vAlign w:val="bottom"/>
            <w:shd w:val="clear" w:color="auto" w:fill="97AAD0"/>
          </w:tcPr>
          <w:p>
            <w:pPr>
              <w:spacing w:after="0"/>
              <w:rPr>
                <w:sz w:val="15"/>
                <w:szCs w:val="15"/>
                <w:color w:val="auto"/>
              </w:rPr>
            </w:pPr>
          </w:p>
        </w:tc>
        <w:tc>
          <w:tcPr>
            <w:tcW w:w="920" w:type="dxa"/>
            <w:vAlign w:val="bottom"/>
            <w:shd w:val="clear" w:color="auto" w:fill="97AAD0"/>
          </w:tcPr>
          <w:p>
            <w:pPr>
              <w:jc w:val="center"/>
              <w:ind w:right="193"/>
              <w:spacing w:after="0"/>
              <w:rPr>
                <w:sz w:val="20"/>
                <w:szCs w:val="20"/>
                <w:color w:val="auto"/>
              </w:rPr>
            </w:pPr>
            <w:r>
              <w:rPr>
                <w:rFonts w:ascii="Arial" w:cs="Arial" w:eastAsia="Arial" w:hAnsi="Arial"/>
                <w:sz w:val="16"/>
                <w:szCs w:val="16"/>
                <w:b w:val="1"/>
                <w:bCs w:val="1"/>
                <w:color w:val="auto"/>
                <w:w w:val="99"/>
              </w:rPr>
              <w:t>States</w:t>
            </w:r>
          </w:p>
        </w:tc>
        <w:tc>
          <w:tcPr>
            <w:tcW w:w="0" w:type="dxa"/>
            <w:vAlign w:val="bottom"/>
          </w:tcPr>
          <w:p>
            <w:pPr>
              <w:spacing w:after="0"/>
              <w:rPr>
                <w:sz w:val="1"/>
                <w:szCs w:val="1"/>
                <w:color w:val="auto"/>
              </w:rPr>
            </w:pPr>
          </w:p>
        </w:tc>
      </w:tr>
      <w:tr>
        <w:trPr>
          <w:trHeight w:val="231"/>
        </w:trPr>
        <w:tc>
          <w:tcPr>
            <w:tcW w:w="8240" w:type="dxa"/>
            <w:vAlign w:val="bottom"/>
            <w:tcBorders>
              <w:bottom w:val="single" w:sz="8" w:color="E5E9F3"/>
            </w:tcBorders>
            <w:shd w:val="clear" w:color="auto" w:fill="97AAD0"/>
          </w:tcPr>
          <w:p>
            <w:pPr>
              <w:spacing w:after="0"/>
              <w:rPr>
                <w:sz w:val="19"/>
                <w:szCs w:val="19"/>
                <w:color w:val="auto"/>
              </w:rPr>
            </w:pPr>
          </w:p>
        </w:tc>
        <w:tc>
          <w:tcPr>
            <w:tcW w:w="200" w:type="dxa"/>
            <w:vAlign w:val="bottom"/>
            <w:tcBorders>
              <w:bottom w:val="single" w:sz="8" w:color="E5E9F3"/>
            </w:tcBorders>
            <w:shd w:val="clear" w:color="auto" w:fill="97AAD0"/>
          </w:tcPr>
          <w:p>
            <w:pPr>
              <w:spacing w:after="0"/>
              <w:rPr>
                <w:sz w:val="19"/>
                <w:szCs w:val="19"/>
                <w:color w:val="auto"/>
              </w:rPr>
            </w:pPr>
          </w:p>
        </w:tc>
        <w:tc>
          <w:tcPr>
            <w:tcW w:w="1120" w:type="dxa"/>
            <w:vAlign w:val="bottom"/>
            <w:tcBorders>
              <w:bottom w:val="single" w:sz="8" w:color="E5E9F3"/>
            </w:tcBorders>
            <w:shd w:val="clear" w:color="auto" w:fill="97AAD0"/>
          </w:tcPr>
          <w:p>
            <w:pPr>
              <w:jc w:val="center"/>
              <w:ind w:right="78"/>
              <w:spacing w:after="0"/>
              <w:rPr>
                <w:sz w:val="20"/>
                <w:szCs w:val="20"/>
                <w:color w:val="auto"/>
              </w:rPr>
            </w:pPr>
            <w:r>
              <w:rPr>
                <w:rFonts w:ascii="Arial" w:cs="Arial" w:eastAsia="Arial" w:hAnsi="Arial"/>
                <w:sz w:val="16"/>
                <w:szCs w:val="16"/>
                <w:b w:val="1"/>
                <w:bCs w:val="1"/>
                <w:color w:val="auto"/>
                <w:w w:val="99"/>
              </w:rPr>
              <w:t>States</w:t>
            </w:r>
          </w:p>
        </w:tc>
        <w:tc>
          <w:tcPr>
            <w:tcW w:w="320" w:type="dxa"/>
            <w:vAlign w:val="bottom"/>
            <w:tcBorders>
              <w:bottom w:val="single" w:sz="8" w:color="E5E9F3"/>
            </w:tcBorders>
            <w:shd w:val="clear" w:color="auto" w:fill="97AAD0"/>
          </w:tcPr>
          <w:p>
            <w:pPr>
              <w:spacing w:after="0"/>
              <w:rPr>
                <w:sz w:val="19"/>
                <w:szCs w:val="19"/>
                <w:color w:val="auto"/>
              </w:rPr>
            </w:pPr>
          </w:p>
        </w:tc>
        <w:tc>
          <w:tcPr>
            <w:tcW w:w="920" w:type="dxa"/>
            <w:vAlign w:val="bottom"/>
            <w:tcBorders>
              <w:bottom w:val="single" w:sz="8" w:color="E5E9F3"/>
            </w:tcBorders>
            <w:shd w:val="clear" w:color="auto" w:fill="97AAD0"/>
          </w:tcPr>
          <w:p>
            <w:pPr>
              <w:jc w:val="center"/>
              <w:ind w:right="193"/>
              <w:spacing w:after="0"/>
              <w:rPr>
                <w:sz w:val="20"/>
                <w:szCs w:val="20"/>
                <w:color w:val="auto"/>
              </w:rPr>
            </w:pPr>
            <w:r>
              <w:rPr>
                <w:rFonts w:ascii="Arial" w:cs="Arial" w:eastAsia="Arial" w:hAnsi="Arial"/>
                <w:sz w:val="16"/>
                <w:szCs w:val="16"/>
                <w:b w:val="1"/>
                <w:bCs w:val="1"/>
                <w:color w:val="auto"/>
              </w:rPr>
              <w:t>State</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2024</w:t>
            </w:r>
          </w:p>
        </w:tc>
        <w:tc>
          <w:tcPr>
            <w:tcW w:w="200" w:type="dxa"/>
            <w:vAlign w:val="bottom"/>
            <w:tcBorders>
              <w:top w:val="single" w:sz="8" w:color="auto"/>
            </w:tcBorders>
            <w:shd w:val="clear" w:color="auto" w:fill="E5E9F3"/>
          </w:tcPr>
          <w:p>
            <w:pPr>
              <w:spacing w:after="0"/>
              <w:rPr>
                <w:sz w:val="21"/>
                <w:szCs w:val="21"/>
                <w:color w:val="auto"/>
              </w:rPr>
            </w:pPr>
          </w:p>
        </w:tc>
        <w:tc>
          <w:tcPr>
            <w:tcW w:w="1120" w:type="dxa"/>
            <w:vAlign w:val="bottom"/>
            <w:tcBorders>
              <w:top w:val="single" w:sz="8" w:color="auto"/>
            </w:tcBorders>
            <w:shd w:val="clear" w:color="auto" w:fill="E5E9F3"/>
          </w:tcPr>
          <w:p>
            <w:pPr>
              <w:jc w:val="right"/>
              <w:ind w:right="78"/>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tcBorders>
            <w:shd w:val="clear" w:color="auto" w:fill="E5E9F3"/>
          </w:tcPr>
          <w:p>
            <w:pPr>
              <w:spacing w:after="0"/>
              <w:rPr>
                <w:sz w:val="21"/>
                <w:szCs w:val="21"/>
                <w:color w:val="auto"/>
              </w:rPr>
            </w:pPr>
          </w:p>
        </w:tc>
        <w:tc>
          <w:tcPr>
            <w:tcW w:w="920" w:type="dxa"/>
            <w:vAlign w:val="bottom"/>
            <w:tcBorders>
              <w:top w:val="single" w:sz="8" w:color="auto"/>
            </w:tcBorders>
            <w:shd w:val="clear" w:color="auto" w:fill="E5E9F3"/>
          </w:tcPr>
          <w:p>
            <w:pPr>
              <w:jc w:val="right"/>
              <w:ind w:right="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3"/>
        </w:trPr>
        <w:tc>
          <w:tcPr>
            <w:tcW w:w="8240" w:type="dxa"/>
            <w:vAlign w:val="bottom"/>
          </w:tcPr>
          <w:p>
            <w:pPr>
              <w:ind w:left="100"/>
              <w:spacing w:after="0"/>
              <w:rPr>
                <w:sz w:val="20"/>
                <w:szCs w:val="20"/>
                <w:color w:val="auto"/>
              </w:rPr>
            </w:pPr>
            <w:r>
              <w:rPr>
                <w:rFonts w:ascii="Arial" w:cs="Arial" w:eastAsia="Arial" w:hAnsi="Arial"/>
                <w:sz w:val="18"/>
                <w:szCs w:val="18"/>
                <w:color w:val="auto"/>
              </w:rPr>
              <w:t>2025</w:t>
            </w:r>
          </w:p>
        </w:tc>
        <w:tc>
          <w:tcPr>
            <w:tcW w:w="1320" w:type="dxa"/>
            <w:vAlign w:val="bottom"/>
            <w:gridSpan w:val="2"/>
          </w:tcPr>
          <w:p>
            <w:pPr>
              <w:jc w:val="right"/>
              <w:ind w:right="78"/>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3"/>
        </w:trPr>
        <w:tc>
          <w:tcPr>
            <w:tcW w:w="82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2026</w:t>
            </w:r>
          </w:p>
        </w:tc>
        <w:tc>
          <w:tcPr>
            <w:tcW w:w="1320" w:type="dxa"/>
            <w:vAlign w:val="bottom"/>
            <w:gridSpan w:val="2"/>
            <w:shd w:val="clear" w:color="auto" w:fill="E5E9F3"/>
          </w:tcPr>
          <w:p>
            <w:pPr>
              <w:jc w:val="right"/>
              <w:ind w:right="78"/>
              <w:spacing w:after="0"/>
              <w:rPr>
                <w:sz w:val="20"/>
                <w:szCs w:val="20"/>
                <w:color w:val="auto"/>
              </w:rPr>
            </w:pPr>
            <w:r>
              <w:rPr>
                <w:rFonts w:ascii="Arial" w:cs="Arial" w:eastAsia="Arial" w:hAnsi="Arial"/>
                <w:sz w:val="18"/>
                <w:szCs w:val="18"/>
                <w:color w:val="auto"/>
              </w:rPr>
              <w:t>3.5</w:t>
            </w:r>
          </w:p>
        </w:tc>
        <w:tc>
          <w:tcPr>
            <w:tcW w:w="32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3"/>
        </w:trPr>
        <w:tc>
          <w:tcPr>
            <w:tcW w:w="8240" w:type="dxa"/>
            <w:vAlign w:val="bottom"/>
          </w:tcPr>
          <w:p>
            <w:pPr>
              <w:ind w:left="100"/>
              <w:spacing w:after="0"/>
              <w:rPr>
                <w:sz w:val="20"/>
                <w:szCs w:val="20"/>
                <w:color w:val="auto"/>
              </w:rPr>
            </w:pPr>
            <w:r>
              <w:rPr>
                <w:rFonts w:ascii="Arial" w:cs="Arial" w:eastAsia="Arial" w:hAnsi="Arial"/>
                <w:sz w:val="18"/>
                <w:szCs w:val="18"/>
                <w:color w:val="auto"/>
              </w:rPr>
              <w:t>2027</w:t>
            </w:r>
          </w:p>
        </w:tc>
        <w:tc>
          <w:tcPr>
            <w:tcW w:w="1320" w:type="dxa"/>
            <w:vAlign w:val="bottom"/>
            <w:gridSpan w:val="2"/>
          </w:tcPr>
          <w:p>
            <w:pPr>
              <w:jc w:val="right"/>
              <w:ind w:right="78"/>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3"/>
        </w:trPr>
        <w:tc>
          <w:tcPr>
            <w:tcW w:w="82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2028</w:t>
            </w:r>
          </w:p>
        </w:tc>
        <w:tc>
          <w:tcPr>
            <w:tcW w:w="1320" w:type="dxa"/>
            <w:vAlign w:val="bottom"/>
            <w:gridSpan w:val="2"/>
            <w:shd w:val="clear" w:color="auto" w:fill="E5E9F3"/>
          </w:tcPr>
          <w:p>
            <w:pPr>
              <w:jc w:val="right"/>
              <w:ind w:right="78"/>
              <w:spacing w:after="0"/>
              <w:rPr>
                <w:sz w:val="20"/>
                <w:szCs w:val="20"/>
                <w:color w:val="auto"/>
              </w:rPr>
            </w:pPr>
            <w:r>
              <w:rPr>
                <w:rFonts w:ascii="Arial" w:cs="Arial" w:eastAsia="Arial" w:hAnsi="Arial"/>
                <w:sz w:val="18"/>
                <w:szCs w:val="18"/>
                <w:color w:val="auto"/>
              </w:rPr>
              <w:t>6.9</w:t>
            </w:r>
          </w:p>
        </w:tc>
        <w:tc>
          <w:tcPr>
            <w:tcW w:w="32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3"/>
        </w:trPr>
        <w:tc>
          <w:tcPr>
            <w:tcW w:w="8240" w:type="dxa"/>
            <w:vAlign w:val="bottom"/>
          </w:tcPr>
          <w:p>
            <w:pPr>
              <w:ind w:left="100"/>
              <w:spacing w:after="0"/>
              <w:rPr>
                <w:sz w:val="20"/>
                <w:szCs w:val="20"/>
                <w:color w:val="auto"/>
              </w:rPr>
            </w:pPr>
            <w:r>
              <w:rPr>
                <w:rFonts w:ascii="Arial" w:cs="Arial" w:eastAsia="Arial" w:hAnsi="Arial"/>
                <w:sz w:val="18"/>
                <w:szCs w:val="18"/>
                <w:color w:val="auto"/>
              </w:rPr>
              <w:t>Thereafter</w:t>
            </w:r>
          </w:p>
        </w:tc>
        <w:tc>
          <w:tcPr>
            <w:tcW w:w="1320" w:type="dxa"/>
            <w:vAlign w:val="bottom"/>
            <w:gridSpan w:val="2"/>
          </w:tcPr>
          <w:p>
            <w:pPr>
              <w:jc w:val="right"/>
              <w:ind w:right="78"/>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53"/>
        </w:trPr>
        <w:tc>
          <w:tcPr>
            <w:tcW w:w="82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No expirations</w:t>
            </w:r>
          </w:p>
        </w:tc>
        <w:tc>
          <w:tcPr>
            <w:tcW w:w="1320" w:type="dxa"/>
            <w:vAlign w:val="bottom"/>
            <w:tcBorders>
              <w:bottom w:val="single" w:sz="8" w:color="auto"/>
            </w:tcBorders>
            <w:gridSpan w:val="2"/>
            <w:shd w:val="clear" w:color="auto" w:fill="E5E9F3"/>
          </w:tcPr>
          <w:p>
            <w:pPr>
              <w:jc w:val="right"/>
              <w:ind w:right="78"/>
              <w:spacing w:after="0"/>
              <w:rPr>
                <w:sz w:val="20"/>
                <w:szCs w:val="20"/>
                <w:color w:val="auto"/>
              </w:rPr>
            </w:pPr>
            <w:r>
              <w:rPr>
                <w:rFonts w:ascii="Arial" w:cs="Arial" w:eastAsia="Arial" w:hAnsi="Arial"/>
                <w:sz w:val="18"/>
                <w:szCs w:val="18"/>
                <w:color w:val="auto"/>
              </w:rPr>
              <w:t>1,007.3</w:t>
            </w:r>
          </w:p>
        </w:tc>
        <w:tc>
          <w:tcPr>
            <w:tcW w:w="320" w:type="dxa"/>
            <w:vAlign w:val="bottom"/>
            <w:tcBorders>
              <w:bottom w:val="single" w:sz="8" w:color="auto"/>
            </w:tcBorders>
            <w:shd w:val="clear" w:color="auto" w:fill="E5E9F3"/>
          </w:tcPr>
          <w:p>
            <w:pPr>
              <w:spacing w:after="0"/>
              <w:rPr>
                <w:sz w:val="22"/>
                <w:szCs w:val="22"/>
                <w:color w:val="auto"/>
              </w:rPr>
            </w:pPr>
          </w:p>
        </w:tc>
        <w:tc>
          <w:tcPr>
            <w:tcW w:w="920" w:type="dxa"/>
            <w:vAlign w:val="bottom"/>
            <w:tcBorders>
              <w:bottom w:val="single" w:sz="8" w:color="auto"/>
            </w:tcBorders>
            <w:shd w:val="clear" w:color="auto" w:fill="E5E9F3"/>
          </w:tcPr>
          <w:p>
            <w:pPr>
              <w:jc w:val="right"/>
              <w:ind w:right="3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net operating loss carryforwards</w:t>
            </w:r>
          </w:p>
        </w:tc>
        <w:tc>
          <w:tcPr>
            <w:tcW w:w="132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8"/>
                <w:szCs w:val="18"/>
                <w:color w:val="auto"/>
              </w:rPr>
              <w:t>$   1,041.2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have recorded a deferred tax asset of $184.7 as of December 31, 2024, for the benefit of these net operating losses. Realization of this asset is dependent on generating sufficient taxable income prior to the expiration of the loss carryforwards. A related valuation allowance of $168.8 was recorded as of December 31, 2024, due to the expiration of net operating loss carryforwards and uncertain source of future taxable income.</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had gross unrecognized tax benefits related to various tax jurisdictions, including interest and penalties, of $36.1, $32.8 and $81.6 in 2024, 2023 and 2022, respectively. If recognized, the entire amount would favorably affect the effective tax rate except for $9.5. Our unrecognized tax benefits decreased by $48.8 during 2023 primarily due to the effective settlement of an audit during the third quarter, which resulted in the recognition of a tax benefit of $10.8. We do not expect our unrecognized tax benefits to change significantly over the next 12 months.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recognize accrued interest and penalties related to unrecognized tax benefits in income tax expense. We accrued net interest and penalties of $0.5, $0.6 and $0.8 in 2024, 2023 and 2022, respectively. We reduced our accrued interest and penalties related to unrecognized tax benefits by $4.2 primarily due to the effectively settled income tax audit in the third quarter of 2023.</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10800"/>
          </w:cols>
          <w:pgMar w:left="720" w:top="734" w:right="720" w:bottom="175" w:gutter="0" w:footer="0" w:header="0"/>
          <w:type w:val="continuous"/>
        </w:sectPr>
      </w:pPr>
    </w:p>
    <w:bookmarkStart w:id="76" w:name="page77"/>
    <w:bookmarkEnd w:id="76"/>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2" o:spid="_x0000_s112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our unrecognized tax benefits during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6120" w:type="dxa"/>
            <w:vAlign w:val="bottom"/>
            <w:tcBorders>
              <w:top w:val="single" w:sz="8" w:color="auto"/>
              <w:bottom w:val="single" w:sz="8" w:color="auto"/>
            </w:tcBorders>
            <w:shd w:val="clear" w:color="auto" w:fill="97AAD0"/>
          </w:tcPr>
          <w:p>
            <w:pPr>
              <w:spacing w:after="0"/>
              <w:rPr>
                <w:sz w:val="24"/>
                <w:szCs w:val="24"/>
                <w:color w:val="auto"/>
              </w:rPr>
            </w:pPr>
          </w:p>
        </w:tc>
        <w:tc>
          <w:tcPr>
            <w:tcW w:w="160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60" w:type="dxa"/>
            <w:vAlign w:val="bottom"/>
            <w:tcBorders>
              <w:top w:val="single" w:sz="8" w:color="auto"/>
              <w:bottom w:val="single" w:sz="8" w:color="auto"/>
            </w:tcBorders>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auto"/>
            </w:tcBorders>
            <w:shd w:val="clear" w:color="auto" w:fill="97AAD0"/>
          </w:tcPr>
          <w:p>
            <w:pPr>
              <w:spacing w:after="0"/>
              <w:rPr>
                <w:sz w:val="24"/>
                <w:szCs w:val="24"/>
                <w:color w:val="auto"/>
              </w:rPr>
            </w:pPr>
          </w:p>
        </w:tc>
        <w:tc>
          <w:tcPr>
            <w:tcW w:w="800" w:type="dxa"/>
            <w:vAlign w:val="bottom"/>
            <w:tcBorders>
              <w:top w:val="single" w:sz="8" w:color="auto"/>
              <w:bottom w:val="single" w:sz="8" w:color="auto"/>
            </w:tcBorders>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243"/>
        </w:trPr>
        <w:tc>
          <w:tcPr>
            <w:tcW w:w="61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Gross unrecognized tax benefits, beginning of year</w:t>
            </w:r>
          </w:p>
        </w:tc>
        <w:tc>
          <w:tcPr>
            <w:tcW w:w="16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111"/>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76.3</w:t>
            </w:r>
          </w:p>
        </w:tc>
        <w:tc>
          <w:tcPr>
            <w:tcW w:w="2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67.3</w:t>
            </w:r>
          </w:p>
        </w:tc>
      </w:tr>
      <w:tr>
        <w:trPr>
          <w:trHeight w:val="253"/>
        </w:trPr>
        <w:tc>
          <w:tcPr>
            <w:tcW w:w="6120" w:type="dxa"/>
            <w:vAlign w:val="bottom"/>
          </w:tcPr>
          <w:p>
            <w:pPr>
              <w:ind w:left="300"/>
              <w:spacing w:after="0"/>
              <w:rPr>
                <w:sz w:val="20"/>
                <w:szCs w:val="20"/>
                <w:color w:val="auto"/>
              </w:rPr>
            </w:pPr>
            <w:r>
              <w:rPr>
                <w:rFonts w:ascii="Arial" w:cs="Arial" w:eastAsia="Arial" w:hAnsi="Arial"/>
                <w:sz w:val="18"/>
                <w:szCs w:val="18"/>
                <w:color w:val="auto"/>
              </w:rPr>
              <w:t>Increases in prior year tax positions</w:t>
            </w:r>
          </w:p>
        </w:tc>
        <w:tc>
          <w:tcPr>
            <w:tcW w:w="16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w:t>
            </w:r>
          </w:p>
        </w:tc>
      </w:tr>
      <w:tr>
        <w:trPr>
          <w:trHeight w:val="253"/>
        </w:trPr>
        <w:tc>
          <w:tcPr>
            <w:tcW w:w="61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Decreases in prior year tax positions</w:t>
            </w:r>
          </w:p>
        </w:tc>
        <w:tc>
          <w:tcPr>
            <w:tcW w:w="160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(0.6)</w:t>
            </w:r>
          </w:p>
        </w:tc>
        <w:tc>
          <w:tcPr>
            <w:tcW w:w="280" w:type="dxa"/>
            <w:vAlign w:val="bottom"/>
            <w:shd w:val="clear" w:color="auto" w:fill="E5E9F3"/>
          </w:tcPr>
          <w:p>
            <w:pPr>
              <w:spacing w:after="0"/>
              <w:rPr>
                <w:sz w:val="22"/>
                <w:szCs w:val="22"/>
                <w:color w:val="auto"/>
              </w:rPr>
            </w:pPr>
          </w:p>
        </w:tc>
        <w:tc>
          <w:tcPr>
            <w:tcW w:w="8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9F3"/>
          </w:tcPr>
          <w:p>
            <w:pPr>
              <w:spacing w:after="0"/>
              <w:rPr>
                <w:sz w:val="22"/>
                <w:szCs w:val="22"/>
                <w:color w:val="auto"/>
              </w:rPr>
            </w:pPr>
          </w:p>
        </w:tc>
        <w:tc>
          <w:tcPr>
            <w:tcW w:w="8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(1.2)</w:t>
            </w:r>
          </w:p>
        </w:tc>
      </w:tr>
      <w:tr>
        <w:trPr>
          <w:trHeight w:val="253"/>
        </w:trPr>
        <w:tc>
          <w:tcPr>
            <w:tcW w:w="6120" w:type="dxa"/>
            <w:vAlign w:val="bottom"/>
          </w:tcPr>
          <w:p>
            <w:pPr>
              <w:ind w:left="300"/>
              <w:spacing w:after="0"/>
              <w:rPr>
                <w:sz w:val="20"/>
                <w:szCs w:val="20"/>
                <w:color w:val="auto"/>
              </w:rPr>
            </w:pPr>
            <w:r>
              <w:rPr>
                <w:rFonts w:ascii="Arial" w:cs="Arial" w:eastAsia="Arial" w:hAnsi="Arial"/>
                <w:sz w:val="18"/>
                <w:szCs w:val="18"/>
                <w:color w:val="auto"/>
              </w:rPr>
              <w:t>Increases for current year tax positions</w:t>
            </w:r>
          </w:p>
        </w:tc>
        <w:tc>
          <w:tcPr>
            <w:tcW w:w="16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53"/>
        </w:trPr>
        <w:tc>
          <w:tcPr>
            <w:tcW w:w="612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Expiration of statute of limitations and audit settlements</w:t>
            </w:r>
          </w:p>
        </w:tc>
        <w:tc>
          <w:tcPr>
            <w:tcW w:w="160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shd w:val="clear" w:color="auto" w:fill="E5E9F3"/>
          </w:tcPr>
          <w:p>
            <w:pPr>
              <w:spacing w:after="0"/>
              <w:rPr>
                <w:sz w:val="22"/>
                <w:szCs w:val="22"/>
                <w:color w:val="auto"/>
              </w:rPr>
            </w:pPr>
          </w:p>
        </w:tc>
        <w:tc>
          <w:tcPr>
            <w:tcW w:w="8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(51.2)</w:t>
            </w:r>
          </w:p>
        </w:tc>
        <w:tc>
          <w:tcPr>
            <w:tcW w:w="280" w:type="dxa"/>
            <w:vAlign w:val="bottom"/>
            <w:tcBorders>
              <w:bottom w:val="single" w:sz="8" w:color="auto"/>
            </w:tcBorders>
            <w:shd w:val="clear" w:color="auto" w:fill="E5E9F3"/>
          </w:tcPr>
          <w:p>
            <w:pPr>
              <w:spacing w:after="0"/>
              <w:rPr>
                <w:sz w:val="22"/>
                <w:szCs w:val="22"/>
                <w:color w:val="auto"/>
              </w:rPr>
            </w:pPr>
          </w:p>
        </w:tc>
        <w:tc>
          <w:tcPr>
            <w:tcW w:w="8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Gross unrecognized tax benefits, end of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76.3</w:t>
            </w:r>
          </w:p>
        </w:tc>
      </w:tr>
      <w:tr>
        <w:trPr>
          <w:trHeight w:val="243"/>
        </w:trPr>
        <w:tc>
          <w:tcPr>
            <w:tcW w:w="61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Potential interest and penalties</w:t>
            </w:r>
          </w:p>
        </w:tc>
        <w:tc>
          <w:tcPr>
            <w:tcW w:w="1600" w:type="dxa"/>
            <w:vAlign w:val="bottom"/>
            <w:tcBorders>
              <w:bottom w:val="single" w:sz="8" w:color="auto"/>
            </w:tcBorders>
            <w:shd w:val="clear" w:color="auto" w:fill="E5E9F3"/>
          </w:tcPr>
          <w:p>
            <w:pPr>
              <w:spacing w:after="0"/>
              <w:rPr>
                <w:sz w:val="21"/>
                <w:szCs w:val="21"/>
                <w:color w:val="auto"/>
              </w:rPr>
            </w:pPr>
          </w:p>
        </w:tc>
        <w:tc>
          <w:tcPr>
            <w:tcW w:w="860" w:type="dxa"/>
            <w:vAlign w:val="bottom"/>
            <w:tcBorders>
              <w:bottom w:val="single" w:sz="8" w:color="auto"/>
            </w:tcBorders>
            <w:shd w:val="clear" w:color="auto" w:fill="E5E9F3"/>
          </w:tcPr>
          <w:p>
            <w:pPr>
              <w:jc w:val="right"/>
              <w:ind w:right="111"/>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E5E9F3"/>
          </w:tcPr>
          <w:p>
            <w:pPr>
              <w:spacing w:after="0"/>
              <w:rPr>
                <w:sz w:val="21"/>
                <w:szCs w:val="21"/>
                <w:color w:val="auto"/>
              </w:rPr>
            </w:pPr>
          </w:p>
        </w:tc>
        <w:tc>
          <w:tcPr>
            <w:tcW w:w="86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E5E9F3"/>
          </w:tcPr>
          <w:p>
            <w:pPr>
              <w:spacing w:after="0"/>
              <w:rPr>
                <w:sz w:val="21"/>
                <w:szCs w:val="21"/>
                <w:color w:val="auto"/>
              </w:rPr>
            </w:pP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5.3</w:t>
            </w:r>
          </w:p>
        </w:tc>
      </w:tr>
      <w:tr>
        <w:trPr>
          <w:trHeight w:val="243"/>
        </w:trPr>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 end of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81.6</w:t>
            </w:r>
          </w:p>
        </w:tc>
      </w:tr>
    </w:tbl>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conduct business globally in various countries and territories. We are routinely audited by the tax authorities of the various tax jurisdictions in which we operate. Generally, the tax years that could be subject to examination are 2016 through 2023 for our major operations in France, Italy, the United Kingdom and the United States. As of December 31, 2024, we were subject to tax audits in Austria, Germany, India, Israel, Spain and the United States.</w:t>
      </w:r>
    </w:p>
    <w:p>
      <w:pPr>
        <w:spacing w:after="0" w:line="233" w:lineRule="exact"/>
        <w:rPr>
          <w:sz w:val="20"/>
          <w:szCs w:val="20"/>
          <w:color w:val="auto"/>
        </w:rPr>
      </w:pPr>
    </w:p>
    <w:p>
      <w:pPr>
        <w:ind w:left="420" w:hanging="420"/>
        <w:spacing w:after="0"/>
        <w:tabs>
          <w:tab w:leader="none" w:pos="420" w:val="left"/>
        </w:tabs>
        <w:numPr>
          <w:ilvl w:val="0"/>
          <w:numId w:val="48"/>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Net Earnings Per Share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calculation of net earnings per share - basic and net earnings per share - diluted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580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top w:val="single" w:sz="8" w:color="auto"/>
              <w:bottom w:val="single" w:sz="8" w:color="auto"/>
            </w:tcBorders>
            <w:shd w:val="clear" w:color="auto" w:fill="97AAD0"/>
          </w:tcPr>
          <w:p>
            <w:pPr>
              <w:spacing w:after="0"/>
              <w:rPr>
                <w:sz w:val="24"/>
                <w:szCs w:val="24"/>
                <w:color w:val="auto"/>
              </w:rPr>
            </w:pPr>
          </w:p>
        </w:tc>
        <w:tc>
          <w:tcPr>
            <w:tcW w:w="1020" w:type="dxa"/>
            <w:vAlign w:val="bottom"/>
            <w:tcBorders>
              <w:top w:val="single" w:sz="8" w:color="auto"/>
              <w:bottom w:val="single" w:sz="8" w:color="auto"/>
            </w:tcBorders>
            <w:shd w:val="clear" w:color="auto" w:fill="97AAD0"/>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top w:val="single" w:sz="8" w:color="auto"/>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shd w:val="clear" w:color="auto" w:fill="97AAD0"/>
          </w:tcPr>
          <w:p>
            <w:pPr>
              <w:spacing w:after="0"/>
              <w:rPr>
                <w:sz w:val="24"/>
                <w:szCs w:val="24"/>
                <w:color w:val="auto"/>
              </w:rPr>
            </w:pPr>
          </w:p>
        </w:tc>
        <w:tc>
          <w:tcPr>
            <w:tcW w:w="380" w:type="dxa"/>
            <w:vAlign w:val="bottom"/>
            <w:tcBorders>
              <w:top w:val="single" w:sz="8" w:color="auto"/>
              <w:bottom w:val="single" w:sz="8" w:color="auto"/>
            </w:tcBorders>
            <w:shd w:val="clear" w:color="auto" w:fill="97AAD0"/>
          </w:tcPr>
          <w:p>
            <w:pPr>
              <w:spacing w:after="0"/>
              <w:rPr>
                <w:sz w:val="24"/>
                <w:szCs w:val="24"/>
                <w:color w:val="auto"/>
              </w:rPr>
            </w:pPr>
          </w:p>
        </w:tc>
        <w:tc>
          <w:tcPr>
            <w:tcW w:w="1040" w:type="dxa"/>
            <w:vAlign w:val="bottom"/>
            <w:tcBorders>
              <w:top w:val="single" w:sz="8" w:color="auto"/>
              <w:bottom w:val="single" w:sz="8" w:color="auto"/>
            </w:tcBorders>
            <w:shd w:val="clear" w:color="auto" w:fill="97AAD0"/>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62"/>
        </w:trPr>
        <w:tc>
          <w:tcPr>
            <w:tcW w:w="58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Net earnings available to common shareholders:</w:t>
            </w:r>
          </w:p>
        </w:tc>
        <w:tc>
          <w:tcPr>
            <w:tcW w:w="11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145.1</w:t>
            </w:r>
          </w:p>
        </w:tc>
        <w:tc>
          <w:tcPr>
            <w:tcW w:w="880" w:type="dxa"/>
            <w:vAlign w:val="bottom"/>
            <w:tcBorders>
              <w:bottom w:val="single" w:sz="8" w:color="auto"/>
            </w:tcBorders>
            <w:shd w:val="clear" w:color="auto" w:fill="E5E9F3"/>
          </w:tcPr>
          <w:p>
            <w:pPr>
              <w:jc w:val="right"/>
              <w:ind w:right="57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88.8</w:t>
            </w:r>
          </w:p>
        </w:tc>
        <w:tc>
          <w:tcPr>
            <w:tcW w:w="3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373.8</w:t>
            </w:r>
          </w:p>
        </w:tc>
      </w:tr>
      <w:tr>
        <w:trPr>
          <w:trHeight w:val="257"/>
        </w:trPr>
        <w:tc>
          <w:tcPr>
            <w:tcW w:w="5800" w:type="dxa"/>
            <w:vAlign w:val="bottom"/>
          </w:tcPr>
          <w:p>
            <w:pPr>
              <w:ind w:left="100"/>
              <w:spacing w:after="0"/>
              <w:rPr>
                <w:sz w:val="20"/>
                <w:szCs w:val="20"/>
                <w:color w:val="auto"/>
              </w:rPr>
            </w:pPr>
            <w:r>
              <w:rPr>
                <w:rFonts w:ascii="Arial" w:cs="Arial" w:eastAsia="Arial" w:hAnsi="Arial"/>
                <w:sz w:val="18"/>
                <w:szCs w:val="18"/>
                <w:color w:val="auto"/>
              </w:rPr>
              <w:t>Weighted-average common shares outstanding (in millions):</w:t>
            </w: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7"/>
        </w:trPr>
        <w:tc>
          <w:tcPr>
            <w:tcW w:w="58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Weighted-average common shares outstanding – basic</w:t>
            </w:r>
          </w:p>
        </w:tc>
        <w:tc>
          <w:tcPr>
            <w:tcW w:w="1180" w:type="dxa"/>
            <w:vAlign w:val="bottom"/>
            <w:shd w:val="clear" w:color="auto" w:fill="E5E9F3"/>
          </w:tcPr>
          <w:p>
            <w:pPr>
              <w:spacing w:after="0"/>
              <w:rPr>
                <w:sz w:val="23"/>
                <w:szCs w:val="23"/>
                <w:color w:val="auto"/>
              </w:rPr>
            </w:pPr>
          </w:p>
        </w:tc>
        <w:tc>
          <w:tcPr>
            <w:tcW w:w="10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47.8</w:t>
            </w:r>
          </w:p>
        </w:tc>
        <w:tc>
          <w:tcPr>
            <w:tcW w:w="880" w:type="dxa"/>
            <w:vAlign w:val="bottom"/>
            <w:shd w:val="clear" w:color="auto" w:fill="E5E9F3"/>
          </w:tcPr>
          <w:p>
            <w:pPr>
              <w:spacing w:after="0"/>
              <w:rPr>
                <w:sz w:val="23"/>
                <w:szCs w:val="23"/>
                <w:color w:val="auto"/>
              </w:rPr>
            </w:pPr>
          </w:p>
        </w:tc>
        <w:tc>
          <w:tcPr>
            <w:tcW w:w="50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49.8</w:t>
            </w:r>
          </w:p>
        </w:tc>
        <w:tc>
          <w:tcPr>
            <w:tcW w:w="380" w:type="dxa"/>
            <w:vAlign w:val="bottom"/>
            <w:shd w:val="clear" w:color="auto" w:fill="E5E9F3"/>
          </w:tcPr>
          <w:p>
            <w:pPr>
              <w:spacing w:after="0"/>
              <w:rPr>
                <w:sz w:val="23"/>
                <w:szCs w:val="23"/>
                <w:color w:val="auto"/>
              </w:rPr>
            </w:pPr>
          </w:p>
        </w:tc>
        <w:tc>
          <w:tcPr>
            <w:tcW w:w="10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52.2</w:t>
            </w:r>
          </w:p>
        </w:tc>
      </w:tr>
      <w:tr>
        <w:trPr>
          <w:trHeight w:val="267"/>
        </w:trPr>
        <w:tc>
          <w:tcPr>
            <w:tcW w:w="5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Effect of other share-based awards</w:t>
            </w:r>
          </w:p>
        </w:tc>
        <w:tc>
          <w:tcPr>
            <w:tcW w:w="1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0.6</w:t>
            </w:r>
          </w:p>
        </w:tc>
      </w:tr>
      <w:tr>
        <w:trPr>
          <w:trHeight w:val="257"/>
        </w:trPr>
        <w:tc>
          <w:tcPr>
            <w:tcW w:w="58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Weighted-average common shares outstanding – diluted</w:t>
            </w:r>
          </w:p>
        </w:tc>
        <w:tc>
          <w:tcPr>
            <w:tcW w:w="1180" w:type="dxa"/>
            <w:vAlign w:val="bottom"/>
            <w:tcBorders>
              <w:bottom w:val="single" w:sz="8" w:color="auto"/>
            </w:tcBorders>
            <w:shd w:val="clear" w:color="auto" w:fill="E5E9F3"/>
          </w:tcPr>
          <w:p>
            <w:pPr>
              <w:spacing w:after="0"/>
              <w:rPr>
                <w:sz w:val="22"/>
                <w:szCs w:val="22"/>
                <w:color w:val="auto"/>
              </w:rPr>
            </w:pP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48.3</w:t>
            </w:r>
          </w:p>
        </w:tc>
        <w:tc>
          <w:tcPr>
            <w:tcW w:w="880" w:type="dxa"/>
            <w:vAlign w:val="bottom"/>
            <w:tcBorders>
              <w:bottom w:val="single" w:sz="8" w:color="auto"/>
            </w:tcBorders>
            <w:shd w:val="clear" w:color="auto" w:fill="E5E9F3"/>
          </w:tcPr>
          <w:p>
            <w:pPr>
              <w:spacing w:after="0"/>
              <w:rPr>
                <w:sz w:val="22"/>
                <w:szCs w:val="22"/>
                <w:color w:val="auto"/>
              </w:rPr>
            </w:pPr>
          </w:p>
        </w:tc>
        <w:tc>
          <w:tcPr>
            <w:tcW w:w="5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50.4</w:t>
            </w:r>
          </w:p>
        </w:tc>
        <w:tc>
          <w:tcPr>
            <w:tcW w:w="380" w:type="dxa"/>
            <w:vAlign w:val="bottom"/>
            <w:tcBorders>
              <w:bottom w:val="single" w:sz="8" w:color="auto"/>
            </w:tcBorders>
            <w:shd w:val="clear" w:color="auto" w:fill="E5E9F3"/>
          </w:tcPr>
          <w:p>
            <w:pPr>
              <w:spacing w:after="0"/>
              <w:rPr>
                <w:sz w:val="22"/>
                <w:szCs w:val="22"/>
                <w:color w:val="auto"/>
              </w:rPr>
            </w:pPr>
          </w:p>
        </w:tc>
        <w:tc>
          <w:tcPr>
            <w:tcW w:w="10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52.8</w:t>
            </w:r>
          </w:p>
        </w:tc>
      </w:tr>
      <w:tr>
        <w:trPr>
          <w:trHeight w:val="257"/>
        </w:trPr>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earnings per share – basic</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8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7.17</w:t>
            </w:r>
          </w:p>
        </w:tc>
      </w:tr>
      <w:tr>
        <w:trPr>
          <w:trHeight w:val="257"/>
        </w:trPr>
        <w:tc>
          <w:tcPr>
            <w:tcW w:w="58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Net earnings per share – diluted</w:t>
            </w:r>
          </w:p>
        </w:tc>
        <w:tc>
          <w:tcPr>
            <w:tcW w:w="11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3.01</w:t>
            </w:r>
          </w:p>
        </w:tc>
        <w:tc>
          <w:tcPr>
            <w:tcW w:w="880" w:type="dxa"/>
            <w:vAlign w:val="bottom"/>
            <w:tcBorders>
              <w:bottom w:val="single" w:sz="8" w:color="auto"/>
            </w:tcBorders>
            <w:shd w:val="clear" w:color="auto" w:fill="E5E9F3"/>
          </w:tcPr>
          <w:p>
            <w:pPr>
              <w:jc w:val="right"/>
              <w:ind w:right="57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7.08</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There were 0.8 million, 0.6 million and 0.5 million share-based awards excluded from the calculation of net earnings per</w:t>
      </w:r>
    </w:p>
    <w:p>
      <w:pPr>
        <w:spacing w:after="0" w:line="187" w:lineRule="auto"/>
        <w:rPr>
          <w:sz w:val="20"/>
          <w:szCs w:val="20"/>
          <w:color w:val="auto"/>
        </w:rPr>
      </w:pPr>
      <w:r>
        <w:rPr>
          <w:rFonts w:ascii="Arial" w:cs="Arial" w:eastAsia="Arial" w:hAnsi="Arial"/>
          <w:sz w:val="10"/>
          <w:szCs w:val="10"/>
          <w:color w:val="auto"/>
        </w:rPr>
        <w:t>share - diluted for the years ended December 31, 2024, 2023 and 2022, respectively, because their impact was anti-dilutive.</w:t>
      </w:r>
    </w:p>
    <w:p>
      <w:pPr>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10800"/>
          </w:cols>
          <w:pgMar w:left="720" w:top="734" w:right="720" w:bottom="175" w:gutter="0" w:footer="0" w:header="0"/>
          <w:type w:val="continuous"/>
        </w:sectPr>
      </w:pPr>
    </w:p>
    <w:bookmarkStart w:id="77" w:name="page78"/>
    <w:bookmarkEnd w:id="7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3" o:spid="_x0000_s112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ind w:left="420" w:hanging="420"/>
        <w:spacing w:after="0"/>
        <w:tabs>
          <w:tab w:leader="none" w:pos="420" w:val="left"/>
        </w:tabs>
        <w:numPr>
          <w:ilvl w:val="0"/>
          <w:numId w:val="49"/>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Goodwill</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carrying value of goodwill by reportable segment and Corporate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Borders>
              <w:top w:val="single" w:sz="8" w:color="auto"/>
            </w:tcBorders>
            <w:shd w:val="clear" w:color="auto" w:fill="97AAD0"/>
          </w:tcPr>
          <w:p>
            <w:pPr>
              <w:spacing w:after="0"/>
              <w:rPr>
                <w:sz w:val="15"/>
                <w:szCs w:val="15"/>
                <w:color w:val="auto"/>
              </w:rPr>
            </w:pPr>
          </w:p>
        </w:tc>
        <w:tc>
          <w:tcPr>
            <w:tcW w:w="1940" w:type="dxa"/>
            <w:vAlign w:val="bottom"/>
            <w:tcBorders>
              <w:top w:val="single" w:sz="8" w:color="auto"/>
            </w:tcBorders>
            <w:gridSpan w:val="2"/>
            <w:vMerge w:val="restart"/>
            <w:shd w:val="clear" w:color="auto" w:fill="97AAD0"/>
          </w:tcPr>
          <w:p>
            <w:pPr>
              <w:ind w:left="940"/>
              <w:spacing w:after="0"/>
              <w:rPr>
                <w:sz w:val="20"/>
                <w:szCs w:val="20"/>
                <w:color w:val="auto"/>
              </w:rPr>
            </w:pPr>
            <w:r>
              <w:rPr>
                <w:rFonts w:ascii="Arial" w:cs="Arial" w:eastAsia="Arial" w:hAnsi="Arial"/>
                <w:sz w:val="16"/>
                <w:szCs w:val="16"/>
                <w:b w:val="1"/>
                <w:bCs w:val="1"/>
                <w:color w:val="auto"/>
              </w:rPr>
              <w:t>Americas</w:t>
            </w:r>
            <w:r>
              <w:rPr>
                <w:rFonts w:ascii="Arial" w:cs="Arial" w:eastAsia="Arial" w:hAnsi="Arial"/>
                <w:sz w:val="10"/>
                <w:szCs w:val="10"/>
                <w:b w:val="1"/>
                <w:bCs w:val="1"/>
                <w:color w:val="auto"/>
              </w:rPr>
              <w:t>(a)</w:t>
            </w:r>
          </w:p>
        </w:tc>
        <w:tc>
          <w:tcPr>
            <w:tcW w:w="1060" w:type="dxa"/>
            <w:vAlign w:val="bottom"/>
            <w:tcBorders>
              <w:top w:val="single" w:sz="8" w:color="auto"/>
            </w:tcBorders>
            <w:gridSpan w:val="2"/>
            <w:shd w:val="clear" w:color="auto" w:fill="97AAD0"/>
          </w:tcPr>
          <w:p>
            <w:pPr>
              <w:jc w:val="right"/>
              <w:ind w:right="130"/>
              <w:spacing w:after="0" w:line="175" w:lineRule="exact"/>
              <w:rPr>
                <w:sz w:val="20"/>
                <w:szCs w:val="20"/>
                <w:color w:val="auto"/>
              </w:rPr>
            </w:pPr>
            <w:r>
              <w:rPr>
                <w:rFonts w:ascii="Arial" w:cs="Arial" w:eastAsia="Arial" w:hAnsi="Arial"/>
                <w:sz w:val="16"/>
                <w:szCs w:val="16"/>
                <w:b w:val="1"/>
                <w:bCs w:val="1"/>
                <w:color w:val="auto"/>
              </w:rPr>
              <w:t>Southern</w:t>
            </w:r>
          </w:p>
        </w:tc>
        <w:tc>
          <w:tcPr>
            <w:tcW w:w="1080" w:type="dxa"/>
            <w:vAlign w:val="bottom"/>
            <w:tcBorders>
              <w:top w:val="single" w:sz="8" w:color="auto"/>
            </w:tcBorders>
            <w:gridSpan w:val="2"/>
            <w:shd w:val="clear" w:color="auto" w:fill="97AAD0"/>
          </w:tcPr>
          <w:p>
            <w:pPr>
              <w:jc w:val="right"/>
              <w:ind w:right="151"/>
              <w:spacing w:after="0" w:line="175" w:lineRule="exact"/>
              <w:rPr>
                <w:sz w:val="20"/>
                <w:szCs w:val="20"/>
                <w:color w:val="auto"/>
              </w:rPr>
            </w:pPr>
            <w:r>
              <w:rPr>
                <w:rFonts w:ascii="Arial" w:cs="Arial" w:eastAsia="Arial" w:hAnsi="Arial"/>
                <w:sz w:val="16"/>
                <w:szCs w:val="16"/>
                <w:b w:val="1"/>
                <w:bCs w:val="1"/>
                <w:color w:val="auto"/>
              </w:rPr>
              <w:t>Northern</w:t>
            </w:r>
          </w:p>
        </w:tc>
        <w:tc>
          <w:tcPr>
            <w:tcW w:w="220" w:type="dxa"/>
            <w:vAlign w:val="bottom"/>
            <w:tcBorders>
              <w:top w:val="single" w:sz="8" w:color="auto"/>
            </w:tcBorders>
            <w:shd w:val="clear" w:color="auto" w:fill="97AAD0"/>
          </w:tcPr>
          <w:p>
            <w:pPr>
              <w:spacing w:after="0"/>
              <w:rPr>
                <w:sz w:val="15"/>
                <w:szCs w:val="15"/>
                <w:color w:val="auto"/>
              </w:rPr>
            </w:pPr>
          </w:p>
        </w:tc>
        <w:tc>
          <w:tcPr>
            <w:tcW w:w="840" w:type="dxa"/>
            <w:vAlign w:val="bottom"/>
            <w:tcBorders>
              <w:top w:val="single" w:sz="8" w:color="auto"/>
            </w:tcBorders>
            <w:vMerge w:val="restart"/>
            <w:shd w:val="clear" w:color="auto" w:fill="97AAD0"/>
          </w:tcPr>
          <w:p>
            <w:pPr>
              <w:jc w:val="right"/>
              <w:ind w:right="251"/>
              <w:spacing w:after="0"/>
              <w:rPr>
                <w:sz w:val="20"/>
                <w:szCs w:val="20"/>
                <w:color w:val="auto"/>
              </w:rPr>
            </w:pPr>
            <w:r>
              <w:rPr>
                <w:rFonts w:ascii="Arial" w:cs="Arial" w:eastAsia="Arial" w:hAnsi="Arial"/>
                <w:sz w:val="16"/>
                <w:szCs w:val="16"/>
                <w:b w:val="1"/>
                <w:bCs w:val="1"/>
                <w:color w:val="auto"/>
              </w:rPr>
              <w:t>APME</w:t>
            </w:r>
          </w:p>
        </w:tc>
        <w:tc>
          <w:tcPr>
            <w:tcW w:w="1120" w:type="dxa"/>
            <w:vAlign w:val="bottom"/>
            <w:tcBorders>
              <w:top w:val="single" w:sz="8" w:color="auto"/>
            </w:tcBorders>
            <w:gridSpan w:val="2"/>
            <w:vMerge w:val="restart"/>
            <w:shd w:val="clear" w:color="auto" w:fill="97AAD0"/>
          </w:tcPr>
          <w:p>
            <w:pPr>
              <w:ind w:left="80"/>
              <w:spacing w:after="0"/>
              <w:rPr>
                <w:sz w:val="20"/>
                <w:szCs w:val="20"/>
                <w:color w:val="auto"/>
              </w:rPr>
            </w:pPr>
            <w:r>
              <w:rPr>
                <w:rFonts w:ascii="Arial" w:cs="Arial" w:eastAsia="Arial" w:hAnsi="Arial"/>
                <w:sz w:val="16"/>
                <w:szCs w:val="16"/>
                <w:b w:val="1"/>
                <w:bCs w:val="1"/>
                <w:color w:val="auto"/>
              </w:rPr>
              <w:t>Corporate</w:t>
            </w:r>
            <w:r>
              <w:rPr>
                <w:rFonts w:ascii="Arial" w:cs="Arial" w:eastAsia="Arial" w:hAnsi="Arial"/>
                <w:sz w:val="10"/>
                <w:szCs w:val="10"/>
                <w:b w:val="1"/>
                <w:bCs w:val="1"/>
                <w:color w:val="auto"/>
              </w:rPr>
              <w:t>(c)</w:t>
            </w:r>
          </w:p>
        </w:tc>
        <w:tc>
          <w:tcPr>
            <w:tcW w:w="240" w:type="dxa"/>
            <w:vAlign w:val="bottom"/>
            <w:tcBorders>
              <w:top w:val="single" w:sz="8" w:color="auto"/>
            </w:tcBorders>
            <w:shd w:val="clear" w:color="auto" w:fill="97AAD0"/>
          </w:tcPr>
          <w:p>
            <w:pPr>
              <w:spacing w:after="0"/>
              <w:rPr>
                <w:sz w:val="15"/>
                <w:szCs w:val="15"/>
                <w:color w:val="auto"/>
              </w:rPr>
            </w:pPr>
          </w:p>
        </w:tc>
        <w:tc>
          <w:tcPr>
            <w:tcW w:w="800" w:type="dxa"/>
            <w:vAlign w:val="bottom"/>
            <w:tcBorders>
              <w:top w:val="single" w:sz="8" w:color="auto"/>
            </w:tcBorders>
            <w:vMerge w:val="restart"/>
            <w:shd w:val="clear" w:color="auto" w:fill="97AAD0"/>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500" w:type="dxa"/>
            <w:vAlign w:val="bottom"/>
            <w:tcBorders>
              <w:bottom w:val="single" w:sz="8" w:color="auto"/>
            </w:tcBorders>
            <w:shd w:val="clear" w:color="auto" w:fill="97AAD0"/>
          </w:tcPr>
          <w:p>
            <w:pPr>
              <w:spacing w:after="0"/>
              <w:rPr>
                <w:sz w:val="19"/>
                <w:szCs w:val="19"/>
                <w:color w:val="auto"/>
              </w:rPr>
            </w:pPr>
          </w:p>
        </w:tc>
        <w:tc>
          <w:tcPr>
            <w:tcW w:w="1940" w:type="dxa"/>
            <w:vAlign w:val="bottom"/>
            <w:tcBorders>
              <w:bottom w:val="single" w:sz="8" w:color="auto"/>
            </w:tcBorders>
            <w:gridSpan w:val="2"/>
            <w:vMerge w:val="continue"/>
            <w:shd w:val="clear" w:color="auto" w:fill="97AAD0"/>
          </w:tcPr>
          <w:p>
            <w:pPr>
              <w:spacing w:after="0"/>
              <w:rPr>
                <w:sz w:val="19"/>
                <w:szCs w:val="19"/>
                <w:color w:val="auto"/>
              </w:rPr>
            </w:pPr>
          </w:p>
        </w:tc>
        <w:tc>
          <w:tcPr>
            <w:tcW w:w="1060" w:type="dxa"/>
            <w:vAlign w:val="bottom"/>
            <w:tcBorders>
              <w:bottom w:val="single" w:sz="8" w:color="auto"/>
            </w:tcBorders>
            <w:gridSpan w:val="2"/>
            <w:shd w:val="clear" w:color="auto" w:fill="97AAD0"/>
          </w:tcPr>
          <w:p>
            <w:pPr>
              <w:jc w:val="right"/>
              <w:ind w:right="150"/>
              <w:spacing w:after="0"/>
              <w:rPr>
                <w:sz w:val="20"/>
                <w:szCs w:val="20"/>
                <w:color w:val="auto"/>
              </w:rPr>
            </w:pPr>
            <w:r>
              <w:rPr>
                <w:rFonts w:ascii="Arial" w:cs="Arial" w:eastAsia="Arial" w:hAnsi="Arial"/>
                <w:sz w:val="16"/>
                <w:szCs w:val="16"/>
                <w:b w:val="1"/>
                <w:bCs w:val="1"/>
                <w:color w:val="auto"/>
              </w:rPr>
              <w:t>Europe</w:t>
            </w:r>
            <w:r>
              <w:rPr>
                <w:rFonts w:ascii="Arial" w:cs="Arial" w:eastAsia="Arial" w:hAnsi="Arial"/>
                <w:sz w:val="10"/>
                <w:szCs w:val="10"/>
                <w:b w:val="1"/>
                <w:bCs w:val="1"/>
                <w:color w:val="auto"/>
              </w:rPr>
              <w:t>(b)</w:t>
            </w:r>
          </w:p>
        </w:tc>
        <w:tc>
          <w:tcPr>
            <w:tcW w:w="200" w:type="dxa"/>
            <w:vAlign w:val="bottom"/>
            <w:tcBorders>
              <w:bottom w:val="single" w:sz="8" w:color="auto"/>
            </w:tcBorders>
            <w:shd w:val="clear" w:color="auto" w:fill="97AAD0"/>
          </w:tcPr>
          <w:p>
            <w:pPr>
              <w:spacing w:after="0"/>
              <w:rPr>
                <w:sz w:val="19"/>
                <w:szCs w:val="19"/>
                <w:color w:val="auto"/>
              </w:rPr>
            </w:pPr>
          </w:p>
        </w:tc>
        <w:tc>
          <w:tcPr>
            <w:tcW w:w="880" w:type="dxa"/>
            <w:vAlign w:val="bottom"/>
            <w:tcBorders>
              <w:bottom w:val="single" w:sz="8" w:color="auto"/>
            </w:tcBorders>
            <w:shd w:val="clear" w:color="auto" w:fill="97AAD0"/>
          </w:tcPr>
          <w:p>
            <w:pPr>
              <w:jc w:val="right"/>
              <w:ind w:right="211"/>
              <w:spacing w:after="0"/>
              <w:rPr>
                <w:sz w:val="20"/>
                <w:szCs w:val="20"/>
                <w:color w:val="auto"/>
              </w:rPr>
            </w:pPr>
            <w:r>
              <w:rPr>
                <w:rFonts w:ascii="Arial" w:cs="Arial" w:eastAsia="Arial" w:hAnsi="Arial"/>
                <w:sz w:val="16"/>
                <w:szCs w:val="16"/>
                <w:b w:val="1"/>
                <w:bCs w:val="1"/>
                <w:color w:val="auto"/>
              </w:rPr>
              <w:t>Europe</w:t>
            </w:r>
          </w:p>
        </w:tc>
        <w:tc>
          <w:tcPr>
            <w:tcW w:w="220" w:type="dxa"/>
            <w:vAlign w:val="bottom"/>
            <w:tcBorders>
              <w:bottom w:val="single" w:sz="8" w:color="auto"/>
            </w:tcBorders>
            <w:shd w:val="clear" w:color="auto" w:fill="97AAD0"/>
          </w:tcPr>
          <w:p>
            <w:pPr>
              <w:spacing w:after="0"/>
              <w:rPr>
                <w:sz w:val="19"/>
                <w:szCs w:val="19"/>
                <w:color w:val="auto"/>
              </w:rPr>
            </w:pPr>
          </w:p>
        </w:tc>
        <w:tc>
          <w:tcPr>
            <w:tcW w:w="840" w:type="dxa"/>
            <w:vAlign w:val="bottom"/>
            <w:tcBorders>
              <w:bottom w:val="single" w:sz="8" w:color="auto"/>
            </w:tcBorders>
            <w:vMerge w:val="continue"/>
            <w:shd w:val="clear" w:color="auto" w:fill="97AAD0"/>
          </w:tcPr>
          <w:p>
            <w:pPr>
              <w:spacing w:after="0"/>
              <w:rPr>
                <w:sz w:val="19"/>
                <w:szCs w:val="19"/>
                <w:color w:val="auto"/>
              </w:rPr>
            </w:pPr>
          </w:p>
        </w:tc>
        <w:tc>
          <w:tcPr>
            <w:tcW w:w="1120" w:type="dxa"/>
            <w:vAlign w:val="bottom"/>
            <w:tcBorders>
              <w:bottom w:val="single" w:sz="8" w:color="auto"/>
            </w:tcBorders>
            <w:gridSpan w:val="2"/>
            <w:vMerge w:val="continue"/>
            <w:shd w:val="clear" w:color="auto" w:fill="97AAD0"/>
          </w:tcPr>
          <w:p>
            <w:pPr>
              <w:spacing w:after="0"/>
              <w:rPr>
                <w:sz w:val="19"/>
                <w:szCs w:val="19"/>
                <w:color w:val="auto"/>
              </w:rPr>
            </w:pPr>
          </w:p>
        </w:tc>
        <w:tc>
          <w:tcPr>
            <w:tcW w:w="240" w:type="dxa"/>
            <w:vAlign w:val="bottom"/>
            <w:tcBorders>
              <w:bottom w:val="single" w:sz="8" w:color="auto"/>
            </w:tcBorders>
            <w:shd w:val="clear" w:color="auto" w:fill="97AAD0"/>
          </w:tcPr>
          <w:p>
            <w:pPr>
              <w:spacing w:after="0"/>
              <w:rPr>
                <w:sz w:val="19"/>
                <w:szCs w:val="19"/>
                <w:color w:val="auto"/>
              </w:rPr>
            </w:pPr>
          </w:p>
        </w:tc>
        <w:tc>
          <w:tcPr>
            <w:tcW w:w="800" w:type="dxa"/>
            <w:vAlign w:val="bottom"/>
            <w:tcBorders>
              <w:bottom w:val="single" w:sz="8" w:color="auto"/>
            </w:tcBorders>
            <w:vMerge w:val="continue"/>
            <w:shd w:val="clear" w:color="auto" w:fill="97AAD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E9F3"/>
          </w:tcPr>
          <w:p>
            <w:pPr>
              <w:ind w:left="100"/>
              <w:spacing w:after="0" w:line="243" w:lineRule="exact"/>
              <w:rPr>
                <w:sz w:val="20"/>
                <w:szCs w:val="20"/>
                <w:color w:val="auto"/>
              </w:rPr>
            </w:pPr>
            <w:r>
              <w:rPr>
                <w:rFonts w:ascii="Arial" w:cs="Arial" w:eastAsia="Arial" w:hAnsi="Arial"/>
                <w:sz w:val="18"/>
                <w:szCs w:val="18"/>
                <w:color w:val="auto"/>
              </w:rPr>
              <w:t>Balance, January 1, 2023</w:t>
            </w:r>
            <w:r>
              <w:rPr>
                <w:rFonts w:ascii="Arial" w:cs="Arial" w:eastAsia="Arial" w:hAnsi="Arial"/>
                <w:sz w:val="24"/>
                <w:szCs w:val="24"/>
                <w:color w:val="auto"/>
                <w:vertAlign w:val="superscript"/>
              </w:rPr>
              <w:t>(d)</w:t>
            </w:r>
          </w:p>
        </w:tc>
        <w:tc>
          <w:tcPr>
            <w:tcW w:w="1040" w:type="dxa"/>
            <w:vAlign w:val="bottom"/>
            <w:shd w:val="clear" w:color="auto" w:fill="E5E9F3"/>
          </w:tcPr>
          <w:p>
            <w:pPr>
              <w:ind w:left="9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1,049.6</w:t>
            </w:r>
          </w:p>
        </w:tc>
        <w:tc>
          <w:tcPr>
            <w:tcW w:w="320" w:type="dxa"/>
            <w:vAlign w:val="bottom"/>
            <w:shd w:val="clear" w:color="auto" w:fill="E5E9F3"/>
          </w:tcPr>
          <w:p>
            <w:pPr>
              <w:jc w:val="right"/>
              <w:ind w:right="75"/>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148.2</w:t>
            </w:r>
          </w:p>
        </w:tc>
        <w:tc>
          <w:tcPr>
            <w:tcW w:w="2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234.8</w:t>
            </w:r>
          </w:p>
        </w:tc>
        <w:tc>
          <w:tcPr>
            <w:tcW w:w="2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69.5</w:t>
            </w:r>
          </w:p>
        </w:tc>
        <w:tc>
          <w:tcPr>
            <w:tcW w:w="360" w:type="dxa"/>
            <w:vAlign w:val="bottom"/>
            <w:shd w:val="clear" w:color="auto" w:fill="E5E9F3"/>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1,628.1</w:t>
            </w:r>
          </w:p>
        </w:tc>
        <w:tc>
          <w:tcPr>
            <w:tcW w:w="0" w:type="dxa"/>
            <w:vAlign w:val="bottom"/>
          </w:tcPr>
          <w:p>
            <w:pPr>
              <w:spacing w:after="0"/>
              <w:rPr>
                <w:sz w:val="1"/>
                <w:szCs w:val="1"/>
                <w:color w:val="auto"/>
              </w:rPr>
            </w:pPr>
          </w:p>
        </w:tc>
      </w:tr>
      <w:tr>
        <w:trPr>
          <w:trHeight w:val="253"/>
        </w:trPr>
        <w:tc>
          <w:tcPr>
            <w:tcW w:w="3500" w:type="dxa"/>
            <w:vAlign w:val="bottom"/>
          </w:tcPr>
          <w:p>
            <w:pPr>
              <w:ind w:left="300"/>
              <w:spacing w:after="0" w:line="253" w:lineRule="exact"/>
              <w:rPr>
                <w:sz w:val="20"/>
                <w:szCs w:val="20"/>
                <w:color w:val="auto"/>
              </w:rPr>
            </w:pPr>
            <w:r>
              <w:rPr>
                <w:rFonts w:ascii="Arial" w:cs="Arial" w:eastAsia="Arial" w:hAnsi="Arial"/>
                <w:sz w:val="18"/>
                <w:szCs w:val="18"/>
                <w:color w:val="auto"/>
              </w:rPr>
              <w:t>Impairment Charge</w:t>
            </w:r>
            <w:r>
              <w:rPr>
                <w:rFonts w:ascii="Arial" w:cs="Arial" w:eastAsia="Arial" w:hAnsi="Arial"/>
                <w:sz w:val="24"/>
                <w:szCs w:val="24"/>
                <w:color w:val="auto"/>
                <w:vertAlign w:val="superscript"/>
              </w:rPr>
              <w:t>(e)</w:t>
            </w:r>
          </w:p>
        </w:tc>
        <w:tc>
          <w:tcPr>
            <w:tcW w:w="104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2"/>
                <w:szCs w:val="22"/>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Currency impact</w:t>
            </w:r>
          </w:p>
        </w:tc>
        <w:tc>
          <w:tcPr>
            <w:tcW w:w="1040" w:type="dxa"/>
            <w:vAlign w:val="bottom"/>
            <w:tcBorders>
              <w:bottom w:val="single" w:sz="8" w:color="auto"/>
            </w:tcBorders>
            <w:shd w:val="clear" w:color="auto" w:fill="E5E9F3"/>
          </w:tcPr>
          <w:p>
            <w:pPr>
              <w:spacing w:after="0"/>
              <w:rPr>
                <w:sz w:val="22"/>
                <w:szCs w:val="22"/>
                <w:color w:val="auto"/>
              </w:rPr>
            </w:pPr>
          </w:p>
        </w:tc>
        <w:tc>
          <w:tcPr>
            <w:tcW w:w="90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shd w:val="clear" w:color="auto" w:fill="E5E9F3"/>
          </w:tcPr>
          <w:p>
            <w:pPr>
              <w:spacing w:after="0"/>
              <w:rPr>
                <w:sz w:val="22"/>
                <w:szCs w:val="22"/>
                <w:color w:val="auto"/>
              </w:rPr>
            </w:pPr>
          </w:p>
        </w:tc>
        <w:tc>
          <w:tcPr>
            <w:tcW w:w="74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shd w:val="clear" w:color="auto" w:fill="E5E9F3"/>
          </w:tcPr>
          <w:p>
            <w:pPr>
              <w:spacing w:after="0"/>
              <w:rPr>
                <w:sz w:val="22"/>
                <w:szCs w:val="22"/>
                <w:color w:val="auto"/>
              </w:rPr>
            </w:pPr>
          </w:p>
        </w:tc>
        <w:tc>
          <w:tcPr>
            <w:tcW w:w="8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shd w:val="clear" w:color="auto" w:fill="E5E9F3"/>
          </w:tcPr>
          <w:p>
            <w:pPr>
              <w:spacing w:after="0"/>
              <w:rPr>
                <w:sz w:val="22"/>
                <w:szCs w:val="22"/>
                <w:color w:val="auto"/>
              </w:rPr>
            </w:pPr>
          </w:p>
        </w:tc>
        <w:tc>
          <w:tcPr>
            <w:tcW w:w="8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shd w:val="clear" w:color="auto" w:fill="E5E9F3"/>
          </w:tcPr>
          <w:p>
            <w:pPr>
              <w:spacing w:after="0"/>
              <w:rPr>
                <w:sz w:val="22"/>
                <w:szCs w:val="22"/>
                <w:color w:val="auto"/>
              </w:rPr>
            </w:pPr>
          </w:p>
        </w:tc>
        <w:tc>
          <w:tcPr>
            <w:tcW w:w="7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9F3"/>
          </w:tcPr>
          <w:p>
            <w:pPr>
              <w:spacing w:after="0"/>
              <w:rPr>
                <w:sz w:val="22"/>
                <w:szCs w:val="22"/>
                <w:color w:val="auto"/>
              </w:rPr>
            </w:pP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500" w:type="dxa"/>
            <w:vAlign w:val="bottom"/>
          </w:tcPr>
          <w:p>
            <w:pPr>
              <w:ind w:left="100"/>
              <w:spacing w:after="0" w:line="243" w:lineRule="exact"/>
              <w:rPr>
                <w:sz w:val="20"/>
                <w:szCs w:val="20"/>
                <w:color w:val="auto"/>
              </w:rPr>
            </w:pPr>
            <w:r>
              <w:rPr>
                <w:rFonts w:ascii="Arial" w:cs="Arial" w:eastAsia="Arial" w:hAnsi="Arial"/>
                <w:sz w:val="18"/>
                <w:szCs w:val="18"/>
                <w:color w:val="auto"/>
              </w:rPr>
              <w:t>Balance, December 31, 2023</w:t>
            </w:r>
            <w:r>
              <w:rPr>
                <w:rFonts w:ascii="Arial" w:cs="Arial" w:eastAsia="Arial" w:hAnsi="Arial"/>
                <w:sz w:val="24"/>
                <w:szCs w:val="24"/>
                <w:color w:val="auto"/>
                <w:vertAlign w:val="superscript"/>
              </w:rPr>
              <w:t>(d)</w:t>
            </w:r>
          </w:p>
        </w:tc>
        <w:tc>
          <w:tcPr>
            <w:tcW w:w="10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1,050.4</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154.7</w:t>
            </w: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67.7</w:t>
            </w:r>
          </w:p>
        </w:tc>
        <w:tc>
          <w:tcPr>
            <w:tcW w:w="3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1,586.8</w:t>
            </w:r>
          </w:p>
        </w:tc>
        <w:tc>
          <w:tcPr>
            <w:tcW w:w="0" w:type="dxa"/>
            <w:vAlign w:val="bottom"/>
          </w:tcPr>
          <w:p>
            <w:pPr>
              <w:spacing w:after="0"/>
              <w:rPr>
                <w:sz w:val="1"/>
                <w:szCs w:val="1"/>
                <w:color w:val="auto"/>
              </w:rPr>
            </w:pPr>
          </w:p>
        </w:tc>
      </w:tr>
      <w:tr>
        <w:trPr>
          <w:trHeight w:val="253"/>
        </w:trPr>
        <w:tc>
          <w:tcPr>
            <w:tcW w:w="35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Acquisitions</w:t>
            </w:r>
          </w:p>
        </w:tc>
        <w:tc>
          <w:tcPr>
            <w:tcW w:w="1040" w:type="dxa"/>
            <w:vAlign w:val="bottom"/>
            <w:shd w:val="clear" w:color="auto" w:fill="E5E9F3"/>
          </w:tcPr>
          <w:p>
            <w:pPr>
              <w:spacing w:after="0"/>
              <w:rPr>
                <w:sz w:val="22"/>
                <w:szCs w:val="22"/>
                <w:color w:val="auto"/>
              </w:rPr>
            </w:pPr>
          </w:p>
        </w:tc>
        <w:tc>
          <w:tcPr>
            <w:tcW w:w="90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5E9F3"/>
          </w:tcPr>
          <w:p>
            <w:pPr>
              <w:spacing w:after="0"/>
              <w:rPr>
                <w:sz w:val="22"/>
                <w:szCs w:val="22"/>
                <w:color w:val="auto"/>
              </w:rPr>
            </w:pPr>
          </w:p>
        </w:tc>
        <w:tc>
          <w:tcPr>
            <w:tcW w:w="74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9F3"/>
          </w:tcPr>
          <w:p>
            <w:pPr>
              <w:spacing w:after="0"/>
              <w:rPr>
                <w:sz w:val="22"/>
                <w:szCs w:val="22"/>
                <w:color w:val="auto"/>
              </w:rPr>
            </w:pPr>
          </w:p>
        </w:tc>
        <w:tc>
          <w:tcPr>
            <w:tcW w:w="8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9F3"/>
          </w:tcPr>
          <w:p>
            <w:pPr>
              <w:spacing w:after="0"/>
              <w:rPr>
                <w:sz w:val="22"/>
                <w:szCs w:val="22"/>
                <w:color w:val="auto"/>
              </w:rPr>
            </w:pPr>
          </w:p>
        </w:tc>
        <w:tc>
          <w:tcPr>
            <w:tcW w:w="8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9F3"/>
          </w:tcPr>
          <w:p>
            <w:pPr>
              <w:spacing w:after="0"/>
              <w:rPr>
                <w:sz w:val="22"/>
                <w:szCs w:val="22"/>
                <w:color w:val="auto"/>
              </w:rPr>
            </w:pPr>
          </w:p>
        </w:tc>
        <w:tc>
          <w:tcPr>
            <w:tcW w:w="7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22"/>
                <w:szCs w:val="22"/>
                <w:color w:val="auto"/>
              </w:rPr>
            </w:pPr>
          </w:p>
        </w:tc>
        <w:tc>
          <w:tcPr>
            <w:tcW w:w="8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Currency impact</w:t>
            </w:r>
          </w:p>
        </w:tc>
        <w:tc>
          <w:tcPr>
            <w:tcW w:w="10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E5E9F3"/>
          </w:tcPr>
          <w:p>
            <w:pPr>
              <w:ind w:left="100"/>
              <w:spacing w:after="0" w:line="243" w:lineRule="exact"/>
              <w:rPr>
                <w:sz w:val="20"/>
                <w:szCs w:val="20"/>
                <w:color w:val="auto"/>
              </w:rPr>
            </w:pPr>
            <w:r>
              <w:rPr>
                <w:rFonts w:ascii="Arial" w:cs="Arial" w:eastAsia="Arial" w:hAnsi="Arial"/>
                <w:sz w:val="18"/>
                <w:szCs w:val="18"/>
                <w:color w:val="auto"/>
              </w:rPr>
              <w:t>Balance, December 31, 2024</w:t>
            </w:r>
            <w:r>
              <w:rPr>
                <w:rFonts w:ascii="Arial" w:cs="Arial" w:eastAsia="Arial" w:hAnsi="Arial"/>
                <w:sz w:val="24"/>
                <w:szCs w:val="24"/>
                <w:color w:val="auto"/>
                <w:vertAlign w:val="superscript"/>
              </w:rPr>
              <w:t>(d)</w:t>
            </w:r>
          </w:p>
        </w:tc>
        <w:tc>
          <w:tcPr>
            <w:tcW w:w="1040" w:type="dxa"/>
            <w:vAlign w:val="bottom"/>
            <w:tcBorders>
              <w:bottom w:val="single" w:sz="8" w:color="auto"/>
            </w:tcBorders>
            <w:shd w:val="clear" w:color="auto" w:fill="E5E9F3"/>
          </w:tcPr>
          <w:p>
            <w:pPr>
              <w:ind w:left="9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1,048.2</w:t>
            </w:r>
          </w:p>
        </w:tc>
        <w:tc>
          <w:tcPr>
            <w:tcW w:w="320" w:type="dxa"/>
            <w:vAlign w:val="bottom"/>
            <w:tcBorders>
              <w:bottom w:val="single" w:sz="8" w:color="auto"/>
            </w:tcBorders>
            <w:shd w:val="clear" w:color="auto" w:fill="E5E9F3"/>
          </w:tcPr>
          <w:p>
            <w:pPr>
              <w:jc w:val="right"/>
              <w:ind w:right="75"/>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145.3</w:t>
            </w:r>
          </w:p>
        </w:tc>
        <w:tc>
          <w:tcPr>
            <w:tcW w:w="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181.4</w:t>
            </w:r>
          </w:p>
        </w:tc>
        <w:tc>
          <w:tcPr>
            <w:tcW w:w="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63.0</w:t>
            </w:r>
          </w:p>
        </w:tc>
        <w:tc>
          <w:tcPr>
            <w:tcW w:w="360" w:type="dxa"/>
            <w:vAlign w:val="bottom"/>
            <w:tcBorders>
              <w:bottom w:val="single" w:sz="8" w:color="auto"/>
            </w:tcBorders>
            <w:shd w:val="clear" w:color="auto" w:fill="E5E9F3"/>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125.5</w:t>
            </w:r>
          </w:p>
        </w:tc>
        <w:tc>
          <w:tcPr>
            <w:tcW w:w="2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1,563.4</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20"/>
        <w:spacing w:after="0" w:line="282" w:lineRule="auto"/>
        <w:tabs>
          <w:tab w:leader="none" w:pos="320" w:val="left"/>
        </w:tabs>
        <w:numPr>
          <w:ilvl w:val="0"/>
          <w:numId w:val="50"/>
        </w:numPr>
        <w:rPr>
          <w:rFonts w:ascii="Arial" w:cs="Arial" w:eastAsia="Arial" w:hAnsi="Arial"/>
          <w:sz w:val="10"/>
          <w:szCs w:val="10"/>
          <w:color w:val="auto"/>
        </w:rPr>
      </w:pPr>
      <w:r>
        <w:rPr>
          <w:rFonts w:ascii="Arial" w:cs="Arial" w:eastAsia="Arial" w:hAnsi="Arial"/>
          <w:sz w:val="16"/>
          <w:szCs w:val="16"/>
          <w:color w:val="auto"/>
        </w:rPr>
        <w:t>Balances related to United States were $1,006.5, $1,005.8 and $1,007.2 as of January 1, 2023, December 31, 2023 and December 31, 2024, respectively.</w:t>
      </w:r>
    </w:p>
    <w:p>
      <w:pPr>
        <w:spacing w:after="0" w:line="55" w:lineRule="exact"/>
        <w:rPr>
          <w:rFonts w:ascii="Arial" w:cs="Arial" w:eastAsia="Arial" w:hAnsi="Arial"/>
          <w:sz w:val="10"/>
          <w:szCs w:val="10"/>
          <w:color w:val="auto"/>
        </w:rPr>
      </w:pPr>
    </w:p>
    <w:p>
      <w:pPr>
        <w:ind w:left="320" w:hanging="320"/>
        <w:spacing w:after="0" w:line="280" w:lineRule="auto"/>
        <w:tabs>
          <w:tab w:leader="none" w:pos="320" w:val="left"/>
        </w:tabs>
        <w:numPr>
          <w:ilvl w:val="0"/>
          <w:numId w:val="50"/>
        </w:numPr>
        <w:rPr>
          <w:rFonts w:ascii="Arial" w:cs="Arial" w:eastAsia="Arial" w:hAnsi="Arial"/>
          <w:sz w:val="10"/>
          <w:szCs w:val="10"/>
          <w:color w:val="auto"/>
        </w:rPr>
      </w:pPr>
      <w:r>
        <w:rPr>
          <w:rFonts w:ascii="Arial" w:cs="Arial" w:eastAsia="Arial" w:hAnsi="Arial"/>
          <w:sz w:val="16"/>
          <w:szCs w:val="16"/>
          <w:color w:val="auto"/>
        </w:rPr>
        <w:t>Balances related to France were $73.3, $75.6 and $70.9 as of January 1, 2023, December 31, 2023 and December 31, 2024, respectively. Balances related to Italy were $3.7, $3.8 and $3.5 as of January 1, 2023, December 31, 2023 and December 31, 2024, respectively.</w:t>
      </w:r>
    </w:p>
    <w:p>
      <w:pPr>
        <w:spacing w:after="0" w:line="58" w:lineRule="exact"/>
        <w:rPr>
          <w:rFonts w:ascii="Arial" w:cs="Arial" w:eastAsia="Arial" w:hAnsi="Arial"/>
          <w:sz w:val="10"/>
          <w:szCs w:val="10"/>
          <w:color w:val="auto"/>
        </w:rPr>
      </w:pPr>
    </w:p>
    <w:p>
      <w:pPr>
        <w:jc w:val="both"/>
        <w:ind w:left="320" w:hanging="320"/>
        <w:spacing w:after="0" w:line="250" w:lineRule="auto"/>
        <w:tabs>
          <w:tab w:leader="none" w:pos="320" w:val="left"/>
        </w:tabs>
        <w:numPr>
          <w:ilvl w:val="0"/>
          <w:numId w:val="50"/>
        </w:numPr>
        <w:rPr>
          <w:rFonts w:ascii="Arial" w:cs="Arial" w:eastAsia="Arial" w:hAnsi="Arial"/>
          <w:sz w:val="10"/>
          <w:szCs w:val="10"/>
          <w:color w:val="auto"/>
        </w:rPr>
      </w:pPr>
      <w:r>
        <w:rPr>
          <w:rFonts w:ascii="Arial" w:cs="Arial" w:eastAsia="Arial" w:hAnsi="Arial"/>
          <w:sz w:val="16"/>
          <w:szCs w:val="16"/>
          <w:color w:val="auto"/>
        </w:rPr>
        <w:t>The majority of the Corporate balance as of January 1, 2023, December 31, 2023 and 2024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w:t>
      </w:r>
    </w:p>
    <w:p>
      <w:pPr>
        <w:spacing w:after="0" w:line="81" w:lineRule="exact"/>
        <w:rPr>
          <w:rFonts w:ascii="Arial" w:cs="Arial" w:eastAsia="Arial" w:hAnsi="Arial"/>
          <w:sz w:val="10"/>
          <w:szCs w:val="10"/>
          <w:color w:val="auto"/>
        </w:rPr>
      </w:pPr>
    </w:p>
    <w:p>
      <w:pPr>
        <w:jc w:val="both"/>
        <w:ind w:left="320" w:hanging="320"/>
        <w:spacing w:after="0" w:line="261" w:lineRule="auto"/>
        <w:tabs>
          <w:tab w:leader="none" w:pos="320" w:val="left"/>
        </w:tabs>
        <w:numPr>
          <w:ilvl w:val="0"/>
          <w:numId w:val="50"/>
        </w:numPr>
        <w:rPr>
          <w:rFonts w:ascii="Arial" w:cs="Arial" w:eastAsia="Arial" w:hAnsi="Arial"/>
          <w:sz w:val="10"/>
          <w:szCs w:val="10"/>
          <w:color w:val="auto"/>
        </w:rPr>
      </w:pPr>
      <w:r>
        <w:rPr>
          <w:rFonts w:ascii="Arial" w:cs="Arial" w:eastAsia="Arial" w:hAnsi="Arial"/>
          <w:sz w:val="16"/>
          <w:szCs w:val="16"/>
          <w:color w:val="auto"/>
        </w:rPr>
        <w:t>Balances were net of accumulated impairment loss of $694.2 ($177.0 related to Northern Europe, $3.8 related to APME, $235.2 related to Right Management and $278.2 related to Corporate) as of January 1, 2023; and $749.3 ($232.1 related to Northern Europe, $3.8 related to APME, $235.2 related to Right Management and $278.2 related to Corporate) as of both December 31, 2023 and 2024.</w:t>
      </w:r>
    </w:p>
    <w:p>
      <w:pPr>
        <w:spacing w:after="0" w:line="71" w:lineRule="exact"/>
        <w:rPr>
          <w:rFonts w:ascii="Arial" w:cs="Arial" w:eastAsia="Arial" w:hAnsi="Arial"/>
          <w:sz w:val="10"/>
          <w:szCs w:val="10"/>
          <w:color w:val="auto"/>
        </w:rPr>
      </w:pPr>
    </w:p>
    <w:p>
      <w:pPr>
        <w:ind w:left="320" w:hanging="320"/>
        <w:spacing w:after="0" w:line="282" w:lineRule="auto"/>
        <w:tabs>
          <w:tab w:leader="none" w:pos="320" w:val="left"/>
        </w:tabs>
        <w:numPr>
          <w:ilvl w:val="0"/>
          <w:numId w:val="50"/>
        </w:numPr>
        <w:rPr>
          <w:rFonts w:ascii="Arial" w:cs="Arial" w:eastAsia="Arial" w:hAnsi="Arial"/>
          <w:sz w:val="10"/>
          <w:szCs w:val="10"/>
          <w:color w:val="auto"/>
        </w:rPr>
      </w:pPr>
      <w:r>
        <w:rPr>
          <w:rFonts w:ascii="Arial" w:cs="Arial" w:eastAsia="Arial" w:hAnsi="Arial"/>
          <w:sz w:val="16"/>
          <w:szCs w:val="16"/>
          <w:color w:val="auto"/>
        </w:rPr>
        <w:t>The impairment charge relates to our Netherlands reporting unit, which was recorded during the fourth quarter 2023. See Note 1 to the Consolidated Financial Statements for further information.</w:t>
      </w:r>
    </w:p>
    <w:p>
      <w:pPr>
        <w:spacing w:after="0" w:line="98" w:lineRule="exact"/>
        <w:rPr>
          <w:sz w:val="20"/>
          <w:szCs w:val="20"/>
          <w:color w:val="auto"/>
        </w:rPr>
      </w:pPr>
    </w:p>
    <w:p>
      <w:pPr>
        <w:ind w:left="420" w:hanging="420"/>
        <w:spacing w:after="0"/>
        <w:tabs>
          <w:tab w:leader="none" w:pos="420" w:val="left"/>
        </w:tabs>
        <w:numPr>
          <w:ilvl w:val="0"/>
          <w:numId w:val="51"/>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Debt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concerning short-term borrowings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160" w:type="dxa"/>
            <w:vAlign w:val="bottom"/>
            <w:tcBorders>
              <w:top w:val="single" w:sz="8" w:color="auto"/>
              <w:bottom w:val="single" w:sz="8" w:color="auto"/>
            </w:tcBorders>
            <w:shd w:val="clear" w:color="auto" w:fill="97AAD0"/>
          </w:tcPr>
          <w:p>
            <w:pPr>
              <w:spacing w:after="0"/>
              <w:rPr>
                <w:sz w:val="20"/>
                <w:szCs w:val="20"/>
                <w:color w:val="auto"/>
              </w:rPr>
            </w:pPr>
            <w:r>
              <w:rPr>
                <w:rFonts w:ascii="Arial" w:cs="Arial" w:eastAsia="Arial" w:hAnsi="Arial"/>
                <w:sz w:val="16"/>
                <w:szCs w:val="16"/>
                <w:b w:val="1"/>
                <w:bCs w:val="1"/>
                <w:color w:val="auto"/>
              </w:rPr>
              <w:t>December 31</w:t>
            </w:r>
          </w:p>
        </w:tc>
        <w:tc>
          <w:tcPr>
            <w:tcW w:w="2800" w:type="dxa"/>
            <w:vAlign w:val="bottom"/>
            <w:tcBorders>
              <w:top w:val="single" w:sz="8" w:color="auto"/>
              <w:bottom w:val="single" w:sz="8" w:color="auto"/>
            </w:tcBorders>
            <w:shd w:val="clear" w:color="auto" w:fill="97AAD0"/>
          </w:tcPr>
          <w:p>
            <w:pPr>
              <w:spacing w:after="0"/>
              <w:rPr>
                <w:sz w:val="24"/>
                <w:szCs w:val="24"/>
                <w:color w:val="auto"/>
              </w:rPr>
            </w:pPr>
          </w:p>
        </w:tc>
        <w:tc>
          <w:tcPr>
            <w:tcW w:w="1260" w:type="dxa"/>
            <w:vAlign w:val="bottom"/>
            <w:tcBorders>
              <w:top w:val="single" w:sz="8" w:color="auto"/>
              <w:bottom w:val="single" w:sz="8" w:color="auto"/>
            </w:tcBorders>
            <w:shd w:val="clear" w:color="auto" w:fill="97AAD0"/>
          </w:tcPr>
          <w:p>
            <w:pPr>
              <w:jc w:val="right"/>
              <w:ind w:right="653"/>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shd w:val="clear" w:color="auto" w:fill="97AAD0"/>
          </w:tcPr>
          <w:p>
            <w:pPr>
              <w:spacing w:after="0"/>
              <w:rPr>
                <w:sz w:val="24"/>
                <w:szCs w:val="24"/>
                <w:color w:val="auto"/>
              </w:rPr>
            </w:pPr>
          </w:p>
        </w:tc>
        <w:tc>
          <w:tcPr>
            <w:tcW w:w="1180" w:type="dxa"/>
            <w:vAlign w:val="bottom"/>
            <w:tcBorders>
              <w:top w:val="single" w:sz="8" w:color="auto"/>
              <w:bottom w:val="single" w:sz="8" w:color="auto"/>
            </w:tcBorders>
            <w:shd w:val="clear" w:color="auto" w:fill="97AAD0"/>
          </w:tcPr>
          <w:p>
            <w:pPr>
              <w:jc w:val="right"/>
              <w:ind w:right="553"/>
              <w:spacing w:after="0"/>
              <w:rPr>
                <w:sz w:val="20"/>
                <w:szCs w:val="20"/>
                <w:color w:val="auto"/>
              </w:rPr>
            </w:pPr>
            <w:r>
              <w:rPr>
                <w:rFonts w:ascii="Arial" w:cs="Arial" w:eastAsia="Arial" w:hAnsi="Arial"/>
                <w:sz w:val="16"/>
                <w:szCs w:val="16"/>
                <w:b w:val="1"/>
                <w:bCs w:val="1"/>
                <w:color w:val="auto"/>
              </w:rPr>
              <w:t>2023</w:t>
            </w:r>
          </w:p>
        </w:tc>
      </w:tr>
      <w:tr>
        <w:trPr>
          <w:trHeight w:val="243"/>
        </w:trPr>
        <w:tc>
          <w:tcPr>
            <w:tcW w:w="51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Short-term borrowings</w:t>
            </w:r>
          </w:p>
        </w:tc>
        <w:tc>
          <w:tcPr>
            <w:tcW w:w="280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9F3"/>
          </w:tcPr>
          <w:p>
            <w:pPr>
              <w:ind w:left="620"/>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9F3"/>
          </w:tcPr>
          <w:p>
            <w:pPr>
              <w:jc w:val="right"/>
              <w:ind w:right="113"/>
              <w:spacing w:after="0"/>
              <w:rPr>
                <w:sz w:val="20"/>
                <w:szCs w:val="20"/>
                <w:color w:val="auto"/>
              </w:rPr>
            </w:pPr>
            <w:r>
              <w:rPr>
                <w:rFonts w:ascii="Arial" w:cs="Arial" w:eastAsia="Arial" w:hAnsi="Arial"/>
                <w:sz w:val="18"/>
                <w:szCs w:val="18"/>
                <w:color w:val="auto"/>
              </w:rPr>
              <w:t>9.0</w:t>
            </w:r>
          </w:p>
        </w:tc>
      </w:tr>
      <w:tr>
        <w:trPr>
          <w:trHeight w:val="253"/>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Weighted-average interest rates</w:t>
            </w:r>
          </w:p>
        </w:tc>
        <w:tc>
          <w:tcPr>
            <w:tcW w:w="2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33.3%</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bl>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maintain separate bank credit lines with financial institutions to meet working capital needs of our subsidiary operations. As of December 31, 2024, such uncommitted credit lines totaled $290.5, of which $266.1 was unused. Under our revolving credit agreement, total subsidiary borrowings cannot exceed $300.0 in the first, second and fourth quarters, and $600.0 in the third quarter of each year. Due to these limitations, additional borrowings of $266.1 could have been made under these lines as of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A summary of long-term debt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900" w:type="dxa"/>
            <w:vAlign w:val="bottom"/>
            <w:tcBorders>
              <w:top w:val="single" w:sz="8" w:color="auto"/>
              <w:bottom w:val="single" w:sz="8" w:color="auto"/>
            </w:tcBorders>
            <w:shd w:val="clear" w:color="auto" w:fill="97AAD0"/>
          </w:tcPr>
          <w:p>
            <w:pPr>
              <w:spacing w:after="0"/>
              <w:rPr>
                <w:sz w:val="20"/>
                <w:szCs w:val="20"/>
                <w:color w:val="auto"/>
              </w:rPr>
            </w:pPr>
            <w:r>
              <w:rPr>
                <w:rFonts w:ascii="Arial" w:cs="Arial" w:eastAsia="Arial" w:hAnsi="Arial"/>
                <w:sz w:val="16"/>
                <w:szCs w:val="16"/>
                <w:b w:val="1"/>
                <w:bCs w:val="1"/>
                <w:color w:val="auto"/>
              </w:rPr>
              <w:t>December 31</w:t>
            </w:r>
          </w:p>
        </w:tc>
        <w:tc>
          <w:tcPr>
            <w:tcW w:w="3060" w:type="dxa"/>
            <w:vAlign w:val="bottom"/>
            <w:tcBorders>
              <w:top w:val="single" w:sz="8" w:color="auto"/>
              <w:bottom w:val="single" w:sz="8" w:color="auto"/>
            </w:tcBorders>
            <w:shd w:val="clear" w:color="auto" w:fill="97AAD0"/>
          </w:tcPr>
          <w:p>
            <w:pPr>
              <w:spacing w:after="0"/>
              <w:rPr>
                <w:sz w:val="24"/>
                <w:szCs w:val="24"/>
                <w:color w:val="auto"/>
              </w:rPr>
            </w:pPr>
          </w:p>
        </w:tc>
        <w:tc>
          <w:tcPr>
            <w:tcW w:w="1220" w:type="dxa"/>
            <w:vAlign w:val="bottom"/>
            <w:tcBorders>
              <w:top w:val="single" w:sz="8" w:color="auto"/>
              <w:bottom w:val="single" w:sz="8" w:color="auto"/>
            </w:tcBorders>
            <w:shd w:val="clear" w:color="auto" w:fill="97AAD0"/>
          </w:tcPr>
          <w:p>
            <w:pPr>
              <w:jc w:val="right"/>
              <w:ind w:right="571"/>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shd w:val="clear" w:color="auto" w:fill="97AAD0"/>
          </w:tcPr>
          <w:p>
            <w:pPr>
              <w:spacing w:after="0"/>
              <w:rPr>
                <w:sz w:val="24"/>
                <w:szCs w:val="24"/>
                <w:color w:val="auto"/>
              </w:rPr>
            </w:pPr>
          </w:p>
        </w:tc>
        <w:tc>
          <w:tcPr>
            <w:tcW w:w="1160" w:type="dxa"/>
            <w:vAlign w:val="bottom"/>
            <w:tcBorders>
              <w:top w:val="single" w:sz="8" w:color="auto"/>
              <w:bottom w:val="single" w:sz="8" w:color="auto"/>
            </w:tcBorders>
            <w:shd w:val="clear" w:color="auto" w:fill="97AAD0"/>
          </w:tcPr>
          <w:p>
            <w:pPr>
              <w:jc w:val="right"/>
              <w:ind w:right="531"/>
              <w:spacing w:after="0"/>
              <w:rPr>
                <w:sz w:val="20"/>
                <w:szCs w:val="20"/>
                <w:color w:val="auto"/>
              </w:rPr>
            </w:pPr>
            <w:r>
              <w:rPr>
                <w:rFonts w:ascii="Arial" w:cs="Arial" w:eastAsia="Arial" w:hAnsi="Arial"/>
                <w:sz w:val="16"/>
                <w:szCs w:val="16"/>
                <w:b w:val="1"/>
                <w:bCs w:val="1"/>
                <w:color w:val="auto"/>
              </w:rPr>
              <w:t>2023</w:t>
            </w:r>
          </w:p>
        </w:tc>
      </w:tr>
      <w:tr>
        <w:trPr>
          <w:trHeight w:val="243"/>
        </w:trPr>
        <w:tc>
          <w:tcPr>
            <w:tcW w:w="49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Euro-denominated notes:</w:t>
            </w:r>
          </w:p>
        </w:tc>
        <w:tc>
          <w:tcPr>
            <w:tcW w:w="3060" w:type="dxa"/>
            <w:vAlign w:val="bottom"/>
            <w:shd w:val="clear" w:color="auto" w:fill="E5E9F3"/>
          </w:tcPr>
          <w:p>
            <w:pPr>
              <w:spacing w:after="0"/>
              <w:rPr>
                <w:sz w:val="21"/>
                <w:szCs w:val="21"/>
                <w:color w:val="auto"/>
              </w:rPr>
            </w:pPr>
          </w:p>
        </w:tc>
        <w:tc>
          <w:tcPr>
            <w:tcW w:w="1220" w:type="dxa"/>
            <w:vAlign w:val="bottom"/>
            <w:shd w:val="clear" w:color="auto" w:fill="E5E9F3"/>
          </w:tcPr>
          <w:p>
            <w:pPr>
              <w:spacing w:after="0"/>
              <w:rPr>
                <w:sz w:val="21"/>
                <w:szCs w:val="21"/>
                <w:color w:val="auto"/>
              </w:rPr>
            </w:pPr>
          </w:p>
        </w:tc>
        <w:tc>
          <w:tcPr>
            <w:tcW w:w="460" w:type="dxa"/>
            <w:vAlign w:val="bottom"/>
            <w:shd w:val="clear" w:color="auto" w:fill="E5E9F3"/>
          </w:tcPr>
          <w:p>
            <w:pPr>
              <w:spacing w:after="0"/>
              <w:rPr>
                <w:sz w:val="21"/>
                <w:szCs w:val="21"/>
                <w:color w:val="auto"/>
              </w:rPr>
            </w:pPr>
          </w:p>
        </w:tc>
        <w:tc>
          <w:tcPr>
            <w:tcW w:w="1160" w:type="dxa"/>
            <w:vAlign w:val="bottom"/>
            <w:shd w:val="clear" w:color="auto" w:fill="E5E9F3"/>
          </w:tcPr>
          <w:p>
            <w:pPr>
              <w:spacing w:after="0"/>
              <w:rPr>
                <w:sz w:val="21"/>
                <w:szCs w:val="21"/>
                <w:color w:val="auto"/>
              </w:rPr>
            </w:pPr>
          </w:p>
        </w:tc>
      </w:tr>
      <w:tr>
        <w:trPr>
          <w:trHeight w:val="253"/>
        </w:trPr>
        <w:tc>
          <w:tcPr>
            <w:tcW w:w="4900" w:type="dxa"/>
            <w:vAlign w:val="bottom"/>
          </w:tcPr>
          <w:p>
            <w:pPr>
              <w:ind w:left="300"/>
              <w:spacing w:after="0"/>
              <w:rPr>
                <w:sz w:val="20"/>
                <w:szCs w:val="20"/>
                <w:color w:val="auto"/>
              </w:rPr>
            </w:pPr>
            <w:r>
              <w:rPr>
                <w:rFonts w:ascii="Arial" w:cs="Arial" w:eastAsia="Arial" w:hAnsi="Arial"/>
                <w:sz w:val="18"/>
                <w:szCs w:val="18"/>
                <w:color w:val="auto"/>
              </w:rPr>
              <w:t>€500.0 due June 2026</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516.6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550.0</w:t>
            </w:r>
          </w:p>
        </w:tc>
      </w:tr>
      <w:tr>
        <w:trPr>
          <w:trHeight w:val="253"/>
        </w:trPr>
        <w:tc>
          <w:tcPr>
            <w:tcW w:w="4900" w:type="dxa"/>
            <w:vAlign w:val="bottom"/>
            <w:shd w:val="clear" w:color="auto" w:fill="E5E9F3"/>
          </w:tcPr>
          <w:p>
            <w:pPr>
              <w:ind w:left="300"/>
              <w:spacing w:after="0"/>
              <w:rPr>
                <w:sz w:val="20"/>
                <w:szCs w:val="20"/>
                <w:color w:val="auto"/>
              </w:rPr>
            </w:pPr>
            <w:r>
              <w:rPr>
                <w:rFonts w:ascii="Arial" w:cs="Arial" w:eastAsia="Arial" w:hAnsi="Arial"/>
                <w:sz w:val="18"/>
                <w:szCs w:val="18"/>
                <w:color w:val="auto"/>
              </w:rPr>
              <w:t>€400.0 due June 2027</w:t>
            </w:r>
          </w:p>
        </w:tc>
        <w:tc>
          <w:tcPr>
            <w:tcW w:w="3060" w:type="dxa"/>
            <w:vAlign w:val="bottom"/>
            <w:shd w:val="clear" w:color="auto" w:fill="E5E9F3"/>
          </w:tcPr>
          <w:p>
            <w:pPr>
              <w:spacing w:after="0"/>
              <w:rPr>
                <w:sz w:val="22"/>
                <w:szCs w:val="22"/>
                <w:color w:val="auto"/>
              </w:rPr>
            </w:pPr>
          </w:p>
        </w:tc>
        <w:tc>
          <w:tcPr>
            <w:tcW w:w="122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411.8</w:t>
            </w:r>
          </w:p>
        </w:tc>
        <w:tc>
          <w:tcPr>
            <w:tcW w:w="460" w:type="dxa"/>
            <w:vAlign w:val="bottom"/>
            <w:shd w:val="clear" w:color="auto" w:fill="E5E9F3"/>
          </w:tcPr>
          <w:p>
            <w:pPr>
              <w:spacing w:after="0"/>
              <w:rPr>
                <w:sz w:val="22"/>
                <w:szCs w:val="22"/>
                <w:color w:val="auto"/>
              </w:rPr>
            </w:pPr>
          </w:p>
        </w:tc>
        <w:tc>
          <w:tcPr>
            <w:tcW w:w="11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438.2</w:t>
            </w:r>
          </w:p>
        </w:tc>
      </w:tr>
      <w:tr>
        <w:trPr>
          <w:trHeight w:val="253"/>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r>
      <w:tr>
        <w:trPr>
          <w:trHeight w:val="243"/>
        </w:trPr>
        <w:tc>
          <w:tcPr>
            <w:tcW w:w="4900" w:type="dxa"/>
            <w:vAlign w:val="bottom"/>
            <w:tcBorders>
              <w:bottom w:val="single" w:sz="8" w:color="auto"/>
            </w:tcBorders>
            <w:shd w:val="clear" w:color="auto" w:fill="E5E9F3"/>
          </w:tcPr>
          <w:p>
            <w:pPr>
              <w:spacing w:after="0"/>
              <w:rPr>
                <w:sz w:val="21"/>
                <w:szCs w:val="21"/>
                <w:color w:val="auto"/>
              </w:rPr>
            </w:pPr>
          </w:p>
        </w:tc>
        <w:tc>
          <w:tcPr>
            <w:tcW w:w="3060" w:type="dxa"/>
            <w:vAlign w:val="bottom"/>
            <w:tcBorders>
              <w:bottom w:val="single" w:sz="8" w:color="auto"/>
            </w:tcBorders>
            <w:shd w:val="clear" w:color="auto" w:fill="E5E9F3"/>
          </w:tcPr>
          <w:p>
            <w:pPr>
              <w:spacing w:after="0"/>
              <w:rPr>
                <w:sz w:val="21"/>
                <w:szCs w:val="21"/>
                <w:color w:val="auto"/>
              </w:rPr>
            </w:pPr>
          </w:p>
        </w:tc>
        <w:tc>
          <w:tcPr>
            <w:tcW w:w="122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931.8</w:t>
            </w:r>
          </w:p>
        </w:tc>
        <w:tc>
          <w:tcPr>
            <w:tcW w:w="460" w:type="dxa"/>
            <w:vAlign w:val="bottom"/>
            <w:tcBorders>
              <w:bottom w:val="single" w:sz="8" w:color="auto"/>
            </w:tcBorders>
            <w:shd w:val="clear" w:color="auto" w:fill="E5E9F3"/>
          </w:tcPr>
          <w:p>
            <w:pPr>
              <w:spacing w:after="0"/>
              <w:rPr>
                <w:sz w:val="21"/>
                <w:szCs w:val="21"/>
                <w:color w:val="auto"/>
              </w:rPr>
            </w:pPr>
          </w:p>
        </w:tc>
        <w:tc>
          <w:tcPr>
            <w:tcW w:w="11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993.6</w:t>
            </w:r>
          </w:p>
        </w:tc>
      </w:tr>
      <w:tr>
        <w:trPr>
          <w:trHeight w:val="243"/>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current maturities</w:t>
            </w:r>
          </w:p>
        </w:tc>
        <w:tc>
          <w:tcPr>
            <w:tcW w:w="30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49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Long-term debt</w:t>
            </w:r>
          </w:p>
        </w:tc>
        <w:tc>
          <w:tcPr>
            <w:tcW w:w="306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929.4</w:t>
            </w:r>
          </w:p>
        </w:tc>
        <w:tc>
          <w:tcPr>
            <w:tcW w:w="460" w:type="dxa"/>
            <w:vAlign w:val="bottom"/>
            <w:tcBorders>
              <w:bottom w:val="single" w:sz="8" w:color="auto"/>
            </w:tcBorders>
            <w:shd w:val="clear" w:color="auto" w:fill="E5E9F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990.5</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10800"/>
          </w:cols>
          <w:pgMar w:left="720" w:top="734" w:right="720" w:bottom="175" w:gutter="0" w:footer="0" w:header="0"/>
          <w:type w:val="continuous"/>
        </w:sectPr>
      </w:pPr>
    </w:p>
    <w:bookmarkStart w:id="78" w:name="page79"/>
    <w:bookmarkEnd w:id="78"/>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4" o:spid="_x0000_s112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Euro Notes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June 30, 2022, we offered and sold €400.0 aggregate principal amount of the Company’s 3.50% notes due June 30, 2027 (the “€400.0 notes”). The proceeds from the €400.0 notes were used in July 2022 to repay our €400.0 1.875% notes due September 11, 2022. The €400.0 notes 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2024.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Revolving Credit Agreement</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2024 and 2023. Outstanding letters of credit issued totaled $0.4, hence additional borrowings of $599.6 were available to us under the facility as of both December 31, 2024 and 2023.</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Debt Maturities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maturities of long-term debt payable within each of the four years subsequent to December 31, 2025 are as follows: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2026 - $517.6, 2027 - $411.8, 2028 - $0.0, 2029 -$0.0.</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10800"/>
          </w:cols>
          <w:pgMar w:left="720" w:top="734" w:right="720" w:bottom="175" w:gutter="0" w:footer="0" w:header="0"/>
          <w:type w:val="continuous"/>
        </w:sectPr>
      </w:pPr>
    </w:p>
    <w:bookmarkStart w:id="79" w:name="page80"/>
    <w:bookmarkEnd w:id="7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5" o:spid="_x0000_s113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ind w:left="420" w:hanging="420"/>
        <w:spacing w:after="0"/>
        <w:tabs>
          <w:tab w:leader="none" w:pos="420" w:val="left"/>
        </w:tabs>
        <w:numPr>
          <w:ilvl w:val="0"/>
          <w:numId w:val="52"/>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Retirement and Deferred Compensation Plans</w:t>
      </w:r>
    </w:p>
    <w:p>
      <w:pPr>
        <w:spacing w:after="0" w:line="13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For all of our United States defined benefit and retiree health care plans, we adopted the Society of Actuaries’ Pri-2012 Mortality Table with MP-2021 Mortality Improvement Scale in determining the plans’ benefit obligations as of December 31, 2024.</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Defined Benefit Pension Plans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sponsor qualified and nonqualified pension plans covering permanent employees in several countries. In our Switzerland pension plan, we recognized a partial settlement as a result of local regulations and turnover common to our industry and reclassified pension losses of $3.8, $5.8 and $2.7 in 2024, 2023, and 2022, respectively, net of tax, recorded in other comprehensive loss in the Consolidated Statements of Comprehensive Income. The reconciliation of the changes in the plans’ benefit obligations, the fair value of plan assets and the funded status of the plans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4500" w:type="dxa"/>
            <w:vAlign w:val="bottom"/>
            <w:tcBorders>
              <w:top w:val="single" w:sz="8" w:color="auto"/>
              <w:bottom w:val="single" w:sz="8" w:color="auto"/>
            </w:tcBorders>
            <w:shd w:val="clear" w:color="auto" w:fill="97AAD0"/>
          </w:tcPr>
          <w:p>
            <w:pPr>
              <w:spacing w:after="0"/>
              <w:rPr>
                <w:sz w:val="24"/>
                <w:szCs w:val="24"/>
                <w:color w:val="auto"/>
              </w:rPr>
            </w:pPr>
          </w:p>
        </w:tc>
        <w:tc>
          <w:tcPr>
            <w:tcW w:w="1200" w:type="dxa"/>
            <w:vAlign w:val="bottom"/>
            <w:tcBorders>
              <w:top w:val="single" w:sz="8" w:color="auto"/>
              <w:bottom w:val="single" w:sz="8" w:color="auto"/>
            </w:tcBorders>
            <w:shd w:val="clear" w:color="auto" w:fill="97AAD0"/>
          </w:tcPr>
          <w:p>
            <w:pPr>
              <w:spacing w:after="0"/>
              <w:rPr>
                <w:sz w:val="24"/>
                <w:szCs w:val="24"/>
                <w:color w:val="auto"/>
              </w:rPr>
            </w:pPr>
          </w:p>
        </w:tc>
        <w:tc>
          <w:tcPr>
            <w:tcW w:w="2360" w:type="dxa"/>
            <w:vAlign w:val="bottom"/>
            <w:tcBorders>
              <w:top w:val="single" w:sz="8" w:color="auto"/>
              <w:bottom w:val="single" w:sz="8" w:color="auto"/>
            </w:tcBorders>
            <w:gridSpan w:val="3"/>
            <w:shd w:val="clear" w:color="auto" w:fill="97AAD0"/>
          </w:tcPr>
          <w:p>
            <w:pPr>
              <w:jc w:val="right"/>
              <w:ind w:right="531"/>
              <w:spacing w:after="0"/>
              <w:rPr>
                <w:sz w:val="20"/>
                <w:szCs w:val="20"/>
                <w:color w:val="auto"/>
              </w:rPr>
            </w:pPr>
            <w:r>
              <w:rPr>
                <w:rFonts w:ascii="Arial" w:cs="Arial" w:eastAsia="Arial" w:hAnsi="Arial"/>
                <w:sz w:val="16"/>
                <w:szCs w:val="16"/>
                <w:b w:val="1"/>
                <w:bCs w:val="1"/>
                <w:color w:val="auto"/>
              </w:rPr>
              <w:t>United States Plans</w:t>
            </w:r>
          </w:p>
        </w:tc>
        <w:tc>
          <w:tcPr>
            <w:tcW w:w="20" w:type="dxa"/>
            <w:vAlign w:val="bottom"/>
            <w:tcBorders>
              <w:top w:val="single" w:sz="8" w:color="auto"/>
              <w:bottom w:val="single" w:sz="8" w:color="97AAD0"/>
            </w:tcBorders>
            <w:shd w:val="clear" w:color="auto" w:fill="97AAD0"/>
          </w:tcPr>
          <w:p>
            <w:pPr>
              <w:spacing w:after="0"/>
              <w:rPr>
                <w:sz w:val="24"/>
                <w:szCs w:val="24"/>
                <w:color w:val="auto"/>
              </w:rPr>
            </w:pPr>
          </w:p>
        </w:tc>
        <w:tc>
          <w:tcPr>
            <w:tcW w:w="100" w:type="dxa"/>
            <w:vAlign w:val="bottom"/>
            <w:tcBorders>
              <w:top w:val="single" w:sz="8" w:color="auto"/>
              <w:bottom w:val="single" w:sz="8" w:color="97AAD0"/>
            </w:tcBorders>
            <w:shd w:val="clear" w:color="auto" w:fill="97AAD0"/>
          </w:tcPr>
          <w:p>
            <w:pPr>
              <w:spacing w:after="0"/>
              <w:rPr>
                <w:sz w:val="24"/>
                <w:szCs w:val="24"/>
                <w:color w:val="auto"/>
              </w:rPr>
            </w:pPr>
          </w:p>
        </w:tc>
        <w:tc>
          <w:tcPr>
            <w:tcW w:w="20" w:type="dxa"/>
            <w:vAlign w:val="bottom"/>
            <w:tcBorders>
              <w:top w:val="single" w:sz="8" w:color="auto"/>
              <w:bottom w:val="single" w:sz="8" w:color="auto"/>
            </w:tcBorders>
            <w:shd w:val="clear" w:color="auto" w:fill="97AAD0"/>
          </w:tcPr>
          <w:p>
            <w:pPr>
              <w:spacing w:after="0"/>
              <w:rPr>
                <w:sz w:val="24"/>
                <w:szCs w:val="24"/>
                <w:color w:val="auto"/>
              </w:rPr>
            </w:pPr>
          </w:p>
        </w:tc>
        <w:tc>
          <w:tcPr>
            <w:tcW w:w="200" w:type="dxa"/>
            <w:vAlign w:val="bottom"/>
            <w:tcBorders>
              <w:top w:val="single" w:sz="8" w:color="auto"/>
              <w:bottom w:val="single" w:sz="8" w:color="auto"/>
            </w:tcBorders>
            <w:shd w:val="clear" w:color="auto" w:fill="97AAD0"/>
          </w:tcPr>
          <w:p>
            <w:pPr>
              <w:spacing w:after="0"/>
              <w:rPr>
                <w:sz w:val="24"/>
                <w:szCs w:val="24"/>
                <w:color w:val="auto"/>
              </w:rPr>
            </w:pPr>
          </w:p>
        </w:tc>
        <w:tc>
          <w:tcPr>
            <w:tcW w:w="2400" w:type="dxa"/>
            <w:vAlign w:val="bottom"/>
            <w:tcBorders>
              <w:top w:val="single" w:sz="8" w:color="auto"/>
              <w:bottom w:val="single" w:sz="8" w:color="auto"/>
            </w:tcBorders>
            <w:gridSpan w:val="3"/>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Non-United States Plans</w:t>
            </w:r>
          </w:p>
        </w:tc>
      </w:tr>
      <w:tr>
        <w:trPr>
          <w:trHeight w:val="364"/>
        </w:trPr>
        <w:tc>
          <w:tcPr>
            <w:tcW w:w="4500" w:type="dxa"/>
            <w:vAlign w:val="bottom"/>
            <w:tcBorders>
              <w:bottom w:val="single" w:sz="8" w:color="97AAD0"/>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97AAD0"/>
            </w:tcBorders>
            <w:shd w:val="clear" w:color="auto" w:fill="97AAD0"/>
          </w:tcPr>
          <w:p>
            <w:pPr>
              <w:spacing w:after="0"/>
              <w:rPr>
                <w:sz w:val="24"/>
                <w:szCs w:val="24"/>
                <w:color w:val="auto"/>
              </w:rPr>
            </w:pPr>
          </w:p>
        </w:tc>
        <w:tc>
          <w:tcPr>
            <w:tcW w:w="1040" w:type="dxa"/>
            <w:vAlign w:val="bottom"/>
            <w:tcBorders>
              <w:bottom w:val="single" w:sz="8" w:color="97AAD0"/>
            </w:tcBorders>
            <w:shd w:val="clear" w:color="auto" w:fill="97AAD0"/>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97AAD0"/>
            </w:tcBorders>
            <w:shd w:val="clear" w:color="auto" w:fill="97AAD0"/>
          </w:tcPr>
          <w:p>
            <w:pPr>
              <w:spacing w:after="0"/>
              <w:rPr>
                <w:sz w:val="24"/>
                <w:szCs w:val="24"/>
                <w:color w:val="auto"/>
              </w:rPr>
            </w:pPr>
          </w:p>
        </w:tc>
        <w:tc>
          <w:tcPr>
            <w:tcW w:w="1000" w:type="dxa"/>
            <w:vAlign w:val="bottom"/>
            <w:tcBorders>
              <w:bottom w:val="single" w:sz="8" w:color="97AAD0"/>
            </w:tcBorders>
            <w:shd w:val="clear" w:color="auto" w:fill="97AAD0"/>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97AAD0"/>
            </w:tcBorders>
            <w:shd w:val="clear" w:color="auto" w:fill="97AAD0"/>
          </w:tcPr>
          <w:p>
            <w:pPr>
              <w:spacing w:after="0"/>
              <w:rPr>
                <w:sz w:val="24"/>
                <w:szCs w:val="24"/>
                <w:color w:val="auto"/>
              </w:rPr>
            </w:pPr>
          </w:p>
        </w:tc>
        <w:tc>
          <w:tcPr>
            <w:tcW w:w="100" w:type="dxa"/>
            <w:vAlign w:val="bottom"/>
            <w:tcBorders>
              <w:bottom w:val="single" w:sz="8" w:color="97AAD0"/>
            </w:tcBorders>
            <w:shd w:val="clear" w:color="auto" w:fill="97AAD0"/>
          </w:tcPr>
          <w:p>
            <w:pPr>
              <w:spacing w:after="0"/>
              <w:rPr>
                <w:sz w:val="24"/>
                <w:szCs w:val="24"/>
                <w:color w:val="auto"/>
              </w:rPr>
            </w:pPr>
          </w:p>
        </w:tc>
        <w:tc>
          <w:tcPr>
            <w:tcW w:w="20" w:type="dxa"/>
            <w:vAlign w:val="bottom"/>
            <w:tcBorders>
              <w:bottom w:val="single" w:sz="8" w:color="97AAD0"/>
            </w:tcBorders>
            <w:shd w:val="clear" w:color="auto" w:fill="97AAD0"/>
          </w:tcPr>
          <w:p>
            <w:pPr>
              <w:spacing w:after="0"/>
              <w:rPr>
                <w:sz w:val="24"/>
                <w:szCs w:val="24"/>
                <w:color w:val="auto"/>
              </w:rPr>
            </w:pPr>
          </w:p>
        </w:tc>
        <w:tc>
          <w:tcPr>
            <w:tcW w:w="200" w:type="dxa"/>
            <w:vAlign w:val="bottom"/>
            <w:tcBorders>
              <w:bottom w:val="single" w:sz="8" w:color="97AAD0"/>
            </w:tcBorders>
            <w:shd w:val="clear" w:color="auto" w:fill="97AAD0"/>
          </w:tcPr>
          <w:p>
            <w:pPr>
              <w:spacing w:after="0"/>
              <w:rPr>
                <w:sz w:val="24"/>
                <w:szCs w:val="24"/>
                <w:color w:val="auto"/>
              </w:rPr>
            </w:pPr>
          </w:p>
        </w:tc>
        <w:tc>
          <w:tcPr>
            <w:tcW w:w="1080" w:type="dxa"/>
            <w:vAlign w:val="bottom"/>
            <w:tcBorders>
              <w:bottom w:val="single" w:sz="8" w:color="97AAD0"/>
            </w:tcBorders>
            <w:shd w:val="clear" w:color="auto" w:fill="97AAD0"/>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97AAD0"/>
            </w:tcBorders>
            <w:shd w:val="clear" w:color="auto" w:fill="97AAD0"/>
          </w:tcPr>
          <w:p>
            <w:pPr>
              <w:spacing w:after="0"/>
              <w:rPr>
                <w:sz w:val="24"/>
                <w:szCs w:val="24"/>
                <w:color w:val="auto"/>
              </w:rPr>
            </w:pPr>
          </w:p>
        </w:tc>
        <w:tc>
          <w:tcPr>
            <w:tcW w:w="1000" w:type="dxa"/>
            <w:vAlign w:val="bottom"/>
            <w:tcBorders>
              <w:bottom w:val="single" w:sz="8" w:color="97AAD0"/>
            </w:tcBorders>
            <w:shd w:val="clear" w:color="auto" w:fill="97AAD0"/>
          </w:tcPr>
          <w:p>
            <w:pPr>
              <w:jc w:val="right"/>
              <w:ind w:right="431"/>
              <w:spacing w:after="0"/>
              <w:rPr>
                <w:sz w:val="20"/>
                <w:szCs w:val="20"/>
                <w:color w:val="auto"/>
              </w:rPr>
            </w:pPr>
            <w:r>
              <w:rPr>
                <w:rFonts w:ascii="Arial" w:cs="Arial" w:eastAsia="Arial" w:hAnsi="Arial"/>
                <w:sz w:val="16"/>
                <w:szCs w:val="16"/>
                <w:b w:val="1"/>
                <w:bCs w:val="1"/>
                <w:color w:val="auto"/>
              </w:rPr>
              <w:t>2023</w:t>
            </w:r>
          </w:p>
        </w:tc>
      </w:tr>
      <w:tr>
        <w:trPr>
          <w:trHeight w:val="257"/>
        </w:trPr>
        <w:tc>
          <w:tcPr>
            <w:tcW w:w="4500" w:type="dxa"/>
            <w:vAlign w:val="bottom"/>
            <w:tcBorders>
              <w:top w:val="single" w:sz="8" w:color="auto"/>
            </w:tcBorders>
            <w:shd w:val="clear" w:color="auto" w:fill="E5E9F3"/>
          </w:tcPr>
          <w:p>
            <w:pPr>
              <w:ind w:left="100"/>
              <w:spacing w:after="0"/>
              <w:rPr>
                <w:sz w:val="20"/>
                <w:szCs w:val="20"/>
                <w:color w:val="auto"/>
              </w:rPr>
            </w:pPr>
            <w:r>
              <w:rPr>
                <w:rFonts w:ascii="Arial" w:cs="Arial" w:eastAsia="Arial" w:hAnsi="Arial"/>
                <w:sz w:val="18"/>
                <w:szCs w:val="18"/>
                <w:b w:val="1"/>
                <w:bCs w:val="1"/>
                <w:color w:val="auto"/>
              </w:rPr>
              <w:t>Change in Benefit Obligation</w:t>
            </w:r>
          </w:p>
        </w:tc>
        <w:tc>
          <w:tcPr>
            <w:tcW w:w="1200" w:type="dxa"/>
            <w:vAlign w:val="bottom"/>
            <w:tcBorders>
              <w:top w:val="single" w:sz="8" w:color="auto"/>
            </w:tcBorders>
            <w:shd w:val="clear" w:color="auto" w:fill="E5E9F3"/>
          </w:tcPr>
          <w:p>
            <w:pPr>
              <w:spacing w:after="0"/>
              <w:rPr>
                <w:sz w:val="22"/>
                <w:szCs w:val="22"/>
                <w:color w:val="auto"/>
              </w:rPr>
            </w:pPr>
          </w:p>
        </w:tc>
        <w:tc>
          <w:tcPr>
            <w:tcW w:w="1040" w:type="dxa"/>
            <w:vAlign w:val="bottom"/>
            <w:tcBorders>
              <w:top w:val="single" w:sz="8" w:color="auto"/>
            </w:tcBorders>
            <w:shd w:val="clear" w:color="auto" w:fill="E5E9F3"/>
          </w:tcPr>
          <w:p>
            <w:pPr>
              <w:spacing w:after="0"/>
              <w:rPr>
                <w:sz w:val="22"/>
                <w:szCs w:val="22"/>
                <w:color w:val="auto"/>
              </w:rPr>
            </w:pPr>
          </w:p>
        </w:tc>
        <w:tc>
          <w:tcPr>
            <w:tcW w:w="320" w:type="dxa"/>
            <w:vAlign w:val="bottom"/>
            <w:tcBorders>
              <w:top w:val="single" w:sz="8" w:color="auto"/>
            </w:tcBorders>
            <w:shd w:val="clear" w:color="auto" w:fill="E5E9F3"/>
          </w:tcPr>
          <w:p>
            <w:pPr>
              <w:spacing w:after="0"/>
              <w:rPr>
                <w:sz w:val="22"/>
                <w:szCs w:val="22"/>
                <w:color w:val="auto"/>
              </w:rPr>
            </w:pPr>
          </w:p>
        </w:tc>
        <w:tc>
          <w:tcPr>
            <w:tcW w:w="100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0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200" w:type="dxa"/>
            <w:vAlign w:val="bottom"/>
            <w:tcBorders>
              <w:top w:val="single" w:sz="8" w:color="auto"/>
            </w:tcBorders>
            <w:shd w:val="clear" w:color="auto" w:fill="E5E9F3"/>
          </w:tcPr>
          <w:p>
            <w:pPr>
              <w:spacing w:after="0"/>
              <w:rPr>
                <w:sz w:val="22"/>
                <w:szCs w:val="22"/>
                <w:color w:val="auto"/>
              </w:rPr>
            </w:pPr>
          </w:p>
        </w:tc>
        <w:tc>
          <w:tcPr>
            <w:tcW w:w="1080" w:type="dxa"/>
            <w:vAlign w:val="bottom"/>
            <w:tcBorders>
              <w:top w:val="single" w:sz="8" w:color="auto"/>
            </w:tcBorders>
            <w:shd w:val="clear" w:color="auto" w:fill="E5E9F3"/>
          </w:tcPr>
          <w:p>
            <w:pPr>
              <w:spacing w:after="0"/>
              <w:rPr>
                <w:sz w:val="22"/>
                <w:szCs w:val="22"/>
                <w:color w:val="auto"/>
              </w:rPr>
            </w:pPr>
          </w:p>
        </w:tc>
        <w:tc>
          <w:tcPr>
            <w:tcW w:w="320" w:type="dxa"/>
            <w:vAlign w:val="bottom"/>
            <w:tcBorders>
              <w:top w:val="single" w:sz="8" w:color="auto"/>
            </w:tcBorders>
            <w:shd w:val="clear" w:color="auto" w:fill="E5E9F3"/>
          </w:tcPr>
          <w:p>
            <w:pPr>
              <w:spacing w:after="0"/>
              <w:rPr>
                <w:sz w:val="22"/>
                <w:szCs w:val="22"/>
                <w:color w:val="auto"/>
              </w:rPr>
            </w:pPr>
          </w:p>
        </w:tc>
        <w:tc>
          <w:tcPr>
            <w:tcW w:w="1000" w:type="dxa"/>
            <w:vAlign w:val="bottom"/>
            <w:tcBorders>
              <w:top w:val="single" w:sz="8" w:color="auto"/>
            </w:tcBorders>
            <w:shd w:val="clear" w:color="auto" w:fill="E5E9F3"/>
          </w:tcPr>
          <w:p>
            <w:pPr>
              <w:spacing w:after="0"/>
              <w:rPr>
                <w:sz w:val="22"/>
                <w:szCs w:val="22"/>
                <w:color w:val="auto"/>
              </w:rPr>
            </w:pPr>
          </w:p>
        </w:tc>
      </w:tr>
      <w:tr>
        <w:trPr>
          <w:trHeight w:val="267"/>
        </w:trPr>
        <w:tc>
          <w:tcPr>
            <w:tcW w:w="4500" w:type="dxa"/>
            <w:vAlign w:val="bottom"/>
          </w:tcPr>
          <w:p>
            <w:pPr>
              <w:ind w:left="100"/>
              <w:spacing w:after="0"/>
              <w:rPr>
                <w:sz w:val="20"/>
                <w:szCs w:val="20"/>
                <w:color w:val="auto"/>
              </w:rPr>
            </w:pPr>
            <w:r>
              <w:rPr>
                <w:rFonts w:ascii="Arial" w:cs="Arial" w:eastAsia="Arial" w:hAnsi="Arial"/>
                <w:sz w:val="18"/>
                <w:szCs w:val="18"/>
                <w:color w:val="auto"/>
              </w:rPr>
              <w:t>Benefit obligation, beginning of year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3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713.2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632.3</w:t>
            </w:r>
          </w:p>
        </w:tc>
      </w:tr>
      <w:tr>
        <w:trPr>
          <w:trHeight w:val="267"/>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Service cost</w:t>
            </w:r>
          </w:p>
        </w:tc>
        <w:tc>
          <w:tcPr>
            <w:tcW w:w="1200" w:type="dxa"/>
            <w:vAlign w:val="bottom"/>
            <w:shd w:val="clear" w:color="auto" w:fill="E5E9F3"/>
          </w:tcPr>
          <w:p>
            <w:pPr>
              <w:spacing w:after="0"/>
              <w:rPr>
                <w:sz w:val="23"/>
                <w:szCs w:val="23"/>
                <w:color w:val="auto"/>
              </w:rPr>
            </w:pPr>
          </w:p>
        </w:tc>
        <w:tc>
          <w:tcPr>
            <w:tcW w:w="104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00" w:type="dxa"/>
            <w:vAlign w:val="bottom"/>
            <w:shd w:val="clear" w:color="auto" w:fill="E5E9F3"/>
          </w:tcPr>
          <w:p>
            <w:pPr>
              <w:spacing w:after="0"/>
              <w:rPr>
                <w:sz w:val="23"/>
                <w:szCs w:val="23"/>
                <w:color w:val="auto"/>
              </w:rPr>
            </w:pPr>
          </w:p>
        </w:tc>
        <w:tc>
          <w:tcPr>
            <w:tcW w:w="10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15.5</w:t>
            </w:r>
          </w:p>
        </w:tc>
      </w:tr>
      <w:tr>
        <w:trPr>
          <w:trHeight w:val="267"/>
        </w:trPr>
        <w:tc>
          <w:tcPr>
            <w:tcW w:w="450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20.1</w:t>
            </w:r>
          </w:p>
        </w:tc>
      </w:tr>
      <w:tr>
        <w:trPr>
          <w:trHeight w:val="267"/>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Curtailments</w:t>
            </w:r>
          </w:p>
        </w:tc>
        <w:tc>
          <w:tcPr>
            <w:tcW w:w="1200" w:type="dxa"/>
            <w:vAlign w:val="bottom"/>
            <w:shd w:val="clear" w:color="auto" w:fill="E5E9F3"/>
          </w:tcPr>
          <w:p>
            <w:pPr>
              <w:spacing w:after="0"/>
              <w:rPr>
                <w:sz w:val="23"/>
                <w:szCs w:val="23"/>
                <w:color w:val="auto"/>
              </w:rPr>
            </w:pPr>
          </w:p>
        </w:tc>
        <w:tc>
          <w:tcPr>
            <w:tcW w:w="104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00" w:type="dxa"/>
            <w:vAlign w:val="bottom"/>
            <w:shd w:val="clear" w:color="auto" w:fill="E5E9F3"/>
          </w:tcPr>
          <w:p>
            <w:pPr>
              <w:spacing w:after="0"/>
              <w:rPr>
                <w:sz w:val="23"/>
                <w:szCs w:val="23"/>
                <w:color w:val="auto"/>
              </w:rPr>
            </w:pPr>
          </w:p>
        </w:tc>
        <w:tc>
          <w:tcPr>
            <w:tcW w:w="108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(2.7 )</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w:t>
            </w:r>
          </w:p>
        </w:tc>
      </w:tr>
      <w:tr>
        <w:trPr>
          <w:trHeight w:val="267"/>
        </w:trPr>
        <w:tc>
          <w:tcPr>
            <w:tcW w:w="450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2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(50.9 )</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(66.4 )</w:t>
            </w:r>
          </w:p>
        </w:tc>
      </w:tr>
      <w:tr>
        <w:trPr>
          <w:trHeight w:val="267"/>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Transfers</w:t>
            </w:r>
          </w:p>
        </w:tc>
        <w:tc>
          <w:tcPr>
            <w:tcW w:w="1200" w:type="dxa"/>
            <w:vAlign w:val="bottom"/>
            <w:shd w:val="clear" w:color="auto" w:fill="E5E9F3"/>
          </w:tcPr>
          <w:p>
            <w:pPr>
              <w:spacing w:after="0"/>
              <w:rPr>
                <w:sz w:val="23"/>
                <w:szCs w:val="23"/>
                <w:color w:val="auto"/>
              </w:rPr>
            </w:pPr>
          </w:p>
        </w:tc>
        <w:tc>
          <w:tcPr>
            <w:tcW w:w="104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00" w:type="dxa"/>
            <w:vAlign w:val="bottom"/>
            <w:shd w:val="clear" w:color="auto" w:fill="E5E9F3"/>
          </w:tcPr>
          <w:p>
            <w:pPr>
              <w:spacing w:after="0"/>
              <w:rPr>
                <w:sz w:val="23"/>
                <w:szCs w:val="23"/>
                <w:color w:val="auto"/>
              </w:rPr>
            </w:pPr>
          </w:p>
        </w:tc>
        <w:tc>
          <w:tcPr>
            <w:tcW w:w="10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26.9</w:t>
            </w:r>
          </w:p>
        </w:tc>
      </w:tr>
      <w:tr>
        <w:trPr>
          <w:trHeight w:val="267"/>
        </w:trPr>
        <w:tc>
          <w:tcPr>
            <w:tcW w:w="450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12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(3.9 )</w:t>
            </w:r>
          </w:p>
        </w:tc>
        <w:tc>
          <w:tcPr>
            <w:tcW w:w="32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43.3</w:t>
            </w:r>
          </w:p>
        </w:tc>
      </w:tr>
      <w:tr>
        <w:trPr>
          <w:trHeight w:val="267"/>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Plan participant contributions</w:t>
            </w:r>
          </w:p>
        </w:tc>
        <w:tc>
          <w:tcPr>
            <w:tcW w:w="1200" w:type="dxa"/>
            <w:vAlign w:val="bottom"/>
            <w:shd w:val="clear" w:color="auto" w:fill="E5E9F3"/>
          </w:tcPr>
          <w:p>
            <w:pPr>
              <w:spacing w:after="0"/>
              <w:rPr>
                <w:sz w:val="23"/>
                <w:szCs w:val="23"/>
                <w:color w:val="auto"/>
              </w:rPr>
            </w:pPr>
          </w:p>
        </w:tc>
        <w:tc>
          <w:tcPr>
            <w:tcW w:w="104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00" w:type="dxa"/>
            <w:vAlign w:val="bottom"/>
            <w:shd w:val="clear" w:color="auto" w:fill="E5E9F3"/>
          </w:tcPr>
          <w:p>
            <w:pPr>
              <w:spacing w:after="0"/>
              <w:rPr>
                <w:sz w:val="23"/>
                <w:szCs w:val="23"/>
                <w:color w:val="auto"/>
              </w:rPr>
            </w:pPr>
          </w:p>
        </w:tc>
        <w:tc>
          <w:tcPr>
            <w:tcW w:w="10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12.4</w:t>
            </w:r>
          </w:p>
        </w:tc>
      </w:tr>
      <w:tr>
        <w:trPr>
          <w:trHeight w:val="267"/>
        </w:trPr>
        <w:tc>
          <w:tcPr>
            <w:tcW w:w="45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(16.0 )</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67"/>
        </w:trPr>
        <w:tc>
          <w:tcPr>
            <w:tcW w:w="45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Currency exchange rate changes</w:t>
            </w:r>
          </w:p>
        </w:tc>
        <w:tc>
          <w:tcPr>
            <w:tcW w:w="1200" w:type="dxa"/>
            <w:vAlign w:val="bottom"/>
            <w:tcBorders>
              <w:bottom w:val="single" w:sz="8" w:color="auto"/>
            </w:tcBorders>
            <w:shd w:val="clear" w:color="auto" w:fill="E5E9F3"/>
          </w:tcPr>
          <w:p>
            <w:pPr>
              <w:spacing w:after="0"/>
              <w:rPr>
                <w:sz w:val="23"/>
                <w:szCs w:val="23"/>
                <w:color w:val="auto"/>
              </w:rPr>
            </w:pPr>
          </w:p>
        </w:tc>
        <w:tc>
          <w:tcPr>
            <w:tcW w:w="1040" w:type="dxa"/>
            <w:vAlign w:val="bottom"/>
            <w:tcBorders>
              <w:bottom w:val="single" w:sz="8" w:color="auto"/>
            </w:tcBorders>
            <w:shd w:val="clear" w:color="auto" w:fill="E5E9F3"/>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9F3"/>
          </w:tcPr>
          <w:p>
            <w:pPr>
              <w:spacing w:after="0"/>
              <w:rPr>
                <w:sz w:val="23"/>
                <w:szCs w:val="23"/>
                <w:color w:val="auto"/>
              </w:rPr>
            </w:pPr>
          </w:p>
        </w:tc>
        <w:tc>
          <w:tcPr>
            <w:tcW w:w="10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200" w:type="dxa"/>
            <w:vAlign w:val="bottom"/>
            <w:tcBorders>
              <w:bottom w:val="single" w:sz="8" w:color="auto"/>
            </w:tcBorders>
            <w:shd w:val="clear" w:color="auto" w:fill="E5E9F3"/>
          </w:tcPr>
          <w:p>
            <w:pPr>
              <w:spacing w:after="0"/>
              <w:rPr>
                <w:sz w:val="23"/>
                <w:szCs w:val="23"/>
                <w:color w:val="auto"/>
              </w:rPr>
            </w:pPr>
          </w:p>
        </w:tc>
        <w:tc>
          <w:tcPr>
            <w:tcW w:w="108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(42.8 )</w:t>
            </w:r>
          </w:p>
        </w:tc>
        <w:tc>
          <w:tcPr>
            <w:tcW w:w="320" w:type="dxa"/>
            <w:vAlign w:val="bottom"/>
            <w:tcBorders>
              <w:bottom w:val="single" w:sz="8" w:color="auto"/>
            </w:tcBorders>
            <w:shd w:val="clear" w:color="auto" w:fill="E5E9F3"/>
          </w:tcPr>
          <w:p>
            <w:pPr>
              <w:spacing w:after="0"/>
              <w:rPr>
                <w:sz w:val="23"/>
                <w:szCs w:val="23"/>
                <w:color w:val="auto"/>
              </w:rPr>
            </w:pPr>
          </w:p>
        </w:tc>
        <w:tc>
          <w:tcPr>
            <w:tcW w:w="10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43.3</w:t>
            </w:r>
          </w:p>
        </w:tc>
      </w:tr>
      <w:tr>
        <w:trPr>
          <w:trHeight w:val="257"/>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Benefit obligation, end of year</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669.8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713.2</w:t>
            </w:r>
          </w:p>
        </w:tc>
      </w:tr>
      <w:tr>
        <w:trPr>
          <w:trHeight w:val="128"/>
        </w:trPr>
        <w:tc>
          <w:tcPr>
            <w:tcW w:w="45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3"/>
          </w:tcPr>
          <w:p>
            <w:pPr>
              <w:spacing w:after="0"/>
              <w:rPr>
                <w:sz w:val="11"/>
                <w:szCs w:val="11"/>
                <w:color w:val="auto"/>
              </w:rPr>
            </w:pPr>
          </w:p>
        </w:tc>
      </w:tr>
      <w:tr>
        <w:trPr>
          <w:trHeight w:val="289"/>
        </w:trPr>
        <w:tc>
          <w:tcPr>
            <w:tcW w:w="4500" w:type="dxa"/>
            <w:vAlign w:val="bottom"/>
            <w:tcBorders>
              <w:bottom w:val="single" w:sz="8" w:color="auto"/>
            </w:tcBorders>
            <w:shd w:val="clear" w:color="auto" w:fill="97AAD0"/>
          </w:tcPr>
          <w:p>
            <w:pPr>
              <w:spacing w:after="0"/>
              <w:rPr>
                <w:sz w:val="24"/>
                <w:szCs w:val="24"/>
                <w:color w:val="auto"/>
              </w:rPr>
            </w:pPr>
          </w:p>
        </w:tc>
        <w:tc>
          <w:tcPr>
            <w:tcW w:w="1200" w:type="dxa"/>
            <w:vAlign w:val="bottom"/>
            <w:tcBorders>
              <w:bottom w:val="single" w:sz="8" w:color="auto"/>
            </w:tcBorders>
            <w:shd w:val="clear" w:color="auto" w:fill="97AAD0"/>
          </w:tcPr>
          <w:p>
            <w:pPr>
              <w:spacing w:after="0"/>
              <w:rPr>
                <w:sz w:val="24"/>
                <w:szCs w:val="24"/>
                <w:color w:val="auto"/>
              </w:rPr>
            </w:pPr>
          </w:p>
        </w:tc>
        <w:tc>
          <w:tcPr>
            <w:tcW w:w="2360" w:type="dxa"/>
            <w:vAlign w:val="bottom"/>
            <w:tcBorders>
              <w:bottom w:val="single" w:sz="8" w:color="auto"/>
            </w:tcBorders>
            <w:gridSpan w:val="3"/>
            <w:shd w:val="clear" w:color="auto" w:fill="97AAD0"/>
          </w:tcPr>
          <w:p>
            <w:pPr>
              <w:jc w:val="right"/>
              <w:ind w:right="511"/>
              <w:spacing w:after="0"/>
              <w:rPr>
                <w:sz w:val="20"/>
                <w:szCs w:val="20"/>
                <w:color w:val="auto"/>
              </w:rPr>
            </w:pPr>
            <w:r>
              <w:rPr>
                <w:rFonts w:ascii="Arial" w:cs="Arial" w:eastAsia="Arial" w:hAnsi="Arial"/>
                <w:sz w:val="16"/>
                <w:szCs w:val="16"/>
                <w:b w:val="1"/>
                <w:bCs w:val="1"/>
                <w:color w:val="auto"/>
              </w:rPr>
              <w:t>United States Plans</w:t>
            </w:r>
          </w:p>
        </w:tc>
        <w:tc>
          <w:tcPr>
            <w:tcW w:w="20" w:type="dxa"/>
            <w:vAlign w:val="bottom"/>
            <w:tcBorders>
              <w:bottom w:val="single" w:sz="8" w:color="auto"/>
            </w:tcBorders>
            <w:shd w:val="clear" w:color="auto" w:fill="97AAD0"/>
          </w:tcPr>
          <w:p>
            <w:pPr>
              <w:spacing w:after="0"/>
              <w:rPr>
                <w:sz w:val="24"/>
                <w:szCs w:val="24"/>
                <w:color w:val="auto"/>
              </w:rPr>
            </w:pPr>
          </w:p>
        </w:tc>
        <w:tc>
          <w:tcPr>
            <w:tcW w:w="100" w:type="dxa"/>
            <w:vAlign w:val="bottom"/>
            <w:tcBorders>
              <w:bottom w:val="single" w:sz="8" w:color="97AAD0"/>
            </w:tcBorders>
            <w:shd w:val="clear" w:color="auto" w:fill="97AAD0"/>
          </w:tcPr>
          <w:p>
            <w:pPr>
              <w:spacing w:after="0"/>
              <w:rPr>
                <w:sz w:val="24"/>
                <w:szCs w:val="24"/>
                <w:color w:val="auto"/>
              </w:rPr>
            </w:pPr>
          </w:p>
        </w:tc>
        <w:tc>
          <w:tcPr>
            <w:tcW w:w="20" w:type="dxa"/>
            <w:vAlign w:val="bottom"/>
            <w:tcBorders>
              <w:bottom w:val="single" w:sz="8" w:color="97AAD0"/>
            </w:tcBorders>
            <w:shd w:val="clear" w:color="auto" w:fill="97AAD0"/>
          </w:tcPr>
          <w:p>
            <w:pPr>
              <w:spacing w:after="0"/>
              <w:rPr>
                <w:sz w:val="24"/>
                <w:szCs w:val="24"/>
                <w:color w:val="auto"/>
              </w:rPr>
            </w:pPr>
          </w:p>
        </w:tc>
        <w:tc>
          <w:tcPr>
            <w:tcW w:w="200" w:type="dxa"/>
            <w:vAlign w:val="bottom"/>
            <w:tcBorders>
              <w:bottom w:val="single" w:sz="8" w:color="auto"/>
            </w:tcBorders>
            <w:shd w:val="clear" w:color="auto" w:fill="97AAD0"/>
          </w:tcPr>
          <w:p>
            <w:pPr>
              <w:spacing w:after="0"/>
              <w:rPr>
                <w:sz w:val="24"/>
                <w:szCs w:val="24"/>
                <w:color w:val="auto"/>
              </w:rPr>
            </w:pPr>
          </w:p>
        </w:tc>
        <w:tc>
          <w:tcPr>
            <w:tcW w:w="2400" w:type="dxa"/>
            <w:vAlign w:val="bottom"/>
            <w:tcBorders>
              <w:bottom w:val="single" w:sz="8" w:color="auto"/>
            </w:tcBorders>
            <w:gridSpan w:val="3"/>
            <w:shd w:val="clear" w:color="auto" w:fill="97AAD0"/>
          </w:tcPr>
          <w:p>
            <w:pPr>
              <w:jc w:val="right"/>
              <w:ind w:right="351"/>
              <w:spacing w:after="0"/>
              <w:rPr>
                <w:sz w:val="20"/>
                <w:szCs w:val="20"/>
                <w:color w:val="auto"/>
              </w:rPr>
            </w:pPr>
            <w:r>
              <w:rPr>
                <w:rFonts w:ascii="Arial" w:cs="Arial" w:eastAsia="Arial" w:hAnsi="Arial"/>
                <w:sz w:val="16"/>
                <w:szCs w:val="16"/>
                <w:b w:val="1"/>
                <w:bCs w:val="1"/>
                <w:color w:val="auto"/>
              </w:rPr>
              <w:t>Non-United States Plans</w:t>
            </w:r>
          </w:p>
        </w:tc>
      </w:tr>
      <w:tr>
        <w:trPr>
          <w:trHeight w:val="312"/>
        </w:trPr>
        <w:tc>
          <w:tcPr>
            <w:tcW w:w="450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shd w:val="clear" w:color="auto" w:fill="97AAD0"/>
          </w:tcPr>
          <w:p>
            <w:pPr>
              <w:spacing w:after="0"/>
              <w:rPr>
                <w:sz w:val="24"/>
                <w:szCs w:val="24"/>
                <w:color w:val="auto"/>
              </w:rPr>
            </w:pPr>
          </w:p>
        </w:tc>
        <w:tc>
          <w:tcPr>
            <w:tcW w:w="1040" w:type="dxa"/>
            <w:vAlign w:val="bottom"/>
            <w:tcBorders>
              <w:bottom w:val="single" w:sz="8" w:color="auto"/>
            </w:tcBorders>
            <w:shd w:val="clear" w:color="auto" w:fill="97AAD0"/>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shd w:val="clear" w:color="auto" w:fill="97AAD0"/>
          </w:tcPr>
          <w:p>
            <w:pPr>
              <w:spacing w:after="0"/>
              <w:rPr>
                <w:sz w:val="24"/>
                <w:szCs w:val="24"/>
                <w:color w:val="auto"/>
              </w:rPr>
            </w:pPr>
          </w:p>
        </w:tc>
        <w:tc>
          <w:tcPr>
            <w:tcW w:w="1000" w:type="dxa"/>
            <w:vAlign w:val="bottom"/>
            <w:tcBorders>
              <w:bottom w:val="single" w:sz="8" w:color="auto"/>
            </w:tcBorders>
            <w:shd w:val="clear" w:color="auto" w:fill="97AAD0"/>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shd w:val="clear" w:color="auto" w:fill="97AAD0"/>
          </w:tcPr>
          <w:p>
            <w:pPr>
              <w:spacing w:after="0"/>
              <w:rPr>
                <w:sz w:val="24"/>
                <w:szCs w:val="24"/>
                <w:color w:val="auto"/>
              </w:rPr>
            </w:pPr>
          </w:p>
        </w:tc>
        <w:tc>
          <w:tcPr>
            <w:tcW w:w="100" w:type="dxa"/>
            <w:vAlign w:val="bottom"/>
            <w:tcBorders>
              <w:bottom w:val="single" w:sz="8" w:color="auto"/>
            </w:tcBorders>
            <w:shd w:val="clear" w:color="auto" w:fill="97AAD0"/>
          </w:tcPr>
          <w:p>
            <w:pPr>
              <w:spacing w:after="0"/>
              <w:rPr>
                <w:sz w:val="24"/>
                <w:szCs w:val="24"/>
                <w:color w:val="auto"/>
              </w:rPr>
            </w:pPr>
          </w:p>
        </w:tc>
        <w:tc>
          <w:tcPr>
            <w:tcW w:w="20" w:type="dxa"/>
            <w:vAlign w:val="bottom"/>
            <w:tcBorders>
              <w:bottom w:val="single" w:sz="8" w:color="auto"/>
            </w:tcBorders>
            <w:shd w:val="clear" w:color="auto" w:fill="97AAD0"/>
          </w:tcPr>
          <w:p>
            <w:pPr>
              <w:spacing w:after="0"/>
              <w:rPr>
                <w:sz w:val="24"/>
                <w:szCs w:val="24"/>
                <w:color w:val="auto"/>
              </w:rPr>
            </w:pPr>
          </w:p>
        </w:tc>
        <w:tc>
          <w:tcPr>
            <w:tcW w:w="200" w:type="dxa"/>
            <w:vAlign w:val="bottom"/>
            <w:tcBorders>
              <w:bottom w:val="single" w:sz="8" w:color="auto"/>
            </w:tcBorders>
            <w:shd w:val="clear" w:color="auto" w:fill="97AAD0"/>
          </w:tcPr>
          <w:p>
            <w:pPr>
              <w:spacing w:after="0"/>
              <w:rPr>
                <w:sz w:val="24"/>
                <w:szCs w:val="24"/>
                <w:color w:val="auto"/>
              </w:rPr>
            </w:pPr>
          </w:p>
        </w:tc>
        <w:tc>
          <w:tcPr>
            <w:tcW w:w="1080" w:type="dxa"/>
            <w:vAlign w:val="bottom"/>
            <w:tcBorders>
              <w:bottom w:val="single" w:sz="8" w:color="auto"/>
            </w:tcBorders>
            <w:shd w:val="clear" w:color="auto" w:fill="97AAD0"/>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shd w:val="clear" w:color="auto" w:fill="97AAD0"/>
          </w:tcPr>
          <w:p>
            <w:pPr>
              <w:spacing w:after="0"/>
              <w:rPr>
                <w:sz w:val="24"/>
                <w:szCs w:val="24"/>
                <w:color w:val="auto"/>
              </w:rPr>
            </w:pPr>
          </w:p>
        </w:tc>
        <w:tc>
          <w:tcPr>
            <w:tcW w:w="1000" w:type="dxa"/>
            <w:vAlign w:val="bottom"/>
            <w:tcBorders>
              <w:bottom w:val="single" w:sz="8" w:color="auto"/>
            </w:tcBorders>
            <w:shd w:val="clear" w:color="auto" w:fill="97AAD0"/>
          </w:tcPr>
          <w:p>
            <w:pPr>
              <w:jc w:val="right"/>
              <w:ind w:right="411"/>
              <w:spacing w:after="0"/>
              <w:rPr>
                <w:sz w:val="20"/>
                <w:szCs w:val="20"/>
                <w:color w:val="auto"/>
              </w:rPr>
            </w:pPr>
            <w:r>
              <w:rPr>
                <w:rFonts w:ascii="Arial" w:cs="Arial" w:eastAsia="Arial" w:hAnsi="Arial"/>
                <w:sz w:val="16"/>
                <w:szCs w:val="16"/>
                <w:b w:val="1"/>
                <w:bCs w:val="1"/>
                <w:color w:val="auto"/>
              </w:rPr>
              <w:t>2023</w:t>
            </w:r>
          </w:p>
        </w:tc>
      </w:tr>
      <w:tr>
        <w:trPr>
          <w:trHeight w:val="243"/>
        </w:trPr>
        <w:tc>
          <w:tcPr>
            <w:tcW w:w="450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Change in Plan Assets</w:t>
            </w:r>
          </w:p>
        </w:tc>
        <w:tc>
          <w:tcPr>
            <w:tcW w:w="1200" w:type="dxa"/>
            <w:vAlign w:val="bottom"/>
            <w:shd w:val="clear" w:color="auto" w:fill="E5E9F3"/>
          </w:tcPr>
          <w:p>
            <w:pPr>
              <w:spacing w:after="0"/>
              <w:rPr>
                <w:sz w:val="21"/>
                <w:szCs w:val="21"/>
                <w:color w:val="auto"/>
              </w:rPr>
            </w:pPr>
          </w:p>
        </w:tc>
        <w:tc>
          <w:tcPr>
            <w:tcW w:w="104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1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200" w:type="dxa"/>
            <w:vAlign w:val="bottom"/>
            <w:shd w:val="clear" w:color="auto" w:fill="E5E9F3"/>
          </w:tcPr>
          <w:p>
            <w:pPr>
              <w:spacing w:after="0"/>
              <w:rPr>
                <w:sz w:val="21"/>
                <w:szCs w:val="21"/>
                <w:color w:val="auto"/>
              </w:rPr>
            </w:pPr>
          </w:p>
        </w:tc>
        <w:tc>
          <w:tcPr>
            <w:tcW w:w="108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r>
      <w:tr>
        <w:trPr>
          <w:trHeight w:val="253"/>
        </w:trPr>
        <w:tc>
          <w:tcPr>
            <w:tcW w:w="4500" w:type="dxa"/>
            <w:vAlign w:val="bottom"/>
          </w:tcPr>
          <w:p>
            <w:pPr>
              <w:ind w:left="100"/>
              <w:spacing w:after="0"/>
              <w:rPr>
                <w:sz w:val="20"/>
                <w:szCs w:val="20"/>
                <w:color w:val="auto"/>
              </w:rPr>
            </w:pPr>
            <w:r>
              <w:rPr>
                <w:rFonts w:ascii="Arial" w:cs="Arial" w:eastAsia="Arial" w:hAnsi="Arial"/>
                <w:sz w:val="18"/>
                <w:szCs w:val="18"/>
                <w:color w:val="auto"/>
              </w:rPr>
              <w:t>Fair value of plan assets, beginning of year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596.3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547.8</w:t>
            </w:r>
          </w:p>
        </w:tc>
      </w:tr>
      <w:tr>
        <w:trPr>
          <w:trHeight w:val="253"/>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Actual return on plan assets</w:t>
            </w:r>
          </w:p>
        </w:tc>
        <w:tc>
          <w:tcPr>
            <w:tcW w:w="1200" w:type="dxa"/>
            <w:vAlign w:val="bottom"/>
            <w:shd w:val="clear" w:color="auto" w:fill="E5E9F3"/>
          </w:tcPr>
          <w:p>
            <w:pPr>
              <w:spacing w:after="0"/>
              <w:rPr>
                <w:sz w:val="22"/>
                <w:szCs w:val="22"/>
                <w:color w:val="auto"/>
              </w:rPr>
            </w:pPr>
          </w:p>
        </w:tc>
        <w:tc>
          <w:tcPr>
            <w:tcW w:w="104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30.3</w:t>
            </w:r>
          </w:p>
        </w:tc>
      </w:tr>
      <w:tr>
        <w:trPr>
          <w:trHeight w:val="253"/>
        </w:trPr>
        <w:tc>
          <w:tcPr>
            <w:tcW w:w="450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2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53"/>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Transfers</w:t>
            </w:r>
          </w:p>
        </w:tc>
        <w:tc>
          <w:tcPr>
            <w:tcW w:w="1200" w:type="dxa"/>
            <w:vAlign w:val="bottom"/>
            <w:shd w:val="clear" w:color="auto" w:fill="E5E9F3"/>
          </w:tcPr>
          <w:p>
            <w:pPr>
              <w:spacing w:after="0"/>
              <w:rPr>
                <w:sz w:val="22"/>
                <w:szCs w:val="22"/>
                <w:color w:val="auto"/>
              </w:rPr>
            </w:pPr>
          </w:p>
        </w:tc>
        <w:tc>
          <w:tcPr>
            <w:tcW w:w="104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28.4</w:t>
            </w:r>
          </w:p>
        </w:tc>
      </w:tr>
      <w:tr>
        <w:trPr>
          <w:trHeight w:val="253"/>
        </w:trPr>
        <w:tc>
          <w:tcPr>
            <w:tcW w:w="4500" w:type="dxa"/>
            <w:vAlign w:val="bottom"/>
          </w:tcPr>
          <w:p>
            <w:pPr>
              <w:ind w:left="200"/>
              <w:spacing w:after="0"/>
              <w:rPr>
                <w:sz w:val="20"/>
                <w:szCs w:val="20"/>
                <w:color w:val="auto"/>
              </w:rPr>
            </w:pPr>
            <w:r>
              <w:rPr>
                <w:rFonts w:ascii="Arial" w:cs="Arial" w:eastAsia="Arial" w:hAnsi="Arial"/>
                <w:sz w:val="18"/>
                <w:szCs w:val="18"/>
                <w:color w:val="auto"/>
              </w:rPr>
              <w:t>Plan participant contributions</w:t>
            </w:r>
          </w:p>
        </w:tc>
        <w:tc>
          <w:tcPr>
            <w:tcW w:w="12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w:t>
            </w:r>
          </w:p>
        </w:tc>
      </w:tr>
      <w:tr>
        <w:trPr>
          <w:trHeight w:val="253"/>
        </w:trPr>
        <w:tc>
          <w:tcPr>
            <w:tcW w:w="450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Company contributions</w:t>
            </w:r>
          </w:p>
        </w:tc>
        <w:tc>
          <w:tcPr>
            <w:tcW w:w="1200" w:type="dxa"/>
            <w:vAlign w:val="bottom"/>
            <w:shd w:val="clear" w:color="auto" w:fill="E5E9F3"/>
          </w:tcPr>
          <w:p>
            <w:pPr>
              <w:spacing w:after="0"/>
              <w:rPr>
                <w:sz w:val="22"/>
                <w:szCs w:val="22"/>
                <w:color w:val="auto"/>
              </w:rPr>
            </w:pPr>
          </w:p>
        </w:tc>
        <w:tc>
          <w:tcPr>
            <w:tcW w:w="104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2.2</w:t>
            </w: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17.6</w:t>
            </w:r>
          </w:p>
        </w:tc>
      </w:tr>
      <w:tr>
        <w:trPr>
          <w:trHeight w:val="253"/>
        </w:trPr>
        <w:tc>
          <w:tcPr>
            <w:tcW w:w="45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3"/>
        </w:trPr>
        <w:tc>
          <w:tcPr>
            <w:tcW w:w="450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Currency exchange rate changes</w:t>
            </w:r>
          </w:p>
        </w:tc>
        <w:tc>
          <w:tcPr>
            <w:tcW w:w="1200" w:type="dxa"/>
            <w:vAlign w:val="bottom"/>
            <w:tcBorders>
              <w:bottom w:val="single" w:sz="8" w:color="auto"/>
            </w:tcBorders>
            <w:shd w:val="clear" w:color="auto" w:fill="E5E9F3"/>
          </w:tcPr>
          <w:p>
            <w:pPr>
              <w:spacing w:after="0"/>
              <w:rPr>
                <w:sz w:val="22"/>
                <w:szCs w:val="22"/>
                <w:color w:val="auto"/>
              </w:rPr>
            </w:pPr>
          </w:p>
        </w:tc>
        <w:tc>
          <w:tcPr>
            <w:tcW w:w="104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9F3"/>
          </w:tcPr>
          <w:p>
            <w:pPr>
              <w:spacing w:after="0"/>
              <w:rPr>
                <w:sz w:val="22"/>
                <w:szCs w:val="22"/>
                <w:color w:val="auto"/>
              </w:rPr>
            </w:pPr>
          </w:p>
        </w:tc>
        <w:tc>
          <w:tcPr>
            <w:tcW w:w="10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200" w:type="dxa"/>
            <w:vAlign w:val="bottom"/>
            <w:tcBorders>
              <w:bottom w:val="single" w:sz="8" w:color="auto"/>
            </w:tcBorders>
            <w:shd w:val="clear" w:color="auto" w:fill="E5E9F3"/>
          </w:tcPr>
          <w:p>
            <w:pPr>
              <w:spacing w:after="0"/>
              <w:rPr>
                <w:sz w:val="22"/>
                <w:szCs w:val="22"/>
                <w:color w:val="auto"/>
              </w:rPr>
            </w:pPr>
          </w:p>
        </w:tc>
        <w:tc>
          <w:tcPr>
            <w:tcW w:w="108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(36.5)</w:t>
            </w:r>
          </w:p>
        </w:tc>
        <w:tc>
          <w:tcPr>
            <w:tcW w:w="320" w:type="dxa"/>
            <w:vAlign w:val="bottom"/>
            <w:tcBorders>
              <w:bottom w:val="single" w:sz="8" w:color="auto"/>
            </w:tcBorders>
            <w:shd w:val="clear" w:color="auto" w:fill="E5E9F3"/>
          </w:tcPr>
          <w:p>
            <w:pPr>
              <w:spacing w:after="0"/>
              <w:rPr>
                <w:sz w:val="22"/>
                <w:szCs w:val="22"/>
                <w:color w:val="auto"/>
              </w:rPr>
            </w:pPr>
          </w:p>
        </w:tc>
        <w:tc>
          <w:tcPr>
            <w:tcW w:w="10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40.4</w:t>
            </w:r>
          </w:p>
        </w:tc>
      </w:tr>
      <w:tr>
        <w:trPr>
          <w:trHeight w:val="243"/>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Fair value of plan assets, end of year</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586.1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596.3</w:t>
            </w:r>
          </w:p>
        </w:tc>
      </w:tr>
      <w:tr>
        <w:trPr>
          <w:trHeight w:val="243"/>
        </w:trPr>
        <w:tc>
          <w:tcPr>
            <w:tcW w:w="450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Funded Status at End of Year</w:t>
            </w:r>
          </w:p>
        </w:tc>
        <w:tc>
          <w:tcPr>
            <w:tcW w:w="1200" w:type="dxa"/>
            <w:vAlign w:val="bottom"/>
            <w:shd w:val="clear" w:color="auto" w:fill="E5E9F3"/>
          </w:tcPr>
          <w:p>
            <w:pPr>
              <w:spacing w:after="0"/>
              <w:rPr>
                <w:sz w:val="21"/>
                <w:szCs w:val="21"/>
                <w:color w:val="auto"/>
              </w:rPr>
            </w:pPr>
          </w:p>
        </w:tc>
        <w:tc>
          <w:tcPr>
            <w:tcW w:w="104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1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200" w:type="dxa"/>
            <w:vAlign w:val="bottom"/>
            <w:shd w:val="clear" w:color="auto" w:fill="E5E9F3"/>
          </w:tcPr>
          <w:p>
            <w:pPr>
              <w:spacing w:after="0"/>
              <w:rPr>
                <w:sz w:val="21"/>
                <w:szCs w:val="21"/>
                <w:color w:val="auto"/>
              </w:rPr>
            </w:pPr>
          </w:p>
        </w:tc>
        <w:tc>
          <w:tcPr>
            <w:tcW w:w="108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r>
      <w:tr>
        <w:trPr>
          <w:trHeight w:val="253"/>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Funded status, end of year</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r>
      <w:tr>
        <w:trPr>
          <w:trHeight w:val="243"/>
        </w:trPr>
        <w:tc>
          <w:tcPr>
            <w:tcW w:w="450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Amounts Recognized</w:t>
            </w:r>
          </w:p>
        </w:tc>
        <w:tc>
          <w:tcPr>
            <w:tcW w:w="1200" w:type="dxa"/>
            <w:vAlign w:val="bottom"/>
            <w:shd w:val="clear" w:color="auto" w:fill="E5E9F3"/>
          </w:tcPr>
          <w:p>
            <w:pPr>
              <w:spacing w:after="0"/>
              <w:rPr>
                <w:sz w:val="21"/>
                <w:szCs w:val="21"/>
                <w:color w:val="auto"/>
              </w:rPr>
            </w:pPr>
          </w:p>
        </w:tc>
        <w:tc>
          <w:tcPr>
            <w:tcW w:w="104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100" w:type="dxa"/>
            <w:vAlign w:val="bottom"/>
            <w:shd w:val="clear" w:color="auto" w:fill="E5E9F3"/>
          </w:tcPr>
          <w:p>
            <w:pPr>
              <w:spacing w:after="0"/>
              <w:rPr>
                <w:sz w:val="21"/>
                <w:szCs w:val="21"/>
                <w:color w:val="auto"/>
              </w:rPr>
            </w:pPr>
          </w:p>
        </w:tc>
        <w:tc>
          <w:tcPr>
            <w:tcW w:w="20" w:type="dxa"/>
            <w:vAlign w:val="bottom"/>
            <w:shd w:val="clear" w:color="auto" w:fill="E5E9F3"/>
          </w:tcPr>
          <w:p>
            <w:pPr>
              <w:spacing w:after="0"/>
              <w:rPr>
                <w:sz w:val="21"/>
                <w:szCs w:val="21"/>
                <w:color w:val="auto"/>
              </w:rPr>
            </w:pPr>
          </w:p>
        </w:tc>
        <w:tc>
          <w:tcPr>
            <w:tcW w:w="200" w:type="dxa"/>
            <w:vAlign w:val="bottom"/>
            <w:shd w:val="clear" w:color="auto" w:fill="E5E9F3"/>
          </w:tcPr>
          <w:p>
            <w:pPr>
              <w:spacing w:after="0"/>
              <w:rPr>
                <w:sz w:val="21"/>
                <w:szCs w:val="21"/>
                <w:color w:val="auto"/>
              </w:rPr>
            </w:pPr>
          </w:p>
        </w:tc>
        <w:tc>
          <w:tcPr>
            <w:tcW w:w="1080" w:type="dxa"/>
            <w:vAlign w:val="bottom"/>
            <w:shd w:val="clear" w:color="auto" w:fill="E5E9F3"/>
          </w:tcPr>
          <w:p>
            <w:pPr>
              <w:spacing w:after="0"/>
              <w:rPr>
                <w:sz w:val="21"/>
                <w:szCs w:val="21"/>
                <w:color w:val="auto"/>
              </w:rPr>
            </w:pPr>
          </w:p>
        </w:tc>
        <w:tc>
          <w:tcPr>
            <w:tcW w:w="320" w:type="dxa"/>
            <w:vAlign w:val="bottom"/>
            <w:shd w:val="clear" w:color="auto" w:fill="E5E9F3"/>
          </w:tcPr>
          <w:p>
            <w:pPr>
              <w:spacing w:after="0"/>
              <w:rPr>
                <w:sz w:val="21"/>
                <w:szCs w:val="21"/>
                <w:color w:val="auto"/>
              </w:rPr>
            </w:pPr>
          </w:p>
        </w:tc>
        <w:tc>
          <w:tcPr>
            <w:tcW w:w="1000" w:type="dxa"/>
            <w:vAlign w:val="bottom"/>
            <w:shd w:val="clear" w:color="auto" w:fill="E5E9F3"/>
          </w:tcPr>
          <w:p>
            <w:pPr>
              <w:spacing w:after="0"/>
              <w:rPr>
                <w:sz w:val="21"/>
                <w:szCs w:val="21"/>
                <w:color w:val="auto"/>
              </w:rPr>
            </w:pPr>
          </w:p>
        </w:tc>
      </w:tr>
      <w:tr>
        <w:trPr>
          <w:trHeight w:val="253"/>
        </w:trPr>
        <w:tc>
          <w:tcPr>
            <w:tcW w:w="450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w:t>
            </w:r>
          </w:p>
        </w:tc>
      </w:tr>
      <w:tr>
        <w:trPr>
          <w:trHeight w:val="253"/>
        </w:trPr>
        <w:tc>
          <w:tcPr>
            <w:tcW w:w="45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E5E9F3"/>
          </w:tcPr>
          <w:p>
            <w:pPr>
              <w:spacing w:after="0"/>
              <w:rPr>
                <w:sz w:val="22"/>
                <w:szCs w:val="22"/>
                <w:color w:val="auto"/>
              </w:rPr>
            </w:pPr>
          </w:p>
        </w:tc>
        <w:tc>
          <w:tcPr>
            <w:tcW w:w="1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11"/>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5E9F3"/>
          </w:tcPr>
          <w:p>
            <w:pPr>
              <w:spacing w:after="0"/>
              <w:rPr>
                <w:sz w:val="22"/>
                <w:szCs w:val="22"/>
                <w:color w:val="auto"/>
              </w:rPr>
            </w:pPr>
          </w:p>
        </w:tc>
        <w:tc>
          <w:tcPr>
            <w:tcW w:w="100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w:t>
            </w:r>
          </w:p>
        </w:tc>
      </w:tr>
      <w:tr>
        <w:trPr>
          <w:trHeight w:val="253"/>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Noncurrent liabilities</w:t>
            </w:r>
          </w:p>
        </w:tc>
        <w:tc>
          <w:tcPr>
            <w:tcW w:w="1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(105.2)</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r>
      <w:tr>
        <w:trPr>
          <w:trHeight w:val="243"/>
        </w:trPr>
        <w:tc>
          <w:tcPr>
            <w:tcW w:w="450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Net amount recognized</w:t>
            </w:r>
          </w:p>
        </w:tc>
        <w:tc>
          <w:tcPr>
            <w:tcW w:w="120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auto"/>
            </w:tcBorders>
            <w:gridSpan w:val="4"/>
            <w:shd w:val="clear" w:color="auto" w:fill="E5E9F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11"/>
              <w:spacing w:after="0"/>
              <w:rPr>
                <w:sz w:val="20"/>
                <w:szCs w:val="20"/>
                <w:color w:val="auto"/>
              </w:rPr>
            </w:pPr>
            <w:r>
              <w:rPr>
                <w:rFonts w:ascii="Arial" w:cs="Arial" w:eastAsia="Arial" w:hAnsi="Arial"/>
                <w:sz w:val="18"/>
                <w:szCs w:val="18"/>
                <w:color w:val="auto"/>
              </w:rPr>
              <w:t>(83.7)</w:t>
            </w:r>
          </w:p>
        </w:tc>
        <w:tc>
          <w:tcPr>
            <w:tcW w:w="3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(117.0)</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10800"/>
          </w:cols>
          <w:pgMar w:left="720" w:top="734" w:right="720" w:bottom="175" w:gutter="0" w:footer="0" w:header="0"/>
          <w:type w:val="continuous"/>
        </w:sectPr>
      </w:pPr>
    </w:p>
    <w:bookmarkStart w:id="80" w:name="page81"/>
    <w:bookmarkEnd w:id="80"/>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6" o:spid="_x0000_s113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30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curtailments in 2024 primarily resulted from the wind down of Proservia Germany. For both 2024 and 2023, the settlements and transfers mostly represent transfers in and out of temporary associates within our Switzerland plan. The actuarial gain and loss are mainly related to changes in discount rates.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 xml:space="preserve">One of our plans is located in the United Kingdom. In July 2024, the United Kingdom Court of Appeal upheld a ruling in the Virgin Media vs NTL Pension Trustee case, a decision that we were not a party to or involved in, that certain historical amendments for contracted-out defined benefit schemes were invalid if they were not accompanied by the correct actuarial confirmation. Since </w:t>
      </w:r>
      <w:r>
        <w:rPr>
          <w:rFonts w:ascii="Arial" w:cs="Arial" w:eastAsia="Arial" w:hAnsi="Arial"/>
          <w:sz w:val="22"/>
          <w:szCs w:val="22"/>
          <w:color w:val="auto"/>
        </w:rPr>
        <w:t>there remain significant areas of uncertainty,</w:t>
      </w:r>
      <w:r>
        <w:rPr>
          <w:rFonts w:ascii="Arial" w:cs="Arial" w:eastAsia="Arial" w:hAnsi="Arial"/>
          <w:sz w:val="20"/>
          <w:szCs w:val="20"/>
          <w:color w:val="auto"/>
        </w:rPr>
        <w:t xml:space="preserve"> we were not yet able to determine the impact of the ruling, if any, on our pension plan obligations as of December 31, 2024.</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Amounts recognized in accumulated other comprehensive loss, net of tax, consisted 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740" w:type="dxa"/>
            <w:vAlign w:val="bottom"/>
            <w:tcBorders>
              <w:top w:val="single" w:sz="8" w:color="auto"/>
              <w:bottom w:val="single" w:sz="8" w:color="auto"/>
            </w:tcBorders>
            <w:shd w:val="clear" w:color="auto" w:fill="97AAD0"/>
          </w:tcPr>
          <w:p>
            <w:pPr>
              <w:spacing w:after="0"/>
              <w:rPr>
                <w:sz w:val="24"/>
                <w:szCs w:val="24"/>
                <w:color w:val="auto"/>
              </w:rPr>
            </w:pPr>
          </w:p>
        </w:tc>
        <w:tc>
          <w:tcPr>
            <w:tcW w:w="3900" w:type="dxa"/>
            <w:vAlign w:val="bottom"/>
            <w:tcBorders>
              <w:top w:val="single" w:sz="8" w:color="auto"/>
              <w:bottom w:val="single" w:sz="8" w:color="auto"/>
            </w:tcBorders>
            <w:gridSpan w:val="3"/>
            <w:shd w:val="clear" w:color="auto" w:fill="97AAD0"/>
          </w:tcPr>
          <w:p>
            <w:pPr>
              <w:jc w:val="right"/>
              <w:ind w:right="93"/>
              <w:spacing w:after="0"/>
              <w:rPr>
                <w:sz w:val="20"/>
                <w:szCs w:val="20"/>
                <w:color w:val="auto"/>
              </w:rPr>
            </w:pPr>
            <w:r>
              <w:rPr>
                <w:rFonts w:ascii="Arial" w:cs="Arial" w:eastAsia="Arial" w:hAnsi="Arial"/>
                <w:sz w:val="16"/>
                <w:szCs w:val="16"/>
                <w:b w:val="1"/>
                <w:bCs w:val="1"/>
                <w:color w:val="auto"/>
              </w:rPr>
              <w:t>United States Plans</w:t>
            </w:r>
          </w:p>
        </w:tc>
        <w:tc>
          <w:tcPr>
            <w:tcW w:w="440" w:type="dxa"/>
            <w:vAlign w:val="bottom"/>
            <w:tcBorders>
              <w:top w:val="single" w:sz="8" w:color="auto"/>
              <w:bottom w:val="single" w:sz="8" w:color="auto"/>
            </w:tcBorders>
            <w:shd w:val="clear" w:color="auto" w:fill="97AAD0"/>
          </w:tcPr>
          <w:p>
            <w:pPr>
              <w:spacing w:after="0"/>
              <w:rPr>
                <w:sz w:val="24"/>
                <w:szCs w:val="24"/>
                <w:color w:val="auto"/>
              </w:rPr>
            </w:pPr>
          </w:p>
        </w:tc>
        <w:tc>
          <w:tcPr>
            <w:tcW w:w="120" w:type="dxa"/>
            <w:vAlign w:val="bottom"/>
            <w:tcBorders>
              <w:top w:val="single" w:sz="8" w:color="auto"/>
              <w:bottom w:val="single" w:sz="8" w:color="97AAD0"/>
            </w:tcBorders>
            <w:shd w:val="clear" w:color="auto" w:fill="97AAD0"/>
          </w:tcPr>
          <w:p>
            <w:pPr>
              <w:spacing w:after="0"/>
              <w:rPr>
                <w:sz w:val="24"/>
                <w:szCs w:val="24"/>
                <w:color w:val="auto"/>
              </w:rPr>
            </w:pPr>
          </w:p>
        </w:tc>
        <w:tc>
          <w:tcPr>
            <w:tcW w:w="2600" w:type="dxa"/>
            <w:vAlign w:val="bottom"/>
            <w:tcBorders>
              <w:top w:val="single" w:sz="8" w:color="auto"/>
              <w:bottom w:val="single" w:sz="8" w:color="auto"/>
            </w:tcBorders>
            <w:gridSpan w:val="4"/>
            <w:shd w:val="clear" w:color="auto" w:fill="97AAD0"/>
          </w:tcPr>
          <w:p>
            <w:pPr>
              <w:jc w:val="right"/>
              <w:ind w:right="353"/>
              <w:spacing w:after="0"/>
              <w:rPr>
                <w:sz w:val="20"/>
                <w:szCs w:val="20"/>
                <w:color w:val="auto"/>
              </w:rPr>
            </w:pPr>
            <w:r>
              <w:rPr>
                <w:rFonts w:ascii="Arial" w:cs="Arial" w:eastAsia="Arial" w:hAnsi="Arial"/>
                <w:sz w:val="16"/>
                <w:szCs w:val="16"/>
                <w:b w:val="1"/>
                <w:bCs w:val="1"/>
                <w:color w:val="auto"/>
              </w:rPr>
              <w:t>Non-United States Plans</w:t>
            </w:r>
          </w:p>
        </w:tc>
      </w:tr>
      <w:tr>
        <w:trPr>
          <w:trHeight w:val="312"/>
        </w:trPr>
        <w:tc>
          <w:tcPr>
            <w:tcW w:w="374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520" w:type="dxa"/>
            <w:vAlign w:val="bottom"/>
            <w:tcBorders>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shd w:val="clear" w:color="auto" w:fill="97AAD0"/>
          </w:tcPr>
          <w:p>
            <w:pPr>
              <w:spacing w:after="0"/>
              <w:rPr>
                <w:sz w:val="24"/>
                <w:szCs w:val="24"/>
                <w:color w:val="auto"/>
              </w:rPr>
            </w:pPr>
          </w:p>
        </w:tc>
        <w:tc>
          <w:tcPr>
            <w:tcW w:w="940" w:type="dxa"/>
            <w:vAlign w:val="bottom"/>
            <w:tcBorders>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shd w:val="clear" w:color="auto" w:fill="97AAD0"/>
          </w:tcPr>
          <w:p>
            <w:pPr>
              <w:spacing w:after="0"/>
              <w:rPr>
                <w:sz w:val="24"/>
                <w:szCs w:val="24"/>
                <w:color w:val="auto"/>
              </w:rPr>
            </w:pPr>
          </w:p>
        </w:tc>
        <w:tc>
          <w:tcPr>
            <w:tcW w:w="920" w:type="dxa"/>
            <w:vAlign w:val="bottom"/>
            <w:tcBorders>
              <w:bottom w:val="single" w:sz="8" w:color="auto"/>
            </w:tcBorders>
            <w:gridSpan w:val="2"/>
            <w:shd w:val="clear" w:color="auto" w:fill="97AAD0"/>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shd w:val="clear" w:color="auto" w:fill="97AAD0"/>
          </w:tcPr>
          <w:p>
            <w:pPr>
              <w:spacing w:after="0"/>
              <w:rPr>
                <w:sz w:val="24"/>
                <w:szCs w:val="24"/>
                <w:color w:val="auto"/>
              </w:rPr>
            </w:pPr>
          </w:p>
        </w:tc>
        <w:tc>
          <w:tcPr>
            <w:tcW w:w="360" w:type="dxa"/>
            <w:vAlign w:val="bottom"/>
            <w:tcBorders>
              <w:bottom w:val="single" w:sz="8" w:color="auto"/>
            </w:tcBorders>
            <w:shd w:val="clear" w:color="auto" w:fill="97AAD0"/>
          </w:tcPr>
          <w:p>
            <w:pPr>
              <w:spacing w:after="0"/>
              <w:rPr>
                <w:sz w:val="24"/>
                <w:szCs w:val="24"/>
                <w:color w:val="auto"/>
              </w:rPr>
            </w:pPr>
          </w:p>
        </w:tc>
        <w:tc>
          <w:tcPr>
            <w:tcW w:w="1000" w:type="dxa"/>
            <w:vAlign w:val="bottom"/>
            <w:tcBorders>
              <w:bottom w:val="single" w:sz="8" w:color="auto"/>
            </w:tcBorders>
            <w:shd w:val="clear" w:color="auto" w:fill="97AAD0"/>
          </w:tcPr>
          <w:p>
            <w:pPr>
              <w:jc w:val="right"/>
              <w:ind w:right="413"/>
              <w:spacing w:after="0"/>
              <w:rPr>
                <w:sz w:val="20"/>
                <w:szCs w:val="20"/>
                <w:color w:val="auto"/>
              </w:rPr>
            </w:pPr>
            <w:r>
              <w:rPr>
                <w:rFonts w:ascii="Arial" w:cs="Arial" w:eastAsia="Arial" w:hAnsi="Arial"/>
                <w:sz w:val="16"/>
                <w:szCs w:val="16"/>
                <w:b w:val="1"/>
                <w:bCs w:val="1"/>
                <w:color w:val="auto"/>
              </w:rPr>
              <w:t>2023</w:t>
            </w:r>
          </w:p>
        </w:tc>
      </w:tr>
      <w:tr>
        <w:trPr>
          <w:trHeight w:val="243"/>
        </w:trPr>
        <w:tc>
          <w:tcPr>
            <w:tcW w:w="37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Net loss</w:t>
            </w:r>
          </w:p>
        </w:tc>
        <w:tc>
          <w:tcPr>
            <w:tcW w:w="2520" w:type="dxa"/>
            <w:vAlign w:val="bottom"/>
            <w:shd w:val="clear" w:color="auto" w:fill="E5E9F3"/>
          </w:tcPr>
          <w:p>
            <w:pPr>
              <w:jc w:val="right"/>
              <w:ind w:right="615"/>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3.6</w:t>
            </w:r>
          </w:p>
        </w:tc>
        <w:tc>
          <w:tcPr>
            <w:tcW w:w="940" w:type="dxa"/>
            <w:vAlign w:val="bottom"/>
            <w:shd w:val="clear" w:color="auto" w:fill="E5E9F3"/>
          </w:tcPr>
          <w:p>
            <w:pPr>
              <w:jc w:val="right"/>
              <w:ind w:right="63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E5E9F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26.9</w:t>
            </w:r>
          </w:p>
        </w:tc>
      </w:tr>
      <w:tr>
        <w:trPr>
          <w:trHeight w:val="253"/>
        </w:trPr>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Prior service cost</w:t>
            </w:r>
          </w:p>
        </w:tc>
        <w:tc>
          <w:tcPr>
            <w:tcW w:w="25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243"/>
        </w:trPr>
        <w:tc>
          <w:tcPr>
            <w:tcW w:w="37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shd w:val="clear" w:color="auto" w:fill="E5E9F3"/>
          </w:tcPr>
          <w:p>
            <w:pPr>
              <w:jc w:val="right"/>
              <w:ind w:right="61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3.6</w:t>
            </w:r>
          </w:p>
        </w:tc>
        <w:tc>
          <w:tcPr>
            <w:tcW w:w="940" w:type="dxa"/>
            <w:vAlign w:val="bottom"/>
            <w:tcBorders>
              <w:bottom w:val="single" w:sz="8" w:color="auto"/>
            </w:tcBorders>
            <w:shd w:val="clear" w:color="auto" w:fill="E5E9F3"/>
          </w:tcPr>
          <w:p>
            <w:pPr>
              <w:jc w:val="right"/>
              <w:ind w:right="6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gridSpan w:val="2"/>
            <w:shd w:val="clear" w:color="auto" w:fill="E5E9F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33"/>
              <w:spacing w:after="0"/>
              <w:rPr>
                <w:sz w:val="20"/>
                <w:szCs w:val="20"/>
                <w:color w:val="auto"/>
              </w:rPr>
            </w:pPr>
            <w:r>
              <w:rPr>
                <w:rFonts w:ascii="Arial" w:cs="Arial" w:eastAsia="Arial" w:hAnsi="Arial"/>
                <w:sz w:val="18"/>
                <w:szCs w:val="18"/>
                <w:color w:val="auto"/>
              </w:rPr>
              <w:t>32.0</w:t>
            </w:r>
          </w:p>
        </w:tc>
      </w:tr>
    </w:tbl>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accumulated benefit obligation (ABO) for all qualified defined benefit pension plans was $663.7 and $706.0 as of December 31, 2024 and 2023, respectively. The ABO for plans that have plan assets was $584.4 and $625.1 as of December 31, 2024 and 2023, respectively. The accumulated benefit obligation for some of our plans exceeded the fair value of plan assets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92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December 31</w:t>
            </w:r>
          </w:p>
        </w:tc>
        <w:tc>
          <w:tcPr>
            <w:tcW w:w="2740" w:type="dxa"/>
            <w:vAlign w:val="bottom"/>
            <w:tcBorders>
              <w:top w:val="single" w:sz="8" w:color="auto"/>
              <w:bottom w:val="single" w:sz="8" w:color="auto"/>
            </w:tcBorders>
            <w:shd w:val="clear" w:color="auto" w:fill="97AAD0"/>
          </w:tcPr>
          <w:p>
            <w:pPr>
              <w:spacing w:after="0"/>
              <w:rPr>
                <w:sz w:val="24"/>
                <w:szCs w:val="24"/>
                <w:color w:val="auto"/>
              </w:rPr>
            </w:pPr>
          </w:p>
        </w:tc>
        <w:tc>
          <w:tcPr>
            <w:tcW w:w="1340" w:type="dxa"/>
            <w:vAlign w:val="bottom"/>
            <w:tcBorders>
              <w:top w:val="single" w:sz="8" w:color="auto"/>
              <w:bottom w:val="single" w:sz="8" w:color="auto"/>
            </w:tcBorders>
            <w:shd w:val="clear" w:color="auto" w:fill="97AAD0"/>
          </w:tcPr>
          <w:p>
            <w:pPr>
              <w:jc w:val="right"/>
              <w:ind w:right="653"/>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bottom w:val="single" w:sz="8" w:color="auto"/>
            </w:tcBorders>
            <w:shd w:val="clear" w:color="auto" w:fill="97AAD0"/>
          </w:tcPr>
          <w:p>
            <w:pPr>
              <w:spacing w:after="0"/>
              <w:rPr>
                <w:sz w:val="24"/>
                <w:szCs w:val="24"/>
                <w:color w:val="auto"/>
              </w:rPr>
            </w:pPr>
          </w:p>
        </w:tc>
        <w:tc>
          <w:tcPr>
            <w:tcW w:w="1320" w:type="dxa"/>
            <w:vAlign w:val="bottom"/>
            <w:tcBorders>
              <w:top w:val="single" w:sz="8" w:color="auto"/>
              <w:bottom w:val="single" w:sz="8" w:color="auto"/>
            </w:tcBorders>
            <w:shd w:val="clear" w:color="auto" w:fill="97AAD0"/>
          </w:tcPr>
          <w:p>
            <w:pPr>
              <w:jc w:val="right"/>
              <w:ind w:right="633"/>
              <w:spacing w:after="0"/>
              <w:rPr>
                <w:sz w:val="20"/>
                <w:szCs w:val="20"/>
                <w:color w:val="auto"/>
              </w:rPr>
            </w:pPr>
            <w:r>
              <w:rPr>
                <w:rFonts w:ascii="Arial" w:cs="Arial" w:eastAsia="Arial" w:hAnsi="Arial"/>
                <w:sz w:val="16"/>
                <w:szCs w:val="16"/>
                <w:b w:val="1"/>
                <w:bCs w:val="1"/>
                <w:color w:val="auto"/>
              </w:rPr>
              <w:t>2023</w:t>
            </w:r>
          </w:p>
        </w:tc>
      </w:tr>
      <w:tr>
        <w:trPr>
          <w:trHeight w:val="243"/>
        </w:trPr>
        <w:tc>
          <w:tcPr>
            <w:tcW w:w="49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Accumulated benefit obligation</w:t>
            </w:r>
          </w:p>
        </w:tc>
        <w:tc>
          <w:tcPr>
            <w:tcW w:w="2740" w:type="dxa"/>
            <w:vAlign w:val="bottom"/>
            <w:shd w:val="clear" w:color="auto" w:fill="E5E9F3"/>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E9F3"/>
          </w:tcPr>
          <w:p>
            <w:pPr>
              <w:jc w:val="right"/>
              <w:ind w:right="53"/>
              <w:spacing w:after="0"/>
              <w:rPr>
                <w:sz w:val="20"/>
                <w:szCs w:val="20"/>
                <w:color w:val="auto"/>
              </w:rPr>
            </w:pPr>
            <w:r>
              <w:rPr>
                <w:rFonts w:ascii="Arial" w:cs="Arial" w:eastAsia="Arial" w:hAnsi="Arial"/>
                <w:sz w:val="18"/>
                <w:szCs w:val="18"/>
                <w:color w:val="auto"/>
              </w:rPr>
              <w:t>117.2</w:t>
            </w:r>
          </w:p>
        </w:tc>
        <w:tc>
          <w:tcPr>
            <w:tcW w:w="480" w:type="dxa"/>
            <w:vAlign w:val="bottom"/>
            <w:shd w:val="clear" w:color="auto" w:fill="E5E9F3"/>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129.9</w:t>
            </w:r>
          </w:p>
        </w:tc>
      </w:tr>
      <w:tr>
        <w:trPr>
          <w:trHeight w:val="253"/>
        </w:trPr>
        <w:tc>
          <w:tcPr>
            <w:tcW w:w="4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Plan assets</w:t>
            </w:r>
          </w:p>
        </w:tc>
        <w:tc>
          <w:tcPr>
            <w:tcW w:w="2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93.4</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89.0</w:t>
            </w:r>
          </w:p>
        </w:tc>
      </w:tr>
    </w:tbl>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The projected benefit obligation (PBO) for all qualified defined benefit pension plans was $687.8 and $732.4 as of December 31, 2024 and 2023, respectively. The PBO for some of our plans exceeded the fair value of plan assets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78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December 31</w:t>
            </w:r>
          </w:p>
        </w:tc>
        <w:tc>
          <w:tcPr>
            <w:tcW w:w="2880" w:type="dxa"/>
            <w:vAlign w:val="bottom"/>
            <w:tcBorders>
              <w:top w:val="single" w:sz="8" w:color="auto"/>
              <w:bottom w:val="single" w:sz="8" w:color="auto"/>
            </w:tcBorders>
            <w:shd w:val="clear" w:color="auto" w:fill="97AAD0"/>
          </w:tcPr>
          <w:p>
            <w:pPr>
              <w:spacing w:after="0"/>
              <w:rPr>
                <w:sz w:val="24"/>
                <w:szCs w:val="24"/>
                <w:color w:val="auto"/>
              </w:rPr>
            </w:pPr>
          </w:p>
        </w:tc>
        <w:tc>
          <w:tcPr>
            <w:tcW w:w="1340" w:type="dxa"/>
            <w:vAlign w:val="bottom"/>
            <w:tcBorders>
              <w:top w:val="single" w:sz="8" w:color="auto"/>
              <w:bottom w:val="single" w:sz="8" w:color="auto"/>
            </w:tcBorders>
            <w:shd w:val="clear" w:color="auto" w:fill="97AAD0"/>
          </w:tcPr>
          <w:p>
            <w:pPr>
              <w:jc w:val="right"/>
              <w:ind w:right="653"/>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bottom w:val="single" w:sz="8" w:color="auto"/>
            </w:tcBorders>
            <w:shd w:val="clear" w:color="auto" w:fill="97AAD0"/>
          </w:tcPr>
          <w:p>
            <w:pPr>
              <w:spacing w:after="0"/>
              <w:rPr>
                <w:sz w:val="24"/>
                <w:szCs w:val="24"/>
                <w:color w:val="auto"/>
              </w:rPr>
            </w:pPr>
          </w:p>
        </w:tc>
        <w:tc>
          <w:tcPr>
            <w:tcW w:w="1320" w:type="dxa"/>
            <w:vAlign w:val="bottom"/>
            <w:tcBorders>
              <w:top w:val="single" w:sz="8" w:color="auto"/>
              <w:bottom w:val="single" w:sz="8" w:color="auto"/>
            </w:tcBorders>
            <w:shd w:val="clear" w:color="auto" w:fill="97AAD0"/>
          </w:tcPr>
          <w:p>
            <w:pPr>
              <w:jc w:val="right"/>
              <w:ind w:right="633"/>
              <w:spacing w:after="0"/>
              <w:rPr>
                <w:sz w:val="20"/>
                <w:szCs w:val="20"/>
                <w:color w:val="auto"/>
              </w:rPr>
            </w:pPr>
            <w:r>
              <w:rPr>
                <w:rFonts w:ascii="Arial" w:cs="Arial" w:eastAsia="Arial" w:hAnsi="Arial"/>
                <w:sz w:val="16"/>
                <w:szCs w:val="16"/>
                <w:b w:val="1"/>
                <w:bCs w:val="1"/>
                <w:color w:val="auto"/>
              </w:rPr>
              <w:t>2023</w:t>
            </w:r>
          </w:p>
        </w:tc>
      </w:tr>
      <w:tr>
        <w:trPr>
          <w:trHeight w:val="243"/>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Projected benefit obligation</w:t>
            </w:r>
          </w:p>
        </w:tc>
        <w:tc>
          <w:tcPr>
            <w:tcW w:w="2880" w:type="dxa"/>
            <w:vAlign w:val="bottom"/>
            <w:shd w:val="clear" w:color="auto" w:fill="E5E9F3"/>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E9F3"/>
          </w:tcPr>
          <w:p>
            <w:pPr>
              <w:jc w:val="right"/>
              <w:ind w:right="53"/>
              <w:spacing w:after="0"/>
              <w:rPr>
                <w:sz w:val="20"/>
                <w:szCs w:val="20"/>
                <w:color w:val="auto"/>
              </w:rPr>
            </w:pPr>
            <w:r>
              <w:rPr>
                <w:rFonts w:ascii="Arial" w:cs="Arial" w:eastAsia="Arial" w:hAnsi="Arial"/>
                <w:sz w:val="18"/>
                <w:szCs w:val="18"/>
                <w:color w:val="auto"/>
              </w:rPr>
              <w:t>123.8</w:t>
            </w:r>
          </w:p>
        </w:tc>
        <w:tc>
          <w:tcPr>
            <w:tcW w:w="480" w:type="dxa"/>
            <w:vAlign w:val="bottom"/>
            <w:shd w:val="clear" w:color="auto" w:fill="E5E9F3"/>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137.8</w:t>
            </w:r>
          </w:p>
        </w:tc>
      </w:tr>
      <w:tr>
        <w:trPr>
          <w:trHeight w:val="253"/>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Plan assets</w:t>
            </w:r>
          </w:p>
        </w:tc>
        <w:tc>
          <w:tcPr>
            <w:tcW w:w="28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96.9</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92.6</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10800"/>
          </w:cols>
          <w:pgMar w:left="720" w:top="734" w:right="720" w:bottom="175" w:gutter="0" w:footer="0" w:header="0"/>
          <w:type w:val="continuous"/>
        </w:sectPr>
      </w:pPr>
    </w:p>
    <w:bookmarkStart w:id="81" w:name="page82"/>
    <w:bookmarkEnd w:id="8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07" o:spid="_x0000_s113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7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By their nature, some of our plans do not have plan assets. The accumulated benefit obligation for these plans was $79.3 and $80.9 as of December 31, 2024 and 2023, respectively.</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components of the net periodic benefit cost and other amounts recognized in other comprehensive income/loss for all plans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98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top w:val="single" w:sz="8" w:color="auto"/>
              <w:bottom w:val="single" w:sz="8" w:color="auto"/>
            </w:tcBorders>
            <w:shd w:val="clear" w:color="auto" w:fill="97AAD0"/>
          </w:tcPr>
          <w:p>
            <w:pPr>
              <w:spacing w:after="0"/>
              <w:rPr>
                <w:sz w:val="24"/>
                <w:szCs w:val="24"/>
                <w:color w:val="auto"/>
              </w:rPr>
            </w:pPr>
          </w:p>
        </w:tc>
        <w:tc>
          <w:tcPr>
            <w:tcW w:w="1180" w:type="dxa"/>
            <w:vAlign w:val="bottom"/>
            <w:tcBorders>
              <w:top w:val="single" w:sz="8" w:color="auto"/>
              <w:bottom w:val="single" w:sz="8" w:color="auto"/>
            </w:tcBorders>
            <w:shd w:val="clear" w:color="auto" w:fill="97AAD0"/>
          </w:tcPr>
          <w:p>
            <w:pPr>
              <w:jc w:val="right"/>
              <w:ind w:right="551"/>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shd w:val="clear" w:color="auto" w:fill="97AAD0"/>
          </w:tcPr>
          <w:p>
            <w:pPr>
              <w:spacing w:after="0"/>
              <w:rPr>
                <w:sz w:val="24"/>
                <w:szCs w:val="24"/>
                <w:color w:val="auto"/>
              </w:rPr>
            </w:pPr>
          </w:p>
        </w:tc>
        <w:tc>
          <w:tcPr>
            <w:tcW w:w="1180" w:type="dxa"/>
            <w:vAlign w:val="bottom"/>
            <w:tcBorders>
              <w:top w:val="single" w:sz="8" w:color="auto"/>
              <w:bottom w:val="single" w:sz="8" w:color="auto"/>
            </w:tcBorders>
            <w:shd w:val="clear" w:color="auto" w:fill="97AAD0"/>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shd w:val="clear" w:color="auto" w:fill="97AAD0"/>
          </w:tcPr>
          <w:p>
            <w:pPr>
              <w:spacing w:after="0"/>
              <w:rPr>
                <w:sz w:val="24"/>
                <w:szCs w:val="24"/>
                <w:color w:val="auto"/>
              </w:rPr>
            </w:pPr>
          </w:p>
        </w:tc>
        <w:tc>
          <w:tcPr>
            <w:tcW w:w="1140" w:type="dxa"/>
            <w:vAlign w:val="bottom"/>
            <w:tcBorders>
              <w:top w:val="single" w:sz="8" w:color="auto"/>
              <w:bottom w:val="single" w:sz="8" w:color="auto"/>
            </w:tcBorders>
            <w:shd w:val="clear" w:color="auto" w:fill="97AAD0"/>
          </w:tcPr>
          <w:p>
            <w:pPr>
              <w:jc w:val="right"/>
              <w:ind w:right="511"/>
              <w:spacing w:after="0"/>
              <w:rPr>
                <w:sz w:val="20"/>
                <w:szCs w:val="20"/>
                <w:color w:val="auto"/>
              </w:rPr>
            </w:pPr>
            <w:r>
              <w:rPr>
                <w:rFonts w:ascii="Arial" w:cs="Arial" w:eastAsia="Arial" w:hAnsi="Arial"/>
                <w:sz w:val="16"/>
                <w:szCs w:val="16"/>
                <w:b w:val="1"/>
                <w:bCs w:val="1"/>
                <w:color w:val="auto"/>
              </w:rPr>
              <w:t>2022</w:t>
            </w:r>
          </w:p>
        </w:tc>
      </w:tr>
      <w:tr>
        <w:trPr>
          <w:trHeight w:val="243"/>
        </w:trPr>
        <w:tc>
          <w:tcPr>
            <w:tcW w:w="5980" w:type="dxa"/>
            <w:vAlign w:val="bottom"/>
            <w:shd w:val="clear" w:color="auto" w:fill="E5E9F3"/>
          </w:tcPr>
          <w:p>
            <w:pPr>
              <w:ind w:left="100"/>
              <w:spacing w:after="0"/>
              <w:rPr>
                <w:sz w:val="20"/>
                <w:szCs w:val="20"/>
                <w:color w:val="auto"/>
              </w:rPr>
            </w:pPr>
            <w:r>
              <w:rPr>
                <w:rFonts w:ascii="Arial" w:cs="Arial" w:eastAsia="Arial" w:hAnsi="Arial"/>
                <w:sz w:val="18"/>
                <w:szCs w:val="18"/>
                <w:b w:val="1"/>
                <w:bCs w:val="1"/>
                <w:color w:val="auto"/>
              </w:rPr>
              <w:t>Net Periodic Benefit Cost</w:t>
            </w:r>
          </w:p>
        </w:tc>
        <w:tc>
          <w:tcPr>
            <w:tcW w:w="560" w:type="dxa"/>
            <w:vAlign w:val="bottom"/>
            <w:shd w:val="clear" w:color="auto" w:fill="E5E9F3"/>
          </w:tcPr>
          <w:p>
            <w:pPr>
              <w:spacing w:after="0"/>
              <w:rPr>
                <w:sz w:val="21"/>
                <w:szCs w:val="21"/>
                <w:color w:val="auto"/>
              </w:rPr>
            </w:pPr>
          </w:p>
        </w:tc>
        <w:tc>
          <w:tcPr>
            <w:tcW w:w="1180" w:type="dxa"/>
            <w:vAlign w:val="bottom"/>
            <w:shd w:val="clear" w:color="auto" w:fill="E5E9F3"/>
          </w:tcPr>
          <w:p>
            <w:pPr>
              <w:spacing w:after="0"/>
              <w:rPr>
                <w:sz w:val="21"/>
                <w:szCs w:val="21"/>
                <w:color w:val="auto"/>
              </w:rPr>
            </w:pPr>
          </w:p>
        </w:tc>
        <w:tc>
          <w:tcPr>
            <w:tcW w:w="380" w:type="dxa"/>
            <w:vAlign w:val="bottom"/>
            <w:shd w:val="clear" w:color="auto" w:fill="E5E9F3"/>
          </w:tcPr>
          <w:p>
            <w:pPr>
              <w:spacing w:after="0"/>
              <w:rPr>
                <w:sz w:val="21"/>
                <w:szCs w:val="21"/>
                <w:color w:val="auto"/>
              </w:rPr>
            </w:pPr>
          </w:p>
        </w:tc>
        <w:tc>
          <w:tcPr>
            <w:tcW w:w="1180" w:type="dxa"/>
            <w:vAlign w:val="bottom"/>
            <w:shd w:val="clear" w:color="auto" w:fill="E5E9F3"/>
          </w:tcPr>
          <w:p>
            <w:pPr>
              <w:spacing w:after="0"/>
              <w:rPr>
                <w:sz w:val="21"/>
                <w:szCs w:val="21"/>
                <w:color w:val="auto"/>
              </w:rPr>
            </w:pPr>
          </w:p>
        </w:tc>
        <w:tc>
          <w:tcPr>
            <w:tcW w:w="380" w:type="dxa"/>
            <w:vAlign w:val="bottom"/>
            <w:shd w:val="clear" w:color="auto" w:fill="E5E9F3"/>
          </w:tcPr>
          <w:p>
            <w:pPr>
              <w:spacing w:after="0"/>
              <w:rPr>
                <w:sz w:val="21"/>
                <w:szCs w:val="21"/>
                <w:color w:val="auto"/>
              </w:rPr>
            </w:pPr>
          </w:p>
        </w:tc>
        <w:tc>
          <w:tcPr>
            <w:tcW w:w="1140" w:type="dxa"/>
            <w:vAlign w:val="bottom"/>
            <w:shd w:val="clear" w:color="auto" w:fill="E5E9F3"/>
          </w:tcPr>
          <w:p>
            <w:pPr>
              <w:spacing w:after="0"/>
              <w:rPr>
                <w:sz w:val="21"/>
                <w:szCs w:val="21"/>
                <w:color w:val="auto"/>
              </w:rPr>
            </w:pPr>
          </w:p>
        </w:tc>
      </w:tr>
      <w:tr>
        <w:trPr>
          <w:trHeight w:val="253"/>
        </w:trPr>
        <w:tc>
          <w:tcPr>
            <w:tcW w:w="598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16.5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w:t>
            </w:r>
          </w:p>
        </w:tc>
      </w:tr>
      <w:tr>
        <w:trPr>
          <w:trHeight w:val="253"/>
        </w:trPr>
        <w:tc>
          <w:tcPr>
            <w:tcW w:w="59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E5E9F3"/>
          </w:tcPr>
          <w:p>
            <w:pPr>
              <w:spacing w:after="0"/>
              <w:rPr>
                <w:sz w:val="22"/>
                <w:szCs w:val="22"/>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E5E9F3"/>
          </w:tcPr>
          <w:p>
            <w:pPr>
              <w:spacing w:after="0"/>
              <w:rPr>
                <w:sz w:val="22"/>
                <w:szCs w:val="22"/>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E5E9F3"/>
          </w:tcPr>
          <w:p>
            <w:pPr>
              <w:spacing w:after="0"/>
              <w:rPr>
                <w:sz w:val="22"/>
                <w:szCs w:val="22"/>
                <w:color w:val="auto"/>
              </w:rPr>
            </w:pPr>
          </w:p>
        </w:tc>
        <w:tc>
          <w:tcPr>
            <w:tcW w:w="114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8.7</w:t>
            </w:r>
          </w:p>
        </w:tc>
      </w:tr>
      <w:tr>
        <w:trPr>
          <w:trHeight w:val="253"/>
        </w:trPr>
        <w:tc>
          <w:tcPr>
            <w:tcW w:w="5980" w:type="dxa"/>
            <w:vAlign w:val="bottom"/>
          </w:tcPr>
          <w:p>
            <w:pPr>
              <w:ind w:left="100"/>
              <w:spacing w:after="0"/>
              <w:rPr>
                <w:sz w:val="20"/>
                <w:szCs w:val="20"/>
                <w:color w:val="auto"/>
              </w:rPr>
            </w:pPr>
            <w:r>
              <w:rPr>
                <w:rFonts w:ascii="Arial" w:cs="Arial" w:eastAsia="Arial" w:hAnsi="Arial"/>
                <w:sz w:val="18"/>
                <w:szCs w:val="18"/>
                <w:color w:val="auto"/>
              </w:rPr>
              <w:t>Expected return on assets</w:t>
            </w: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3"/>
        </w:trPr>
        <w:tc>
          <w:tcPr>
            <w:tcW w:w="59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Settlements</w:t>
            </w:r>
          </w:p>
        </w:tc>
        <w:tc>
          <w:tcPr>
            <w:tcW w:w="560" w:type="dxa"/>
            <w:vAlign w:val="bottom"/>
            <w:shd w:val="clear" w:color="auto" w:fill="E5E9F3"/>
          </w:tcPr>
          <w:p>
            <w:pPr>
              <w:spacing w:after="0"/>
              <w:rPr>
                <w:sz w:val="22"/>
                <w:szCs w:val="22"/>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1.8</w:t>
            </w:r>
          </w:p>
        </w:tc>
        <w:tc>
          <w:tcPr>
            <w:tcW w:w="380" w:type="dxa"/>
            <w:vAlign w:val="bottom"/>
            <w:shd w:val="clear" w:color="auto" w:fill="E5E9F3"/>
          </w:tcPr>
          <w:p>
            <w:pPr>
              <w:spacing w:after="0"/>
              <w:rPr>
                <w:sz w:val="22"/>
                <w:szCs w:val="22"/>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6.7</w:t>
            </w:r>
          </w:p>
        </w:tc>
        <w:tc>
          <w:tcPr>
            <w:tcW w:w="380" w:type="dxa"/>
            <w:vAlign w:val="bottom"/>
            <w:shd w:val="clear" w:color="auto" w:fill="E5E9F3"/>
          </w:tcPr>
          <w:p>
            <w:pPr>
              <w:spacing w:after="0"/>
              <w:rPr>
                <w:sz w:val="22"/>
                <w:szCs w:val="22"/>
                <w:color w:val="auto"/>
              </w:rPr>
            </w:pPr>
          </w:p>
        </w:tc>
        <w:tc>
          <w:tcPr>
            <w:tcW w:w="114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2.7</w:t>
            </w:r>
          </w:p>
        </w:tc>
      </w:tr>
      <w:tr>
        <w:trPr>
          <w:trHeight w:val="253"/>
        </w:trPr>
        <w:tc>
          <w:tcPr>
            <w:tcW w:w="5980" w:type="dxa"/>
            <w:vAlign w:val="bottom"/>
          </w:tcPr>
          <w:p>
            <w:pPr>
              <w:ind w:left="100"/>
              <w:spacing w:after="0"/>
              <w:rPr>
                <w:sz w:val="20"/>
                <w:szCs w:val="20"/>
                <w:color w:val="auto"/>
              </w:rPr>
            </w:pPr>
            <w:r>
              <w:rPr>
                <w:rFonts w:ascii="Arial" w:cs="Arial" w:eastAsia="Arial" w:hAnsi="Arial"/>
                <w:sz w:val="18"/>
                <w:szCs w:val="18"/>
                <w:color w:val="auto"/>
              </w:rPr>
              <w:t>Net (gain) loss</w:t>
            </w: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253"/>
        </w:trPr>
        <w:tc>
          <w:tcPr>
            <w:tcW w:w="59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Prior service cost</w:t>
            </w:r>
          </w:p>
        </w:tc>
        <w:tc>
          <w:tcPr>
            <w:tcW w:w="560" w:type="dxa"/>
            <w:vAlign w:val="bottom"/>
            <w:tcBorders>
              <w:bottom w:val="single" w:sz="8" w:color="auto"/>
            </w:tcBorders>
            <w:shd w:val="clear" w:color="auto" w:fill="E5E9F3"/>
          </w:tcPr>
          <w:p>
            <w:pPr>
              <w:spacing w:after="0"/>
              <w:rPr>
                <w:sz w:val="22"/>
                <w:szCs w:val="22"/>
                <w:color w:val="auto"/>
              </w:rPr>
            </w:pPr>
          </w:p>
        </w:tc>
        <w:tc>
          <w:tcPr>
            <w:tcW w:w="11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shd w:val="clear" w:color="auto" w:fill="E5E9F3"/>
          </w:tcPr>
          <w:p>
            <w:pPr>
              <w:spacing w:after="0"/>
              <w:rPr>
                <w:sz w:val="22"/>
                <w:szCs w:val="22"/>
                <w:color w:val="auto"/>
              </w:rPr>
            </w:pPr>
          </w:p>
        </w:tc>
        <w:tc>
          <w:tcPr>
            <w:tcW w:w="11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0.7</w:t>
            </w:r>
          </w:p>
        </w:tc>
      </w:tr>
      <w:tr>
        <w:trPr>
          <w:trHeight w:val="243"/>
        </w:trPr>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periodic benefit cost</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21.7</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w:t>
            </w:r>
          </w:p>
        </w:tc>
      </w:tr>
      <w:tr>
        <w:trPr>
          <w:trHeight w:val="200"/>
        </w:trPr>
        <w:tc>
          <w:tcPr>
            <w:tcW w:w="5980" w:type="dxa"/>
            <w:vAlign w:val="bottom"/>
            <w:shd w:val="clear" w:color="auto" w:fill="E5E9F3"/>
          </w:tcPr>
          <w:p>
            <w:pPr>
              <w:ind w:left="100"/>
              <w:spacing w:after="0" w:line="200" w:lineRule="exact"/>
              <w:rPr>
                <w:sz w:val="20"/>
                <w:szCs w:val="20"/>
                <w:color w:val="auto"/>
              </w:rPr>
            </w:pPr>
            <w:r>
              <w:rPr>
                <w:rFonts w:ascii="Arial" w:cs="Arial" w:eastAsia="Arial" w:hAnsi="Arial"/>
                <w:sz w:val="18"/>
                <w:szCs w:val="18"/>
                <w:b w:val="1"/>
                <w:bCs w:val="1"/>
                <w:color w:val="auto"/>
              </w:rPr>
              <w:t>Other Changes in Plan Assets and Benefit Obligation Recognized</w:t>
            </w:r>
          </w:p>
        </w:tc>
        <w:tc>
          <w:tcPr>
            <w:tcW w:w="56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r>
      <w:tr>
        <w:trPr>
          <w:trHeight w:val="227"/>
        </w:trPr>
        <w:tc>
          <w:tcPr>
            <w:tcW w:w="5980" w:type="dxa"/>
            <w:vAlign w:val="bottom"/>
            <w:shd w:val="clear" w:color="auto" w:fill="E5E9F3"/>
          </w:tcPr>
          <w:p>
            <w:pPr>
              <w:ind w:left="260"/>
              <w:spacing w:after="0"/>
              <w:rPr>
                <w:sz w:val="20"/>
                <w:szCs w:val="20"/>
                <w:color w:val="auto"/>
              </w:rPr>
            </w:pPr>
            <w:r>
              <w:rPr>
                <w:rFonts w:ascii="Arial" w:cs="Arial" w:eastAsia="Arial" w:hAnsi="Arial"/>
                <w:sz w:val="18"/>
                <w:szCs w:val="18"/>
                <w:b w:val="1"/>
                <w:bCs w:val="1"/>
                <w:color w:val="auto"/>
              </w:rPr>
              <w:t>in Other Comprehensive Income/Loss</w:t>
            </w:r>
          </w:p>
        </w:tc>
        <w:tc>
          <w:tcPr>
            <w:tcW w:w="560" w:type="dxa"/>
            <w:vAlign w:val="bottom"/>
            <w:shd w:val="clear" w:color="auto" w:fill="E5E9F3"/>
          </w:tcPr>
          <w:p>
            <w:pPr>
              <w:spacing w:after="0"/>
              <w:rPr>
                <w:sz w:val="19"/>
                <w:szCs w:val="19"/>
                <w:color w:val="auto"/>
              </w:rPr>
            </w:pPr>
          </w:p>
        </w:tc>
        <w:tc>
          <w:tcPr>
            <w:tcW w:w="1180" w:type="dxa"/>
            <w:vAlign w:val="bottom"/>
            <w:shd w:val="clear" w:color="auto" w:fill="E5E9F3"/>
          </w:tcPr>
          <w:p>
            <w:pPr>
              <w:spacing w:after="0"/>
              <w:rPr>
                <w:sz w:val="19"/>
                <w:szCs w:val="19"/>
                <w:color w:val="auto"/>
              </w:rPr>
            </w:pPr>
          </w:p>
        </w:tc>
        <w:tc>
          <w:tcPr>
            <w:tcW w:w="380" w:type="dxa"/>
            <w:vAlign w:val="bottom"/>
            <w:shd w:val="clear" w:color="auto" w:fill="E5E9F3"/>
          </w:tcPr>
          <w:p>
            <w:pPr>
              <w:spacing w:after="0"/>
              <w:rPr>
                <w:sz w:val="19"/>
                <w:szCs w:val="19"/>
                <w:color w:val="auto"/>
              </w:rPr>
            </w:pPr>
          </w:p>
        </w:tc>
        <w:tc>
          <w:tcPr>
            <w:tcW w:w="1180" w:type="dxa"/>
            <w:vAlign w:val="bottom"/>
            <w:shd w:val="clear" w:color="auto" w:fill="E5E9F3"/>
          </w:tcPr>
          <w:p>
            <w:pPr>
              <w:spacing w:after="0"/>
              <w:rPr>
                <w:sz w:val="19"/>
                <w:szCs w:val="19"/>
                <w:color w:val="auto"/>
              </w:rPr>
            </w:pPr>
          </w:p>
        </w:tc>
        <w:tc>
          <w:tcPr>
            <w:tcW w:w="380" w:type="dxa"/>
            <w:vAlign w:val="bottom"/>
            <w:shd w:val="clear" w:color="auto" w:fill="E5E9F3"/>
          </w:tcPr>
          <w:p>
            <w:pPr>
              <w:spacing w:after="0"/>
              <w:rPr>
                <w:sz w:val="19"/>
                <w:szCs w:val="19"/>
                <w:color w:val="auto"/>
              </w:rPr>
            </w:pPr>
          </w:p>
        </w:tc>
        <w:tc>
          <w:tcPr>
            <w:tcW w:w="1140" w:type="dxa"/>
            <w:vAlign w:val="bottom"/>
            <w:shd w:val="clear" w:color="auto" w:fill="E5E9F3"/>
          </w:tcPr>
          <w:p>
            <w:pPr>
              <w:spacing w:after="0"/>
              <w:rPr>
                <w:sz w:val="19"/>
                <w:szCs w:val="19"/>
                <w:color w:val="auto"/>
              </w:rPr>
            </w:pPr>
          </w:p>
        </w:tc>
      </w:tr>
      <w:tr>
        <w:trPr>
          <w:trHeight w:val="253"/>
        </w:trPr>
        <w:tc>
          <w:tcPr>
            <w:tcW w:w="5980" w:type="dxa"/>
            <w:vAlign w:val="bottom"/>
          </w:tcPr>
          <w:p>
            <w:pPr>
              <w:ind w:left="100"/>
              <w:spacing w:after="0"/>
              <w:rPr>
                <w:sz w:val="20"/>
                <w:szCs w:val="20"/>
                <w:color w:val="auto"/>
              </w:rPr>
            </w:pPr>
            <w:r>
              <w:rPr>
                <w:rFonts w:ascii="Arial" w:cs="Arial" w:eastAsia="Arial" w:hAnsi="Arial"/>
                <w:sz w:val="18"/>
                <w:szCs w:val="18"/>
                <w:color w:val="auto"/>
              </w:rPr>
              <w:t>Net (gain) loss</w:t>
            </w: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53"/>
        </w:trPr>
        <w:tc>
          <w:tcPr>
            <w:tcW w:w="59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Prior service credit</w:t>
            </w:r>
          </w:p>
        </w:tc>
        <w:tc>
          <w:tcPr>
            <w:tcW w:w="560" w:type="dxa"/>
            <w:vAlign w:val="bottom"/>
            <w:shd w:val="clear" w:color="auto" w:fill="E5E9F3"/>
          </w:tcPr>
          <w:p>
            <w:pPr>
              <w:spacing w:after="0"/>
              <w:rPr>
                <w:sz w:val="22"/>
                <w:szCs w:val="22"/>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9F3"/>
          </w:tcPr>
          <w:p>
            <w:pPr>
              <w:spacing w:after="0"/>
              <w:rPr>
                <w:sz w:val="22"/>
                <w:szCs w:val="22"/>
                <w:color w:val="auto"/>
              </w:rPr>
            </w:pPr>
          </w:p>
        </w:tc>
        <w:tc>
          <w:tcPr>
            <w:tcW w:w="1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E5E9F3"/>
          </w:tcPr>
          <w:p>
            <w:pPr>
              <w:spacing w:after="0"/>
              <w:rPr>
                <w:sz w:val="22"/>
                <w:szCs w:val="22"/>
                <w:color w:val="auto"/>
              </w:rPr>
            </w:pPr>
          </w:p>
        </w:tc>
        <w:tc>
          <w:tcPr>
            <w:tcW w:w="11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(0.2)</w:t>
            </w:r>
          </w:p>
        </w:tc>
      </w:tr>
      <w:tr>
        <w:trPr>
          <w:trHeight w:val="253"/>
        </w:trPr>
        <w:tc>
          <w:tcPr>
            <w:tcW w:w="598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3"/>
        </w:trPr>
        <w:tc>
          <w:tcPr>
            <w:tcW w:w="598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Amortization of prior service cost</w:t>
            </w:r>
          </w:p>
        </w:tc>
        <w:tc>
          <w:tcPr>
            <w:tcW w:w="560" w:type="dxa"/>
            <w:vAlign w:val="bottom"/>
            <w:tcBorders>
              <w:bottom w:val="single" w:sz="8" w:color="auto"/>
            </w:tcBorders>
            <w:shd w:val="clear" w:color="auto" w:fill="E5E9F3"/>
          </w:tcPr>
          <w:p>
            <w:pPr>
              <w:spacing w:after="0"/>
              <w:rPr>
                <w:sz w:val="21"/>
                <w:szCs w:val="21"/>
                <w:color w:val="auto"/>
              </w:rPr>
            </w:pPr>
          </w:p>
        </w:tc>
        <w:tc>
          <w:tcPr>
            <w:tcW w:w="1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shd w:val="clear" w:color="auto" w:fill="E5E9F3"/>
          </w:tcPr>
          <w:p>
            <w:pPr>
              <w:spacing w:after="0"/>
              <w:rPr>
                <w:sz w:val="21"/>
                <w:szCs w:val="21"/>
                <w:color w:val="auto"/>
              </w:rPr>
            </w:pPr>
          </w:p>
        </w:tc>
        <w:tc>
          <w:tcPr>
            <w:tcW w:w="1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shd w:val="clear" w:color="auto" w:fill="E5E9F3"/>
          </w:tcPr>
          <w:p>
            <w:pPr>
              <w:spacing w:after="0"/>
              <w:rPr>
                <w:sz w:val="21"/>
                <w:szCs w:val="21"/>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recognized in other comprehensive income/loss</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02"/>
        </w:trPr>
        <w:tc>
          <w:tcPr>
            <w:tcW w:w="5980" w:type="dxa"/>
            <w:vAlign w:val="bottom"/>
            <w:shd w:val="clear" w:color="auto" w:fill="E5E9F3"/>
          </w:tcPr>
          <w:p>
            <w:pPr>
              <w:ind w:left="100"/>
              <w:spacing w:after="0" w:line="202" w:lineRule="exact"/>
              <w:rPr>
                <w:sz w:val="20"/>
                <w:szCs w:val="20"/>
                <w:color w:val="auto"/>
              </w:rPr>
            </w:pPr>
            <w:r>
              <w:rPr>
                <w:rFonts w:ascii="Arial" w:cs="Arial" w:eastAsia="Arial" w:hAnsi="Arial"/>
                <w:sz w:val="18"/>
                <w:szCs w:val="18"/>
                <w:color w:val="auto"/>
              </w:rPr>
              <w:t>Total recognized in net periodic benefit cost and other comprehensive</w:t>
            </w:r>
          </w:p>
        </w:tc>
        <w:tc>
          <w:tcPr>
            <w:tcW w:w="56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r>
      <w:tr>
        <w:trPr>
          <w:trHeight w:val="225"/>
        </w:trPr>
        <w:tc>
          <w:tcPr>
            <w:tcW w:w="5980" w:type="dxa"/>
            <w:vAlign w:val="bottom"/>
            <w:tcBorders>
              <w:bottom w:val="single" w:sz="8" w:color="auto"/>
            </w:tcBorders>
            <w:shd w:val="clear" w:color="auto" w:fill="E5E9F3"/>
          </w:tcPr>
          <w:p>
            <w:pPr>
              <w:ind w:left="260"/>
              <w:spacing w:after="0"/>
              <w:rPr>
                <w:sz w:val="20"/>
                <w:szCs w:val="20"/>
                <w:color w:val="auto"/>
              </w:rPr>
            </w:pPr>
            <w:r>
              <w:rPr>
                <w:rFonts w:ascii="Arial" w:cs="Arial" w:eastAsia="Arial" w:hAnsi="Arial"/>
                <w:sz w:val="18"/>
                <w:szCs w:val="18"/>
                <w:color w:val="auto"/>
              </w:rPr>
              <w:t>income/loss</w:t>
            </w:r>
          </w:p>
        </w:tc>
        <w:tc>
          <w:tcPr>
            <w:tcW w:w="56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48.0</w:t>
            </w:r>
          </w:p>
        </w:tc>
        <w:tc>
          <w:tcPr>
            <w:tcW w:w="3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(28.2)</w:t>
            </w:r>
          </w:p>
        </w:tc>
      </w:tr>
    </w:tbl>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estimated net loss and prior service cost for the defined benefit pension plans that will be amortized from accumulated other comprehensive income/loss into net periodic benefit cost during 2025 are $0.4 and $0.6,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 weighted-average assumptions used in the measurement of the benefit obligation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Borders>
              <w:top w:val="single" w:sz="8" w:color="auto"/>
              <w:bottom w:val="single" w:sz="8" w:color="97AAD0"/>
            </w:tcBorders>
            <w:shd w:val="clear" w:color="auto" w:fill="97AAD0"/>
          </w:tcPr>
          <w:p>
            <w:pPr>
              <w:spacing w:after="0"/>
              <w:rPr>
                <w:sz w:val="18"/>
                <w:szCs w:val="18"/>
                <w:color w:val="auto"/>
              </w:rPr>
            </w:pPr>
          </w:p>
        </w:tc>
        <w:tc>
          <w:tcPr>
            <w:tcW w:w="860" w:type="dxa"/>
            <w:vAlign w:val="bottom"/>
            <w:tcBorders>
              <w:top w:val="single" w:sz="8" w:color="auto"/>
              <w:bottom w:val="single" w:sz="8" w:color="97AAD0"/>
            </w:tcBorders>
            <w:shd w:val="clear" w:color="auto" w:fill="97AAD0"/>
          </w:tcPr>
          <w:p>
            <w:pPr>
              <w:spacing w:after="0"/>
              <w:rPr>
                <w:sz w:val="18"/>
                <w:szCs w:val="18"/>
                <w:color w:val="auto"/>
              </w:rPr>
            </w:pPr>
          </w:p>
        </w:tc>
        <w:tc>
          <w:tcPr>
            <w:tcW w:w="220" w:type="dxa"/>
            <w:vAlign w:val="bottom"/>
            <w:tcBorders>
              <w:top w:val="single" w:sz="8" w:color="auto"/>
              <w:bottom w:val="single" w:sz="8" w:color="97AAD0"/>
            </w:tcBorders>
            <w:shd w:val="clear" w:color="auto" w:fill="97AAD0"/>
          </w:tcPr>
          <w:p>
            <w:pPr>
              <w:spacing w:after="0"/>
              <w:rPr>
                <w:sz w:val="18"/>
                <w:szCs w:val="18"/>
                <w:color w:val="auto"/>
              </w:rPr>
            </w:pPr>
          </w:p>
        </w:tc>
        <w:tc>
          <w:tcPr>
            <w:tcW w:w="2160" w:type="dxa"/>
            <w:vAlign w:val="bottom"/>
            <w:tcBorders>
              <w:top w:val="single" w:sz="8" w:color="auto"/>
              <w:bottom w:val="single" w:sz="8" w:color="auto"/>
            </w:tcBorders>
            <w:gridSpan w:val="2"/>
            <w:shd w:val="clear" w:color="auto" w:fill="97AAD0"/>
          </w:tcPr>
          <w:p>
            <w:pPr>
              <w:jc w:val="right"/>
              <w:ind w:right="93"/>
              <w:spacing w:after="0"/>
              <w:rPr>
                <w:sz w:val="20"/>
                <w:szCs w:val="20"/>
                <w:color w:val="auto"/>
              </w:rPr>
            </w:pPr>
            <w:r>
              <w:rPr>
                <w:rFonts w:ascii="Arial" w:cs="Arial" w:eastAsia="Arial" w:hAnsi="Arial"/>
                <w:sz w:val="16"/>
                <w:szCs w:val="16"/>
                <w:b w:val="1"/>
                <w:bCs w:val="1"/>
                <w:color w:val="auto"/>
              </w:rPr>
              <w:t>United States Plans</w:t>
            </w:r>
          </w:p>
        </w:tc>
        <w:tc>
          <w:tcPr>
            <w:tcW w:w="100" w:type="dxa"/>
            <w:vAlign w:val="bottom"/>
            <w:tcBorders>
              <w:top w:val="single" w:sz="8" w:color="auto"/>
              <w:bottom w:val="single" w:sz="8" w:color="auto"/>
            </w:tcBorders>
            <w:shd w:val="clear" w:color="auto" w:fill="97AAD0"/>
          </w:tcPr>
          <w:p>
            <w:pPr>
              <w:spacing w:after="0"/>
              <w:rPr>
                <w:sz w:val="18"/>
                <w:szCs w:val="18"/>
                <w:color w:val="auto"/>
              </w:rPr>
            </w:pPr>
          </w:p>
        </w:tc>
        <w:tc>
          <w:tcPr>
            <w:tcW w:w="380" w:type="dxa"/>
            <w:vAlign w:val="bottom"/>
            <w:tcBorders>
              <w:top w:val="single" w:sz="8" w:color="auto"/>
              <w:bottom w:val="single" w:sz="8" w:color="auto"/>
            </w:tcBorders>
            <w:shd w:val="clear" w:color="auto" w:fill="97AAD0"/>
          </w:tcPr>
          <w:p>
            <w:pPr>
              <w:spacing w:after="0"/>
              <w:rPr>
                <w:sz w:val="18"/>
                <w:szCs w:val="18"/>
                <w:color w:val="auto"/>
              </w:rPr>
            </w:pPr>
          </w:p>
        </w:tc>
        <w:tc>
          <w:tcPr>
            <w:tcW w:w="100" w:type="dxa"/>
            <w:vAlign w:val="bottom"/>
            <w:tcBorders>
              <w:top w:val="single" w:sz="8" w:color="auto"/>
              <w:bottom w:val="single" w:sz="8" w:color="97AAD0"/>
            </w:tcBorders>
            <w:shd w:val="clear" w:color="auto" w:fill="97AAD0"/>
          </w:tcPr>
          <w:p>
            <w:pPr>
              <w:spacing w:after="0"/>
              <w:rPr>
                <w:sz w:val="18"/>
                <w:szCs w:val="18"/>
                <w:color w:val="auto"/>
              </w:rPr>
            </w:pPr>
          </w:p>
        </w:tc>
        <w:tc>
          <w:tcPr>
            <w:tcW w:w="2660" w:type="dxa"/>
            <w:vAlign w:val="bottom"/>
            <w:tcBorders>
              <w:top w:val="single" w:sz="8" w:color="auto"/>
              <w:bottom w:val="single" w:sz="8" w:color="auto"/>
            </w:tcBorders>
            <w:gridSpan w:val="4"/>
            <w:shd w:val="clear" w:color="auto" w:fill="97AAD0"/>
          </w:tcPr>
          <w:p>
            <w:pPr>
              <w:jc w:val="right"/>
              <w:ind w:right="413"/>
              <w:spacing w:after="0"/>
              <w:rPr>
                <w:sz w:val="20"/>
                <w:szCs w:val="20"/>
                <w:color w:val="auto"/>
              </w:rPr>
            </w:pPr>
            <w:r>
              <w:rPr>
                <w:rFonts w:ascii="Arial" w:cs="Arial" w:eastAsia="Arial" w:hAnsi="Arial"/>
                <w:sz w:val="16"/>
                <w:szCs w:val="16"/>
                <w:b w:val="1"/>
                <w:bCs w:val="1"/>
                <w:color w:val="auto"/>
              </w:rPr>
              <w:t>Non-United States Plans</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shd w:val="clear" w:color="auto" w:fill="97AAD0"/>
          </w:tcPr>
          <w:p>
            <w:pPr>
              <w:spacing w:after="0"/>
              <w:rPr>
                <w:sz w:val="19"/>
                <w:szCs w:val="19"/>
                <w:color w:val="auto"/>
              </w:rPr>
            </w:pPr>
          </w:p>
        </w:tc>
        <w:tc>
          <w:tcPr>
            <w:tcW w:w="220" w:type="dxa"/>
            <w:vAlign w:val="bottom"/>
            <w:tcBorders>
              <w:bottom w:val="single" w:sz="8" w:color="auto"/>
            </w:tcBorders>
            <w:shd w:val="clear" w:color="auto" w:fill="97AAD0"/>
          </w:tcPr>
          <w:p>
            <w:pPr>
              <w:spacing w:after="0"/>
              <w:rPr>
                <w:sz w:val="19"/>
                <w:szCs w:val="19"/>
                <w:color w:val="auto"/>
              </w:rPr>
            </w:pPr>
          </w:p>
        </w:tc>
        <w:tc>
          <w:tcPr>
            <w:tcW w:w="1280" w:type="dxa"/>
            <w:vAlign w:val="bottom"/>
            <w:tcBorders>
              <w:bottom w:val="single" w:sz="8" w:color="auto"/>
            </w:tcBorders>
            <w:shd w:val="clear" w:color="auto" w:fill="97AAD0"/>
          </w:tcPr>
          <w:p>
            <w:pPr>
              <w:jc w:val="right"/>
              <w:ind w:right="473"/>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shd w:val="clear" w:color="auto" w:fill="97AAD0"/>
          </w:tcPr>
          <w:p>
            <w:pPr>
              <w:spacing w:after="0"/>
              <w:rPr>
                <w:sz w:val="19"/>
                <w:szCs w:val="19"/>
                <w:color w:val="auto"/>
              </w:rPr>
            </w:pPr>
          </w:p>
        </w:tc>
        <w:tc>
          <w:tcPr>
            <w:tcW w:w="380" w:type="dxa"/>
            <w:vAlign w:val="bottom"/>
            <w:tcBorders>
              <w:bottom w:val="single" w:sz="8" w:color="auto"/>
            </w:tcBorders>
            <w:shd w:val="clear" w:color="auto" w:fill="97AAD0"/>
          </w:tcPr>
          <w:p>
            <w:pPr>
              <w:spacing w:after="0"/>
              <w:rPr>
                <w:sz w:val="19"/>
                <w:szCs w:val="19"/>
                <w:color w:val="auto"/>
              </w:rPr>
            </w:pPr>
          </w:p>
        </w:tc>
        <w:tc>
          <w:tcPr>
            <w:tcW w:w="100" w:type="dxa"/>
            <w:vAlign w:val="bottom"/>
            <w:tcBorders>
              <w:bottom w:val="single" w:sz="8" w:color="auto"/>
            </w:tcBorders>
            <w:shd w:val="clear" w:color="auto" w:fill="97AAD0"/>
          </w:tcPr>
          <w:p>
            <w:pPr>
              <w:spacing w:after="0"/>
              <w:rPr>
                <w:sz w:val="19"/>
                <w:szCs w:val="19"/>
                <w:color w:val="auto"/>
              </w:rPr>
            </w:pPr>
          </w:p>
        </w:tc>
        <w:tc>
          <w:tcPr>
            <w:tcW w:w="780" w:type="dxa"/>
            <w:vAlign w:val="bottom"/>
            <w:tcBorders>
              <w:bottom w:val="single" w:sz="8" w:color="auto"/>
            </w:tcBorders>
            <w:shd w:val="clear" w:color="auto" w:fill="97AAD0"/>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shd w:val="clear" w:color="auto" w:fill="97AAD0"/>
          </w:tcPr>
          <w:p>
            <w:pPr>
              <w:spacing w:after="0"/>
              <w:rPr>
                <w:sz w:val="19"/>
                <w:szCs w:val="19"/>
                <w:color w:val="auto"/>
              </w:rPr>
            </w:pPr>
          </w:p>
        </w:tc>
        <w:tc>
          <w:tcPr>
            <w:tcW w:w="380" w:type="dxa"/>
            <w:vAlign w:val="bottom"/>
            <w:tcBorders>
              <w:bottom w:val="single" w:sz="8" w:color="auto"/>
            </w:tcBorders>
            <w:shd w:val="clear" w:color="auto" w:fill="97AAD0"/>
          </w:tcPr>
          <w:p>
            <w:pPr>
              <w:spacing w:after="0"/>
              <w:rPr>
                <w:sz w:val="19"/>
                <w:szCs w:val="19"/>
                <w:color w:val="auto"/>
              </w:rPr>
            </w:pPr>
          </w:p>
        </w:tc>
        <w:tc>
          <w:tcPr>
            <w:tcW w:w="1000" w:type="dxa"/>
            <w:vAlign w:val="bottom"/>
            <w:tcBorders>
              <w:bottom w:val="single" w:sz="8" w:color="auto"/>
            </w:tcBorders>
            <w:shd w:val="clear" w:color="auto" w:fill="97AAD0"/>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7"/>
        </w:trPr>
        <w:tc>
          <w:tcPr>
            <w:tcW w:w="432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color w:val="auto"/>
              </w:rPr>
              <w:t>Discount rate</w:t>
            </w:r>
          </w:p>
        </w:tc>
        <w:tc>
          <w:tcPr>
            <w:tcW w:w="860" w:type="dxa"/>
            <w:vAlign w:val="bottom"/>
            <w:shd w:val="clear" w:color="auto" w:fill="E5E9F3"/>
          </w:tcPr>
          <w:p>
            <w:pPr>
              <w:spacing w:after="0"/>
              <w:rPr>
                <w:sz w:val="17"/>
                <w:szCs w:val="17"/>
                <w:color w:val="auto"/>
              </w:rPr>
            </w:pPr>
          </w:p>
        </w:tc>
        <w:tc>
          <w:tcPr>
            <w:tcW w:w="220" w:type="dxa"/>
            <w:vAlign w:val="bottom"/>
            <w:shd w:val="clear" w:color="auto" w:fill="E5E9F3"/>
          </w:tcPr>
          <w:p>
            <w:pPr>
              <w:spacing w:after="0"/>
              <w:rPr>
                <w:sz w:val="17"/>
                <w:szCs w:val="17"/>
                <w:color w:val="auto"/>
              </w:rPr>
            </w:pPr>
          </w:p>
        </w:tc>
        <w:tc>
          <w:tcPr>
            <w:tcW w:w="1280" w:type="dxa"/>
            <w:vAlign w:val="bottom"/>
            <w:shd w:val="clear" w:color="auto" w:fill="E5E9F3"/>
          </w:tcPr>
          <w:p>
            <w:pPr>
              <w:jc w:val="right"/>
              <w:spacing w:after="0" w:line="197" w:lineRule="exact"/>
              <w:rPr>
                <w:sz w:val="20"/>
                <w:szCs w:val="20"/>
                <w:color w:val="auto"/>
              </w:rPr>
            </w:pPr>
            <w:r>
              <w:rPr>
                <w:rFonts w:ascii="Arial" w:cs="Arial" w:eastAsia="Arial" w:hAnsi="Arial"/>
                <w:sz w:val="18"/>
                <w:szCs w:val="18"/>
                <w:color w:val="auto"/>
              </w:rPr>
              <w:t>5.5%</w:t>
            </w:r>
          </w:p>
        </w:tc>
        <w:tc>
          <w:tcPr>
            <w:tcW w:w="880" w:type="dxa"/>
            <w:vAlign w:val="bottom"/>
            <w:shd w:val="clear" w:color="auto" w:fill="E5E9F3"/>
          </w:tcPr>
          <w:p>
            <w:pPr>
              <w:spacing w:after="0"/>
              <w:rPr>
                <w:sz w:val="17"/>
                <w:szCs w:val="17"/>
                <w:color w:val="auto"/>
              </w:rPr>
            </w:pPr>
          </w:p>
        </w:tc>
        <w:tc>
          <w:tcPr>
            <w:tcW w:w="480" w:type="dxa"/>
            <w:vAlign w:val="bottom"/>
            <w:gridSpan w:val="2"/>
            <w:shd w:val="clear" w:color="auto" w:fill="E5E9F3"/>
          </w:tcPr>
          <w:p>
            <w:pPr>
              <w:jc w:val="right"/>
              <w:spacing w:after="0" w:line="197" w:lineRule="exact"/>
              <w:rPr>
                <w:sz w:val="20"/>
                <w:szCs w:val="20"/>
                <w:color w:val="auto"/>
              </w:rPr>
            </w:pPr>
            <w:r>
              <w:rPr>
                <w:rFonts w:ascii="Arial" w:cs="Arial" w:eastAsia="Arial" w:hAnsi="Arial"/>
                <w:sz w:val="18"/>
                <w:szCs w:val="18"/>
                <w:color w:val="auto"/>
              </w:rPr>
              <w:t>5.2%</w:t>
            </w:r>
          </w:p>
        </w:tc>
        <w:tc>
          <w:tcPr>
            <w:tcW w:w="100" w:type="dxa"/>
            <w:vAlign w:val="bottom"/>
            <w:shd w:val="clear" w:color="auto" w:fill="E5E9F3"/>
          </w:tcPr>
          <w:p>
            <w:pPr>
              <w:spacing w:after="0"/>
              <w:rPr>
                <w:sz w:val="17"/>
                <w:szCs w:val="17"/>
                <w:color w:val="auto"/>
              </w:rPr>
            </w:pPr>
          </w:p>
        </w:tc>
        <w:tc>
          <w:tcPr>
            <w:tcW w:w="780" w:type="dxa"/>
            <w:vAlign w:val="bottom"/>
            <w:shd w:val="clear" w:color="auto" w:fill="E5E9F3"/>
          </w:tcPr>
          <w:p>
            <w:pPr>
              <w:spacing w:after="0"/>
              <w:rPr>
                <w:sz w:val="17"/>
                <w:szCs w:val="17"/>
                <w:color w:val="auto"/>
              </w:rPr>
            </w:pPr>
          </w:p>
        </w:tc>
        <w:tc>
          <w:tcPr>
            <w:tcW w:w="500" w:type="dxa"/>
            <w:vAlign w:val="bottom"/>
            <w:shd w:val="clear" w:color="auto" w:fill="E5E9F3"/>
          </w:tcPr>
          <w:p>
            <w:pPr>
              <w:ind w:left="60"/>
              <w:spacing w:after="0" w:line="197" w:lineRule="exact"/>
              <w:rPr>
                <w:sz w:val="20"/>
                <w:szCs w:val="20"/>
                <w:color w:val="auto"/>
              </w:rPr>
            </w:pPr>
            <w:r>
              <w:rPr>
                <w:rFonts w:ascii="Arial" w:cs="Arial" w:eastAsia="Arial" w:hAnsi="Arial"/>
                <w:sz w:val="18"/>
                <w:szCs w:val="18"/>
                <w:color w:val="auto"/>
              </w:rPr>
              <w:t>2.7%</w:t>
            </w:r>
          </w:p>
        </w:tc>
        <w:tc>
          <w:tcPr>
            <w:tcW w:w="380" w:type="dxa"/>
            <w:vAlign w:val="bottom"/>
            <w:shd w:val="clear" w:color="auto" w:fill="E5E9F3"/>
          </w:tcPr>
          <w:p>
            <w:pPr>
              <w:spacing w:after="0"/>
              <w:rPr>
                <w:sz w:val="17"/>
                <w:szCs w:val="17"/>
                <w:color w:val="auto"/>
              </w:rPr>
            </w:pPr>
          </w:p>
        </w:tc>
        <w:tc>
          <w:tcPr>
            <w:tcW w:w="1000" w:type="dxa"/>
            <w:vAlign w:val="bottom"/>
            <w:shd w:val="clear" w:color="auto" w:fill="E5E9F3"/>
          </w:tcPr>
          <w:p>
            <w:pPr>
              <w:jc w:val="right"/>
              <w:spacing w:after="0" w:line="197"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7"/>
        </w:trPr>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Rate of compensation increase</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80"/>
        </w:trPr>
        <w:tc>
          <w:tcPr>
            <w:tcW w:w="9800" w:type="dxa"/>
            <w:vAlign w:val="bottom"/>
            <w:gridSpan w:val="11"/>
          </w:tcPr>
          <w:p>
            <w:pPr>
              <w:spacing w:after="0"/>
              <w:rPr>
                <w:sz w:val="20"/>
                <w:szCs w:val="20"/>
                <w:color w:val="auto"/>
              </w:rPr>
            </w:pPr>
            <w:r>
              <w:rPr>
                <w:rFonts w:ascii="Arial" w:cs="Arial" w:eastAsia="Arial" w:hAnsi="Arial"/>
                <w:sz w:val="20"/>
                <w:szCs w:val="20"/>
                <w:color w:val="auto"/>
              </w:rPr>
              <w:t>The weighted-average assumptions used in the measurement of the net periodic benefit cost were as follows: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320" w:type="dxa"/>
            <w:vAlign w:val="bottom"/>
            <w:tcBorders>
              <w:bottom w:val="single" w:sz="8" w:color="97AAD0"/>
            </w:tcBorders>
            <w:shd w:val="clear" w:color="auto" w:fill="97AAD0"/>
          </w:tcPr>
          <w:p>
            <w:pPr>
              <w:spacing w:after="0"/>
              <w:rPr>
                <w:sz w:val="17"/>
                <w:szCs w:val="17"/>
                <w:color w:val="auto"/>
              </w:rPr>
            </w:pPr>
          </w:p>
        </w:tc>
        <w:tc>
          <w:tcPr>
            <w:tcW w:w="2360" w:type="dxa"/>
            <w:vAlign w:val="bottom"/>
            <w:tcBorders>
              <w:bottom w:val="single" w:sz="8" w:color="auto"/>
            </w:tcBorders>
            <w:gridSpan w:val="3"/>
            <w:shd w:val="clear" w:color="auto" w:fill="97AAD0"/>
          </w:tcPr>
          <w:p>
            <w:pPr>
              <w:jc w:val="right"/>
              <w:spacing w:after="0"/>
              <w:rPr>
                <w:sz w:val="20"/>
                <w:szCs w:val="20"/>
                <w:color w:val="auto"/>
              </w:rPr>
            </w:pPr>
            <w:r>
              <w:rPr>
                <w:rFonts w:ascii="Arial" w:cs="Arial" w:eastAsia="Arial" w:hAnsi="Arial"/>
                <w:sz w:val="16"/>
                <w:szCs w:val="16"/>
                <w:b w:val="1"/>
                <w:bCs w:val="1"/>
                <w:color w:val="auto"/>
              </w:rPr>
              <w:t>United States Plans</w:t>
            </w:r>
          </w:p>
        </w:tc>
        <w:tc>
          <w:tcPr>
            <w:tcW w:w="880" w:type="dxa"/>
            <w:vAlign w:val="bottom"/>
            <w:tcBorders>
              <w:bottom w:val="single" w:sz="8" w:color="auto"/>
            </w:tcBorders>
            <w:shd w:val="clear" w:color="auto" w:fill="97AAD0"/>
          </w:tcPr>
          <w:p>
            <w:pPr>
              <w:spacing w:after="0"/>
              <w:rPr>
                <w:sz w:val="17"/>
                <w:szCs w:val="17"/>
                <w:color w:val="auto"/>
              </w:rPr>
            </w:pPr>
          </w:p>
        </w:tc>
        <w:tc>
          <w:tcPr>
            <w:tcW w:w="100" w:type="dxa"/>
            <w:vAlign w:val="bottom"/>
            <w:tcBorders>
              <w:bottom w:val="single" w:sz="8" w:color="97AAD0"/>
            </w:tcBorders>
            <w:shd w:val="clear" w:color="auto" w:fill="97AAD0"/>
          </w:tcPr>
          <w:p>
            <w:pPr>
              <w:spacing w:after="0"/>
              <w:rPr>
                <w:sz w:val="17"/>
                <w:szCs w:val="17"/>
                <w:color w:val="auto"/>
              </w:rPr>
            </w:pPr>
          </w:p>
        </w:tc>
        <w:tc>
          <w:tcPr>
            <w:tcW w:w="380" w:type="dxa"/>
            <w:vAlign w:val="bottom"/>
            <w:tcBorders>
              <w:bottom w:val="single" w:sz="8" w:color="auto"/>
            </w:tcBorders>
            <w:shd w:val="clear" w:color="auto" w:fill="97AAD0"/>
          </w:tcPr>
          <w:p>
            <w:pPr>
              <w:spacing w:after="0"/>
              <w:rPr>
                <w:sz w:val="17"/>
                <w:szCs w:val="17"/>
                <w:color w:val="auto"/>
              </w:rPr>
            </w:pPr>
          </w:p>
        </w:tc>
        <w:tc>
          <w:tcPr>
            <w:tcW w:w="100" w:type="dxa"/>
            <w:vAlign w:val="bottom"/>
            <w:tcBorders>
              <w:bottom w:val="single" w:sz="8" w:color="auto"/>
            </w:tcBorders>
            <w:shd w:val="clear" w:color="auto" w:fill="97AAD0"/>
          </w:tcPr>
          <w:p>
            <w:pPr>
              <w:spacing w:after="0"/>
              <w:rPr>
                <w:sz w:val="17"/>
                <w:szCs w:val="17"/>
                <w:color w:val="auto"/>
              </w:rPr>
            </w:pPr>
          </w:p>
        </w:tc>
        <w:tc>
          <w:tcPr>
            <w:tcW w:w="2660" w:type="dxa"/>
            <w:vAlign w:val="bottom"/>
            <w:tcBorders>
              <w:bottom w:val="single" w:sz="8" w:color="auto"/>
            </w:tcBorders>
            <w:gridSpan w:val="4"/>
            <w:shd w:val="clear" w:color="auto" w:fill="97AAD0"/>
          </w:tcPr>
          <w:p>
            <w:pPr>
              <w:jc w:val="right"/>
              <w:ind w:right="653"/>
              <w:spacing w:after="0"/>
              <w:rPr>
                <w:sz w:val="20"/>
                <w:szCs w:val="20"/>
                <w:color w:val="auto"/>
              </w:rPr>
            </w:pPr>
            <w:r>
              <w:rPr>
                <w:rFonts w:ascii="Arial" w:cs="Arial" w:eastAsia="Arial" w:hAnsi="Arial"/>
                <w:sz w:val="16"/>
                <w:szCs w:val="16"/>
                <w:b w:val="1"/>
                <w:bCs w:val="1"/>
                <w:color w:val="auto"/>
              </w:rPr>
              <w:t>Non-United States Plans</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vMerge w:val="restart"/>
            <w:shd w:val="clear" w:color="auto" w:fill="97AAD0"/>
          </w:tcPr>
          <w:p>
            <w:pPr>
              <w:jc w:val="right"/>
              <w:ind w:right="173"/>
              <w:spacing w:after="0"/>
              <w:rPr>
                <w:sz w:val="20"/>
                <w:szCs w:val="20"/>
                <w:color w:val="auto"/>
              </w:rPr>
            </w:pPr>
            <w:r>
              <w:rPr>
                <w:rFonts w:ascii="Arial" w:cs="Arial" w:eastAsia="Arial" w:hAnsi="Arial"/>
                <w:sz w:val="16"/>
                <w:szCs w:val="16"/>
                <w:b w:val="1"/>
                <w:bCs w:val="1"/>
                <w:color w:val="auto"/>
              </w:rPr>
              <w:t>2024</w:t>
            </w:r>
          </w:p>
        </w:tc>
        <w:tc>
          <w:tcPr>
            <w:tcW w:w="220" w:type="dxa"/>
            <w:vAlign w:val="bottom"/>
            <w:shd w:val="clear" w:color="auto" w:fill="97AAD0"/>
          </w:tcPr>
          <w:p>
            <w:pPr>
              <w:spacing w:after="0" w:line="20" w:lineRule="exact"/>
              <w:rPr>
                <w:sz w:val="1"/>
                <w:szCs w:val="1"/>
                <w:color w:val="auto"/>
              </w:rPr>
            </w:pPr>
          </w:p>
        </w:tc>
        <w:tc>
          <w:tcPr>
            <w:tcW w:w="1280" w:type="dxa"/>
            <w:vAlign w:val="bottom"/>
            <w:vMerge w:val="restart"/>
            <w:shd w:val="clear" w:color="auto" w:fill="97AAD0"/>
          </w:tcPr>
          <w:p>
            <w:pPr>
              <w:jc w:val="right"/>
              <w:ind w:right="553"/>
              <w:spacing w:after="0"/>
              <w:rPr>
                <w:sz w:val="20"/>
                <w:szCs w:val="20"/>
                <w:color w:val="auto"/>
              </w:rPr>
            </w:pPr>
            <w:r>
              <w:rPr>
                <w:rFonts w:ascii="Arial" w:cs="Arial" w:eastAsia="Arial" w:hAnsi="Arial"/>
                <w:sz w:val="16"/>
                <w:szCs w:val="16"/>
                <w:b w:val="1"/>
                <w:bCs w:val="1"/>
                <w:color w:val="auto"/>
              </w:rPr>
              <w:t>2023</w:t>
            </w:r>
          </w:p>
        </w:tc>
        <w:tc>
          <w:tcPr>
            <w:tcW w:w="880" w:type="dxa"/>
            <w:vAlign w:val="bottom"/>
            <w:vMerge w:val="restart"/>
            <w:shd w:val="clear" w:color="auto" w:fill="97AAD0"/>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97AAD0"/>
          </w:tcPr>
          <w:p>
            <w:pPr>
              <w:spacing w:after="0" w:line="20" w:lineRule="exact"/>
              <w:rPr>
                <w:sz w:val="1"/>
                <w:szCs w:val="1"/>
                <w:color w:val="auto"/>
              </w:rPr>
            </w:pPr>
          </w:p>
        </w:tc>
        <w:tc>
          <w:tcPr>
            <w:tcW w:w="1260" w:type="dxa"/>
            <w:vAlign w:val="bottom"/>
            <w:gridSpan w:val="3"/>
            <w:vMerge w:val="restart"/>
            <w:shd w:val="clear" w:color="auto" w:fill="97AAD0"/>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500" w:type="dxa"/>
            <w:vAlign w:val="bottom"/>
            <w:vMerge w:val="restart"/>
            <w:shd w:val="clear" w:color="auto" w:fill="97AAD0"/>
          </w:tcPr>
          <w:p>
            <w:pPr>
              <w:ind w:left="60"/>
              <w:spacing w:after="0"/>
              <w:rPr>
                <w:sz w:val="20"/>
                <w:szCs w:val="20"/>
                <w:color w:val="auto"/>
              </w:rPr>
            </w:pPr>
            <w:r>
              <w:rPr>
                <w:rFonts w:ascii="Arial" w:cs="Arial" w:eastAsia="Arial" w:hAnsi="Arial"/>
                <w:sz w:val="16"/>
                <w:szCs w:val="16"/>
                <w:b w:val="1"/>
                <w:bCs w:val="1"/>
                <w:color w:val="auto"/>
              </w:rPr>
              <w:t>2023</w:t>
            </w:r>
          </w:p>
        </w:tc>
        <w:tc>
          <w:tcPr>
            <w:tcW w:w="380" w:type="dxa"/>
            <w:vAlign w:val="bottom"/>
            <w:shd w:val="clear" w:color="auto" w:fill="97AAD0"/>
          </w:tcPr>
          <w:p>
            <w:pPr>
              <w:spacing w:after="0" w:line="20" w:lineRule="exact"/>
              <w:rPr>
                <w:sz w:val="1"/>
                <w:szCs w:val="1"/>
                <w:color w:val="auto"/>
              </w:rPr>
            </w:pPr>
          </w:p>
        </w:tc>
        <w:tc>
          <w:tcPr>
            <w:tcW w:w="1000" w:type="dxa"/>
            <w:vAlign w:val="bottom"/>
            <w:vMerge w:val="restart"/>
            <w:shd w:val="clear" w:color="auto" w:fill="97AAD0"/>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00"/>
        </w:trPr>
        <w:tc>
          <w:tcPr>
            <w:tcW w:w="4320" w:type="dxa"/>
            <w:vAlign w:val="bottom"/>
            <w:tcBorders>
              <w:bottom w:val="single" w:sz="8" w:color="97AAD0"/>
            </w:tcBorders>
            <w:vMerge w:val="continue"/>
            <w:shd w:val="clear" w:color="auto" w:fill="97AAD0"/>
          </w:tcPr>
          <w:p>
            <w:pPr>
              <w:spacing w:after="0"/>
              <w:rPr>
                <w:sz w:val="17"/>
                <w:szCs w:val="17"/>
                <w:color w:val="auto"/>
              </w:rPr>
            </w:pPr>
          </w:p>
        </w:tc>
        <w:tc>
          <w:tcPr>
            <w:tcW w:w="860" w:type="dxa"/>
            <w:vAlign w:val="bottom"/>
            <w:tcBorders>
              <w:bottom w:val="single" w:sz="8" w:color="97AAD0"/>
            </w:tcBorders>
            <w:vMerge w:val="continue"/>
            <w:shd w:val="clear" w:color="auto" w:fill="97AAD0"/>
          </w:tcPr>
          <w:p>
            <w:pPr>
              <w:spacing w:after="0"/>
              <w:rPr>
                <w:sz w:val="17"/>
                <w:szCs w:val="17"/>
                <w:color w:val="auto"/>
              </w:rPr>
            </w:pPr>
          </w:p>
        </w:tc>
        <w:tc>
          <w:tcPr>
            <w:tcW w:w="220" w:type="dxa"/>
            <w:vAlign w:val="bottom"/>
            <w:tcBorders>
              <w:bottom w:val="single" w:sz="8" w:color="97AAD0"/>
            </w:tcBorders>
            <w:shd w:val="clear" w:color="auto" w:fill="97AAD0"/>
          </w:tcPr>
          <w:p>
            <w:pPr>
              <w:spacing w:after="0"/>
              <w:rPr>
                <w:sz w:val="17"/>
                <w:szCs w:val="17"/>
                <w:color w:val="auto"/>
              </w:rPr>
            </w:pPr>
          </w:p>
        </w:tc>
        <w:tc>
          <w:tcPr>
            <w:tcW w:w="1280" w:type="dxa"/>
            <w:vAlign w:val="bottom"/>
            <w:tcBorders>
              <w:bottom w:val="single" w:sz="8" w:color="97AAD0"/>
            </w:tcBorders>
            <w:vMerge w:val="continue"/>
            <w:shd w:val="clear" w:color="auto" w:fill="97AAD0"/>
          </w:tcPr>
          <w:p>
            <w:pPr>
              <w:spacing w:after="0"/>
              <w:rPr>
                <w:sz w:val="17"/>
                <w:szCs w:val="17"/>
                <w:color w:val="auto"/>
              </w:rPr>
            </w:pPr>
          </w:p>
        </w:tc>
        <w:tc>
          <w:tcPr>
            <w:tcW w:w="880" w:type="dxa"/>
            <w:vAlign w:val="bottom"/>
            <w:tcBorders>
              <w:bottom w:val="single" w:sz="8" w:color="97AAD0"/>
            </w:tcBorders>
            <w:vMerge w:val="continue"/>
            <w:shd w:val="clear" w:color="auto" w:fill="97AAD0"/>
          </w:tcPr>
          <w:p>
            <w:pPr>
              <w:spacing w:after="0"/>
              <w:rPr>
                <w:sz w:val="17"/>
                <w:szCs w:val="17"/>
                <w:color w:val="auto"/>
              </w:rPr>
            </w:pPr>
          </w:p>
        </w:tc>
        <w:tc>
          <w:tcPr>
            <w:tcW w:w="100" w:type="dxa"/>
            <w:vAlign w:val="bottom"/>
            <w:tcBorders>
              <w:bottom w:val="single" w:sz="8" w:color="97AAD0"/>
            </w:tcBorders>
            <w:shd w:val="clear" w:color="auto" w:fill="97AAD0"/>
          </w:tcPr>
          <w:p>
            <w:pPr>
              <w:spacing w:after="0"/>
              <w:rPr>
                <w:sz w:val="17"/>
                <w:szCs w:val="17"/>
                <w:color w:val="auto"/>
              </w:rPr>
            </w:pPr>
          </w:p>
        </w:tc>
        <w:tc>
          <w:tcPr>
            <w:tcW w:w="1260" w:type="dxa"/>
            <w:vAlign w:val="bottom"/>
            <w:tcBorders>
              <w:bottom w:val="single" w:sz="8" w:color="97AAD0"/>
            </w:tcBorders>
            <w:gridSpan w:val="3"/>
            <w:vMerge w:val="continue"/>
            <w:shd w:val="clear" w:color="auto" w:fill="97AAD0"/>
          </w:tcPr>
          <w:p>
            <w:pPr>
              <w:spacing w:after="0"/>
              <w:rPr>
                <w:sz w:val="17"/>
                <w:szCs w:val="17"/>
                <w:color w:val="auto"/>
              </w:rPr>
            </w:pPr>
          </w:p>
        </w:tc>
        <w:tc>
          <w:tcPr>
            <w:tcW w:w="500" w:type="dxa"/>
            <w:vAlign w:val="bottom"/>
            <w:tcBorders>
              <w:bottom w:val="single" w:sz="8" w:color="97AAD0"/>
            </w:tcBorders>
            <w:vMerge w:val="continue"/>
            <w:shd w:val="clear" w:color="auto" w:fill="97AAD0"/>
          </w:tcPr>
          <w:p>
            <w:pPr>
              <w:spacing w:after="0"/>
              <w:rPr>
                <w:sz w:val="17"/>
                <w:szCs w:val="17"/>
                <w:color w:val="auto"/>
              </w:rPr>
            </w:pPr>
          </w:p>
        </w:tc>
        <w:tc>
          <w:tcPr>
            <w:tcW w:w="380" w:type="dxa"/>
            <w:vAlign w:val="bottom"/>
            <w:tcBorders>
              <w:bottom w:val="single" w:sz="8" w:color="97AAD0"/>
            </w:tcBorders>
            <w:shd w:val="clear" w:color="auto" w:fill="97AAD0"/>
          </w:tcPr>
          <w:p>
            <w:pPr>
              <w:spacing w:after="0"/>
              <w:rPr>
                <w:sz w:val="17"/>
                <w:szCs w:val="17"/>
                <w:color w:val="auto"/>
              </w:rPr>
            </w:pPr>
          </w:p>
        </w:tc>
        <w:tc>
          <w:tcPr>
            <w:tcW w:w="1000" w:type="dxa"/>
            <w:vAlign w:val="bottom"/>
            <w:tcBorders>
              <w:bottom w:val="single" w:sz="8" w:color="97AAD0"/>
            </w:tcBorders>
            <w:vMerge w:val="continue"/>
            <w:shd w:val="clear" w:color="auto" w:fill="97AAD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18"/>
                <w:szCs w:val="18"/>
                <w:color w:val="auto"/>
              </w:rPr>
              <w:t>Discount rate</w:t>
            </w:r>
          </w:p>
        </w:tc>
        <w:tc>
          <w:tcPr>
            <w:tcW w:w="1080" w:type="dxa"/>
            <w:vAlign w:val="bottom"/>
            <w:tcBorders>
              <w:top w:val="single" w:sz="8" w:color="auto"/>
            </w:tcBorders>
            <w:gridSpan w:val="2"/>
          </w:tcPr>
          <w:p>
            <w:pPr>
              <w:jc w:val="right"/>
              <w:ind w:right="60"/>
              <w:spacing w:after="0" w:line="197" w:lineRule="exact"/>
              <w:rPr>
                <w:sz w:val="20"/>
                <w:szCs w:val="20"/>
                <w:color w:val="auto"/>
              </w:rPr>
            </w:pPr>
            <w:r>
              <w:rPr>
                <w:rFonts w:ascii="Arial" w:cs="Arial" w:eastAsia="Arial" w:hAnsi="Arial"/>
                <w:sz w:val="18"/>
                <w:szCs w:val="18"/>
                <w:color w:val="auto"/>
              </w:rPr>
              <w:t>5.2%</w:t>
            </w:r>
          </w:p>
        </w:tc>
        <w:tc>
          <w:tcPr>
            <w:tcW w:w="1280" w:type="dxa"/>
            <w:vAlign w:val="bottom"/>
            <w:tcBorders>
              <w:top w:val="single" w:sz="8" w:color="auto"/>
            </w:tcBorders>
          </w:tcPr>
          <w:p>
            <w:pPr>
              <w:jc w:val="right"/>
              <w:ind w:right="153"/>
              <w:spacing w:after="0" w:line="197" w:lineRule="exact"/>
              <w:rPr>
                <w:sz w:val="20"/>
                <w:szCs w:val="20"/>
                <w:color w:val="auto"/>
              </w:rPr>
            </w:pPr>
            <w:r>
              <w:rPr>
                <w:rFonts w:ascii="Arial" w:cs="Arial" w:eastAsia="Arial" w:hAnsi="Arial"/>
                <w:sz w:val="18"/>
                <w:szCs w:val="18"/>
                <w:color w:val="auto"/>
              </w:rPr>
              <w:t>5.4%</w:t>
            </w:r>
          </w:p>
        </w:tc>
        <w:tc>
          <w:tcPr>
            <w:tcW w:w="8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2.6%</w:t>
            </w:r>
          </w:p>
        </w:tc>
        <w:tc>
          <w:tcPr>
            <w:tcW w:w="1360" w:type="dxa"/>
            <w:vAlign w:val="bottom"/>
            <w:tcBorders>
              <w:top w:val="single" w:sz="8" w:color="auto"/>
            </w:tcBorders>
            <w:gridSpan w:val="4"/>
          </w:tcPr>
          <w:p>
            <w:pPr>
              <w:jc w:val="right"/>
              <w:ind w:right="180"/>
              <w:spacing w:after="0" w:line="197" w:lineRule="exact"/>
              <w:rPr>
                <w:sz w:val="20"/>
                <w:szCs w:val="20"/>
                <w:color w:val="auto"/>
              </w:rPr>
            </w:pPr>
            <w:r>
              <w:rPr>
                <w:rFonts w:ascii="Arial" w:cs="Arial" w:eastAsia="Arial" w:hAnsi="Arial"/>
                <w:sz w:val="18"/>
                <w:szCs w:val="18"/>
                <w:color w:val="auto"/>
              </w:rPr>
              <w:t>2.7%</w:t>
            </w:r>
          </w:p>
        </w:tc>
        <w:tc>
          <w:tcPr>
            <w:tcW w:w="880" w:type="dxa"/>
            <w:vAlign w:val="bottom"/>
            <w:tcBorders>
              <w:top w:val="single" w:sz="8" w:color="auto"/>
            </w:tcBorders>
            <w:gridSpan w:val="2"/>
          </w:tcPr>
          <w:p>
            <w:pPr>
              <w:jc w:val="right"/>
              <w:ind w:right="80"/>
              <w:spacing w:after="0" w:line="197" w:lineRule="exact"/>
              <w:rPr>
                <w:sz w:val="20"/>
                <w:szCs w:val="20"/>
                <w:color w:val="auto"/>
              </w:rPr>
            </w:pPr>
            <w:r>
              <w:rPr>
                <w:rFonts w:ascii="Arial" w:cs="Arial" w:eastAsia="Arial" w:hAnsi="Arial"/>
                <w:sz w:val="18"/>
                <w:szCs w:val="18"/>
                <w:color w:val="auto"/>
              </w:rPr>
              <w:t>3.2%</w:t>
            </w:r>
          </w:p>
        </w:tc>
        <w:tc>
          <w:tcPr>
            <w:tcW w:w="100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7"/>
        </w:trPr>
        <w:tc>
          <w:tcPr>
            <w:tcW w:w="4320" w:type="dxa"/>
            <w:vAlign w:val="bottom"/>
          </w:tcPr>
          <w:p>
            <w:pPr>
              <w:ind w:left="100"/>
              <w:spacing w:after="0"/>
              <w:rPr>
                <w:sz w:val="20"/>
                <w:szCs w:val="20"/>
                <w:color w:val="auto"/>
              </w:rPr>
            </w:pPr>
            <w:r>
              <w:rPr>
                <w:rFonts w:ascii="Arial" w:cs="Arial" w:eastAsia="Arial" w:hAnsi="Arial"/>
                <w:sz w:val="18"/>
                <w:szCs w:val="18"/>
                <w:color w:val="auto"/>
              </w:rPr>
              <w:t>Expected long-term return on plan assets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280" w:type="dxa"/>
            <w:vAlign w:val="bottom"/>
          </w:tcPr>
          <w:p>
            <w:pPr>
              <w:jc w:val="right"/>
              <w:ind w:right="313"/>
              <w:spacing w:after="0"/>
              <w:rPr>
                <w:sz w:val="20"/>
                <w:szCs w:val="20"/>
                <w:color w:val="auto"/>
              </w:rPr>
            </w:pPr>
            <w:r>
              <w:rPr>
                <w:rFonts w:ascii="Arial" w:cs="Arial" w:eastAsia="Arial" w:hAnsi="Arial"/>
                <w:sz w:val="18"/>
                <w:szCs w:val="18"/>
                <w:color w:val="auto"/>
              </w:rPr>
              <w:t>N/A</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N/A</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7"/>
        </w:trPr>
        <w:tc>
          <w:tcPr>
            <w:tcW w:w="4320" w:type="dxa"/>
            <w:vAlign w:val="bottom"/>
          </w:tcPr>
          <w:p>
            <w:pPr>
              <w:ind w:left="100"/>
              <w:spacing w:after="0"/>
              <w:rPr>
                <w:sz w:val="20"/>
                <w:szCs w:val="20"/>
                <w:color w:val="auto"/>
              </w:rPr>
            </w:pPr>
            <w:r>
              <w:rPr>
                <w:rFonts w:ascii="Arial" w:cs="Arial" w:eastAsia="Arial" w:hAnsi="Arial"/>
                <w:sz w:val="18"/>
                <w:szCs w:val="18"/>
                <w:color w:val="auto"/>
              </w:rPr>
              <w:t>Rate of compensation increase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7"/>
        </w:trPr>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Interest crediting rates for cash balance plans</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N/A</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-531495</wp:posOffset>
                </wp:positionV>
                <wp:extent cx="3286760" cy="13144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760" cy="131445"/>
                        </a:xfrm>
                        <a:prstGeom prst="rect">
                          <a:avLst/>
                        </a:prstGeom>
                        <a:solidFill>
                          <a:srgbClr val="E5E9F3"/>
                        </a:solidFill>
                      </wps:spPr>
                      <wps:bodyPr/>
                    </wps:wsp>
                  </a:graphicData>
                </a:graphic>
              </wp:anchor>
            </w:drawing>
          </mc:Choice>
          <mc:Fallback>
            <w:pict>
              <v:rect id="Shape 108" o:spid="_x0000_s1133" style="position:absolute;margin-left:0pt;margin-top:-41.8499pt;width:258.8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mc:AlternateContent>
          <mc:Choice Requires="wps">
            <w:drawing>
              <wp:anchor simplePos="0" relativeHeight="251657728" behindDoc="1" locked="0" layoutInCell="0" allowOverlap="1">
                <wp:simplePos x="0" y="0"/>
                <wp:positionH relativeFrom="column">
                  <wp:posOffset>3286760</wp:posOffset>
                </wp:positionH>
                <wp:positionV relativeFrom="paragraph">
                  <wp:posOffset>-531495</wp:posOffset>
                </wp:positionV>
                <wp:extent cx="3571240" cy="13144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1240" cy="131445"/>
                        </a:xfrm>
                        <a:prstGeom prst="rect">
                          <a:avLst/>
                        </a:prstGeom>
                        <a:solidFill>
                          <a:srgbClr val="E5E9F3"/>
                        </a:solidFill>
                      </wps:spPr>
                      <wps:bodyPr/>
                    </wps:wsp>
                  </a:graphicData>
                </a:graphic>
              </wp:anchor>
            </w:drawing>
          </mc:Choice>
          <mc:Fallback>
            <w:pict>
              <v:rect id="Shape 109" o:spid="_x0000_s1134" style="position:absolute;margin-left:258.8pt;margin-top:-41.8499pt;width:281.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-268605</wp:posOffset>
                </wp:positionV>
                <wp:extent cx="3286760" cy="13144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760" cy="131445"/>
                        </a:xfrm>
                        <a:prstGeom prst="rect">
                          <a:avLst/>
                        </a:prstGeom>
                        <a:solidFill>
                          <a:srgbClr val="E5E9F3"/>
                        </a:solidFill>
                      </wps:spPr>
                      <wps:bodyPr/>
                    </wps:wsp>
                  </a:graphicData>
                </a:graphic>
              </wp:anchor>
            </w:drawing>
          </mc:Choice>
          <mc:Fallback>
            <w:pict>
              <v:rect id="Shape 110" o:spid="_x0000_s1135" style="position:absolute;margin-left:0pt;margin-top:-21.1499pt;width:258.8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mc:AlternateContent>
          <mc:Choice Requires="wps">
            <w:drawing>
              <wp:anchor simplePos="0" relativeHeight="251657728" behindDoc="1" locked="0" layoutInCell="0" allowOverlap="1">
                <wp:simplePos x="0" y="0"/>
                <wp:positionH relativeFrom="column">
                  <wp:posOffset>3286760</wp:posOffset>
                </wp:positionH>
                <wp:positionV relativeFrom="paragraph">
                  <wp:posOffset>-268605</wp:posOffset>
                </wp:positionV>
                <wp:extent cx="3571240" cy="13144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1240" cy="131445"/>
                        </a:xfrm>
                        <a:prstGeom prst="rect">
                          <a:avLst/>
                        </a:prstGeom>
                        <a:solidFill>
                          <a:srgbClr val="E5E9F3"/>
                        </a:solidFill>
                      </wps:spPr>
                      <wps:bodyPr/>
                    </wps:wsp>
                  </a:graphicData>
                </a:graphic>
              </wp:anchor>
            </w:drawing>
          </mc:Choice>
          <mc:Fallback>
            <w:pict>
              <v:rect id="Shape 111" o:spid="_x0000_s1136" style="position:absolute;margin-left:258.8pt;margin-top:-21.1499pt;width:281.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9F3" stroked="f"/>
            </w:pict>
          </mc:Fallback>
        </mc:AlternateConten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determine our assumption for the discount rate based on an index of high-quality corporate bond yields and matched-funding yield curve analysis as of the end of each fiscal year.</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overall expected long-term rate of return used in the measurement of the 2024 net periodic benefit cost on non-United States plans varied by country and ranged from 2.3% to 5.0%.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 of our foreign plans. Peer data and historical returns are reviewed to check for reasonableness and appropriateness of our expected rate of return. None of our United States plans has plan assets.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Projected salary levels utilized in the determination of the projected benefit obligation for the pension plans are based upon historical experience and the future expectations for each respective country.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10800"/>
          </w:cols>
          <w:pgMar w:left="720" w:top="734" w:right="720" w:bottom="175" w:gutter="0" w:footer="0" w:header="0"/>
          <w:type w:val="continuous"/>
        </w:sectPr>
      </w:pPr>
    </w:p>
    <w:bookmarkStart w:id="82" w:name="page83"/>
    <w:bookmarkEnd w:id="8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2" o:spid="_x0000_s113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2024 allocations, are determined based on the favorable risk tolerance characteristics of the plan and, at times, may be adjusted within a specified range to advance our overall objective.</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our pension plan assets by asset category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Borders>
              <w:top w:val="single" w:sz="8" w:color="auto"/>
              <w:bottom w:val="single" w:sz="8" w:color="97AAD0"/>
            </w:tcBorders>
            <w:shd w:val="clear" w:color="auto" w:fill="97AAD0"/>
          </w:tcPr>
          <w:p>
            <w:pPr>
              <w:spacing w:after="0"/>
              <w:rPr>
                <w:sz w:val="18"/>
                <w:szCs w:val="18"/>
                <w:color w:val="auto"/>
              </w:rPr>
            </w:pPr>
          </w:p>
        </w:tc>
        <w:tc>
          <w:tcPr>
            <w:tcW w:w="1340" w:type="dxa"/>
            <w:vAlign w:val="bottom"/>
            <w:tcBorders>
              <w:top w:val="single" w:sz="8" w:color="auto"/>
              <w:bottom w:val="single" w:sz="8" w:color="97AAD0"/>
            </w:tcBorders>
            <w:shd w:val="clear" w:color="auto" w:fill="97AAD0"/>
          </w:tcPr>
          <w:p>
            <w:pPr>
              <w:spacing w:after="0"/>
              <w:rPr>
                <w:sz w:val="18"/>
                <w:szCs w:val="18"/>
                <w:color w:val="auto"/>
              </w:rPr>
            </w:pPr>
          </w:p>
        </w:tc>
        <w:tc>
          <w:tcPr>
            <w:tcW w:w="240" w:type="dxa"/>
            <w:vAlign w:val="bottom"/>
            <w:tcBorders>
              <w:top w:val="single" w:sz="8" w:color="auto"/>
              <w:bottom w:val="single" w:sz="8" w:color="auto"/>
            </w:tcBorders>
            <w:shd w:val="clear" w:color="auto" w:fill="97AAD0"/>
          </w:tcPr>
          <w:p>
            <w:pPr>
              <w:spacing w:after="0"/>
              <w:rPr>
                <w:sz w:val="18"/>
                <w:szCs w:val="18"/>
                <w:color w:val="auto"/>
              </w:rPr>
            </w:pPr>
          </w:p>
        </w:tc>
        <w:tc>
          <w:tcPr>
            <w:tcW w:w="1000" w:type="dxa"/>
            <w:vAlign w:val="bottom"/>
            <w:tcBorders>
              <w:top w:val="single" w:sz="8" w:color="auto"/>
              <w:bottom w:val="single" w:sz="8" w:color="auto"/>
            </w:tcBorders>
            <w:shd w:val="clear" w:color="auto" w:fill="97AAD0"/>
          </w:tcPr>
          <w:p>
            <w:pPr>
              <w:spacing w:after="0"/>
              <w:rPr>
                <w:sz w:val="18"/>
                <w:szCs w:val="18"/>
                <w:color w:val="auto"/>
              </w:rPr>
            </w:pPr>
          </w:p>
        </w:tc>
        <w:tc>
          <w:tcPr>
            <w:tcW w:w="2740" w:type="dxa"/>
            <w:vAlign w:val="bottom"/>
            <w:tcBorders>
              <w:top w:val="single" w:sz="8" w:color="auto"/>
              <w:bottom w:val="single" w:sz="8" w:color="auto"/>
            </w:tcBorders>
            <w:gridSpan w:val="4"/>
            <w:shd w:val="clear" w:color="auto" w:fill="97AAD0"/>
          </w:tcPr>
          <w:p>
            <w:pPr>
              <w:jc w:val="right"/>
              <w:ind w:right="73"/>
              <w:spacing w:after="0"/>
              <w:rPr>
                <w:sz w:val="20"/>
                <w:szCs w:val="20"/>
                <w:color w:val="auto"/>
              </w:rPr>
            </w:pPr>
            <w:r>
              <w:rPr>
                <w:rFonts w:ascii="Arial" w:cs="Arial" w:eastAsia="Arial" w:hAnsi="Arial"/>
                <w:sz w:val="16"/>
                <w:szCs w:val="16"/>
                <w:b w:val="1"/>
                <w:bCs w:val="1"/>
                <w:color w:val="auto"/>
              </w:rPr>
              <w:t>Fair Value Measurements Using</w:t>
            </w:r>
          </w:p>
        </w:tc>
        <w:tc>
          <w:tcPr>
            <w:tcW w:w="240" w:type="dxa"/>
            <w:vAlign w:val="bottom"/>
            <w:tcBorders>
              <w:top w:val="single" w:sz="8" w:color="auto"/>
              <w:bottom w:val="single" w:sz="8" w:color="auto"/>
            </w:tcBorders>
            <w:shd w:val="clear" w:color="auto" w:fill="97AAD0"/>
          </w:tcPr>
          <w:p>
            <w:pPr>
              <w:spacing w:after="0"/>
              <w:rPr>
                <w:sz w:val="18"/>
                <w:szCs w:val="18"/>
                <w:color w:val="auto"/>
              </w:rPr>
            </w:pPr>
          </w:p>
        </w:tc>
        <w:tc>
          <w:tcPr>
            <w:tcW w:w="1120" w:type="dxa"/>
            <w:vAlign w:val="bottom"/>
            <w:tcBorders>
              <w:top w:val="single" w:sz="8" w:color="auto"/>
              <w:bottom w:val="single" w:sz="8" w:color="auto"/>
            </w:tcBorders>
            <w:shd w:val="clear" w:color="auto" w:fill="97AAD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97AAD0"/>
          </w:tcPr>
          <w:p>
            <w:pPr>
              <w:spacing w:after="0" w:line="20" w:lineRule="exact"/>
              <w:rPr>
                <w:sz w:val="1"/>
                <w:szCs w:val="1"/>
                <w:color w:val="auto"/>
              </w:rPr>
            </w:pPr>
          </w:p>
        </w:tc>
        <w:tc>
          <w:tcPr>
            <w:tcW w:w="1340" w:type="dxa"/>
            <w:vAlign w:val="bottom"/>
            <w:shd w:val="clear" w:color="auto" w:fill="97AAD0"/>
          </w:tcPr>
          <w:p>
            <w:pPr>
              <w:spacing w:after="0" w:line="20" w:lineRule="exact"/>
              <w:rPr>
                <w:sz w:val="1"/>
                <w:szCs w:val="1"/>
                <w:color w:val="auto"/>
              </w:rPr>
            </w:pPr>
          </w:p>
        </w:tc>
        <w:tc>
          <w:tcPr>
            <w:tcW w:w="240" w:type="dxa"/>
            <w:vAlign w:val="bottom"/>
            <w:shd w:val="clear" w:color="auto" w:fill="97AAD0"/>
          </w:tcPr>
          <w:p>
            <w:pPr>
              <w:spacing w:after="0" w:line="20" w:lineRule="exact"/>
              <w:rPr>
                <w:sz w:val="1"/>
                <w:szCs w:val="1"/>
                <w:color w:val="auto"/>
              </w:rPr>
            </w:pPr>
          </w:p>
        </w:tc>
        <w:tc>
          <w:tcPr>
            <w:tcW w:w="1000" w:type="dxa"/>
            <w:vAlign w:val="bottom"/>
            <w:shd w:val="clear" w:color="auto" w:fill="97AAD0"/>
          </w:tcPr>
          <w:p>
            <w:pPr>
              <w:spacing w:after="0" w:line="20" w:lineRule="exact"/>
              <w:rPr>
                <w:sz w:val="1"/>
                <w:szCs w:val="1"/>
                <w:color w:val="auto"/>
              </w:rPr>
            </w:pPr>
          </w:p>
        </w:tc>
        <w:tc>
          <w:tcPr>
            <w:tcW w:w="1360" w:type="dxa"/>
            <w:vAlign w:val="bottom"/>
            <w:gridSpan w:val="2"/>
            <w:shd w:val="clear" w:color="auto" w:fill="97AAD0"/>
          </w:tcPr>
          <w:p>
            <w:pPr>
              <w:spacing w:after="0" w:line="20" w:lineRule="exact"/>
              <w:rPr>
                <w:sz w:val="1"/>
                <w:szCs w:val="1"/>
                <w:color w:val="auto"/>
              </w:rPr>
            </w:pPr>
          </w:p>
        </w:tc>
        <w:tc>
          <w:tcPr>
            <w:tcW w:w="240" w:type="dxa"/>
            <w:vAlign w:val="bottom"/>
            <w:shd w:val="clear" w:color="auto" w:fill="97AAD0"/>
          </w:tcPr>
          <w:p>
            <w:pPr>
              <w:spacing w:after="0" w:line="20" w:lineRule="exact"/>
              <w:rPr>
                <w:sz w:val="1"/>
                <w:szCs w:val="1"/>
                <w:color w:val="auto"/>
              </w:rPr>
            </w:pPr>
          </w:p>
        </w:tc>
        <w:tc>
          <w:tcPr>
            <w:tcW w:w="1140" w:type="dxa"/>
            <w:vAlign w:val="bottom"/>
            <w:shd w:val="clear" w:color="auto" w:fill="97AAD0"/>
          </w:tcPr>
          <w:p>
            <w:pPr>
              <w:spacing w:after="0" w:line="20" w:lineRule="exact"/>
              <w:rPr>
                <w:sz w:val="1"/>
                <w:szCs w:val="1"/>
                <w:color w:val="auto"/>
              </w:rPr>
            </w:pPr>
          </w:p>
        </w:tc>
        <w:tc>
          <w:tcPr>
            <w:tcW w:w="240" w:type="dxa"/>
            <w:vAlign w:val="bottom"/>
            <w:shd w:val="clear" w:color="auto" w:fill="97AAD0"/>
          </w:tcPr>
          <w:p>
            <w:pPr>
              <w:spacing w:after="0" w:line="20" w:lineRule="exact"/>
              <w:rPr>
                <w:sz w:val="1"/>
                <w:szCs w:val="1"/>
                <w:color w:val="auto"/>
              </w:rPr>
            </w:pPr>
          </w:p>
        </w:tc>
        <w:tc>
          <w:tcPr>
            <w:tcW w:w="1120" w:type="dxa"/>
            <w:vAlign w:val="bottom"/>
            <w:shd w:val="clear" w:color="auto" w:fill="97AAD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20" w:type="dxa"/>
            <w:vAlign w:val="bottom"/>
            <w:shd w:val="clear" w:color="auto" w:fill="97AAD0"/>
          </w:tcPr>
          <w:p>
            <w:pPr>
              <w:spacing w:after="0"/>
              <w:rPr>
                <w:sz w:val="13"/>
                <w:szCs w:val="13"/>
                <w:color w:val="auto"/>
              </w:rPr>
            </w:pPr>
          </w:p>
        </w:tc>
        <w:tc>
          <w:tcPr>
            <w:tcW w:w="1340" w:type="dxa"/>
            <w:vAlign w:val="bottom"/>
            <w:shd w:val="clear" w:color="auto" w:fill="97AAD0"/>
          </w:tcPr>
          <w:p>
            <w:pPr>
              <w:spacing w:after="0"/>
              <w:rPr>
                <w:sz w:val="13"/>
                <w:szCs w:val="13"/>
                <w:color w:val="auto"/>
              </w:rPr>
            </w:pPr>
          </w:p>
        </w:tc>
        <w:tc>
          <w:tcPr>
            <w:tcW w:w="240" w:type="dxa"/>
            <w:vAlign w:val="bottom"/>
            <w:shd w:val="clear" w:color="auto" w:fill="97AAD0"/>
          </w:tcPr>
          <w:p>
            <w:pPr>
              <w:spacing w:after="0"/>
              <w:rPr>
                <w:sz w:val="13"/>
                <w:szCs w:val="13"/>
                <w:color w:val="auto"/>
              </w:rPr>
            </w:pPr>
          </w:p>
        </w:tc>
        <w:tc>
          <w:tcPr>
            <w:tcW w:w="1000" w:type="dxa"/>
            <w:vAlign w:val="bottom"/>
            <w:shd w:val="clear" w:color="auto" w:fill="97AAD0"/>
          </w:tcPr>
          <w:p>
            <w:pPr>
              <w:spacing w:after="0"/>
              <w:rPr>
                <w:sz w:val="13"/>
                <w:szCs w:val="13"/>
                <w:color w:val="auto"/>
              </w:rPr>
            </w:pPr>
          </w:p>
        </w:tc>
        <w:tc>
          <w:tcPr>
            <w:tcW w:w="1360" w:type="dxa"/>
            <w:vAlign w:val="bottom"/>
            <w:gridSpan w:val="2"/>
            <w:shd w:val="clear" w:color="auto" w:fill="97AAD0"/>
          </w:tcPr>
          <w:p>
            <w:pPr>
              <w:ind w:left="140"/>
              <w:spacing w:after="0" w:line="158" w:lineRule="exact"/>
              <w:rPr>
                <w:sz w:val="20"/>
                <w:szCs w:val="20"/>
                <w:color w:val="auto"/>
              </w:rPr>
            </w:pPr>
            <w:r>
              <w:rPr>
                <w:rFonts w:ascii="Arial" w:cs="Arial" w:eastAsia="Arial" w:hAnsi="Arial"/>
                <w:sz w:val="16"/>
                <w:szCs w:val="16"/>
                <w:b w:val="1"/>
                <w:bCs w:val="1"/>
                <w:color w:val="auto"/>
              </w:rPr>
              <w:t>Quoted Prices</w:t>
            </w:r>
          </w:p>
        </w:tc>
        <w:tc>
          <w:tcPr>
            <w:tcW w:w="240" w:type="dxa"/>
            <w:vAlign w:val="bottom"/>
            <w:shd w:val="clear" w:color="auto" w:fill="97AAD0"/>
          </w:tcPr>
          <w:p>
            <w:pPr>
              <w:spacing w:after="0"/>
              <w:rPr>
                <w:sz w:val="13"/>
                <w:szCs w:val="13"/>
                <w:color w:val="auto"/>
              </w:rPr>
            </w:pPr>
          </w:p>
        </w:tc>
        <w:tc>
          <w:tcPr>
            <w:tcW w:w="1140" w:type="dxa"/>
            <w:vAlign w:val="bottom"/>
            <w:vMerge w:val="restart"/>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Significant</w:t>
            </w:r>
          </w:p>
        </w:tc>
        <w:tc>
          <w:tcPr>
            <w:tcW w:w="240" w:type="dxa"/>
            <w:vAlign w:val="bottom"/>
            <w:shd w:val="clear" w:color="auto" w:fill="97AAD0"/>
          </w:tcPr>
          <w:p>
            <w:pPr>
              <w:spacing w:after="0"/>
              <w:rPr>
                <w:sz w:val="13"/>
                <w:szCs w:val="13"/>
                <w:color w:val="auto"/>
              </w:rPr>
            </w:pPr>
          </w:p>
        </w:tc>
        <w:tc>
          <w:tcPr>
            <w:tcW w:w="112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0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8"/>
              </w:rPr>
              <w:t>in Active</w:t>
            </w:r>
          </w:p>
        </w:tc>
        <w:tc>
          <w:tcPr>
            <w:tcW w:w="24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vMerge w:val="restart"/>
            <w:shd w:val="clear" w:color="auto" w:fill="97AAD0"/>
          </w:tcPr>
          <w:p>
            <w:pPr>
              <w:jc w:val="center"/>
              <w:ind w:right="172"/>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0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9"/>
              </w:rPr>
              <w:t>Markets for</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shd w:val="clear" w:color="auto" w:fill="97AAD0"/>
          </w:tcPr>
          <w:p>
            <w:pPr>
              <w:spacing w:after="0"/>
              <w:rPr>
                <w:sz w:val="15"/>
                <w:szCs w:val="15"/>
                <w:color w:val="auto"/>
              </w:rPr>
            </w:pPr>
          </w:p>
        </w:tc>
        <w:tc>
          <w:tcPr>
            <w:tcW w:w="112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1240" w:type="dxa"/>
            <w:vAlign w:val="bottom"/>
            <w:gridSpan w:val="2"/>
            <w:vMerge w:val="restart"/>
            <w:shd w:val="clear" w:color="auto" w:fill="97AAD0"/>
          </w:tcPr>
          <w:p>
            <w:pPr>
              <w:jc w:val="center"/>
              <w:ind w:right="31"/>
              <w:spacing w:after="0"/>
              <w:rPr>
                <w:sz w:val="20"/>
                <w:szCs w:val="20"/>
                <w:color w:val="auto"/>
              </w:rPr>
            </w:pPr>
            <w:r>
              <w:rPr>
                <w:rFonts w:ascii="Arial" w:cs="Arial" w:eastAsia="Arial" w:hAnsi="Arial"/>
                <w:sz w:val="16"/>
                <w:szCs w:val="16"/>
                <w:b w:val="1"/>
                <w:bCs w:val="1"/>
                <w:color w:val="auto"/>
                <w:w w:val="99"/>
              </w:rPr>
              <w:t>December 31,</w:t>
            </w: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rPr>
              <w:t>Identical</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8"/>
              </w:rPr>
              <w:t>Observable</w:t>
            </w:r>
          </w:p>
        </w:tc>
        <w:tc>
          <w:tcPr>
            <w:tcW w:w="13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1240" w:type="dxa"/>
            <w:vAlign w:val="bottom"/>
            <w:gridSpan w:val="2"/>
            <w:vMerge w:val="continue"/>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9"/>
              </w:rPr>
              <w:t>Assets</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9"/>
              </w:rPr>
              <w:t>Inputs</w:t>
            </w: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52"/>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auto"/>
            </w:tcBorders>
            <w:shd w:val="clear" w:color="auto" w:fill="97AAD0"/>
          </w:tcPr>
          <w:p>
            <w:pPr>
              <w:spacing w:after="0"/>
              <w:rPr>
                <w:sz w:val="19"/>
                <w:szCs w:val="19"/>
                <w:color w:val="auto"/>
              </w:rPr>
            </w:pPr>
          </w:p>
        </w:tc>
        <w:tc>
          <w:tcPr>
            <w:tcW w:w="1340" w:type="dxa"/>
            <w:vAlign w:val="bottom"/>
            <w:tcBorders>
              <w:bottom w:val="single" w:sz="8" w:color="auto"/>
            </w:tcBorders>
            <w:shd w:val="clear" w:color="auto" w:fill="97AAD0"/>
          </w:tcPr>
          <w:p>
            <w:pPr>
              <w:spacing w:after="0"/>
              <w:rPr>
                <w:sz w:val="19"/>
                <w:szCs w:val="19"/>
                <w:color w:val="auto"/>
              </w:rPr>
            </w:pPr>
          </w:p>
        </w:tc>
        <w:tc>
          <w:tcPr>
            <w:tcW w:w="240" w:type="dxa"/>
            <w:vAlign w:val="bottom"/>
            <w:tcBorders>
              <w:bottom w:val="single" w:sz="8" w:color="auto"/>
            </w:tcBorders>
            <w:shd w:val="clear" w:color="auto" w:fill="97AAD0"/>
          </w:tcPr>
          <w:p>
            <w:pPr>
              <w:spacing w:after="0"/>
              <w:rPr>
                <w:sz w:val="19"/>
                <w:szCs w:val="19"/>
                <w:color w:val="auto"/>
              </w:rPr>
            </w:pPr>
          </w:p>
        </w:tc>
        <w:tc>
          <w:tcPr>
            <w:tcW w:w="1000" w:type="dxa"/>
            <w:vAlign w:val="bottom"/>
            <w:tcBorders>
              <w:bottom w:val="single" w:sz="8" w:color="auto"/>
            </w:tcBorders>
            <w:shd w:val="clear" w:color="auto" w:fill="97AAD0"/>
          </w:tcPr>
          <w:p>
            <w:pPr>
              <w:jc w:val="center"/>
              <w:ind w:right="271"/>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shd w:val="clear" w:color="auto" w:fill="97AAD0"/>
          </w:tcPr>
          <w:p>
            <w:pPr>
              <w:spacing w:after="0"/>
              <w:rPr>
                <w:sz w:val="19"/>
                <w:szCs w:val="19"/>
                <w:color w:val="auto"/>
              </w:rPr>
            </w:pPr>
          </w:p>
        </w:tc>
        <w:tc>
          <w:tcPr>
            <w:tcW w:w="1120" w:type="dxa"/>
            <w:vAlign w:val="bottom"/>
            <w:tcBorders>
              <w:bottom w:val="single" w:sz="8" w:color="auto"/>
            </w:tcBorders>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shd w:val="clear" w:color="auto" w:fill="97AAD0"/>
          </w:tcPr>
          <w:p>
            <w:pPr>
              <w:spacing w:after="0"/>
              <w:rPr>
                <w:sz w:val="19"/>
                <w:szCs w:val="19"/>
                <w:color w:val="auto"/>
              </w:rPr>
            </w:pPr>
          </w:p>
        </w:tc>
        <w:tc>
          <w:tcPr>
            <w:tcW w:w="1140" w:type="dxa"/>
            <w:vAlign w:val="bottom"/>
            <w:tcBorders>
              <w:bottom w:val="single" w:sz="8" w:color="auto"/>
            </w:tcBorders>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shd w:val="clear" w:color="auto" w:fill="97AAD0"/>
          </w:tcPr>
          <w:p>
            <w:pPr>
              <w:spacing w:after="0"/>
              <w:rPr>
                <w:sz w:val="19"/>
                <w:szCs w:val="19"/>
                <w:color w:val="auto"/>
              </w:rPr>
            </w:pPr>
          </w:p>
        </w:tc>
        <w:tc>
          <w:tcPr>
            <w:tcW w:w="1120" w:type="dxa"/>
            <w:vAlign w:val="bottom"/>
            <w:tcBorders>
              <w:bottom w:val="single" w:sz="8" w:color="auto"/>
            </w:tcBorders>
            <w:shd w:val="clear" w:color="auto" w:fill="97AAD0"/>
          </w:tcPr>
          <w:p>
            <w:pPr>
              <w:jc w:val="center"/>
              <w:ind w:right="152"/>
              <w:spacing w:after="0"/>
              <w:rPr>
                <w:sz w:val="20"/>
                <w:szCs w:val="20"/>
                <w:color w:val="auto"/>
              </w:rPr>
            </w:pPr>
            <w:r>
              <w:rPr>
                <w:rFonts w:ascii="Arial" w:cs="Arial" w:eastAsia="Arial" w:hAnsi="Arial"/>
                <w:sz w:val="16"/>
                <w:szCs w:val="16"/>
                <w:b w:val="1"/>
                <w:bCs w:val="1"/>
                <w:color w:val="auto"/>
                <w:w w:val="98"/>
              </w:rPr>
              <w:t>(Level 3)</w:t>
            </w:r>
          </w:p>
        </w:tc>
        <w:tc>
          <w:tcPr>
            <w:tcW w:w="0" w:type="dxa"/>
            <w:vAlign w:val="bottom"/>
          </w:tcPr>
          <w:p>
            <w:pPr>
              <w:spacing w:after="0"/>
              <w:rPr>
                <w:sz w:val="1"/>
                <w:szCs w:val="1"/>
                <w:color w:val="auto"/>
              </w:rPr>
            </w:pPr>
          </w:p>
        </w:tc>
      </w:tr>
      <w:tr>
        <w:trPr>
          <w:trHeight w:val="197"/>
        </w:trPr>
        <w:tc>
          <w:tcPr>
            <w:tcW w:w="412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Asset Category</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Equity securities: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Common stock</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Fixed income instruments: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Fixed income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Annuity contract</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Guaranteed insurance contracts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Other types of investments: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Real estate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Hedge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auto"/>
            </w:tcBorders>
            <w:shd w:val="clear" w:color="auto" w:fill="E5E9F3"/>
          </w:tcPr>
          <w:p>
            <w:pPr>
              <w:spacing w:after="0"/>
              <w:rPr>
                <w:sz w:val="17"/>
                <w:szCs w:val="17"/>
                <w:color w:val="auto"/>
              </w:rPr>
            </w:pPr>
          </w:p>
        </w:tc>
        <w:tc>
          <w:tcPr>
            <w:tcW w:w="1580" w:type="dxa"/>
            <w:vAlign w:val="bottom"/>
            <w:tcBorders>
              <w:bottom w:val="single" w:sz="8" w:color="auto"/>
            </w:tcBorders>
            <w:gridSpan w:val="2"/>
            <w:shd w:val="clear" w:color="auto" w:fill="E5E9F3"/>
          </w:tcPr>
          <w:p>
            <w:pPr>
              <w:jc w:val="right"/>
              <w:ind w:right="60"/>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31"/>
              <w:spacing w:after="0" w:line="197" w:lineRule="exact"/>
              <w:rPr>
                <w:sz w:val="20"/>
                <w:szCs w:val="20"/>
                <w:color w:val="auto"/>
              </w:rPr>
            </w:pPr>
            <w:r>
              <w:rPr>
                <w:rFonts w:ascii="Arial" w:cs="Arial" w:eastAsia="Arial" w:hAnsi="Arial"/>
                <w:sz w:val="18"/>
                <w:szCs w:val="18"/>
                <w:color w:val="auto"/>
              </w:rPr>
              <w:t>586.1</w:t>
            </w:r>
          </w:p>
        </w:tc>
        <w:tc>
          <w:tcPr>
            <w:tcW w:w="240" w:type="dxa"/>
            <w:vAlign w:val="bottom"/>
            <w:tcBorders>
              <w:bottom w:val="single" w:sz="8" w:color="auto"/>
            </w:tcBorders>
            <w:shd w:val="clear" w:color="auto" w:fill="E5E9F3"/>
          </w:tcPr>
          <w:p>
            <w:pPr>
              <w:ind w:left="120"/>
              <w:spacing w:after="0" w:line="197"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9F3"/>
          </w:tcPr>
          <w:p>
            <w:pPr>
              <w:jc w:val="right"/>
              <w:ind w:right="33"/>
              <w:spacing w:after="0" w:line="197" w:lineRule="exact"/>
              <w:rPr>
                <w:sz w:val="20"/>
                <w:szCs w:val="20"/>
                <w:color w:val="auto"/>
              </w:rPr>
            </w:pPr>
            <w:r>
              <w:rPr>
                <w:rFonts w:ascii="Arial" w:cs="Arial" w:eastAsia="Arial" w:hAnsi="Arial"/>
                <w:sz w:val="18"/>
                <w:szCs w:val="18"/>
                <w:color w:val="auto"/>
              </w:rPr>
              <w:t>175.8</w:t>
            </w:r>
          </w:p>
        </w:tc>
        <w:tc>
          <w:tcPr>
            <w:tcW w:w="2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ind w:right="33"/>
              <w:spacing w:after="0" w:line="197" w:lineRule="exact"/>
              <w:rPr>
                <w:sz w:val="20"/>
                <w:szCs w:val="20"/>
                <w:color w:val="auto"/>
              </w:rPr>
            </w:pPr>
            <w:r>
              <w:rPr>
                <w:rFonts w:ascii="Arial" w:cs="Arial" w:eastAsia="Arial" w:hAnsi="Arial"/>
                <w:sz w:val="18"/>
                <w:szCs w:val="18"/>
                <w:color w:val="auto"/>
              </w:rPr>
              <w:t>259.6</w:t>
            </w:r>
          </w:p>
        </w:tc>
        <w:tc>
          <w:tcPr>
            <w:tcW w:w="2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4"/>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97AAD0"/>
            </w:tcBorders>
            <w:shd w:val="clear" w:color="auto" w:fill="97AAD0"/>
          </w:tcPr>
          <w:p>
            <w:pPr>
              <w:spacing w:after="0"/>
              <w:rPr>
                <w:sz w:val="17"/>
                <w:szCs w:val="17"/>
                <w:color w:val="auto"/>
              </w:rPr>
            </w:pPr>
          </w:p>
        </w:tc>
        <w:tc>
          <w:tcPr>
            <w:tcW w:w="1340" w:type="dxa"/>
            <w:vAlign w:val="bottom"/>
            <w:tcBorders>
              <w:bottom w:val="single" w:sz="8" w:color="97AAD0"/>
            </w:tcBorders>
            <w:shd w:val="clear" w:color="auto" w:fill="97AAD0"/>
          </w:tcPr>
          <w:p>
            <w:pPr>
              <w:spacing w:after="0"/>
              <w:rPr>
                <w:sz w:val="17"/>
                <w:szCs w:val="17"/>
                <w:color w:val="auto"/>
              </w:rPr>
            </w:pPr>
          </w:p>
        </w:tc>
        <w:tc>
          <w:tcPr>
            <w:tcW w:w="240" w:type="dxa"/>
            <w:vAlign w:val="bottom"/>
            <w:tcBorders>
              <w:bottom w:val="single" w:sz="8" w:color="auto"/>
            </w:tcBorders>
            <w:shd w:val="clear" w:color="auto" w:fill="97AAD0"/>
          </w:tcPr>
          <w:p>
            <w:pPr>
              <w:spacing w:after="0"/>
              <w:rPr>
                <w:sz w:val="17"/>
                <w:szCs w:val="17"/>
                <w:color w:val="auto"/>
              </w:rPr>
            </w:pPr>
          </w:p>
        </w:tc>
        <w:tc>
          <w:tcPr>
            <w:tcW w:w="1000" w:type="dxa"/>
            <w:vAlign w:val="bottom"/>
            <w:tcBorders>
              <w:bottom w:val="single" w:sz="8" w:color="auto"/>
            </w:tcBorders>
            <w:shd w:val="clear" w:color="auto" w:fill="97AAD0"/>
          </w:tcPr>
          <w:p>
            <w:pPr>
              <w:spacing w:after="0"/>
              <w:rPr>
                <w:sz w:val="17"/>
                <w:szCs w:val="17"/>
                <w:color w:val="auto"/>
              </w:rPr>
            </w:pPr>
          </w:p>
        </w:tc>
        <w:tc>
          <w:tcPr>
            <w:tcW w:w="2740" w:type="dxa"/>
            <w:vAlign w:val="bottom"/>
            <w:tcBorders>
              <w:bottom w:val="single" w:sz="8" w:color="auto"/>
            </w:tcBorders>
            <w:gridSpan w:val="4"/>
            <w:shd w:val="clear" w:color="auto" w:fill="97AAD0"/>
          </w:tcPr>
          <w:p>
            <w:pPr>
              <w:ind w:left="160"/>
              <w:spacing w:after="0"/>
              <w:rPr>
                <w:sz w:val="20"/>
                <w:szCs w:val="20"/>
                <w:color w:val="auto"/>
              </w:rPr>
            </w:pPr>
            <w:r>
              <w:rPr>
                <w:rFonts w:ascii="Arial" w:cs="Arial" w:eastAsia="Arial" w:hAnsi="Arial"/>
                <w:sz w:val="16"/>
                <w:szCs w:val="16"/>
                <w:b w:val="1"/>
                <w:bCs w:val="1"/>
                <w:color w:val="auto"/>
              </w:rPr>
              <w:t>Fair Value Measurements Using</w:t>
            </w:r>
          </w:p>
        </w:tc>
        <w:tc>
          <w:tcPr>
            <w:tcW w:w="240" w:type="dxa"/>
            <w:vAlign w:val="bottom"/>
            <w:tcBorders>
              <w:bottom w:val="single" w:sz="8" w:color="auto"/>
            </w:tcBorders>
            <w:shd w:val="clear" w:color="auto" w:fill="97AAD0"/>
          </w:tcPr>
          <w:p>
            <w:pPr>
              <w:spacing w:after="0"/>
              <w:rPr>
                <w:sz w:val="17"/>
                <w:szCs w:val="17"/>
                <w:color w:val="auto"/>
              </w:rPr>
            </w:pPr>
          </w:p>
        </w:tc>
        <w:tc>
          <w:tcPr>
            <w:tcW w:w="1120" w:type="dxa"/>
            <w:vAlign w:val="bottom"/>
            <w:tcBorders>
              <w:bottom w:val="single" w:sz="8" w:color="auto"/>
            </w:tcBorders>
            <w:shd w:val="clear" w:color="auto" w:fill="97AAD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97AAD0"/>
          </w:tcPr>
          <w:p>
            <w:pPr>
              <w:spacing w:after="0" w:line="20" w:lineRule="exact"/>
              <w:rPr>
                <w:sz w:val="1"/>
                <w:szCs w:val="1"/>
                <w:color w:val="auto"/>
              </w:rPr>
            </w:pPr>
          </w:p>
        </w:tc>
        <w:tc>
          <w:tcPr>
            <w:tcW w:w="1340" w:type="dxa"/>
            <w:vAlign w:val="bottom"/>
            <w:shd w:val="clear" w:color="auto" w:fill="97AAD0"/>
          </w:tcPr>
          <w:p>
            <w:pPr>
              <w:spacing w:after="0" w:line="20" w:lineRule="exact"/>
              <w:rPr>
                <w:sz w:val="1"/>
                <w:szCs w:val="1"/>
                <w:color w:val="auto"/>
              </w:rPr>
            </w:pPr>
          </w:p>
        </w:tc>
        <w:tc>
          <w:tcPr>
            <w:tcW w:w="240" w:type="dxa"/>
            <w:vAlign w:val="bottom"/>
            <w:shd w:val="clear" w:color="auto" w:fill="97AAD0"/>
          </w:tcPr>
          <w:p>
            <w:pPr>
              <w:spacing w:after="0" w:line="20" w:lineRule="exact"/>
              <w:rPr>
                <w:sz w:val="1"/>
                <w:szCs w:val="1"/>
                <w:color w:val="auto"/>
              </w:rPr>
            </w:pPr>
          </w:p>
        </w:tc>
        <w:tc>
          <w:tcPr>
            <w:tcW w:w="1000" w:type="dxa"/>
            <w:vAlign w:val="bottom"/>
            <w:shd w:val="clear" w:color="auto" w:fill="97AAD0"/>
          </w:tcPr>
          <w:p>
            <w:pPr>
              <w:spacing w:after="0" w:line="20" w:lineRule="exact"/>
              <w:rPr>
                <w:sz w:val="1"/>
                <w:szCs w:val="1"/>
                <w:color w:val="auto"/>
              </w:rPr>
            </w:pPr>
          </w:p>
        </w:tc>
        <w:tc>
          <w:tcPr>
            <w:tcW w:w="1360" w:type="dxa"/>
            <w:vAlign w:val="bottom"/>
            <w:gridSpan w:val="2"/>
            <w:vMerge w:val="restart"/>
            <w:shd w:val="clear" w:color="auto" w:fill="97AAD0"/>
          </w:tcPr>
          <w:p>
            <w:pPr>
              <w:ind w:left="140"/>
              <w:spacing w:after="0" w:line="178" w:lineRule="exact"/>
              <w:rPr>
                <w:sz w:val="20"/>
                <w:szCs w:val="20"/>
                <w:color w:val="auto"/>
              </w:rPr>
            </w:pPr>
            <w:r>
              <w:rPr>
                <w:rFonts w:ascii="Arial" w:cs="Arial" w:eastAsia="Arial" w:hAnsi="Arial"/>
                <w:sz w:val="16"/>
                <w:szCs w:val="16"/>
                <w:b w:val="1"/>
                <w:bCs w:val="1"/>
                <w:color w:val="auto"/>
              </w:rPr>
              <w:t>Quoted Prices</w:t>
            </w:r>
          </w:p>
        </w:tc>
        <w:tc>
          <w:tcPr>
            <w:tcW w:w="240" w:type="dxa"/>
            <w:vAlign w:val="bottom"/>
            <w:shd w:val="clear" w:color="auto" w:fill="97AAD0"/>
          </w:tcPr>
          <w:p>
            <w:pPr>
              <w:spacing w:after="0" w:line="20" w:lineRule="exact"/>
              <w:rPr>
                <w:sz w:val="1"/>
                <w:szCs w:val="1"/>
                <w:color w:val="auto"/>
              </w:rPr>
            </w:pPr>
          </w:p>
        </w:tc>
        <w:tc>
          <w:tcPr>
            <w:tcW w:w="1140" w:type="dxa"/>
            <w:vAlign w:val="bottom"/>
            <w:vMerge w:val="restart"/>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Significant</w:t>
            </w:r>
          </w:p>
        </w:tc>
        <w:tc>
          <w:tcPr>
            <w:tcW w:w="240" w:type="dxa"/>
            <w:vAlign w:val="bottom"/>
            <w:shd w:val="clear" w:color="auto" w:fill="97AAD0"/>
          </w:tcPr>
          <w:p>
            <w:pPr>
              <w:spacing w:after="0" w:line="20" w:lineRule="exact"/>
              <w:rPr>
                <w:sz w:val="1"/>
                <w:szCs w:val="1"/>
                <w:color w:val="auto"/>
              </w:rPr>
            </w:pPr>
          </w:p>
        </w:tc>
        <w:tc>
          <w:tcPr>
            <w:tcW w:w="1120" w:type="dxa"/>
            <w:vAlign w:val="bottom"/>
            <w:shd w:val="clear" w:color="auto" w:fill="97AAD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20" w:type="dxa"/>
            <w:vAlign w:val="bottom"/>
            <w:shd w:val="clear" w:color="auto" w:fill="97AAD0"/>
          </w:tcPr>
          <w:p>
            <w:pPr>
              <w:spacing w:after="0"/>
              <w:rPr>
                <w:sz w:val="13"/>
                <w:szCs w:val="13"/>
                <w:color w:val="auto"/>
              </w:rPr>
            </w:pPr>
          </w:p>
        </w:tc>
        <w:tc>
          <w:tcPr>
            <w:tcW w:w="1340" w:type="dxa"/>
            <w:vAlign w:val="bottom"/>
            <w:shd w:val="clear" w:color="auto" w:fill="97AAD0"/>
          </w:tcPr>
          <w:p>
            <w:pPr>
              <w:spacing w:after="0"/>
              <w:rPr>
                <w:sz w:val="13"/>
                <w:szCs w:val="13"/>
                <w:color w:val="auto"/>
              </w:rPr>
            </w:pPr>
          </w:p>
        </w:tc>
        <w:tc>
          <w:tcPr>
            <w:tcW w:w="240" w:type="dxa"/>
            <w:vAlign w:val="bottom"/>
            <w:shd w:val="clear" w:color="auto" w:fill="97AAD0"/>
          </w:tcPr>
          <w:p>
            <w:pPr>
              <w:spacing w:after="0"/>
              <w:rPr>
                <w:sz w:val="13"/>
                <w:szCs w:val="13"/>
                <w:color w:val="auto"/>
              </w:rPr>
            </w:pPr>
          </w:p>
        </w:tc>
        <w:tc>
          <w:tcPr>
            <w:tcW w:w="1000" w:type="dxa"/>
            <w:vAlign w:val="bottom"/>
            <w:shd w:val="clear" w:color="auto" w:fill="97AAD0"/>
          </w:tcPr>
          <w:p>
            <w:pPr>
              <w:spacing w:after="0"/>
              <w:rPr>
                <w:sz w:val="13"/>
                <w:szCs w:val="13"/>
                <w:color w:val="auto"/>
              </w:rPr>
            </w:pPr>
          </w:p>
        </w:tc>
        <w:tc>
          <w:tcPr>
            <w:tcW w:w="1360" w:type="dxa"/>
            <w:vAlign w:val="bottom"/>
            <w:gridSpan w:val="2"/>
            <w:vMerge w:val="continue"/>
            <w:shd w:val="clear" w:color="auto" w:fill="97AAD0"/>
          </w:tcPr>
          <w:p>
            <w:pPr>
              <w:spacing w:after="0"/>
              <w:rPr>
                <w:sz w:val="13"/>
                <w:szCs w:val="13"/>
                <w:color w:val="auto"/>
              </w:rPr>
            </w:pPr>
          </w:p>
        </w:tc>
        <w:tc>
          <w:tcPr>
            <w:tcW w:w="240" w:type="dxa"/>
            <w:vAlign w:val="bottom"/>
            <w:shd w:val="clear" w:color="auto" w:fill="97AAD0"/>
          </w:tcPr>
          <w:p>
            <w:pPr>
              <w:spacing w:after="0"/>
              <w:rPr>
                <w:sz w:val="13"/>
                <w:szCs w:val="13"/>
                <w:color w:val="auto"/>
              </w:rPr>
            </w:pPr>
          </w:p>
        </w:tc>
        <w:tc>
          <w:tcPr>
            <w:tcW w:w="1140" w:type="dxa"/>
            <w:vAlign w:val="bottom"/>
            <w:vMerge w:val="continue"/>
            <w:shd w:val="clear" w:color="auto" w:fill="97AAD0"/>
          </w:tcPr>
          <w:p>
            <w:pPr>
              <w:spacing w:after="0"/>
              <w:rPr>
                <w:sz w:val="13"/>
                <w:szCs w:val="13"/>
                <w:color w:val="auto"/>
              </w:rPr>
            </w:pPr>
          </w:p>
        </w:tc>
        <w:tc>
          <w:tcPr>
            <w:tcW w:w="240" w:type="dxa"/>
            <w:vAlign w:val="bottom"/>
            <w:shd w:val="clear" w:color="auto" w:fill="97AAD0"/>
          </w:tcPr>
          <w:p>
            <w:pPr>
              <w:spacing w:after="0"/>
              <w:rPr>
                <w:sz w:val="13"/>
                <w:szCs w:val="13"/>
                <w:color w:val="auto"/>
              </w:rPr>
            </w:pPr>
          </w:p>
        </w:tc>
        <w:tc>
          <w:tcPr>
            <w:tcW w:w="1120" w:type="dxa"/>
            <w:vAlign w:val="bottom"/>
            <w:shd w:val="clear" w:color="auto" w:fill="97AAD0"/>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0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8"/>
              </w:rPr>
              <w:t>in Active</w:t>
            </w:r>
          </w:p>
        </w:tc>
        <w:tc>
          <w:tcPr>
            <w:tcW w:w="24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vMerge w:val="restart"/>
            <w:shd w:val="clear" w:color="auto" w:fill="97AAD0"/>
          </w:tcPr>
          <w:p>
            <w:pPr>
              <w:jc w:val="center"/>
              <w:ind w:right="172"/>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0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9"/>
              </w:rPr>
              <w:t>Markets for</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shd w:val="clear" w:color="auto" w:fill="97AAD0"/>
          </w:tcPr>
          <w:p>
            <w:pPr>
              <w:spacing w:after="0"/>
              <w:rPr>
                <w:sz w:val="15"/>
                <w:szCs w:val="15"/>
                <w:color w:val="auto"/>
              </w:rPr>
            </w:pPr>
          </w:p>
        </w:tc>
        <w:tc>
          <w:tcPr>
            <w:tcW w:w="1120" w:type="dxa"/>
            <w:vAlign w:val="bottom"/>
            <w:vMerge w:val="continue"/>
            <w:shd w:val="clear" w:color="auto" w:fill="97AAD0"/>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1240" w:type="dxa"/>
            <w:vAlign w:val="bottom"/>
            <w:gridSpan w:val="2"/>
            <w:vMerge w:val="restart"/>
            <w:shd w:val="clear" w:color="auto" w:fill="97AAD0"/>
          </w:tcPr>
          <w:p>
            <w:pPr>
              <w:jc w:val="center"/>
              <w:ind w:right="31"/>
              <w:spacing w:after="0"/>
              <w:rPr>
                <w:sz w:val="20"/>
                <w:szCs w:val="20"/>
                <w:color w:val="auto"/>
              </w:rPr>
            </w:pPr>
            <w:r>
              <w:rPr>
                <w:rFonts w:ascii="Arial" w:cs="Arial" w:eastAsia="Arial" w:hAnsi="Arial"/>
                <w:sz w:val="16"/>
                <w:szCs w:val="16"/>
                <w:b w:val="1"/>
                <w:bCs w:val="1"/>
                <w:color w:val="auto"/>
                <w:w w:val="99"/>
              </w:rPr>
              <w:t>December 31,</w:t>
            </w: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rPr>
              <w:t>Identical</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8"/>
              </w:rPr>
              <w:t>Observable</w:t>
            </w:r>
          </w:p>
        </w:tc>
        <w:tc>
          <w:tcPr>
            <w:tcW w:w="13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184"/>
        </w:trPr>
        <w:tc>
          <w:tcPr>
            <w:tcW w:w="4120" w:type="dxa"/>
            <w:vAlign w:val="bottom"/>
            <w:shd w:val="clear" w:color="auto" w:fill="97AAD0"/>
          </w:tcPr>
          <w:p>
            <w:pPr>
              <w:spacing w:after="0"/>
              <w:rPr>
                <w:sz w:val="15"/>
                <w:szCs w:val="15"/>
                <w:color w:val="auto"/>
              </w:rPr>
            </w:pPr>
          </w:p>
        </w:tc>
        <w:tc>
          <w:tcPr>
            <w:tcW w:w="1340" w:type="dxa"/>
            <w:vAlign w:val="bottom"/>
            <w:shd w:val="clear" w:color="auto" w:fill="97AAD0"/>
          </w:tcPr>
          <w:p>
            <w:pPr>
              <w:spacing w:after="0"/>
              <w:rPr>
                <w:sz w:val="15"/>
                <w:szCs w:val="15"/>
                <w:color w:val="auto"/>
              </w:rPr>
            </w:pPr>
          </w:p>
        </w:tc>
        <w:tc>
          <w:tcPr>
            <w:tcW w:w="1240" w:type="dxa"/>
            <w:vAlign w:val="bottom"/>
            <w:gridSpan w:val="2"/>
            <w:vMerge w:val="continue"/>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w w:val="99"/>
              </w:rPr>
              <w:t>Assets</w:t>
            </w:r>
          </w:p>
        </w:tc>
        <w:tc>
          <w:tcPr>
            <w:tcW w:w="240" w:type="dxa"/>
            <w:vAlign w:val="bottom"/>
            <w:shd w:val="clear" w:color="auto" w:fill="97AAD0"/>
          </w:tcPr>
          <w:p>
            <w:pPr>
              <w:spacing w:after="0"/>
              <w:rPr>
                <w:sz w:val="15"/>
                <w:szCs w:val="15"/>
                <w:color w:val="auto"/>
              </w:rPr>
            </w:pPr>
          </w:p>
        </w:tc>
        <w:tc>
          <w:tcPr>
            <w:tcW w:w="1140" w:type="dxa"/>
            <w:vAlign w:val="bottom"/>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w w:val="99"/>
              </w:rPr>
              <w:t>Inputs</w:t>
            </w:r>
          </w:p>
        </w:tc>
        <w:tc>
          <w:tcPr>
            <w:tcW w:w="240" w:type="dxa"/>
            <w:vAlign w:val="bottom"/>
            <w:shd w:val="clear" w:color="auto" w:fill="97AAD0"/>
          </w:tcPr>
          <w:p>
            <w:pPr>
              <w:spacing w:after="0"/>
              <w:rPr>
                <w:sz w:val="15"/>
                <w:szCs w:val="15"/>
                <w:color w:val="auto"/>
              </w:rPr>
            </w:pPr>
          </w:p>
        </w:tc>
        <w:tc>
          <w:tcPr>
            <w:tcW w:w="1120" w:type="dxa"/>
            <w:vAlign w:val="bottom"/>
            <w:shd w:val="clear" w:color="auto" w:fill="97AAD0"/>
          </w:tcPr>
          <w:p>
            <w:pPr>
              <w:jc w:val="center"/>
              <w:ind w:right="152"/>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auto"/>
            </w:tcBorders>
            <w:shd w:val="clear" w:color="auto" w:fill="97AAD0"/>
          </w:tcPr>
          <w:p>
            <w:pPr>
              <w:spacing w:after="0"/>
              <w:rPr>
                <w:sz w:val="19"/>
                <w:szCs w:val="19"/>
                <w:color w:val="auto"/>
              </w:rPr>
            </w:pPr>
          </w:p>
        </w:tc>
        <w:tc>
          <w:tcPr>
            <w:tcW w:w="1340" w:type="dxa"/>
            <w:vAlign w:val="bottom"/>
            <w:tcBorders>
              <w:bottom w:val="single" w:sz="8" w:color="auto"/>
            </w:tcBorders>
            <w:shd w:val="clear" w:color="auto" w:fill="97AAD0"/>
          </w:tcPr>
          <w:p>
            <w:pPr>
              <w:spacing w:after="0"/>
              <w:rPr>
                <w:sz w:val="19"/>
                <w:szCs w:val="19"/>
                <w:color w:val="auto"/>
              </w:rPr>
            </w:pPr>
          </w:p>
        </w:tc>
        <w:tc>
          <w:tcPr>
            <w:tcW w:w="240" w:type="dxa"/>
            <w:vAlign w:val="bottom"/>
            <w:tcBorders>
              <w:bottom w:val="single" w:sz="8" w:color="auto"/>
            </w:tcBorders>
            <w:shd w:val="clear" w:color="auto" w:fill="97AAD0"/>
          </w:tcPr>
          <w:p>
            <w:pPr>
              <w:spacing w:after="0"/>
              <w:rPr>
                <w:sz w:val="19"/>
                <w:szCs w:val="19"/>
                <w:color w:val="auto"/>
              </w:rPr>
            </w:pPr>
          </w:p>
        </w:tc>
        <w:tc>
          <w:tcPr>
            <w:tcW w:w="1000" w:type="dxa"/>
            <w:vAlign w:val="bottom"/>
            <w:tcBorders>
              <w:bottom w:val="single" w:sz="8" w:color="auto"/>
            </w:tcBorders>
            <w:shd w:val="clear" w:color="auto" w:fill="97AAD0"/>
          </w:tcPr>
          <w:p>
            <w:pPr>
              <w:jc w:val="center"/>
              <w:ind w:right="27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97AAD0"/>
          </w:tcPr>
          <w:p>
            <w:pPr>
              <w:spacing w:after="0"/>
              <w:rPr>
                <w:sz w:val="19"/>
                <w:szCs w:val="19"/>
                <w:color w:val="auto"/>
              </w:rPr>
            </w:pPr>
          </w:p>
        </w:tc>
        <w:tc>
          <w:tcPr>
            <w:tcW w:w="1120" w:type="dxa"/>
            <w:vAlign w:val="bottom"/>
            <w:tcBorders>
              <w:bottom w:val="single" w:sz="8" w:color="auto"/>
            </w:tcBorders>
            <w:shd w:val="clear" w:color="auto" w:fill="97AAD0"/>
          </w:tcPr>
          <w:p>
            <w:pPr>
              <w:jc w:val="center"/>
              <w:ind w:right="133"/>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shd w:val="clear" w:color="auto" w:fill="97AAD0"/>
          </w:tcPr>
          <w:p>
            <w:pPr>
              <w:spacing w:after="0"/>
              <w:rPr>
                <w:sz w:val="19"/>
                <w:szCs w:val="19"/>
                <w:color w:val="auto"/>
              </w:rPr>
            </w:pPr>
          </w:p>
        </w:tc>
        <w:tc>
          <w:tcPr>
            <w:tcW w:w="1140" w:type="dxa"/>
            <w:vAlign w:val="bottom"/>
            <w:tcBorders>
              <w:bottom w:val="single" w:sz="8" w:color="auto"/>
            </w:tcBorders>
            <w:shd w:val="clear" w:color="auto" w:fill="97AAD0"/>
          </w:tcPr>
          <w:p>
            <w:pPr>
              <w:jc w:val="center"/>
              <w:ind w:right="153"/>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shd w:val="clear" w:color="auto" w:fill="97AAD0"/>
          </w:tcPr>
          <w:p>
            <w:pPr>
              <w:spacing w:after="0"/>
              <w:rPr>
                <w:sz w:val="19"/>
                <w:szCs w:val="19"/>
                <w:color w:val="auto"/>
              </w:rPr>
            </w:pPr>
          </w:p>
        </w:tc>
        <w:tc>
          <w:tcPr>
            <w:tcW w:w="1120" w:type="dxa"/>
            <w:vAlign w:val="bottom"/>
            <w:tcBorders>
              <w:bottom w:val="single" w:sz="8" w:color="auto"/>
            </w:tcBorders>
            <w:shd w:val="clear" w:color="auto" w:fill="97AAD0"/>
          </w:tcPr>
          <w:p>
            <w:pPr>
              <w:jc w:val="center"/>
              <w:ind w:right="152"/>
              <w:spacing w:after="0"/>
              <w:rPr>
                <w:sz w:val="20"/>
                <w:szCs w:val="20"/>
                <w:color w:val="auto"/>
              </w:rPr>
            </w:pPr>
            <w:r>
              <w:rPr>
                <w:rFonts w:ascii="Arial" w:cs="Arial" w:eastAsia="Arial" w:hAnsi="Arial"/>
                <w:sz w:val="16"/>
                <w:szCs w:val="16"/>
                <w:b w:val="1"/>
                <w:bCs w:val="1"/>
                <w:color w:val="auto"/>
                <w:w w:val="98"/>
              </w:rPr>
              <w:t>(Level 3)</w:t>
            </w:r>
          </w:p>
        </w:tc>
        <w:tc>
          <w:tcPr>
            <w:tcW w:w="0" w:type="dxa"/>
            <w:vAlign w:val="bottom"/>
          </w:tcPr>
          <w:p>
            <w:pPr>
              <w:spacing w:after="0"/>
              <w:rPr>
                <w:sz w:val="1"/>
                <w:szCs w:val="1"/>
                <w:color w:val="auto"/>
              </w:rPr>
            </w:pPr>
          </w:p>
        </w:tc>
      </w:tr>
      <w:tr>
        <w:trPr>
          <w:trHeight w:val="197"/>
        </w:trPr>
        <w:tc>
          <w:tcPr>
            <w:tcW w:w="412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Asset Category</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Equity securities: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137.6</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Common stock</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Fixed income instruments: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Fixed income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Annuity contract</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Guaranteed insurance contracts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8"/>
                <w:szCs w:val="18"/>
                <w:color w:val="auto"/>
              </w:rPr>
              <w:t>Other types of investments: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Real estate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7"/>
        </w:trPr>
        <w:tc>
          <w:tcPr>
            <w:tcW w:w="412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7"/>
                <w:szCs w:val="17"/>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7"/>
        </w:trPr>
        <w:tc>
          <w:tcPr>
            <w:tcW w:w="4120" w:type="dxa"/>
            <w:vAlign w:val="bottom"/>
            <w:shd w:val="clear" w:color="auto" w:fill="E5E9F3"/>
          </w:tcPr>
          <w:p>
            <w:pPr>
              <w:ind w:left="200"/>
              <w:spacing w:after="0"/>
              <w:rPr>
                <w:sz w:val="20"/>
                <w:szCs w:val="20"/>
                <w:color w:val="auto"/>
              </w:rPr>
            </w:pPr>
            <w:r>
              <w:rPr>
                <w:rFonts w:ascii="Arial" w:cs="Arial" w:eastAsia="Arial" w:hAnsi="Arial"/>
                <w:sz w:val="18"/>
                <w:szCs w:val="18"/>
                <w:color w:val="auto"/>
              </w:rPr>
              <w:t>Hedge funds</w:t>
            </w:r>
          </w:p>
        </w:tc>
        <w:tc>
          <w:tcPr>
            <w:tcW w:w="1340" w:type="dxa"/>
            <w:vAlign w:val="bottom"/>
            <w:shd w:val="clear" w:color="auto" w:fill="E5E9F3"/>
          </w:tcPr>
          <w:p>
            <w:pPr>
              <w:spacing w:after="0"/>
              <w:rPr>
                <w:sz w:val="17"/>
                <w:szCs w:val="17"/>
                <w:color w:val="auto"/>
              </w:rPr>
            </w:pPr>
          </w:p>
        </w:tc>
        <w:tc>
          <w:tcPr>
            <w:tcW w:w="240" w:type="dxa"/>
            <w:vAlign w:val="bottom"/>
            <w:shd w:val="clear" w:color="auto" w:fill="E5E9F3"/>
          </w:tcPr>
          <w:p>
            <w:pPr>
              <w:spacing w:after="0"/>
              <w:rPr>
                <w:sz w:val="17"/>
                <w:szCs w:val="17"/>
                <w:color w:val="auto"/>
              </w:rPr>
            </w:pPr>
          </w:p>
        </w:tc>
        <w:tc>
          <w:tcPr>
            <w:tcW w:w="10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3"/>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5E9F3"/>
          </w:tcPr>
          <w:p>
            <w:pPr>
              <w:spacing w:after="0"/>
              <w:rPr>
                <w:sz w:val="17"/>
                <w:szCs w:val="17"/>
                <w:color w:val="auto"/>
              </w:rPr>
            </w:pPr>
          </w:p>
        </w:tc>
        <w:tc>
          <w:tcPr>
            <w:tcW w:w="11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auto"/>
            </w:tcBorders>
            <w:shd w:val="clear" w:color="auto" w:fill="E5E9F3"/>
          </w:tcPr>
          <w:p>
            <w:pPr>
              <w:spacing w:after="0"/>
              <w:rPr>
                <w:sz w:val="17"/>
                <w:szCs w:val="17"/>
                <w:color w:val="auto"/>
              </w:rPr>
            </w:pPr>
          </w:p>
        </w:tc>
        <w:tc>
          <w:tcPr>
            <w:tcW w:w="1580" w:type="dxa"/>
            <w:vAlign w:val="bottom"/>
            <w:tcBorders>
              <w:bottom w:val="single" w:sz="8" w:color="auto"/>
            </w:tcBorders>
            <w:gridSpan w:val="2"/>
            <w:shd w:val="clear" w:color="auto" w:fill="E5E9F3"/>
          </w:tcPr>
          <w:p>
            <w:pPr>
              <w:jc w:val="right"/>
              <w:ind w:right="60"/>
              <w:spacing w:after="0" w:line="197"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31"/>
              <w:spacing w:after="0" w:line="197" w:lineRule="exact"/>
              <w:rPr>
                <w:sz w:val="20"/>
                <w:szCs w:val="20"/>
                <w:color w:val="auto"/>
              </w:rPr>
            </w:pPr>
            <w:r>
              <w:rPr>
                <w:rFonts w:ascii="Arial" w:cs="Arial" w:eastAsia="Arial" w:hAnsi="Arial"/>
                <w:sz w:val="18"/>
                <w:szCs w:val="18"/>
                <w:color w:val="auto"/>
              </w:rPr>
              <w:t>596.3</w:t>
            </w:r>
          </w:p>
        </w:tc>
        <w:tc>
          <w:tcPr>
            <w:tcW w:w="240" w:type="dxa"/>
            <w:vAlign w:val="bottom"/>
            <w:tcBorders>
              <w:bottom w:val="single" w:sz="8" w:color="auto"/>
            </w:tcBorders>
            <w:shd w:val="clear" w:color="auto" w:fill="E5E9F3"/>
          </w:tcPr>
          <w:p>
            <w:pPr>
              <w:ind w:left="120"/>
              <w:spacing w:after="0" w:line="197"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9F3"/>
          </w:tcPr>
          <w:p>
            <w:pPr>
              <w:jc w:val="right"/>
              <w:ind w:right="33"/>
              <w:spacing w:after="0" w:line="197" w:lineRule="exact"/>
              <w:rPr>
                <w:sz w:val="20"/>
                <w:szCs w:val="20"/>
                <w:color w:val="auto"/>
              </w:rPr>
            </w:pPr>
            <w:r>
              <w:rPr>
                <w:rFonts w:ascii="Arial" w:cs="Arial" w:eastAsia="Arial" w:hAnsi="Arial"/>
                <w:sz w:val="18"/>
                <w:szCs w:val="18"/>
                <w:color w:val="auto"/>
              </w:rPr>
              <w:t>178.5</w:t>
            </w:r>
          </w:p>
        </w:tc>
        <w:tc>
          <w:tcPr>
            <w:tcW w:w="2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ind w:right="33"/>
              <w:spacing w:after="0" w:line="197" w:lineRule="exact"/>
              <w:rPr>
                <w:sz w:val="20"/>
                <w:szCs w:val="20"/>
                <w:color w:val="auto"/>
              </w:rPr>
            </w:pPr>
            <w:r>
              <w:rPr>
                <w:rFonts w:ascii="Arial" w:cs="Arial" w:eastAsia="Arial" w:hAnsi="Arial"/>
                <w:sz w:val="18"/>
                <w:szCs w:val="18"/>
                <w:color w:val="auto"/>
              </w:rPr>
              <w:t>263.5</w:t>
            </w:r>
          </w:p>
        </w:tc>
        <w:tc>
          <w:tcPr>
            <w:tcW w:w="2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The following table summarizes the changes in fair value of the pension assets that are measured using Level 3 inputs. We determined that transfers between fair-value-measurement levels occurred on the date of the event that caused the transfer.</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10800"/>
          </w:cols>
          <w:pgMar w:left="720" w:top="734" w:right="720" w:bottom="175" w:gutter="0" w:footer="0" w:header="0"/>
          <w:type w:val="continuous"/>
        </w:sectPr>
      </w:pPr>
    </w:p>
    <w:bookmarkStart w:id="83" w:name="page84"/>
    <w:bookmarkEnd w:id="8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3" o:spid="_x0000_s113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380" w:type="dxa"/>
            <w:vAlign w:val="bottom"/>
            <w:tcBorders>
              <w:top w:val="single" w:sz="8" w:color="auto"/>
              <w:bottom w:val="single" w:sz="8" w:color="auto"/>
            </w:tcBorders>
            <w:shd w:val="clear" w:color="auto" w:fill="97AAD0"/>
          </w:tcPr>
          <w:p>
            <w:pPr>
              <w:spacing w:after="0"/>
              <w:rPr>
                <w:sz w:val="18"/>
                <w:szCs w:val="18"/>
                <w:color w:val="auto"/>
              </w:rPr>
            </w:pPr>
          </w:p>
        </w:tc>
        <w:tc>
          <w:tcPr>
            <w:tcW w:w="1380" w:type="dxa"/>
            <w:vAlign w:val="bottom"/>
            <w:tcBorders>
              <w:top w:val="single" w:sz="8" w:color="auto"/>
              <w:bottom w:val="single" w:sz="8" w:color="auto"/>
            </w:tcBorders>
            <w:shd w:val="clear" w:color="auto" w:fill="97AAD0"/>
          </w:tcPr>
          <w:p>
            <w:pPr>
              <w:jc w:val="right"/>
              <w:ind w:right="692"/>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shd w:val="clear" w:color="auto" w:fill="97AAD0"/>
          </w:tcPr>
          <w:p>
            <w:pPr>
              <w:spacing w:after="0"/>
              <w:rPr>
                <w:sz w:val="18"/>
                <w:szCs w:val="18"/>
                <w:color w:val="auto"/>
              </w:rPr>
            </w:pPr>
          </w:p>
        </w:tc>
        <w:tc>
          <w:tcPr>
            <w:tcW w:w="1320" w:type="dxa"/>
            <w:vAlign w:val="bottom"/>
            <w:tcBorders>
              <w:top w:val="single" w:sz="8" w:color="auto"/>
              <w:bottom w:val="single" w:sz="8" w:color="auto"/>
            </w:tcBorders>
            <w:shd w:val="clear" w:color="auto" w:fill="97AAD0"/>
          </w:tcPr>
          <w:p>
            <w:pPr>
              <w:jc w:val="right"/>
              <w:ind w:right="632"/>
              <w:spacing w:after="0"/>
              <w:rPr>
                <w:sz w:val="20"/>
                <w:szCs w:val="20"/>
                <w:color w:val="auto"/>
              </w:rPr>
            </w:pPr>
            <w:r>
              <w:rPr>
                <w:rFonts w:ascii="Arial" w:cs="Arial" w:eastAsia="Arial" w:hAnsi="Arial"/>
                <w:sz w:val="16"/>
                <w:szCs w:val="16"/>
                <w:b w:val="1"/>
                <w:bCs w:val="1"/>
                <w:color w:val="auto"/>
              </w:rPr>
              <w:t>2023</w:t>
            </w:r>
          </w:p>
        </w:tc>
      </w:tr>
      <w:tr>
        <w:trPr>
          <w:trHeight w:val="197"/>
        </w:trPr>
        <w:tc>
          <w:tcPr>
            <w:tcW w:w="528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color w:val="auto"/>
              </w:rPr>
              <w:t>Balance, beginning of year</w:t>
            </w:r>
          </w:p>
        </w:tc>
        <w:tc>
          <w:tcPr>
            <w:tcW w:w="2380" w:type="dxa"/>
            <w:vAlign w:val="bottom"/>
            <w:shd w:val="clear" w:color="auto" w:fill="E5E9F3"/>
          </w:tcPr>
          <w:p>
            <w:pPr>
              <w:jc w:val="right"/>
              <w:ind w:right="170"/>
              <w:spacing w:after="0" w:line="197" w:lineRule="exact"/>
              <w:rPr>
                <w:sz w:val="20"/>
                <w:szCs w:val="20"/>
                <w:color w:val="auto"/>
              </w:rPr>
            </w:pPr>
            <w:r>
              <w:rPr>
                <w:rFonts w:ascii="Arial" w:cs="Arial" w:eastAsia="Arial" w:hAnsi="Arial"/>
                <w:sz w:val="18"/>
                <w:szCs w:val="18"/>
                <w:color w:val="auto"/>
              </w:rPr>
              <w:t>$</w:t>
            </w:r>
          </w:p>
        </w:tc>
        <w:tc>
          <w:tcPr>
            <w:tcW w:w="1380" w:type="dxa"/>
            <w:vAlign w:val="bottom"/>
            <w:shd w:val="clear" w:color="auto" w:fill="E5E9F3"/>
          </w:tcPr>
          <w:p>
            <w:pPr>
              <w:jc w:val="right"/>
              <w:ind w:right="92"/>
              <w:spacing w:after="0" w:line="197" w:lineRule="exact"/>
              <w:rPr>
                <w:sz w:val="20"/>
                <w:szCs w:val="20"/>
                <w:color w:val="auto"/>
              </w:rPr>
            </w:pPr>
            <w:r>
              <w:rPr>
                <w:rFonts w:ascii="Arial" w:cs="Arial" w:eastAsia="Arial" w:hAnsi="Arial"/>
                <w:sz w:val="18"/>
                <w:szCs w:val="18"/>
                <w:color w:val="auto"/>
              </w:rPr>
              <w:t>154.3</w:t>
            </w:r>
          </w:p>
        </w:tc>
        <w:tc>
          <w:tcPr>
            <w:tcW w:w="440" w:type="dxa"/>
            <w:vAlign w:val="bottom"/>
            <w:shd w:val="clear" w:color="auto" w:fill="E5E9F3"/>
          </w:tcPr>
          <w:p>
            <w:pPr>
              <w:jc w:val="right"/>
              <w:ind w:right="150"/>
              <w:spacing w:after="0" w:line="197" w:lineRule="exact"/>
              <w:rPr>
                <w:sz w:val="20"/>
                <w:szCs w:val="20"/>
                <w:color w:val="auto"/>
              </w:rPr>
            </w:pPr>
            <w:r>
              <w:rPr>
                <w:rFonts w:ascii="Arial" w:cs="Arial" w:eastAsia="Arial" w:hAnsi="Arial"/>
                <w:sz w:val="18"/>
                <w:szCs w:val="18"/>
                <w:color w:val="auto"/>
              </w:rPr>
              <w:t>$</w:t>
            </w:r>
          </w:p>
        </w:tc>
        <w:tc>
          <w:tcPr>
            <w:tcW w:w="1320" w:type="dxa"/>
            <w:vAlign w:val="bottom"/>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142.2</w:t>
            </w:r>
          </w:p>
        </w:tc>
      </w:tr>
      <w:tr>
        <w:trPr>
          <w:trHeight w:val="207"/>
        </w:trPr>
        <w:tc>
          <w:tcPr>
            <w:tcW w:w="528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2380" w:type="dxa"/>
            <w:vAlign w:val="bottom"/>
          </w:tcPr>
          <w:p>
            <w:pPr>
              <w:spacing w:after="0"/>
              <w:rPr>
                <w:sz w:val="17"/>
                <w:szCs w:val="17"/>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7"/>
                <w:szCs w:val="17"/>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5.6</w:t>
            </w:r>
          </w:p>
        </w:tc>
      </w:tr>
      <w:tr>
        <w:trPr>
          <w:trHeight w:val="207"/>
        </w:trPr>
        <w:tc>
          <w:tcPr>
            <w:tcW w:w="5280" w:type="dxa"/>
            <w:vAlign w:val="bottom"/>
            <w:shd w:val="clear" w:color="auto" w:fill="E5E9F3"/>
          </w:tcPr>
          <w:p>
            <w:pPr>
              <w:ind w:left="200"/>
              <w:spacing w:after="0"/>
              <w:rPr>
                <w:sz w:val="20"/>
                <w:szCs w:val="20"/>
                <w:color w:val="auto"/>
              </w:rPr>
            </w:pPr>
            <w:r>
              <w:rPr>
                <w:rFonts w:ascii="Arial" w:cs="Arial" w:eastAsia="Arial" w:hAnsi="Arial"/>
                <w:sz w:val="18"/>
                <w:szCs w:val="18"/>
                <w:color w:val="auto"/>
              </w:rPr>
              <w:t>Purchases, sales and settlements, net</w:t>
            </w:r>
          </w:p>
        </w:tc>
        <w:tc>
          <w:tcPr>
            <w:tcW w:w="2380" w:type="dxa"/>
            <w:vAlign w:val="bottom"/>
            <w:shd w:val="clear" w:color="auto" w:fill="E5E9F3"/>
          </w:tcPr>
          <w:p>
            <w:pPr>
              <w:spacing w:after="0"/>
              <w:rPr>
                <w:sz w:val="17"/>
                <w:szCs w:val="17"/>
                <w:color w:val="auto"/>
              </w:rPr>
            </w:pPr>
          </w:p>
        </w:tc>
        <w:tc>
          <w:tcPr>
            <w:tcW w:w="1380" w:type="dxa"/>
            <w:vAlign w:val="bottom"/>
            <w:shd w:val="clear" w:color="auto" w:fill="E5E9F3"/>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9F3"/>
          </w:tcPr>
          <w:p>
            <w:pPr>
              <w:spacing w:after="0"/>
              <w:rPr>
                <w:sz w:val="17"/>
                <w:szCs w:val="17"/>
                <w:color w:val="auto"/>
              </w:rPr>
            </w:pPr>
          </w:p>
        </w:tc>
        <w:tc>
          <w:tcPr>
            <w:tcW w:w="13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(0.7)</w:t>
            </w:r>
          </w:p>
        </w:tc>
      </w:tr>
      <w:tr>
        <w:trPr>
          <w:trHeight w:val="207"/>
        </w:trPr>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Currency exchange rate changes</w:t>
            </w:r>
          </w:p>
        </w:tc>
        <w:tc>
          <w:tcPr>
            <w:tcW w:w="2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r>
      <w:tr>
        <w:trPr>
          <w:trHeight w:val="197"/>
        </w:trPr>
        <w:tc>
          <w:tcPr>
            <w:tcW w:w="5280" w:type="dxa"/>
            <w:vAlign w:val="bottom"/>
            <w:tcBorders>
              <w:bottom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Balance, end of year</w:t>
            </w:r>
          </w:p>
        </w:tc>
        <w:tc>
          <w:tcPr>
            <w:tcW w:w="2380" w:type="dxa"/>
            <w:vAlign w:val="bottom"/>
            <w:tcBorders>
              <w:bottom w:val="single" w:sz="8" w:color="auto"/>
            </w:tcBorders>
            <w:shd w:val="clear" w:color="auto" w:fill="E5E9F3"/>
          </w:tcPr>
          <w:p>
            <w:pPr>
              <w:jc w:val="right"/>
              <w:ind w:right="170"/>
              <w:spacing w:after="0" w:line="197"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E5E9F3"/>
          </w:tcPr>
          <w:p>
            <w:pPr>
              <w:jc w:val="right"/>
              <w:ind w:right="92"/>
              <w:spacing w:after="0" w:line="197" w:lineRule="exact"/>
              <w:rPr>
                <w:sz w:val="20"/>
                <w:szCs w:val="20"/>
                <w:color w:val="auto"/>
              </w:rPr>
            </w:pPr>
            <w:r>
              <w:rPr>
                <w:rFonts w:ascii="Arial" w:cs="Arial" w:eastAsia="Arial" w:hAnsi="Arial"/>
                <w:sz w:val="18"/>
                <w:szCs w:val="18"/>
                <w:color w:val="auto"/>
              </w:rPr>
              <w:t>150.7</w:t>
            </w:r>
          </w:p>
        </w:tc>
        <w:tc>
          <w:tcPr>
            <w:tcW w:w="440" w:type="dxa"/>
            <w:vAlign w:val="bottom"/>
            <w:tcBorders>
              <w:bottom w:val="single" w:sz="8" w:color="auto"/>
            </w:tcBorders>
            <w:shd w:val="clear" w:color="auto" w:fill="E5E9F3"/>
          </w:tcPr>
          <w:p>
            <w:pPr>
              <w:jc w:val="right"/>
              <w:ind w:right="150"/>
              <w:spacing w:after="0" w:line="197"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154.3</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Retiree Health Care Plan</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520" w:type="dxa"/>
            <w:vAlign w:val="bottom"/>
            <w:tcBorders>
              <w:top w:val="single" w:sz="8" w:color="auto"/>
              <w:bottom w:val="single" w:sz="8" w:color="auto"/>
            </w:tcBorders>
            <w:shd w:val="clear" w:color="auto" w:fill="97AAD0"/>
          </w:tcPr>
          <w:p>
            <w:pPr>
              <w:spacing w:after="0"/>
              <w:rPr>
                <w:sz w:val="18"/>
                <w:szCs w:val="18"/>
                <w:color w:val="auto"/>
              </w:rPr>
            </w:pPr>
          </w:p>
        </w:tc>
        <w:tc>
          <w:tcPr>
            <w:tcW w:w="1380" w:type="dxa"/>
            <w:vAlign w:val="bottom"/>
            <w:tcBorders>
              <w:top w:val="single" w:sz="8" w:color="auto"/>
              <w:bottom w:val="single" w:sz="8" w:color="auto"/>
            </w:tcBorders>
            <w:shd w:val="clear" w:color="auto" w:fill="97AAD0"/>
          </w:tcPr>
          <w:p>
            <w:pPr>
              <w:jc w:val="right"/>
              <w:ind w:right="691"/>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shd w:val="clear" w:color="auto" w:fill="97AAD0"/>
          </w:tcPr>
          <w:p>
            <w:pPr>
              <w:spacing w:after="0"/>
              <w:rPr>
                <w:sz w:val="18"/>
                <w:szCs w:val="18"/>
                <w:color w:val="auto"/>
              </w:rPr>
            </w:pPr>
          </w:p>
        </w:tc>
        <w:tc>
          <w:tcPr>
            <w:tcW w:w="1320" w:type="dxa"/>
            <w:vAlign w:val="bottom"/>
            <w:tcBorders>
              <w:top w:val="single" w:sz="8" w:color="auto"/>
              <w:bottom w:val="single" w:sz="8" w:color="auto"/>
            </w:tcBorders>
            <w:shd w:val="clear" w:color="auto" w:fill="97AAD0"/>
          </w:tcPr>
          <w:p>
            <w:pPr>
              <w:jc w:val="right"/>
              <w:ind w:right="631"/>
              <w:spacing w:after="0"/>
              <w:rPr>
                <w:sz w:val="20"/>
                <w:szCs w:val="20"/>
                <w:color w:val="auto"/>
              </w:rPr>
            </w:pPr>
            <w:r>
              <w:rPr>
                <w:rFonts w:ascii="Arial" w:cs="Arial" w:eastAsia="Arial" w:hAnsi="Arial"/>
                <w:sz w:val="16"/>
                <w:szCs w:val="16"/>
                <w:b w:val="1"/>
                <w:bCs w:val="1"/>
                <w:color w:val="auto"/>
              </w:rPr>
              <w:t>2023</w:t>
            </w:r>
          </w:p>
        </w:tc>
      </w:tr>
      <w:tr>
        <w:trPr>
          <w:trHeight w:val="197"/>
        </w:trPr>
        <w:tc>
          <w:tcPr>
            <w:tcW w:w="514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Change in Benefit Obligation</w:t>
            </w:r>
          </w:p>
        </w:tc>
        <w:tc>
          <w:tcPr>
            <w:tcW w:w="2520" w:type="dxa"/>
            <w:vAlign w:val="bottom"/>
            <w:shd w:val="clear" w:color="auto" w:fill="E5E9F3"/>
          </w:tcPr>
          <w:p>
            <w:pPr>
              <w:spacing w:after="0"/>
              <w:rPr>
                <w:sz w:val="17"/>
                <w:szCs w:val="17"/>
                <w:color w:val="auto"/>
              </w:rPr>
            </w:pPr>
          </w:p>
        </w:tc>
        <w:tc>
          <w:tcPr>
            <w:tcW w:w="1380" w:type="dxa"/>
            <w:vAlign w:val="bottom"/>
            <w:shd w:val="clear" w:color="auto" w:fill="E5E9F3"/>
          </w:tcPr>
          <w:p>
            <w:pPr>
              <w:spacing w:after="0"/>
              <w:rPr>
                <w:sz w:val="17"/>
                <w:szCs w:val="17"/>
                <w:color w:val="auto"/>
              </w:rPr>
            </w:pPr>
          </w:p>
        </w:tc>
        <w:tc>
          <w:tcPr>
            <w:tcW w:w="440" w:type="dxa"/>
            <w:vAlign w:val="bottom"/>
            <w:shd w:val="clear" w:color="auto" w:fill="E5E9F3"/>
          </w:tcPr>
          <w:p>
            <w:pPr>
              <w:spacing w:after="0"/>
              <w:rPr>
                <w:sz w:val="17"/>
                <w:szCs w:val="17"/>
                <w:color w:val="auto"/>
              </w:rPr>
            </w:pPr>
          </w:p>
        </w:tc>
        <w:tc>
          <w:tcPr>
            <w:tcW w:w="1320" w:type="dxa"/>
            <w:vAlign w:val="bottom"/>
            <w:shd w:val="clear" w:color="auto" w:fill="E5E9F3"/>
          </w:tcPr>
          <w:p>
            <w:pPr>
              <w:spacing w:after="0"/>
              <w:rPr>
                <w:sz w:val="17"/>
                <w:szCs w:val="17"/>
                <w:color w:val="auto"/>
              </w:rPr>
            </w:pPr>
          </w:p>
        </w:tc>
      </w:tr>
      <w:tr>
        <w:trPr>
          <w:trHeight w:val="207"/>
        </w:trPr>
        <w:tc>
          <w:tcPr>
            <w:tcW w:w="5140" w:type="dxa"/>
            <w:vAlign w:val="bottom"/>
          </w:tcPr>
          <w:p>
            <w:pPr>
              <w:ind w:left="100"/>
              <w:spacing w:after="0"/>
              <w:rPr>
                <w:sz w:val="20"/>
                <w:szCs w:val="20"/>
                <w:color w:val="auto"/>
              </w:rPr>
            </w:pPr>
            <w:r>
              <w:rPr>
                <w:rFonts w:ascii="Arial" w:cs="Arial" w:eastAsia="Arial" w:hAnsi="Arial"/>
                <w:sz w:val="18"/>
                <w:szCs w:val="18"/>
                <w:color w:val="auto"/>
              </w:rPr>
              <w:t>Benefit obligation, beginning of year</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11.5</w:t>
            </w:r>
          </w:p>
        </w:tc>
      </w:tr>
      <w:tr>
        <w:trPr>
          <w:trHeight w:val="207"/>
        </w:trPr>
        <w:tc>
          <w:tcPr>
            <w:tcW w:w="5140" w:type="dxa"/>
            <w:vAlign w:val="bottom"/>
            <w:shd w:val="clear" w:color="auto" w:fill="E5E9F3"/>
          </w:tcPr>
          <w:p>
            <w:pPr>
              <w:ind w:left="200"/>
              <w:spacing w:after="0"/>
              <w:rPr>
                <w:sz w:val="20"/>
                <w:szCs w:val="20"/>
                <w:color w:val="auto"/>
              </w:rPr>
            </w:pPr>
            <w:r>
              <w:rPr>
                <w:rFonts w:ascii="Arial" w:cs="Arial" w:eastAsia="Arial" w:hAnsi="Arial"/>
                <w:sz w:val="18"/>
                <w:szCs w:val="18"/>
                <w:color w:val="auto"/>
              </w:rPr>
              <w:t>Interest cost</w:t>
            </w:r>
          </w:p>
        </w:tc>
        <w:tc>
          <w:tcPr>
            <w:tcW w:w="2520" w:type="dxa"/>
            <w:vAlign w:val="bottom"/>
            <w:shd w:val="clear" w:color="auto" w:fill="E5E9F3"/>
          </w:tcPr>
          <w:p>
            <w:pPr>
              <w:spacing w:after="0"/>
              <w:rPr>
                <w:sz w:val="17"/>
                <w:szCs w:val="17"/>
                <w:color w:val="auto"/>
              </w:rPr>
            </w:pPr>
          </w:p>
        </w:tc>
        <w:tc>
          <w:tcPr>
            <w:tcW w:w="1380" w:type="dxa"/>
            <w:vAlign w:val="bottom"/>
            <w:shd w:val="clear" w:color="auto" w:fill="E5E9F3"/>
          </w:tcPr>
          <w:p>
            <w:pPr>
              <w:jc w:val="right"/>
              <w:ind w:right="91"/>
              <w:spacing w:after="0"/>
              <w:rPr>
                <w:sz w:val="20"/>
                <w:szCs w:val="20"/>
                <w:color w:val="auto"/>
              </w:rPr>
            </w:pPr>
            <w:r>
              <w:rPr>
                <w:rFonts w:ascii="Arial" w:cs="Arial" w:eastAsia="Arial" w:hAnsi="Arial"/>
                <w:sz w:val="18"/>
                <w:szCs w:val="18"/>
                <w:color w:val="auto"/>
              </w:rPr>
              <w:t>0.5</w:t>
            </w:r>
          </w:p>
        </w:tc>
        <w:tc>
          <w:tcPr>
            <w:tcW w:w="440" w:type="dxa"/>
            <w:vAlign w:val="bottom"/>
            <w:shd w:val="clear" w:color="auto" w:fill="E5E9F3"/>
          </w:tcPr>
          <w:p>
            <w:pPr>
              <w:spacing w:after="0"/>
              <w:rPr>
                <w:sz w:val="17"/>
                <w:szCs w:val="17"/>
                <w:color w:val="auto"/>
              </w:rPr>
            </w:pPr>
          </w:p>
        </w:tc>
        <w:tc>
          <w:tcPr>
            <w:tcW w:w="13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0.5</w:t>
            </w:r>
          </w:p>
        </w:tc>
      </w:tr>
      <w:tr>
        <w:trPr>
          <w:trHeight w:val="207"/>
        </w:trPr>
        <w:tc>
          <w:tcPr>
            <w:tcW w:w="5140" w:type="dxa"/>
            <w:vAlign w:val="bottom"/>
          </w:tcPr>
          <w:p>
            <w:pPr>
              <w:ind w:left="200"/>
              <w:spacing w:after="0"/>
              <w:rPr>
                <w:sz w:val="20"/>
                <w:szCs w:val="20"/>
                <w:color w:val="auto"/>
              </w:rPr>
            </w:pPr>
            <w:r>
              <w:rPr>
                <w:rFonts w:ascii="Arial" w:cs="Arial" w:eastAsia="Arial" w:hAnsi="Arial"/>
                <w:sz w:val="18"/>
                <w:szCs w:val="18"/>
                <w:color w:val="auto"/>
              </w:rPr>
              <w:t>Actuarial gain</w:t>
            </w:r>
          </w:p>
        </w:tc>
        <w:tc>
          <w:tcPr>
            <w:tcW w:w="25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7"/>
        </w:trPr>
        <w:tc>
          <w:tcPr>
            <w:tcW w:w="5140" w:type="dxa"/>
            <w:vAlign w:val="bottom"/>
            <w:tcBorders>
              <w:bottom w:val="single" w:sz="8" w:color="auto"/>
            </w:tcBorders>
            <w:shd w:val="clear" w:color="auto" w:fill="E5E9F3"/>
          </w:tcPr>
          <w:p>
            <w:pPr>
              <w:ind w:left="200"/>
              <w:spacing w:after="0"/>
              <w:rPr>
                <w:sz w:val="20"/>
                <w:szCs w:val="20"/>
                <w:color w:val="auto"/>
              </w:rPr>
            </w:pPr>
            <w:r>
              <w:rPr>
                <w:rFonts w:ascii="Arial" w:cs="Arial" w:eastAsia="Arial" w:hAnsi="Arial"/>
                <w:sz w:val="18"/>
                <w:szCs w:val="18"/>
                <w:color w:val="auto"/>
              </w:rPr>
              <w:t>Benefits paid</w:t>
            </w:r>
          </w:p>
        </w:tc>
        <w:tc>
          <w:tcPr>
            <w:tcW w:w="2520" w:type="dxa"/>
            <w:vAlign w:val="bottom"/>
            <w:tcBorders>
              <w:bottom w:val="single" w:sz="8" w:color="auto"/>
            </w:tcBorders>
            <w:shd w:val="clear" w:color="auto" w:fill="E5E9F3"/>
          </w:tcPr>
          <w:p>
            <w:pPr>
              <w:spacing w:after="0"/>
              <w:rPr>
                <w:sz w:val="17"/>
                <w:szCs w:val="17"/>
                <w:color w:val="auto"/>
              </w:rPr>
            </w:pPr>
          </w:p>
        </w:tc>
        <w:tc>
          <w:tcPr>
            <w:tcW w:w="138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(0.8)</w:t>
            </w:r>
          </w:p>
        </w:tc>
        <w:tc>
          <w:tcPr>
            <w:tcW w:w="440" w:type="dxa"/>
            <w:vAlign w:val="bottom"/>
            <w:tcBorders>
              <w:bottom w:val="single" w:sz="8" w:color="auto"/>
            </w:tcBorders>
            <w:shd w:val="clear" w:color="auto" w:fill="E5E9F3"/>
          </w:tcPr>
          <w:p>
            <w:pPr>
              <w:spacing w:after="0"/>
              <w:rPr>
                <w:sz w:val="17"/>
                <w:szCs w:val="17"/>
                <w:color w:val="auto"/>
              </w:rPr>
            </w:pPr>
          </w:p>
        </w:tc>
        <w:tc>
          <w:tcPr>
            <w:tcW w:w="13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(0.8)</w:t>
            </w:r>
          </w:p>
        </w:tc>
      </w:tr>
      <w:tr>
        <w:trPr>
          <w:trHeight w:val="197"/>
        </w:trPr>
        <w:tc>
          <w:tcPr>
            <w:tcW w:w="5140" w:type="dxa"/>
            <w:vAlign w:val="bottom"/>
            <w:tcBorders>
              <w:bottom w:val="single" w:sz="8" w:color="auto"/>
            </w:tcBorders>
          </w:tcPr>
          <w:p>
            <w:pPr>
              <w:ind w:left="100"/>
              <w:spacing w:after="0" w:line="197" w:lineRule="exact"/>
              <w:rPr>
                <w:sz w:val="20"/>
                <w:szCs w:val="20"/>
                <w:color w:val="auto"/>
              </w:rPr>
            </w:pPr>
            <w:r>
              <w:rPr>
                <w:rFonts w:ascii="Arial" w:cs="Arial" w:eastAsia="Arial" w:hAnsi="Arial"/>
                <w:sz w:val="18"/>
                <w:szCs w:val="18"/>
                <w:color w:val="auto"/>
              </w:rPr>
              <w:t>Benefit obligation, end of year</w:t>
            </w:r>
          </w:p>
        </w:tc>
        <w:tc>
          <w:tcPr>
            <w:tcW w:w="2520" w:type="dxa"/>
            <w:vAlign w:val="bottom"/>
            <w:tcBorders>
              <w:bottom w:val="single" w:sz="8" w:color="auto"/>
            </w:tcBorders>
          </w:tcPr>
          <w:p>
            <w:pPr>
              <w:jc w:val="right"/>
              <w:ind w:right="170"/>
              <w:spacing w:after="0" w:line="197"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91"/>
              <w:spacing w:after="0" w:line="197" w:lineRule="exact"/>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jc w:val="right"/>
              <w:ind w:right="150"/>
              <w:spacing w:after="0" w:line="197"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line="197" w:lineRule="exact"/>
              <w:rPr>
                <w:sz w:val="20"/>
                <w:szCs w:val="20"/>
                <w:color w:val="auto"/>
              </w:rPr>
            </w:pPr>
            <w:r>
              <w:rPr>
                <w:rFonts w:ascii="Arial" w:cs="Arial" w:eastAsia="Arial" w:hAnsi="Arial"/>
                <w:sz w:val="18"/>
                <w:szCs w:val="18"/>
                <w:color w:val="auto"/>
              </w:rPr>
              <w:t>10.2</w:t>
            </w:r>
          </w:p>
        </w:tc>
      </w:tr>
      <w:tr>
        <w:trPr>
          <w:trHeight w:val="197"/>
        </w:trPr>
        <w:tc>
          <w:tcPr>
            <w:tcW w:w="514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Funded Status at End of Year</w:t>
            </w:r>
          </w:p>
        </w:tc>
        <w:tc>
          <w:tcPr>
            <w:tcW w:w="2520" w:type="dxa"/>
            <w:vAlign w:val="bottom"/>
            <w:shd w:val="clear" w:color="auto" w:fill="E5E9F3"/>
          </w:tcPr>
          <w:p>
            <w:pPr>
              <w:spacing w:after="0"/>
              <w:rPr>
                <w:sz w:val="17"/>
                <w:szCs w:val="17"/>
                <w:color w:val="auto"/>
              </w:rPr>
            </w:pPr>
          </w:p>
        </w:tc>
        <w:tc>
          <w:tcPr>
            <w:tcW w:w="1380" w:type="dxa"/>
            <w:vAlign w:val="bottom"/>
            <w:shd w:val="clear" w:color="auto" w:fill="E5E9F3"/>
          </w:tcPr>
          <w:p>
            <w:pPr>
              <w:spacing w:after="0"/>
              <w:rPr>
                <w:sz w:val="17"/>
                <w:szCs w:val="17"/>
                <w:color w:val="auto"/>
              </w:rPr>
            </w:pPr>
          </w:p>
        </w:tc>
        <w:tc>
          <w:tcPr>
            <w:tcW w:w="440" w:type="dxa"/>
            <w:vAlign w:val="bottom"/>
            <w:shd w:val="clear" w:color="auto" w:fill="E5E9F3"/>
          </w:tcPr>
          <w:p>
            <w:pPr>
              <w:spacing w:after="0"/>
              <w:rPr>
                <w:sz w:val="17"/>
                <w:szCs w:val="17"/>
                <w:color w:val="auto"/>
              </w:rPr>
            </w:pPr>
          </w:p>
        </w:tc>
        <w:tc>
          <w:tcPr>
            <w:tcW w:w="1320" w:type="dxa"/>
            <w:vAlign w:val="bottom"/>
            <w:shd w:val="clear" w:color="auto" w:fill="E5E9F3"/>
          </w:tcPr>
          <w:p>
            <w:pPr>
              <w:spacing w:after="0"/>
              <w:rPr>
                <w:sz w:val="17"/>
                <w:szCs w:val="17"/>
                <w:color w:val="auto"/>
              </w:rPr>
            </w:pPr>
          </w:p>
        </w:tc>
      </w:tr>
      <w:tr>
        <w:trPr>
          <w:trHeight w:val="207"/>
        </w:trPr>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Funded status, end of year</w:t>
            </w:r>
          </w:p>
        </w:tc>
        <w:tc>
          <w:tcPr>
            <w:tcW w:w="2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197"/>
        </w:trPr>
        <w:tc>
          <w:tcPr>
            <w:tcW w:w="514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Amounts Recognized</w:t>
            </w:r>
          </w:p>
        </w:tc>
        <w:tc>
          <w:tcPr>
            <w:tcW w:w="2520" w:type="dxa"/>
            <w:vAlign w:val="bottom"/>
            <w:shd w:val="clear" w:color="auto" w:fill="E5E9F3"/>
          </w:tcPr>
          <w:p>
            <w:pPr>
              <w:spacing w:after="0"/>
              <w:rPr>
                <w:sz w:val="17"/>
                <w:szCs w:val="17"/>
                <w:color w:val="auto"/>
              </w:rPr>
            </w:pPr>
          </w:p>
        </w:tc>
        <w:tc>
          <w:tcPr>
            <w:tcW w:w="1380" w:type="dxa"/>
            <w:vAlign w:val="bottom"/>
            <w:shd w:val="clear" w:color="auto" w:fill="E5E9F3"/>
          </w:tcPr>
          <w:p>
            <w:pPr>
              <w:spacing w:after="0"/>
              <w:rPr>
                <w:sz w:val="17"/>
                <w:szCs w:val="17"/>
                <w:color w:val="auto"/>
              </w:rPr>
            </w:pPr>
          </w:p>
        </w:tc>
        <w:tc>
          <w:tcPr>
            <w:tcW w:w="440" w:type="dxa"/>
            <w:vAlign w:val="bottom"/>
            <w:shd w:val="clear" w:color="auto" w:fill="E5E9F3"/>
          </w:tcPr>
          <w:p>
            <w:pPr>
              <w:spacing w:after="0"/>
              <w:rPr>
                <w:sz w:val="17"/>
                <w:szCs w:val="17"/>
                <w:color w:val="auto"/>
              </w:rPr>
            </w:pPr>
          </w:p>
        </w:tc>
        <w:tc>
          <w:tcPr>
            <w:tcW w:w="1320" w:type="dxa"/>
            <w:vAlign w:val="bottom"/>
            <w:shd w:val="clear" w:color="auto" w:fill="E5E9F3"/>
          </w:tcPr>
          <w:p>
            <w:pPr>
              <w:spacing w:after="0"/>
              <w:rPr>
                <w:sz w:val="17"/>
                <w:szCs w:val="17"/>
                <w:color w:val="auto"/>
              </w:rPr>
            </w:pPr>
          </w:p>
        </w:tc>
      </w:tr>
      <w:tr>
        <w:trPr>
          <w:trHeight w:val="207"/>
        </w:trPr>
        <w:tc>
          <w:tcPr>
            <w:tcW w:w="514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7"/>
        </w:trPr>
        <w:tc>
          <w:tcPr>
            <w:tcW w:w="51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Noncurrent liabilities</w:t>
            </w:r>
          </w:p>
        </w:tc>
        <w:tc>
          <w:tcPr>
            <w:tcW w:w="2520" w:type="dxa"/>
            <w:vAlign w:val="bottom"/>
            <w:tcBorders>
              <w:bottom w:val="single" w:sz="8" w:color="auto"/>
            </w:tcBorders>
            <w:shd w:val="clear" w:color="auto" w:fill="E5E9F3"/>
          </w:tcPr>
          <w:p>
            <w:pPr>
              <w:spacing w:after="0"/>
              <w:rPr>
                <w:sz w:val="17"/>
                <w:szCs w:val="17"/>
                <w:color w:val="auto"/>
              </w:rPr>
            </w:pPr>
          </w:p>
        </w:tc>
        <w:tc>
          <w:tcPr>
            <w:tcW w:w="138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auto"/>
            </w:tcBorders>
            <w:shd w:val="clear" w:color="auto" w:fill="E5E9F3"/>
          </w:tcPr>
          <w:p>
            <w:pPr>
              <w:spacing w:after="0"/>
              <w:rPr>
                <w:sz w:val="17"/>
                <w:szCs w:val="17"/>
                <w:color w:val="auto"/>
              </w:rPr>
            </w:pPr>
          </w:p>
        </w:tc>
        <w:tc>
          <w:tcPr>
            <w:tcW w:w="13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(9.1)</w:t>
            </w:r>
          </w:p>
        </w:tc>
      </w:tr>
      <w:tr>
        <w:trPr>
          <w:trHeight w:val="197"/>
        </w:trPr>
        <w:tc>
          <w:tcPr>
            <w:tcW w:w="5140" w:type="dxa"/>
            <w:vAlign w:val="bottom"/>
            <w:tcBorders>
              <w:bottom w:val="single" w:sz="8" w:color="auto"/>
            </w:tcBorders>
          </w:tcPr>
          <w:p>
            <w:pPr>
              <w:ind w:left="100"/>
              <w:spacing w:after="0" w:line="197" w:lineRule="exact"/>
              <w:rPr>
                <w:sz w:val="20"/>
                <w:szCs w:val="20"/>
                <w:color w:val="auto"/>
              </w:rPr>
            </w:pPr>
            <w:r>
              <w:rPr>
                <w:rFonts w:ascii="Arial" w:cs="Arial" w:eastAsia="Arial" w:hAnsi="Arial"/>
                <w:sz w:val="18"/>
                <w:szCs w:val="18"/>
                <w:color w:val="auto"/>
              </w:rPr>
              <w:t>Net amount recognized</w:t>
            </w:r>
          </w:p>
        </w:tc>
        <w:tc>
          <w:tcPr>
            <w:tcW w:w="2520" w:type="dxa"/>
            <w:vAlign w:val="bottom"/>
            <w:tcBorders>
              <w:bottom w:val="single" w:sz="8" w:color="auto"/>
            </w:tcBorders>
          </w:tcPr>
          <w:p>
            <w:pPr>
              <w:jc w:val="right"/>
              <w:ind w:right="170"/>
              <w:spacing w:after="0" w:line="197"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1"/>
              <w:spacing w:after="0" w:line="197" w:lineRule="exact"/>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jc w:val="right"/>
              <w:ind w:right="150"/>
              <w:spacing w:after="0" w:line="197"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(10.2)</w:t>
            </w:r>
          </w:p>
        </w:tc>
      </w:tr>
    </w:tbl>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amount recognized in accumulated other comprehensive loss, net of tax, consists of a net gain of $1.1 and $0.3 as of December 31, 2024 and 2023, respectively, and a prior service credit of $0.4 and $1.0 as of December 31, 2024 and 2023, respectively.</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discount rate used in the measurement of the benefit obligation was 5.5% and 4.9% in 2024 and 2023, respectively. The discount rate used in the measurement of net periodic benefit cost was 4.9%, 5.1% and 2.6% in 2024, 2023 and 2022, respectively.</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components of net periodic benefit cost and other amounts recognized in other comprehensive income/loss for this plan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top w:val="single" w:sz="8" w:color="auto"/>
              <w:bottom w:val="single" w:sz="8" w:color="auto"/>
            </w:tcBorders>
            <w:shd w:val="clear" w:color="auto" w:fill="97AAD0"/>
          </w:tcPr>
          <w:p>
            <w:pPr>
              <w:spacing w:after="0"/>
              <w:rPr>
                <w:sz w:val="18"/>
                <w:szCs w:val="18"/>
                <w:color w:val="auto"/>
              </w:rPr>
            </w:pPr>
          </w:p>
        </w:tc>
        <w:tc>
          <w:tcPr>
            <w:tcW w:w="1180" w:type="dxa"/>
            <w:vAlign w:val="bottom"/>
            <w:tcBorders>
              <w:top w:val="single" w:sz="8" w:color="auto"/>
              <w:bottom w:val="single" w:sz="8" w:color="auto"/>
            </w:tcBorders>
            <w:shd w:val="clear" w:color="auto" w:fill="97AAD0"/>
          </w:tcPr>
          <w:p>
            <w:pPr>
              <w:jc w:val="right"/>
              <w:ind w:right="551"/>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shd w:val="clear" w:color="auto" w:fill="97AAD0"/>
          </w:tcPr>
          <w:p>
            <w:pPr>
              <w:spacing w:after="0"/>
              <w:rPr>
                <w:sz w:val="18"/>
                <w:szCs w:val="18"/>
                <w:color w:val="auto"/>
              </w:rPr>
            </w:pPr>
          </w:p>
        </w:tc>
        <w:tc>
          <w:tcPr>
            <w:tcW w:w="1180" w:type="dxa"/>
            <w:vAlign w:val="bottom"/>
            <w:tcBorders>
              <w:top w:val="single" w:sz="8" w:color="auto"/>
              <w:bottom w:val="single" w:sz="8" w:color="auto"/>
            </w:tcBorders>
            <w:shd w:val="clear" w:color="auto" w:fill="97AAD0"/>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shd w:val="clear" w:color="auto" w:fill="97AAD0"/>
          </w:tcPr>
          <w:p>
            <w:pPr>
              <w:spacing w:after="0"/>
              <w:rPr>
                <w:sz w:val="18"/>
                <w:szCs w:val="18"/>
                <w:color w:val="auto"/>
              </w:rPr>
            </w:pPr>
          </w:p>
        </w:tc>
        <w:tc>
          <w:tcPr>
            <w:tcW w:w="1140" w:type="dxa"/>
            <w:vAlign w:val="bottom"/>
            <w:tcBorders>
              <w:top w:val="single" w:sz="8" w:color="auto"/>
              <w:bottom w:val="single" w:sz="8" w:color="auto"/>
            </w:tcBorders>
            <w:shd w:val="clear" w:color="auto" w:fill="97AAD0"/>
          </w:tcPr>
          <w:p>
            <w:pPr>
              <w:jc w:val="right"/>
              <w:ind w:right="511"/>
              <w:spacing w:after="0"/>
              <w:rPr>
                <w:sz w:val="20"/>
                <w:szCs w:val="20"/>
                <w:color w:val="auto"/>
              </w:rPr>
            </w:pPr>
            <w:r>
              <w:rPr>
                <w:rFonts w:ascii="Arial" w:cs="Arial" w:eastAsia="Arial" w:hAnsi="Arial"/>
                <w:sz w:val="16"/>
                <w:szCs w:val="16"/>
                <w:b w:val="1"/>
                <w:bCs w:val="1"/>
                <w:color w:val="auto"/>
              </w:rPr>
              <w:t>2022</w:t>
            </w:r>
          </w:p>
        </w:tc>
      </w:tr>
      <w:tr>
        <w:trPr>
          <w:trHeight w:val="197"/>
        </w:trPr>
        <w:tc>
          <w:tcPr>
            <w:tcW w:w="602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b w:val="1"/>
                <w:bCs w:val="1"/>
                <w:color w:val="auto"/>
              </w:rPr>
              <w:t>Net Periodic Benefit Credit</w:t>
            </w:r>
          </w:p>
        </w:tc>
        <w:tc>
          <w:tcPr>
            <w:tcW w:w="52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80" w:type="dxa"/>
            <w:vAlign w:val="bottom"/>
            <w:shd w:val="clear" w:color="auto" w:fill="E5E9F3"/>
          </w:tcPr>
          <w:p>
            <w:pPr>
              <w:spacing w:after="0"/>
              <w:rPr>
                <w:sz w:val="17"/>
                <w:szCs w:val="17"/>
                <w:color w:val="auto"/>
              </w:rPr>
            </w:pPr>
          </w:p>
        </w:tc>
        <w:tc>
          <w:tcPr>
            <w:tcW w:w="380" w:type="dxa"/>
            <w:vAlign w:val="bottom"/>
            <w:shd w:val="clear" w:color="auto" w:fill="E5E9F3"/>
          </w:tcPr>
          <w:p>
            <w:pPr>
              <w:spacing w:after="0"/>
              <w:rPr>
                <w:sz w:val="17"/>
                <w:szCs w:val="17"/>
                <w:color w:val="auto"/>
              </w:rPr>
            </w:pPr>
          </w:p>
        </w:tc>
        <w:tc>
          <w:tcPr>
            <w:tcW w:w="1140" w:type="dxa"/>
            <w:vAlign w:val="bottom"/>
            <w:shd w:val="clear" w:color="auto" w:fill="E5E9F3"/>
          </w:tcPr>
          <w:p>
            <w:pPr>
              <w:spacing w:after="0"/>
              <w:rPr>
                <w:sz w:val="17"/>
                <w:szCs w:val="17"/>
                <w:color w:val="auto"/>
              </w:rPr>
            </w:pPr>
          </w:p>
        </w:tc>
      </w:tr>
      <w:tr>
        <w:trPr>
          <w:trHeight w:val="207"/>
        </w:trPr>
        <w:tc>
          <w:tcPr>
            <w:tcW w:w="602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07"/>
        </w:trPr>
        <w:tc>
          <w:tcPr>
            <w:tcW w:w="6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E5E9F3"/>
          </w:tcPr>
          <w:p>
            <w:pPr>
              <w:spacing w:after="0"/>
              <w:rPr>
                <w:sz w:val="17"/>
                <w:szCs w:val="17"/>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9F3"/>
          </w:tcPr>
          <w:p>
            <w:pPr>
              <w:spacing w:after="0"/>
              <w:rPr>
                <w:sz w:val="17"/>
                <w:szCs w:val="17"/>
                <w:color w:val="auto"/>
              </w:rPr>
            </w:pPr>
          </w:p>
        </w:tc>
        <w:tc>
          <w:tcPr>
            <w:tcW w:w="1180" w:type="dxa"/>
            <w:vAlign w:val="bottom"/>
            <w:shd w:val="clear" w:color="auto" w:fill="E5E9F3"/>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9F3"/>
          </w:tcPr>
          <w:p>
            <w:pPr>
              <w:spacing w:after="0"/>
              <w:rPr>
                <w:sz w:val="17"/>
                <w:szCs w:val="17"/>
                <w:color w:val="auto"/>
              </w:rPr>
            </w:pPr>
          </w:p>
        </w:tc>
        <w:tc>
          <w:tcPr>
            <w:tcW w:w="114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0.2</w:t>
            </w:r>
          </w:p>
        </w:tc>
      </w:tr>
      <w:tr>
        <w:trPr>
          <w:trHeight w:val="207"/>
        </w:trPr>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Prior service credit</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197"/>
        </w:trPr>
        <w:tc>
          <w:tcPr>
            <w:tcW w:w="6020" w:type="dxa"/>
            <w:vAlign w:val="bottom"/>
            <w:tcBorders>
              <w:bottom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Net periodic benefit credit</w:t>
            </w:r>
          </w:p>
        </w:tc>
        <w:tc>
          <w:tcPr>
            <w:tcW w:w="520" w:type="dxa"/>
            <w:vAlign w:val="bottom"/>
            <w:tcBorders>
              <w:bottom w:val="single" w:sz="8" w:color="auto"/>
            </w:tcBorders>
            <w:shd w:val="clear" w:color="auto" w:fill="E5E9F3"/>
          </w:tcPr>
          <w:p>
            <w:pPr>
              <w:jc w:val="right"/>
              <w:ind w:right="90"/>
              <w:spacing w:after="0" w:line="197"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shd w:val="clear" w:color="auto" w:fill="E5E9F3"/>
          </w:tcPr>
          <w:p>
            <w:pPr>
              <w:jc w:val="right"/>
              <w:ind w:right="90"/>
              <w:spacing w:after="0" w:line="197"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shd w:val="clear" w:color="auto" w:fill="E5E9F3"/>
          </w:tcPr>
          <w:p>
            <w:pPr>
              <w:jc w:val="right"/>
              <w:ind w:right="90"/>
              <w:spacing w:after="0" w:line="197"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(0.3)</w:t>
            </w:r>
          </w:p>
        </w:tc>
      </w:tr>
      <w:tr>
        <w:trPr>
          <w:trHeight w:val="177"/>
        </w:trPr>
        <w:tc>
          <w:tcPr>
            <w:tcW w:w="602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Other Changes in Plan Assets and Benefit Obligations Recognized</w:t>
            </w: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7"/>
        </w:trPr>
        <w:tc>
          <w:tcPr>
            <w:tcW w:w="6020" w:type="dxa"/>
            <w:vAlign w:val="bottom"/>
          </w:tcPr>
          <w:p>
            <w:pPr>
              <w:ind w:left="260"/>
              <w:spacing w:after="0"/>
              <w:rPr>
                <w:sz w:val="20"/>
                <w:szCs w:val="20"/>
                <w:color w:val="auto"/>
              </w:rPr>
            </w:pPr>
            <w:r>
              <w:rPr>
                <w:rFonts w:ascii="Arial" w:cs="Arial" w:eastAsia="Arial" w:hAnsi="Arial"/>
                <w:sz w:val="18"/>
                <w:szCs w:val="18"/>
                <w:b w:val="1"/>
                <w:bCs w:val="1"/>
                <w:color w:val="auto"/>
              </w:rPr>
              <w:t>in Other Comprehensive Income/Loss</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6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Net gain</w:t>
            </w:r>
          </w:p>
        </w:tc>
        <w:tc>
          <w:tcPr>
            <w:tcW w:w="52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(2.0)</w:t>
            </w:r>
          </w:p>
        </w:tc>
      </w:tr>
      <w:tr>
        <w:trPr>
          <w:trHeight w:val="207"/>
        </w:trPr>
        <w:tc>
          <w:tcPr>
            <w:tcW w:w="602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52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07"/>
        </w:trPr>
        <w:tc>
          <w:tcPr>
            <w:tcW w:w="60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Amortization of prior service credit</w:t>
            </w:r>
          </w:p>
        </w:tc>
        <w:tc>
          <w:tcPr>
            <w:tcW w:w="520" w:type="dxa"/>
            <w:vAlign w:val="bottom"/>
            <w:tcBorders>
              <w:bottom w:val="single" w:sz="8" w:color="auto"/>
            </w:tcBorders>
            <w:shd w:val="clear" w:color="auto" w:fill="E5E9F3"/>
          </w:tcPr>
          <w:p>
            <w:pPr>
              <w:spacing w:after="0"/>
              <w:rPr>
                <w:sz w:val="17"/>
                <w:szCs w:val="17"/>
                <w:color w:val="auto"/>
              </w:rPr>
            </w:pPr>
          </w:p>
        </w:tc>
        <w:tc>
          <w:tcPr>
            <w:tcW w:w="11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shd w:val="clear" w:color="auto" w:fill="E5E9F3"/>
          </w:tcPr>
          <w:p>
            <w:pPr>
              <w:spacing w:after="0"/>
              <w:rPr>
                <w:sz w:val="17"/>
                <w:szCs w:val="17"/>
                <w:color w:val="auto"/>
              </w:rPr>
            </w:pPr>
          </w:p>
        </w:tc>
        <w:tc>
          <w:tcPr>
            <w:tcW w:w="1180" w:type="dxa"/>
            <w:vAlign w:val="bottom"/>
            <w:tcBorders>
              <w:bottom w:val="single" w:sz="8" w:color="auto"/>
            </w:tcBorders>
            <w:shd w:val="clear" w:color="auto" w:fill="E5E9F3"/>
          </w:tcPr>
          <w:p>
            <w:pPr>
              <w:jc w:val="right"/>
              <w:ind w:right="71"/>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shd w:val="clear" w:color="auto" w:fill="E5E9F3"/>
          </w:tcPr>
          <w:p>
            <w:pPr>
              <w:spacing w:after="0"/>
              <w:rPr>
                <w:sz w:val="17"/>
                <w:szCs w:val="17"/>
                <w:color w:val="auto"/>
              </w:rPr>
            </w:pPr>
          </w:p>
        </w:tc>
        <w:tc>
          <w:tcPr>
            <w:tcW w:w="114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0.8</w:t>
            </w:r>
          </w:p>
        </w:tc>
      </w:tr>
      <w:tr>
        <w:trPr>
          <w:trHeight w:val="197"/>
        </w:trPr>
        <w:tc>
          <w:tcPr>
            <w:tcW w:w="6020" w:type="dxa"/>
            <w:vAlign w:val="bottom"/>
            <w:tcBorders>
              <w:bottom w:val="single" w:sz="8" w:color="auto"/>
            </w:tcBorders>
          </w:tcPr>
          <w:p>
            <w:pPr>
              <w:ind w:left="100"/>
              <w:spacing w:after="0" w:line="197" w:lineRule="exact"/>
              <w:rPr>
                <w:sz w:val="20"/>
                <w:szCs w:val="20"/>
                <w:color w:val="auto"/>
              </w:rPr>
            </w:pPr>
            <w:r>
              <w:rPr>
                <w:rFonts w:ascii="Arial" w:cs="Arial" w:eastAsia="Arial" w:hAnsi="Arial"/>
                <w:sz w:val="18"/>
                <w:szCs w:val="18"/>
                <w:color w:val="auto"/>
              </w:rPr>
              <w:t>Total recognized in other comprehensive income/loss</w:t>
            </w: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(1.4)</w:t>
            </w:r>
          </w:p>
        </w:tc>
      </w:tr>
      <w:tr>
        <w:trPr>
          <w:trHeight w:val="179"/>
        </w:trPr>
        <w:tc>
          <w:tcPr>
            <w:tcW w:w="6020" w:type="dxa"/>
            <w:vAlign w:val="bottom"/>
            <w:shd w:val="clear" w:color="auto" w:fill="E5E9F3"/>
          </w:tcPr>
          <w:p>
            <w:pPr>
              <w:ind w:left="100"/>
              <w:spacing w:after="0" w:line="179" w:lineRule="exact"/>
              <w:rPr>
                <w:sz w:val="20"/>
                <w:szCs w:val="20"/>
                <w:color w:val="auto"/>
              </w:rPr>
            </w:pPr>
            <w:r>
              <w:rPr>
                <w:rFonts w:ascii="Arial" w:cs="Arial" w:eastAsia="Arial" w:hAnsi="Arial"/>
                <w:sz w:val="18"/>
                <w:szCs w:val="18"/>
                <w:color w:val="auto"/>
              </w:rPr>
              <w:t>Total recognized in net periodic benefit cost and other comprehensive</w:t>
            </w:r>
          </w:p>
        </w:tc>
        <w:tc>
          <w:tcPr>
            <w:tcW w:w="520" w:type="dxa"/>
            <w:vAlign w:val="bottom"/>
            <w:shd w:val="clear" w:color="auto" w:fill="E5E9F3"/>
          </w:tcPr>
          <w:p>
            <w:pPr>
              <w:spacing w:after="0"/>
              <w:rPr>
                <w:sz w:val="15"/>
                <w:szCs w:val="15"/>
                <w:color w:val="auto"/>
              </w:rPr>
            </w:pPr>
          </w:p>
        </w:tc>
        <w:tc>
          <w:tcPr>
            <w:tcW w:w="1180" w:type="dxa"/>
            <w:vAlign w:val="bottom"/>
            <w:shd w:val="clear" w:color="auto" w:fill="E5E9F3"/>
          </w:tcPr>
          <w:p>
            <w:pPr>
              <w:spacing w:after="0"/>
              <w:rPr>
                <w:sz w:val="15"/>
                <w:szCs w:val="15"/>
                <w:color w:val="auto"/>
              </w:rPr>
            </w:pPr>
          </w:p>
        </w:tc>
        <w:tc>
          <w:tcPr>
            <w:tcW w:w="380" w:type="dxa"/>
            <w:vAlign w:val="bottom"/>
            <w:shd w:val="clear" w:color="auto" w:fill="E5E9F3"/>
          </w:tcPr>
          <w:p>
            <w:pPr>
              <w:spacing w:after="0"/>
              <w:rPr>
                <w:sz w:val="15"/>
                <w:szCs w:val="15"/>
                <w:color w:val="auto"/>
              </w:rPr>
            </w:pPr>
          </w:p>
        </w:tc>
        <w:tc>
          <w:tcPr>
            <w:tcW w:w="1180" w:type="dxa"/>
            <w:vAlign w:val="bottom"/>
            <w:shd w:val="clear" w:color="auto" w:fill="E5E9F3"/>
          </w:tcPr>
          <w:p>
            <w:pPr>
              <w:spacing w:after="0"/>
              <w:rPr>
                <w:sz w:val="15"/>
                <w:szCs w:val="15"/>
                <w:color w:val="auto"/>
              </w:rPr>
            </w:pPr>
          </w:p>
        </w:tc>
        <w:tc>
          <w:tcPr>
            <w:tcW w:w="380" w:type="dxa"/>
            <w:vAlign w:val="bottom"/>
            <w:shd w:val="clear" w:color="auto" w:fill="E5E9F3"/>
          </w:tcPr>
          <w:p>
            <w:pPr>
              <w:spacing w:after="0"/>
              <w:rPr>
                <w:sz w:val="15"/>
                <w:szCs w:val="15"/>
                <w:color w:val="auto"/>
              </w:rPr>
            </w:pPr>
          </w:p>
        </w:tc>
        <w:tc>
          <w:tcPr>
            <w:tcW w:w="1140" w:type="dxa"/>
            <w:vAlign w:val="bottom"/>
            <w:shd w:val="clear" w:color="auto" w:fill="E5E9F3"/>
          </w:tcPr>
          <w:p>
            <w:pPr>
              <w:spacing w:after="0"/>
              <w:rPr>
                <w:sz w:val="15"/>
                <w:szCs w:val="15"/>
                <w:color w:val="auto"/>
              </w:rPr>
            </w:pPr>
          </w:p>
        </w:tc>
      </w:tr>
      <w:tr>
        <w:trPr>
          <w:trHeight w:val="225"/>
        </w:trPr>
        <w:tc>
          <w:tcPr>
            <w:tcW w:w="6020" w:type="dxa"/>
            <w:vAlign w:val="bottom"/>
            <w:tcBorders>
              <w:bottom w:val="single" w:sz="8" w:color="auto"/>
            </w:tcBorders>
            <w:shd w:val="clear" w:color="auto" w:fill="E5E9F3"/>
          </w:tcPr>
          <w:p>
            <w:pPr>
              <w:ind w:left="260"/>
              <w:spacing w:after="0"/>
              <w:rPr>
                <w:sz w:val="20"/>
                <w:szCs w:val="20"/>
                <w:color w:val="auto"/>
              </w:rPr>
            </w:pPr>
            <w:r>
              <w:rPr>
                <w:rFonts w:ascii="Arial" w:cs="Arial" w:eastAsia="Arial" w:hAnsi="Arial"/>
                <w:sz w:val="18"/>
                <w:szCs w:val="18"/>
                <w:color w:val="auto"/>
              </w:rPr>
              <w:t>income/loss</w:t>
            </w:r>
          </w:p>
        </w:tc>
        <w:tc>
          <w:tcPr>
            <w:tcW w:w="52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(1.7)</w:t>
            </w:r>
          </w:p>
        </w:tc>
      </w:tr>
    </w:tbl>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estimated prior service credit for the retiree health care plan that will be amortized from accumulated other comprehensive income/loss into net periodic benefit cost during 2025 is $0.8. No net gain/loss is estimated to be amortized in 2025.</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health care cost trend rate is assumed to be 8.3% in 2025, decreasing gradually to an ultimate rate of 4.5% in 2035.</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Assumed health care cost trend rates are not expected to have a material effect on the amounts reported.</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10800"/>
          </w:cols>
          <w:pgMar w:left="720" w:top="734" w:right="720" w:bottom="175" w:gutter="0" w:footer="0" w:header="0"/>
          <w:type w:val="continuous"/>
        </w:sectPr>
      </w:pPr>
    </w:p>
    <w:bookmarkStart w:id="84" w:name="page85"/>
    <w:bookmarkEnd w:id="84"/>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4" o:spid="_x0000_s113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Future Contributions and Payments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During 2025, we plan to contribute approximately $16.0 to our pension plans and to fund our retiree health care payments as incurred. Projected benefit payments from the plans as of December 31, 2024 were estimated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Borders>
              <w:top w:val="single" w:sz="8" w:color="auto"/>
            </w:tcBorders>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w:t>
            </w:r>
          </w:p>
        </w:tc>
        <w:tc>
          <w:tcPr>
            <w:tcW w:w="2480" w:type="dxa"/>
            <w:vAlign w:val="bottom"/>
            <w:tcBorders>
              <w:top w:val="single" w:sz="8" w:color="auto"/>
            </w:tcBorders>
            <w:shd w:val="clear" w:color="auto" w:fill="97AAD0"/>
          </w:tcPr>
          <w:p>
            <w:pPr>
              <w:spacing w:after="0"/>
              <w:rPr>
                <w:sz w:val="15"/>
                <w:szCs w:val="15"/>
                <w:color w:val="auto"/>
              </w:rPr>
            </w:pPr>
          </w:p>
        </w:tc>
        <w:tc>
          <w:tcPr>
            <w:tcW w:w="1520" w:type="dxa"/>
            <w:vAlign w:val="bottom"/>
            <w:tcBorders>
              <w:top w:val="single" w:sz="8" w:color="auto"/>
            </w:tcBorders>
            <w:vMerge w:val="restart"/>
            <w:shd w:val="clear" w:color="auto" w:fill="97AAD0"/>
          </w:tcPr>
          <w:p>
            <w:pPr>
              <w:jc w:val="right"/>
              <w:ind w:right="291"/>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Borders>
              <w:top w:val="single" w:sz="8" w:color="auto"/>
            </w:tcBorders>
            <w:shd w:val="clear" w:color="auto" w:fill="97AAD0"/>
          </w:tcPr>
          <w:p>
            <w:pPr>
              <w:spacing w:after="0"/>
              <w:rPr>
                <w:sz w:val="15"/>
                <w:szCs w:val="15"/>
                <w:color w:val="auto"/>
              </w:rPr>
            </w:pPr>
          </w:p>
        </w:tc>
        <w:tc>
          <w:tcPr>
            <w:tcW w:w="1500" w:type="dxa"/>
            <w:vAlign w:val="bottom"/>
            <w:tcBorders>
              <w:top w:val="single" w:sz="8" w:color="auto"/>
            </w:tcBorders>
            <w:shd w:val="clear" w:color="auto" w:fill="97AAD0"/>
          </w:tcPr>
          <w:p>
            <w:pPr>
              <w:jc w:val="right"/>
              <w:ind w:right="272"/>
              <w:spacing w:after="0" w:line="175" w:lineRule="exact"/>
              <w:rPr>
                <w:sz w:val="20"/>
                <w:szCs w:val="20"/>
                <w:color w:val="auto"/>
              </w:rPr>
            </w:pPr>
            <w:r>
              <w:rPr>
                <w:rFonts w:ascii="Arial" w:cs="Arial" w:eastAsia="Arial" w:hAnsi="Arial"/>
                <w:sz w:val="16"/>
                <w:szCs w:val="16"/>
                <w:b w:val="1"/>
                <w:bCs w:val="1"/>
                <w:color w:val="auto"/>
              </w:rPr>
              <w:t>Retiree Health</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tcBorders>
            <w:vMerge w:val="continue"/>
            <w:shd w:val="clear" w:color="auto" w:fill="97AAD0"/>
          </w:tcPr>
          <w:p>
            <w:pPr>
              <w:spacing w:after="0"/>
              <w:rPr>
                <w:sz w:val="19"/>
                <w:szCs w:val="19"/>
                <w:color w:val="auto"/>
              </w:rPr>
            </w:pPr>
          </w:p>
        </w:tc>
        <w:tc>
          <w:tcPr>
            <w:tcW w:w="2480" w:type="dxa"/>
            <w:vAlign w:val="bottom"/>
            <w:tcBorders>
              <w:bottom w:val="single" w:sz="8" w:color="auto"/>
            </w:tcBorders>
            <w:shd w:val="clear" w:color="auto" w:fill="97AAD0"/>
          </w:tcPr>
          <w:p>
            <w:pPr>
              <w:spacing w:after="0"/>
              <w:rPr>
                <w:sz w:val="19"/>
                <w:szCs w:val="19"/>
                <w:color w:val="auto"/>
              </w:rPr>
            </w:pPr>
          </w:p>
        </w:tc>
        <w:tc>
          <w:tcPr>
            <w:tcW w:w="1520" w:type="dxa"/>
            <w:vAlign w:val="bottom"/>
            <w:tcBorders>
              <w:bottom w:val="single" w:sz="8" w:color="auto"/>
            </w:tcBorders>
            <w:vMerge w:val="continue"/>
            <w:shd w:val="clear" w:color="auto" w:fill="97AAD0"/>
          </w:tcPr>
          <w:p>
            <w:pPr>
              <w:spacing w:after="0"/>
              <w:rPr>
                <w:sz w:val="19"/>
                <w:szCs w:val="19"/>
                <w:color w:val="auto"/>
              </w:rPr>
            </w:pPr>
          </w:p>
        </w:tc>
        <w:tc>
          <w:tcPr>
            <w:tcW w:w="300" w:type="dxa"/>
            <w:vAlign w:val="bottom"/>
            <w:tcBorders>
              <w:bottom w:val="single" w:sz="8" w:color="auto"/>
            </w:tcBorders>
            <w:shd w:val="clear" w:color="auto" w:fill="97AAD0"/>
          </w:tcPr>
          <w:p>
            <w:pPr>
              <w:spacing w:after="0"/>
              <w:rPr>
                <w:sz w:val="19"/>
                <w:szCs w:val="19"/>
                <w:color w:val="auto"/>
              </w:rPr>
            </w:pPr>
          </w:p>
        </w:tc>
        <w:tc>
          <w:tcPr>
            <w:tcW w:w="1500" w:type="dxa"/>
            <w:vAlign w:val="bottom"/>
            <w:tcBorders>
              <w:bottom w:val="single" w:sz="8" w:color="auto"/>
            </w:tcBorders>
            <w:shd w:val="clear" w:color="auto" w:fill="97AAD0"/>
          </w:tcPr>
          <w:p>
            <w:pPr>
              <w:jc w:val="right"/>
              <w:ind w:right="432"/>
              <w:spacing w:after="0"/>
              <w:rPr>
                <w:sz w:val="20"/>
                <w:szCs w:val="20"/>
                <w:color w:val="auto"/>
              </w:rPr>
            </w:pPr>
            <w:r>
              <w:rPr>
                <w:rFonts w:ascii="Arial" w:cs="Arial" w:eastAsia="Arial" w:hAnsi="Arial"/>
                <w:sz w:val="16"/>
                <w:szCs w:val="16"/>
                <w:b w:val="1"/>
                <w:bCs w:val="1"/>
                <w:color w:val="auto"/>
              </w:rPr>
              <w:t>Care Plan</w:t>
            </w:r>
          </w:p>
        </w:tc>
        <w:tc>
          <w:tcPr>
            <w:tcW w:w="0" w:type="dxa"/>
            <w:vAlign w:val="bottom"/>
          </w:tcPr>
          <w:p>
            <w:pPr>
              <w:spacing w:after="0"/>
              <w:rPr>
                <w:sz w:val="1"/>
                <w:szCs w:val="1"/>
                <w:color w:val="auto"/>
              </w:rPr>
            </w:pPr>
          </w:p>
        </w:tc>
      </w:tr>
      <w:tr>
        <w:trPr>
          <w:trHeight w:val="197"/>
        </w:trPr>
        <w:tc>
          <w:tcPr>
            <w:tcW w:w="5000" w:type="dxa"/>
            <w:vAlign w:val="bottom"/>
            <w:shd w:val="clear" w:color="auto" w:fill="E5E9F3"/>
          </w:tcPr>
          <w:p>
            <w:pPr>
              <w:ind w:left="100"/>
              <w:spacing w:after="0" w:line="197" w:lineRule="exact"/>
              <w:rPr>
                <w:sz w:val="20"/>
                <w:szCs w:val="20"/>
                <w:color w:val="auto"/>
              </w:rPr>
            </w:pPr>
            <w:r>
              <w:rPr>
                <w:rFonts w:ascii="Arial" w:cs="Arial" w:eastAsia="Arial" w:hAnsi="Arial"/>
                <w:sz w:val="18"/>
                <w:szCs w:val="18"/>
                <w:color w:val="auto"/>
              </w:rPr>
              <w:t>2025</w:t>
            </w:r>
          </w:p>
        </w:tc>
        <w:tc>
          <w:tcPr>
            <w:tcW w:w="2480" w:type="dxa"/>
            <w:vAlign w:val="bottom"/>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520" w:type="dxa"/>
            <w:vAlign w:val="bottom"/>
            <w:shd w:val="clear" w:color="auto" w:fill="E5E9F3"/>
          </w:tcPr>
          <w:p>
            <w:pPr>
              <w:jc w:val="right"/>
              <w:ind w:right="51"/>
              <w:spacing w:after="0" w:line="197" w:lineRule="exact"/>
              <w:rPr>
                <w:sz w:val="20"/>
                <w:szCs w:val="20"/>
                <w:color w:val="auto"/>
              </w:rPr>
            </w:pPr>
            <w:r>
              <w:rPr>
                <w:rFonts w:ascii="Arial" w:cs="Arial" w:eastAsia="Arial" w:hAnsi="Arial"/>
                <w:sz w:val="18"/>
                <w:szCs w:val="18"/>
                <w:color w:val="auto"/>
              </w:rPr>
              <w:t>62.1</w:t>
            </w:r>
          </w:p>
        </w:tc>
        <w:tc>
          <w:tcPr>
            <w:tcW w:w="300" w:type="dxa"/>
            <w:vAlign w:val="bottom"/>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500" w:type="dxa"/>
            <w:vAlign w:val="bottom"/>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7"/>
        </w:trPr>
        <w:tc>
          <w:tcPr>
            <w:tcW w:w="5000" w:type="dxa"/>
            <w:vAlign w:val="bottom"/>
          </w:tcPr>
          <w:p>
            <w:pPr>
              <w:ind w:left="100"/>
              <w:spacing w:after="0"/>
              <w:rPr>
                <w:sz w:val="20"/>
                <w:szCs w:val="20"/>
                <w:color w:val="auto"/>
              </w:rPr>
            </w:pPr>
            <w:r>
              <w:rPr>
                <w:rFonts w:ascii="Arial" w:cs="Arial" w:eastAsia="Arial" w:hAnsi="Arial"/>
                <w:sz w:val="18"/>
                <w:szCs w:val="18"/>
                <w:color w:val="auto"/>
              </w:rPr>
              <w:t>2026</w:t>
            </w:r>
          </w:p>
        </w:tc>
        <w:tc>
          <w:tcPr>
            <w:tcW w:w="2480" w:type="dxa"/>
            <w:vAlign w:val="bottom"/>
          </w:tcPr>
          <w:p>
            <w:pPr>
              <w:spacing w:after="0"/>
              <w:rPr>
                <w:sz w:val="17"/>
                <w:szCs w:val="17"/>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7"/>
                <w:szCs w:val="17"/>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7"/>
        </w:trPr>
        <w:tc>
          <w:tcPr>
            <w:tcW w:w="5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2027</w:t>
            </w:r>
          </w:p>
        </w:tc>
        <w:tc>
          <w:tcPr>
            <w:tcW w:w="2480" w:type="dxa"/>
            <w:vAlign w:val="bottom"/>
            <w:shd w:val="clear" w:color="auto" w:fill="E5E9F3"/>
          </w:tcPr>
          <w:p>
            <w:pPr>
              <w:spacing w:after="0"/>
              <w:rPr>
                <w:sz w:val="17"/>
                <w:szCs w:val="17"/>
                <w:color w:val="auto"/>
              </w:rPr>
            </w:pPr>
          </w:p>
        </w:tc>
        <w:tc>
          <w:tcPr>
            <w:tcW w:w="152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E5E9F3"/>
          </w:tcPr>
          <w:p>
            <w:pPr>
              <w:spacing w:after="0"/>
              <w:rPr>
                <w:sz w:val="17"/>
                <w:szCs w:val="17"/>
                <w:color w:val="auto"/>
              </w:rPr>
            </w:pPr>
          </w:p>
        </w:tc>
        <w:tc>
          <w:tcPr>
            <w:tcW w:w="150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7"/>
        </w:trPr>
        <w:tc>
          <w:tcPr>
            <w:tcW w:w="5000" w:type="dxa"/>
            <w:vAlign w:val="bottom"/>
          </w:tcPr>
          <w:p>
            <w:pPr>
              <w:ind w:left="100"/>
              <w:spacing w:after="0"/>
              <w:rPr>
                <w:sz w:val="20"/>
                <w:szCs w:val="20"/>
                <w:color w:val="auto"/>
              </w:rPr>
            </w:pPr>
            <w:r>
              <w:rPr>
                <w:rFonts w:ascii="Arial" w:cs="Arial" w:eastAsia="Arial" w:hAnsi="Arial"/>
                <w:sz w:val="18"/>
                <w:szCs w:val="18"/>
                <w:color w:val="auto"/>
              </w:rPr>
              <w:t>2028</w:t>
            </w:r>
          </w:p>
        </w:tc>
        <w:tc>
          <w:tcPr>
            <w:tcW w:w="2480" w:type="dxa"/>
            <w:vAlign w:val="bottom"/>
          </w:tcPr>
          <w:p>
            <w:pPr>
              <w:spacing w:after="0"/>
              <w:rPr>
                <w:sz w:val="17"/>
                <w:szCs w:val="17"/>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7"/>
                <w:szCs w:val="17"/>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7"/>
        </w:trPr>
        <w:tc>
          <w:tcPr>
            <w:tcW w:w="50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2029</w:t>
            </w:r>
          </w:p>
        </w:tc>
        <w:tc>
          <w:tcPr>
            <w:tcW w:w="2480" w:type="dxa"/>
            <w:vAlign w:val="bottom"/>
            <w:shd w:val="clear" w:color="auto" w:fill="E5E9F3"/>
          </w:tcPr>
          <w:p>
            <w:pPr>
              <w:spacing w:after="0"/>
              <w:rPr>
                <w:sz w:val="17"/>
                <w:szCs w:val="17"/>
                <w:color w:val="auto"/>
              </w:rPr>
            </w:pPr>
          </w:p>
        </w:tc>
        <w:tc>
          <w:tcPr>
            <w:tcW w:w="152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E5E9F3"/>
          </w:tcPr>
          <w:p>
            <w:pPr>
              <w:spacing w:after="0"/>
              <w:rPr>
                <w:sz w:val="17"/>
                <w:szCs w:val="17"/>
                <w:color w:val="auto"/>
              </w:rPr>
            </w:pPr>
          </w:p>
        </w:tc>
        <w:tc>
          <w:tcPr>
            <w:tcW w:w="150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2030–2034</w:t>
            </w:r>
          </w:p>
        </w:tc>
        <w:tc>
          <w:tcPr>
            <w:tcW w:w="2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175.0</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7"/>
        </w:trPr>
        <w:tc>
          <w:tcPr>
            <w:tcW w:w="5000" w:type="dxa"/>
            <w:vAlign w:val="bottom"/>
            <w:tcBorders>
              <w:bottom w:val="single" w:sz="8" w:color="auto"/>
            </w:tcBorders>
            <w:shd w:val="clear" w:color="auto" w:fill="E5E9F3"/>
          </w:tcPr>
          <w:p>
            <w:pPr>
              <w:ind w:left="100"/>
              <w:spacing w:after="0" w:line="197" w:lineRule="exact"/>
              <w:rPr>
                <w:sz w:val="20"/>
                <w:szCs w:val="20"/>
                <w:color w:val="auto"/>
              </w:rPr>
            </w:pPr>
            <w:r>
              <w:rPr>
                <w:rFonts w:ascii="Arial" w:cs="Arial" w:eastAsia="Arial" w:hAnsi="Arial"/>
                <w:sz w:val="18"/>
                <w:szCs w:val="18"/>
                <w:color w:val="auto"/>
              </w:rPr>
              <w:t>Total projected benefit payments</w:t>
            </w:r>
          </w:p>
        </w:tc>
        <w:tc>
          <w:tcPr>
            <w:tcW w:w="248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E5E9F3"/>
          </w:tcPr>
          <w:p>
            <w:pPr>
              <w:jc w:val="right"/>
              <w:ind w:right="51"/>
              <w:spacing w:after="0" w:line="197" w:lineRule="exact"/>
              <w:rPr>
                <w:sz w:val="20"/>
                <w:szCs w:val="20"/>
                <w:color w:val="auto"/>
              </w:rPr>
            </w:pPr>
            <w:r>
              <w:rPr>
                <w:rFonts w:ascii="Arial" w:cs="Arial" w:eastAsia="Arial" w:hAnsi="Arial"/>
                <w:sz w:val="18"/>
                <w:szCs w:val="18"/>
                <w:color w:val="auto"/>
              </w:rPr>
              <w:t>372.0</w:t>
            </w:r>
          </w:p>
        </w:tc>
        <w:tc>
          <w:tcPr>
            <w:tcW w:w="300" w:type="dxa"/>
            <w:vAlign w:val="bottom"/>
            <w:tcBorders>
              <w:bottom w:val="single" w:sz="8" w:color="auto"/>
            </w:tcBorders>
            <w:shd w:val="clear" w:color="auto" w:fill="E5E9F3"/>
          </w:tcPr>
          <w:p>
            <w:pPr>
              <w:jc w:val="right"/>
              <w:spacing w:after="0" w:line="197"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E5E9F3"/>
          </w:tcPr>
          <w:p>
            <w:pPr>
              <w:jc w:val="right"/>
              <w:ind w:right="32"/>
              <w:spacing w:after="0" w:line="197"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Defined Contribution Plans and Deferred Compensation Plans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$17.8, $19.2 and $18.4 for the years ended December 31, 2024, 2023 and 2022, respectively. In certain countries with statutory defined contribution plans, we pay a percentage of the employees' salary in pension premiums. The total expense for the statutory defined contribution plans was $24.4, $29.5 and $31.4 for the years ended December 31, 2024, 2023 and 2022, respectively.</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also have deferred compensation plans in the United States. These plans had an asset and liability of $165.4 and $144.2 as of December 31, 2024 and 2023, respectively. We recognized investment gains of $21.7 and $21.9 in 2024 and 2023, respectively, and an investment loss of $23.4 in 2022. These fair value adjustments are fully offset by corresponding impact to compensation expense within selling and administrative expenses.</w:t>
      </w:r>
    </w:p>
    <w:p>
      <w:pPr>
        <w:spacing w:after="0" w:line="233" w:lineRule="exact"/>
        <w:rPr>
          <w:sz w:val="20"/>
          <w:szCs w:val="20"/>
          <w:color w:val="auto"/>
        </w:rPr>
      </w:pPr>
    </w:p>
    <w:p>
      <w:pPr>
        <w:ind w:left="580" w:hanging="580"/>
        <w:spacing w:after="0"/>
        <w:tabs>
          <w:tab w:leader="none" w:pos="580" w:val="left"/>
        </w:tabs>
        <w:numPr>
          <w:ilvl w:val="0"/>
          <w:numId w:val="53"/>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Accumulated Other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accumulated other comprehensive loss, net of tax,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76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top w:val="single" w:sz="8" w:color="auto"/>
              <w:bottom w:val="single" w:sz="8" w:color="auto"/>
            </w:tcBorders>
            <w:shd w:val="clear" w:color="auto" w:fill="97AAD0"/>
          </w:tcPr>
          <w:p>
            <w:pPr>
              <w:spacing w:after="0"/>
              <w:rPr>
                <w:sz w:val="24"/>
                <w:szCs w:val="24"/>
                <w:color w:val="auto"/>
              </w:rPr>
            </w:pPr>
          </w:p>
        </w:tc>
        <w:tc>
          <w:tcPr>
            <w:tcW w:w="1120" w:type="dxa"/>
            <w:vAlign w:val="bottom"/>
            <w:tcBorders>
              <w:top w:val="single" w:sz="8" w:color="auto"/>
              <w:bottom w:val="single" w:sz="8" w:color="auto"/>
            </w:tcBorders>
            <w:shd w:val="clear" w:color="auto" w:fill="97AAD0"/>
          </w:tcPr>
          <w:p>
            <w:pPr>
              <w:jc w:val="right"/>
              <w:ind w:right="531"/>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shd w:val="clear" w:color="auto" w:fill="97AAD0"/>
          </w:tcPr>
          <w:p>
            <w:pPr>
              <w:spacing w:after="0"/>
              <w:rPr>
                <w:sz w:val="24"/>
                <w:szCs w:val="24"/>
                <w:color w:val="auto"/>
              </w:rPr>
            </w:pPr>
          </w:p>
        </w:tc>
        <w:tc>
          <w:tcPr>
            <w:tcW w:w="1040" w:type="dxa"/>
            <w:vAlign w:val="bottom"/>
            <w:tcBorders>
              <w:top w:val="single" w:sz="8" w:color="auto"/>
              <w:bottom w:val="single" w:sz="8" w:color="auto"/>
            </w:tcBorders>
            <w:shd w:val="clear" w:color="auto" w:fill="97AAD0"/>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3"/>
        </w:trPr>
        <w:tc>
          <w:tcPr>
            <w:tcW w:w="7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Foreign currency translation</w:t>
            </w:r>
          </w:p>
        </w:tc>
        <w:tc>
          <w:tcPr>
            <w:tcW w:w="50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(342.2)</w:t>
            </w:r>
          </w:p>
        </w:tc>
        <w:tc>
          <w:tcPr>
            <w:tcW w:w="380" w:type="dxa"/>
            <w:vAlign w:val="bottom"/>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53"/>
        </w:trPr>
        <w:tc>
          <w:tcPr>
            <w:tcW w:w="7760" w:type="dxa"/>
            <w:vAlign w:val="bottom"/>
          </w:tcPr>
          <w:p>
            <w:pPr>
              <w:ind w:left="100"/>
              <w:spacing w:after="0"/>
              <w:rPr>
                <w:sz w:val="20"/>
                <w:szCs w:val="20"/>
                <w:color w:val="auto"/>
              </w:rPr>
            </w:pPr>
            <w:r>
              <w:rPr>
                <w:rFonts w:ascii="Arial" w:cs="Arial" w:eastAsia="Arial" w:hAnsi="Arial"/>
                <w:sz w:val="18"/>
                <w:szCs w:val="18"/>
                <w:color w:val="auto"/>
              </w:rPr>
              <w:t>Translation loss on long-term intercompany loans, net of income taxes of $19.1 on both dates</w:t>
            </w:r>
          </w:p>
        </w:tc>
        <w:tc>
          <w:tcPr>
            <w:tcW w:w="50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(133.2)</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189"/>
        </w:trPr>
        <w:tc>
          <w:tcPr>
            <w:tcW w:w="7760" w:type="dxa"/>
            <w:vAlign w:val="bottom"/>
            <w:shd w:val="clear" w:color="auto" w:fill="E5E9F3"/>
          </w:tcPr>
          <w:p>
            <w:pPr>
              <w:ind w:left="100"/>
              <w:spacing w:after="0" w:line="189" w:lineRule="exact"/>
              <w:rPr>
                <w:sz w:val="20"/>
                <w:szCs w:val="20"/>
                <w:color w:val="auto"/>
              </w:rPr>
            </w:pPr>
            <w:r>
              <w:rPr>
                <w:rFonts w:ascii="Arial" w:cs="Arial" w:eastAsia="Arial" w:hAnsi="Arial"/>
                <w:sz w:val="18"/>
                <w:szCs w:val="18"/>
                <w:color w:val="auto"/>
              </w:rPr>
              <w:t>Gain (loss) on derivative instruments, net of income tax benefit of $(0.7) and $(22.7),</w:t>
            </w:r>
          </w:p>
        </w:tc>
        <w:tc>
          <w:tcPr>
            <w:tcW w:w="500" w:type="dxa"/>
            <w:vAlign w:val="bottom"/>
            <w:shd w:val="clear" w:color="auto" w:fill="E5E9F3"/>
          </w:tcPr>
          <w:p>
            <w:pPr>
              <w:spacing w:after="0"/>
              <w:rPr>
                <w:sz w:val="16"/>
                <w:szCs w:val="16"/>
                <w:color w:val="auto"/>
              </w:rPr>
            </w:pPr>
          </w:p>
        </w:tc>
        <w:tc>
          <w:tcPr>
            <w:tcW w:w="1120" w:type="dxa"/>
            <w:vAlign w:val="bottom"/>
            <w:vMerge w:val="restart"/>
            <w:shd w:val="clear" w:color="auto" w:fill="E5E9F3"/>
          </w:tcPr>
          <w:p>
            <w:pPr>
              <w:jc w:val="right"/>
              <w:ind w:right="111"/>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E5E9F3"/>
          </w:tcPr>
          <w:p>
            <w:pPr>
              <w:spacing w:after="0"/>
              <w:rPr>
                <w:sz w:val="16"/>
                <w:szCs w:val="16"/>
                <w:color w:val="auto"/>
              </w:rPr>
            </w:pPr>
          </w:p>
        </w:tc>
        <w:tc>
          <w:tcPr>
            <w:tcW w:w="104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7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respectively</w:t>
            </w:r>
          </w:p>
        </w:tc>
        <w:tc>
          <w:tcPr>
            <w:tcW w:w="500" w:type="dxa"/>
            <w:vAlign w:val="bottom"/>
            <w:shd w:val="clear" w:color="auto" w:fill="E5E9F3"/>
          </w:tcPr>
          <w:p>
            <w:pPr>
              <w:spacing w:after="0"/>
              <w:rPr>
                <w:sz w:val="19"/>
                <w:szCs w:val="19"/>
                <w:color w:val="auto"/>
              </w:rPr>
            </w:pPr>
          </w:p>
        </w:tc>
        <w:tc>
          <w:tcPr>
            <w:tcW w:w="1120" w:type="dxa"/>
            <w:vAlign w:val="bottom"/>
            <w:vMerge w:val="continue"/>
            <w:shd w:val="clear" w:color="auto" w:fill="E5E9F3"/>
          </w:tcPr>
          <w:p>
            <w:pPr>
              <w:spacing w:after="0"/>
              <w:rPr>
                <w:sz w:val="19"/>
                <w:szCs w:val="19"/>
                <w:color w:val="auto"/>
              </w:rPr>
            </w:pPr>
          </w:p>
        </w:tc>
        <w:tc>
          <w:tcPr>
            <w:tcW w:w="380" w:type="dxa"/>
            <w:vAlign w:val="bottom"/>
            <w:shd w:val="clear" w:color="auto" w:fill="E5E9F3"/>
          </w:tcPr>
          <w:p>
            <w:pPr>
              <w:spacing w:after="0"/>
              <w:rPr>
                <w:sz w:val="19"/>
                <w:szCs w:val="19"/>
                <w:color w:val="auto"/>
              </w:rPr>
            </w:pPr>
          </w:p>
        </w:tc>
        <w:tc>
          <w:tcPr>
            <w:tcW w:w="1040" w:type="dxa"/>
            <w:vAlign w:val="bottom"/>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760" w:type="dxa"/>
            <w:vAlign w:val="bottom"/>
          </w:tcPr>
          <w:p>
            <w:pPr>
              <w:ind w:left="100"/>
              <w:spacing w:after="0"/>
              <w:rPr>
                <w:sz w:val="20"/>
                <w:szCs w:val="20"/>
                <w:color w:val="auto"/>
              </w:rPr>
            </w:pPr>
            <w:r>
              <w:rPr>
                <w:rFonts w:ascii="Arial" w:cs="Arial" w:eastAsia="Arial" w:hAnsi="Arial"/>
                <w:sz w:val="18"/>
                <w:szCs w:val="18"/>
                <w:color w:val="auto"/>
              </w:rPr>
              <w:t>Gain on interest rate swap, net of income taxes of $0.2 and $0.3, respectively</w:t>
            </w:r>
          </w:p>
        </w:tc>
        <w:tc>
          <w:tcPr>
            <w:tcW w:w="50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3"/>
        </w:trPr>
        <w:tc>
          <w:tcPr>
            <w:tcW w:w="7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Defined benefit pension plans, net of income tax benefit of $(20.6) and $(23.0), respectively</w:t>
            </w:r>
          </w:p>
        </w:tc>
        <w:tc>
          <w:tcPr>
            <w:tcW w:w="500" w:type="dxa"/>
            <w:vAlign w:val="bottom"/>
            <w:shd w:val="clear" w:color="auto" w:fill="E5E9F3"/>
          </w:tcPr>
          <w:p>
            <w:pPr>
              <w:spacing w:after="0"/>
              <w:rPr>
                <w:sz w:val="22"/>
                <w:szCs w:val="22"/>
                <w:color w:val="auto"/>
              </w:rPr>
            </w:pPr>
          </w:p>
        </w:tc>
        <w:tc>
          <w:tcPr>
            <w:tcW w:w="112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(8.9)</w:t>
            </w:r>
          </w:p>
        </w:tc>
        <w:tc>
          <w:tcPr>
            <w:tcW w:w="380" w:type="dxa"/>
            <w:vAlign w:val="bottom"/>
            <w:shd w:val="clear" w:color="auto" w:fill="E5E9F3"/>
          </w:tcPr>
          <w:p>
            <w:pPr>
              <w:spacing w:after="0"/>
              <w:rPr>
                <w:sz w:val="22"/>
                <w:szCs w:val="22"/>
                <w:color w:val="auto"/>
              </w:rPr>
            </w:pPr>
          </w:p>
        </w:tc>
        <w:tc>
          <w:tcPr>
            <w:tcW w:w="10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3"/>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Retiree health care plan, net of income taxes of $2.1 and $2.0, respectively</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(443.0)</w:t>
            </w:r>
          </w:p>
        </w:tc>
        <w:tc>
          <w:tcPr>
            <w:tcW w:w="38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580" w:hanging="580"/>
        <w:spacing w:after="0"/>
        <w:tabs>
          <w:tab w:leader="none" w:pos="580" w:val="left"/>
        </w:tabs>
        <w:numPr>
          <w:ilvl w:val="0"/>
          <w:numId w:val="54"/>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Interest and Other Expenses, Net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Interest and other expenses, net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86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380" w:type="dxa"/>
            <w:vAlign w:val="bottom"/>
            <w:tcBorders>
              <w:top w:val="single" w:sz="8" w:color="auto"/>
              <w:bottom w:val="single" w:sz="8" w:color="auto"/>
            </w:tcBorders>
            <w:shd w:val="clear" w:color="auto" w:fill="97AAD0"/>
          </w:tcPr>
          <w:p>
            <w:pPr>
              <w:spacing w:after="0"/>
              <w:rPr>
                <w:sz w:val="24"/>
                <w:szCs w:val="24"/>
                <w:color w:val="auto"/>
              </w:rPr>
            </w:pPr>
          </w:p>
        </w:tc>
        <w:tc>
          <w:tcPr>
            <w:tcW w:w="980" w:type="dxa"/>
            <w:vAlign w:val="bottom"/>
            <w:tcBorders>
              <w:top w:val="single" w:sz="8" w:color="auto"/>
              <w:bottom w:val="single" w:sz="8" w:color="auto"/>
            </w:tcBorders>
            <w:shd w:val="clear" w:color="auto" w:fill="97AAD0"/>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top w:val="single" w:sz="8" w:color="auto"/>
              <w:bottom w:val="single" w:sz="8" w:color="auto"/>
            </w:tcBorders>
            <w:shd w:val="clear" w:color="auto" w:fill="97AAD0"/>
          </w:tcPr>
          <w:p>
            <w:pPr>
              <w:spacing w:after="0"/>
              <w:rPr>
                <w:sz w:val="24"/>
                <w:szCs w:val="24"/>
                <w:color w:val="auto"/>
              </w:rPr>
            </w:pPr>
          </w:p>
        </w:tc>
        <w:tc>
          <w:tcPr>
            <w:tcW w:w="980" w:type="dxa"/>
            <w:vAlign w:val="bottom"/>
            <w:tcBorders>
              <w:top w:val="single" w:sz="8" w:color="auto"/>
              <w:bottom w:val="single" w:sz="8" w:color="auto"/>
            </w:tcBorders>
            <w:shd w:val="clear" w:color="auto" w:fill="97AAD0"/>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shd w:val="clear" w:color="auto" w:fill="97AAD0"/>
          </w:tcPr>
          <w:p>
            <w:pPr>
              <w:spacing w:after="0"/>
              <w:rPr>
                <w:sz w:val="24"/>
                <w:szCs w:val="24"/>
                <w:color w:val="auto"/>
              </w:rPr>
            </w:pPr>
          </w:p>
        </w:tc>
        <w:tc>
          <w:tcPr>
            <w:tcW w:w="920" w:type="dxa"/>
            <w:vAlign w:val="bottom"/>
            <w:tcBorders>
              <w:top w:val="single" w:sz="8" w:color="auto"/>
              <w:bottom w:val="single" w:sz="8" w:color="auto"/>
            </w:tcBorders>
            <w:shd w:val="clear" w:color="auto" w:fill="97AAD0"/>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243"/>
        </w:trPr>
        <w:tc>
          <w:tcPr>
            <w:tcW w:w="48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Interest expense</w:t>
            </w:r>
          </w:p>
        </w:tc>
        <w:tc>
          <w:tcPr>
            <w:tcW w:w="238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9F3"/>
          </w:tcPr>
          <w:p>
            <w:pPr>
              <w:jc w:val="right"/>
              <w:ind w:right="92"/>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9F3"/>
          </w:tcPr>
          <w:p>
            <w:pPr>
              <w:jc w:val="right"/>
              <w:ind w:right="92"/>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46.9</w:t>
            </w:r>
          </w:p>
        </w:tc>
      </w:tr>
      <w:tr>
        <w:trPr>
          <w:trHeight w:val="253"/>
        </w:trPr>
        <w:tc>
          <w:tcPr>
            <w:tcW w:w="48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2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53"/>
        </w:trPr>
        <w:tc>
          <w:tcPr>
            <w:tcW w:w="48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Foreign exchange loss</w:t>
            </w:r>
          </w:p>
        </w:tc>
        <w:tc>
          <w:tcPr>
            <w:tcW w:w="2380" w:type="dxa"/>
            <w:vAlign w:val="bottom"/>
            <w:shd w:val="clear" w:color="auto" w:fill="E5E9F3"/>
          </w:tcPr>
          <w:p>
            <w:pPr>
              <w:spacing w:after="0"/>
              <w:rPr>
                <w:sz w:val="22"/>
                <w:szCs w:val="22"/>
                <w:color w:val="auto"/>
              </w:rPr>
            </w:pPr>
          </w:p>
        </w:tc>
        <w:tc>
          <w:tcPr>
            <w:tcW w:w="980" w:type="dxa"/>
            <w:vAlign w:val="bottom"/>
            <w:shd w:val="clear" w:color="auto" w:fill="E5E9F3"/>
          </w:tcPr>
          <w:p>
            <w:pPr>
              <w:jc w:val="right"/>
              <w:ind w:right="92"/>
              <w:spacing w:after="0"/>
              <w:rPr>
                <w:sz w:val="20"/>
                <w:szCs w:val="20"/>
                <w:color w:val="auto"/>
              </w:rPr>
            </w:pPr>
            <w:r>
              <w:rPr>
                <w:rFonts w:ascii="Arial" w:cs="Arial" w:eastAsia="Arial" w:hAnsi="Arial"/>
                <w:sz w:val="18"/>
                <w:szCs w:val="18"/>
                <w:color w:val="auto"/>
              </w:rPr>
              <w:t>6.2</w:t>
            </w:r>
          </w:p>
        </w:tc>
        <w:tc>
          <w:tcPr>
            <w:tcW w:w="340" w:type="dxa"/>
            <w:vAlign w:val="bottom"/>
            <w:shd w:val="clear" w:color="auto" w:fill="E5E9F3"/>
          </w:tcPr>
          <w:p>
            <w:pPr>
              <w:spacing w:after="0"/>
              <w:rPr>
                <w:sz w:val="22"/>
                <w:szCs w:val="22"/>
                <w:color w:val="auto"/>
              </w:rPr>
            </w:pPr>
          </w:p>
        </w:tc>
        <w:tc>
          <w:tcPr>
            <w:tcW w:w="980" w:type="dxa"/>
            <w:vAlign w:val="bottom"/>
            <w:shd w:val="clear" w:color="auto" w:fill="E5E9F3"/>
          </w:tcPr>
          <w:p>
            <w:pPr>
              <w:jc w:val="right"/>
              <w:ind w:right="92"/>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E5E9F3"/>
          </w:tcPr>
          <w:p>
            <w:pPr>
              <w:spacing w:after="0"/>
              <w:rPr>
                <w:sz w:val="22"/>
                <w:szCs w:val="22"/>
                <w:color w:val="auto"/>
              </w:rPr>
            </w:pPr>
          </w:p>
        </w:tc>
        <w:tc>
          <w:tcPr>
            <w:tcW w:w="92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11.9</w:t>
            </w:r>
          </w:p>
        </w:tc>
      </w:tr>
      <w:tr>
        <w:trPr>
          <w:trHeight w:val="253"/>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Miscellaneous income, net</w:t>
            </w:r>
          </w:p>
        </w:tc>
        <w:tc>
          <w:tcPr>
            <w:tcW w:w="2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48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Interest and other expenses, net</w:t>
            </w:r>
          </w:p>
        </w:tc>
        <w:tc>
          <w:tcPr>
            <w:tcW w:w="238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9F3"/>
          </w:tcPr>
          <w:p>
            <w:pPr>
              <w:jc w:val="right"/>
              <w:ind w:right="92"/>
              <w:spacing w:after="0"/>
              <w:rPr>
                <w:sz w:val="20"/>
                <w:szCs w:val="20"/>
                <w:color w:val="auto"/>
              </w:rPr>
            </w:pPr>
            <w:r>
              <w:rPr>
                <w:rFonts w:ascii="Arial" w:cs="Arial" w:eastAsia="Arial" w:hAnsi="Arial"/>
                <w:sz w:val="18"/>
                <w:szCs w:val="18"/>
                <w:color w:val="auto"/>
              </w:rPr>
              <w:t>49.2</w:t>
            </w:r>
          </w:p>
        </w:tc>
        <w:tc>
          <w:tcPr>
            <w:tcW w:w="3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9F3"/>
          </w:tcPr>
          <w:p>
            <w:pPr>
              <w:jc w:val="right"/>
              <w:ind w:right="92"/>
              <w:spacing w:after="0"/>
              <w:rPr>
                <w:sz w:val="20"/>
                <w:szCs w:val="20"/>
                <w:color w:val="auto"/>
              </w:rPr>
            </w:pPr>
            <w:r>
              <w:rPr>
                <w:rFonts w:ascii="Arial" w:cs="Arial" w:eastAsia="Arial" w:hAnsi="Arial"/>
                <w:sz w:val="18"/>
                <w:szCs w:val="18"/>
                <w:color w:val="auto"/>
              </w:rPr>
              <w:t>49.9</w:t>
            </w:r>
          </w:p>
        </w:tc>
        <w:tc>
          <w:tcPr>
            <w:tcW w:w="340" w:type="dxa"/>
            <w:vAlign w:val="bottom"/>
            <w:tcBorders>
              <w:bottom w:val="single" w:sz="8" w:color="auto"/>
            </w:tcBorders>
            <w:shd w:val="clear" w:color="auto" w:fill="E5E9F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9F3"/>
          </w:tcPr>
          <w:p>
            <w:pPr>
              <w:jc w:val="right"/>
              <w:ind w:right="32"/>
              <w:spacing w:after="0"/>
              <w:rPr>
                <w:sz w:val="20"/>
                <w:szCs w:val="20"/>
                <w:color w:val="auto"/>
              </w:rPr>
            </w:pPr>
            <w:r>
              <w:rPr>
                <w:rFonts w:ascii="Arial" w:cs="Arial" w:eastAsia="Arial" w:hAnsi="Arial"/>
                <w:sz w:val="18"/>
                <w:szCs w:val="18"/>
                <w:color w:val="auto"/>
              </w:rPr>
              <w:t>24.6</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10800"/>
          </w:cols>
          <w:pgMar w:left="720" w:top="734" w:right="720" w:bottom="175" w:gutter="0" w:footer="0" w:header="0"/>
          <w:type w:val="continuous"/>
        </w:sectPr>
      </w:pPr>
    </w:p>
    <w:bookmarkStart w:id="85" w:name="page86"/>
    <w:bookmarkEnd w:id="8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5" o:spid="_x0000_s114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00" w:lineRule="exact"/>
        <w:rPr>
          <w:sz w:val="20"/>
          <w:szCs w:val="20"/>
          <w:color w:val="auto"/>
        </w:rPr>
      </w:pPr>
    </w:p>
    <w:p>
      <w:pPr>
        <w:spacing w:after="0" w:line="240" w:lineRule="exact"/>
        <w:rPr>
          <w:sz w:val="20"/>
          <w:szCs w:val="20"/>
          <w:color w:val="auto"/>
        </w:rPr>
      </w:pPr>
    </w:p>
    <w:p>
      <w:pPr>
        <w:ind w:left="580" w:hanging="580"/>
        <w:spacing w:after="0"/>
        <w:tabs>
          <w:tab w:leader="none" w:pos="580" w:val="left"/>
        </w:tabs>
        <w:numPr>
          <w:ilvl w:val="0"/>
          <w:numId w:val="55"/>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Derivative Financial Instruments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Net Investment Hedges</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€400.0 ($411.8) notes due June 2027 and the €500.0 ($516.6) notes due June 2026 were designated as a hedge of our net investment in our foreign subsidiaries with a Euro-functional currency as of December 31, 2024.</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September 2022, we entered into a new cross-currency swap agreement that converts fixed-rate Swiss franc ("CHF") payments to fixed-rate United States dollar payments. This swap was designated as a net investment hedge of our foreign subsidiaries with CHF functional currency.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effect of our net investment hedges on AOCL for the year ended December 31, 2024, and 2023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Borders>
              <w:top w:val="single" w:sz="8" w:color="auto"/>
            </w:tcBorders>
            <w:shd w:val="clear" w:color="auto" w:fill="97AAD0"/>
          </w:tcPr>
          <w:p>
            <w:pPr>
              <w:spacing w:after="0"/>
              <w:rPr>
                <w:sz w:val="15"/>
                <w:szCs w:val="15"/>
                <w:color w:val="auto"/>
              </w:rPr>
            </w:pPr>
          </w:p>
        </w:tc>
        <w:tc>
          <w:tcPr>
            <w:tcW w:w="2880" w:type="dxa"/>
            <w:vAlign w:val="bottom"/>
            <w:tcBorders>
              <w:top w:val="single" w:sz="8" w:color="auto"/>
            </w:tcBorders>
            <w:shd w:val="clear" w:color="auto" w:fill="97AAD0"/>
          </w:tcPr>
          <w:p>
            <w:pPr>
              <w:spacing w:after="0"/>
              <w:rPr>
                <w:sz w:val="15"/>
                <w:szCs w:val="15"/>
                <w:color w:val="auto"/>
              </w:rPr>
            </w:pPr>
          </w:p>
        </w:tc>
        <w:tc>
          <w:tcPr>
            <w:tcW w:w="220" w:type="dxa"/>
            <w:vAlign w:val="bottom"/>
            <w:tcBorders>
              <w:top w:val="single" w:sz="8" w:color="auto"/>
            </w:tcBorders>
            <w:shd w:val="clear" w:color="auto" w:fill="97AAD0"/>
          </w:tcPr>
          <w:p>
            <w:pPr>
              <w:spacing w:after="0"/>
              <w:rPr>
                <w:sz w:val="15"/>
                <w:szCs w:val="15"/>
                <w:color w:val="auto"/>
              </w:rPr>
            </w:pPr>
          </w:p>
        </w:tc>
        <w:tc>
          <w:tcPr>
            <w:tcW w:w="2940" w:type="dxa"/>
            <w:vAlign w:val="bottom"/>
            <w:tcBorders>
              <w:top w:val="single" w:sz="8" w:color="auto"/>
            </w:tcBorders>
            <w:gridSpan w:val="4"/>
            <w:shd w:val="clear" w:color="auto" w:fill="97AAD0"/>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Gain (Loss) Recognized in Other</w:t>
            </w:r>
          </w:p>
        </w:tc>
      </w:tr>
      <w:tr>
        <w:trPr>
          <w:trHeight w:val="229"/>
        </w:trPr>
        <w:tc>
          <w:tcPr>
            <w:tcW w:w="4760" w:type="dxa"/>
            <w:vAlign w:val="bottom"/>
            <w:shd w:val="clear" w:color="auto" w:fill="97AAD0"/>
          </w:tcPr>
          <w:p>
            <w:pPr>
              <w:spacing w:after="0"/>
              <w:rPr>
                <w:sz w:val="19"/>
                <w:szCs w:val="19"/>
                <w:color w:val="auto"/>
              </w:rPr>
            </w:pPr>
          </w:p>
        </w:tc>
        <w:tc>
          <w:tcPr>
            <w:tcW w:w="2880" w:type="dxa"/>
            <w:vAlign w:val="bottom"/>
            <w:shd w:val="clear" w:color="auto" w:fill="97AAD0"/>
          </w:tcPr>
          <w:p>
            <w:pPr>
              <w:spacing w:after="0"/>
              <w:rPr>
                <w:sz w:val="19"/>
                <w:szCs w:val="19"/>
                <w:color w:val="auto"/>
              </w:rPr>
            </w:pPr>
          </w:p>
        </w:tc>
        <w:tc>
          <w:tcPr>
            <w:tcW w:w="220" w:type="dxa"/>
            <w:vAlign w:val="bottom"/>
            <w:shd w:val="clear" w:color="auto" w:fill="97AAD0"/>
          </w:tcPr>
          <w:p>
            <w:pPr>
              <w:spacing w:after="0"/>
              <w:rPr>
                <w:sz w:val="19"/>
                <w:szCs w:val="19"/>
                <w:color w:val="auto"/>
              </w:rPr>
            </w:pPr>
          </w:p>
        </w:tc>
        <w:tc>
          <w:tcPr>
            <w:tcW w:w="2940" w:type="dxa"/>
            <w:vAlign w:val="bottom"/>
            <w:gridSpan w:val="4"/>
            <w:shd w:val="clear" w:color="auto" w:fill="97AAD0"/>
          </w:tcPr>
          <w:p>
            <w:pPr>
              <w:jc w:val="center"/>
              <w:ind w:right="220"/>
              <w:spacing w:after="0"/>
              <w:rPr>
                <w:sz w:val="20"/>
                <w:szCs w:val="20"/>
                <w:color w:val="auto"/>
              </w:rPr>
            </w:pPr>
            <w:r>
              <w:rPr>
                <w:rFonts w:ascii="Arial" w:cs="Arial" w:eastAsia="Arial" w:hAnsi="Arial"/>
                <w:sz w:val="16"/>
                <w:szCs w:val="16"/>
                <w:b w:val="1"/>
                <w:bCs w:val="1"/>
                <w:color w:val="auto"/>
                <w:w w:val="99"/>
              </w:rPr>
              <w:t>Comprehensive Income</w:t>
            </w:r>
          </w:p>
        </w:tc>
      </w:tr>
      <w:tr>
        <w:trPr>
          <w:trHeight w:val="273"/>
        </w:trPr>
        <w:tc>
          <w:tcPr>
            <w:tcW w:w="4760" w:type="dxa"/>
            <w:vAlign w:val="bottom"/>
            <w:tcBorders>
              <w:bottom w:val="single" w:sz="8" w:color="97AAD0"/>
            </w:tcBorders>
            <w:shd w:val="clear" w:color="auto" w:fill="97AAD0"/>
          </w:tcPr>
          <w:p>
            <w:pPr>
              <w:spacing w:after="0"/>
              <w:rPr>
                <w:sz w:val="23"/>
                <w:szCs w:val="23"/>
                <w:color w:val="auto"/>
              </w:rPr>
            </w:pPr>
          </w:p>
        </w:tc>
        <w:tc>
          <w:tcPr>
            <w:tcW w:w="2880" w:type="dxa"/>
            <w:vAlign w:val="bottom"/>
            <w:tcBorders>
              <w:bottom w:val="single" w:sz="8" w:color="97AAD0"/>
            </w:tcBorders>
            <w:shd w:val="clear" w:color="auto" w:fill="97AAD0"/>
          </w:tcPr>
          <w:p>
            <w:pPr>
              <w:spacing w:after="0"/>
              <w:rPr>
                <w:sz w:val="23"/>
                <w:szCs w:val="23"/>
                <w:color w:val="auto"/>
              </w:rPr>
            </w:pPr>
          </w:p>
        </w:tc>
        <w:tc>
          <w:tcPr>
            <w:tcW w:w="220" w:type="dxa"/>
            <w:vAlign w:val="bottom"/>
            <w:tcBorders>
              <w:bottom w:val="single" w:sz="8" w:color="auto"/>
            </w:tcBorders>
            <w:shd w:val="clear" w:color="auto" w:fill="97AAD0"/>
          </w:tcPr>
          <w:p>
            <w:pPr>
              <w:spacing w:after="0"/>
              <w:rPr>
                <w:sz w:val="23"/>
                <w:szCs w:val="23"/>
                <w:color w:val="auto"/>
              </w:rPr>
            </w:pPr>
          </w:p>
        </w:tc>
        <w:tc>
          <w:tcPr>
            <w:tcW w:w="2940" w:type="dxa"/>
            <w:vAlign w:val="bottom"/>
            <w:tcBorders>
              <w:bottom w:val="single" w:sz="8" w:color="auto"/>
            </w:tcBorders>
            <w:gridSpan w:val="4"/>
            <w:shd w:val="clear" w:color="auto" w:fill="97AAD0"/>
          </w:tcPr>
          <w:p>
            <w:pPr>
              <w:ind w:left="260"/>
              <w:spacing w:after="0"/>
              <w:rPr>
                <w:sz w:val="20"/>
                <w:szCs w:val="20"/>
                <w:color w:val="auto"/>
              </w:rPr>
            </w:pPr>
            <w:r>
              <w:rPr>
                <w:rFonts w:ascii="Arial" w:cs="Arial" w:eastAsia="Arial" w:hAnsi="Arial"/>
                <w:sz w:val="16"/>
                <w:szCs w:val="16"/>
                <w:b w:val="1"/>
                <w:bCs w:val="1"/>
                <w:color w:val="auto"/>
              </w:rPr>
              <w:t>Year Ended December 31,</w:t>
            </w:r>
          </w:p>
        </w:tc>
      </w:tr>
      <w:tr>
        <w:trPr>
          <w:trHeight w:val="325"/>
        </w:trPr>
        <w:tc>
          <w:tcPr>
            <w:tcW w:w="476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Instrument</w:t>
            </w:r>
          </w:p>
        </w:tc>
        <w:tc>
          <w:tcPr>
            <w:tcW w:w="2880" w:type="dxa"/>
            <w:vAlign w:val="bottom"/>
            <w:tcBorders>
              <w:bottom w:val="single" w:sz="8" w:color="auto"/>
            </w:tcBorders>
            <w:shd w:val="clear" w:color="auto" w:fill="97AAD0"/>
          </w:tcPr>
          <w:p>
            <w:pPr>
              <w:spacing w:after="0"/>
              <w:rPr>
                <w:sz w:val="24"/>
                <w:szCs w:val="24"/>
                <w:color w:val="auto"/>
              </w:rPr>
            </w:pPr>
          </w:p>
        </w:tc>
        <w:tc>
          <w:tcPr>
            <w:tcW w:w="220" w:type="dxa"/>
            <w:vAlign w:val="bottom"/>
            <w:tcBorders>
              <w:bottom w:val="single" w:sz="8" w:color="auto"/>
            </w:tcBorders>
            <w:shd w:val="clear" w:color="auto" w:fill="97AAD0"/>
          </w:tcPr>
          <w:p>
            <w:pPr>
              <w:spacing w:after="0"/>
              <w:rPr>
                <w:sz w:val="24"/>
                <w:szCs w:val="24"/>
                <w:color w:val="auto"/>
              </w:rPr>
            </w:pPr>
          </w:p>
        </w:tc>
        <w:tc>
          <w:tcPr>
            <w:tcW w:w="1240" w:type="dxa"/>
            <w:vAlign w:val="bottom"/>
            <w:tcBorders>
              <w:bottom w:val="single" w:sz="8" w:color="auto"/>
            </w:tcBorders>
            <w:shd w:val="clear" w:color="auto" w:fill="97AAD0"/>
          </w:tcPr>
          <w:p>
            <w:pPr>
              <w:jc w:val="right"/>
              <w:ind w:right="517"/>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shd w:val="clear" w:color="auto" w:fill="97AAD0"/>
          </w:tcPr>
          <w:p>
            <w:pPr>
              <w:spacing w:after="0"/>
              <w:rPr>
                <w:sz w:val="24"/>
                <w:szCs w:val="24"/>
                <w:color w:val="auto"/>
              </w:rPr>
            </w:pPr>
          </w:p>
        </w:tc>
        <w:tc>
          <w:tcPr>
            <w:tcW w:w="1180" w:type="dxa"/>
            <w:vAlign w:val="bottom"/>
            <w:tcBorders>
              <w:bottom w:val="single" w:sz="8" w:color="auto"/>
            </w:tcBorders>
            <w:shd w:val="clear" w:color="auto" w:fill="97AAD0"/>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shd w:val="clear" w:color="auto" w:fill="97AAD0"/>
          </w:tcPr>
          <w:p>
            <w:pPr>
              <w:spacing w:after="0"/>
              <w:rPr>
                <w:sz w:val="24"/>
                <w:szCs w:val="24"/>
                <w:color w:val="auto"/>
              </w:rPr>
            </w:pPr>
          </w:p>
        </w:tc>
      </w:tr>
      <w:tr>
        <w:trPr>
          <w:trHeight w:val="253"/>
        </w:trPr>
        <w:tc>
          <w:tcPr>
            <w:tcW w:w="4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Euro Notes</w:t>
            </w:r>
          </w:p>
        </w:tc>
        <w:tc>
          <w:tcPr>
            <w:tcW w:w="3100" w:type="dxa"/>
            <w:vAlign w:val="bottom"/>
            <w:gridSpan w:val="2"/>
            <w:shd w:val="clear" w:color="auto" w:fill="E5E9F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9F3"/>
          </w:tcPr>
          <w:p>
            <w:pPr>
              <w:jc w:val="right"/>
              <w:ind w:right="17"/>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E5E9F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9F3"/>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E5E9F3"/>
          </w:tcPr>
          <w:p>
            <w:pPr>
              <w:spacing w:after="0"/>
              <w:rPr>
                <w:sz w:val="22"/>
                <w:szCs w:val="22"/>
                <w:color w:val="auto"/>
              </w:rPr>
            </w:pPr>
          </w:p>
        </w:tc>
      </w:tr>
      <w:tr>
        <w:trPr>
          <w:trHeight w:val="276"/>
        </w:trPr>
        <w:tc>
          <w:tcPr>
            <w:tcW w:w="4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Cross-currency swaps</w:t>
            </w:r>
          </w:p>
        </w:tc>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36.2</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4"/>
                <w:szCs w:val="24"/>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Cash Flow Hedges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accumulated other comprehensive income and is amortized over the term of the notes as an offset to interest expense.</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following table presents the impact that changes in the fair values of derivatives designated as cash flow hedges had on OCI, AOCL and earnings for the year ended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340" w:type="dxa"/>
            <w:vAlign w:val="bottom"/>
            <w:tcBorders>
              <w:top w:val="single" w:sz="8" w:color="auto"/>
            </w:tcBorders>
            <w:shd w:val="clear" w:color="auto" w:fill="97AAD0"/>
          </w:tcPr>
          <w:p>
            <w:pPr>
              <w:spacing w:after="0"/>
              <w:rPr>
                <w:sz w:val="24"/>
                <w:szCs w:val="24"/>
                <w:color w:val="auto"/>
              </w:rPr>
            </w:pPr>
          </w:p>
        </w:tc>
        <w:tc>
          <w:tcPr>
            <w:tcW w:w="1620" w:type="dxa"/>
            <w:vAlign w:val="bottom"/>
            <w:tcBorders>
              <w:top w:val="single" w:sz="8" w:color="auto"/>
            </w:tcBorders>
            <w:shd w:val="clear" w:color="auto" w:fill="97AAD0"/>
          </w:tcPr>
          <w:p>
            <w:pPr>
              <w:spacing w:after="0"/>
              <w:rPr>
                <w:sz w:val="24"/>
                <w:szCs w:val="24"/>
                <w:color w:val="auto"/>
              </w:rPr>
            </w:pPr>
          </w:p>
        </w:tc>
        <w:tc>
          <w:tcPr>
            <w:tcW w:w="1080" w:type="dxa"/>
            <w:vAlign w:val="bottom"/>
            <w:tcBorders>
              <w:top w:val="single" w:sz="8" w:color="auto"/>
            </w:tcBorders>
            <w:shd w:val="clear" w:color="auto" w:fill="97AAD0"/>
          </w:tcPr>
          <w:p>
            <w:pPr>
              <w:spacing w:after="0"/>
              <w:rPr>
                <w:sz w:val="24"/>
                <w:szCs w:val="24"/>
                <w:color w:val="auto"/>
              </w:rPr>
            </w:pPr>
          </w:p>
        </w:tc>
        <w:tc>
          <w:tcPr>
            <w:tcW w:w="120" w:type="dxa"/>
            <w:vAlign w:val="bottom"/>
            <w:tcBorders>
              <w:top w:val="single" w:sz="8" w:color="auto"/>
            </w:tcBorders>
            <w:shd w:val="clear" w:color="auto" w:fill="97AAD0"/>
          </w:tcPr>
          <w:p>
            <w:pPr>
              <w:spacing w:after="0"/>
              <w:rPr>
                <w:sz w:val="24"/>
                <w:szCs w:val="24"/>
                <w:color w:val="auto"/>
              </w:rPr>
            </w:pPr>
          </w:p>
        </w:tc>
        <w:tc>
          <w:tcPr>
            <w:tcW w:w="3000" w:type="dxa"/>
            <w:vAlign w:val="bottom"/>
            <w:tcBorders>
              <w:top w:val="single" w:sz="8" w:color="auto"/>
            </w:tcBorders>
            <w:shd w:val="clear" w:color="auto" w:fill="97AAD0"/>
          </w:tcPr>
          <w:p>
            <w:pPr>
              <w:spacing w:after="0"/>
              <w:rPr>
                <w:sz w:val="24"/>
                <w:szCs w:val="24"/>
                <w:color w:val="auto"/>
              </w:rPr>
            </w:pPr>
          </w:p>
        </w:tc>
        <w:tc>
          <w:tcPr>
            <w:tcW w:w="2640" w:type="dxa"/>
            <w:vAlign w:val="bottom"/>
            <w:tcBorders>
              <w:top w:val="single" w:sz="8" w:color="auto"/>
            </w:tcBorders>
            <w:gridSpan w:val="2"/>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8"/>
              </w:rPr>
              <w:t>Gain (Loss) Reclassified</w:t>
            </w:r>
          </w:p>
        </w:tc>
        <w:tc>
          <w:tcPr>
            <w:tcW w:w="0" w:type="dxa"/>
            <w:vAlign w:val="bottom"/>
          </w:tcPr>
          <w:p>
            <w:pPr>
              <w:spacing w:after="0"/>
              <w:rPr>
                <w:sz w:val="1"/>
                <w:szCs w:val="1"/>
                <w:color w:val="auto"/>
              </w:rPr>
            </w:pPr>
          </w:p>
        </w:tc>
      </w:tr>
      <w:tr>
        <w:trPr>
          <w:trHeight w:val="276"/>
        </w:trPr>
        <w:tc>
          <w:tcPr>
            <w:tcW w:w="2340" w:type="dxa"/>
            <w:vAlign w:val="bottom"/>
            <w:shd w:val="clear" w:color="auto" w:fill="97AAD0"/>
          </w:tcPr>
          <w:p>
            <w:pPr>
              <w:spacing w:after="0"/>
              <w:rPr>
                <w:sz w:val="24"/>
                <w:szCs w:val="24"/>
                <w:color w:val="auto"/>
              </w:rPr>
            </w:pPr>
          </w:p>
        </w:tc>
        <w:tc>
          <w:tcPr>
            <w:tcW w:w="2820" w:type="dxa"/>
            <w:vAlign w:val="bottom"/>
            <w:gridSpan w:val="3"/>
            <w:shd w:val="clear" w:color="auto" w:fill="97AAD0"/>
          </w:tcPr>
          <w:p>
            <w:pPr>
              <w:jc w:val="center"/>
              <w:spacing w:after="0"/>
              <w:rPr>
                <w:sz w:val="20"/>
                <w:szCs w:val="20"/>
                <w:color w:val="auto"/>
              </w:rPr>
            </w:pPr>
            <w:r>
              <w:rPr>
                <w:rFonts w:ascii="Arial" w:cs="Arial" w:eastAsia="Arial" w:hAnsi="Arial"/>
                <w:sz w:val="16"/>
                <w:szCs w:val="16"/>
                <w:b w:val="1"/>
                <w:bCs w:val="1"/>
                <w:color w:val="auto"/>
              </w:rPr>
              <w:t>Gain (Loss) Recognized in OCI</w:t>
            </w:r>
          </w:p>
        </w:tc>
        <w:tc>
          <w:tcPr>
            <w:tcW w:w="3000" w:type="dxa"/>
            <w:vAlign w:val="bottom"/>
            <w:shd w:val="clear" w:color="auto" w:fill="97AAD0"/>
          </w:tcPr>
          <w:p>
            <w:pPr>
              <w:spacing w:after="0"/>
              <w:rPr>
                <w:sz w:val="24"/>
                <w:szCs w:val="24"/>
                <w:color w:val="auto"/>
              </w:rPr>
            </w:pPr>
          </w:p>
        </w:tc>
        <w:tc>
          <w:tcPr>
            <w:tcW w:w="2640" w:type="dxa"/>
            <w:vAlign w:val="bottom"/>
            <w:gridSpan w:val="2"/>
            <w:shd w:val="clear" w:color="auto" w:fill="97AAD0"/>
          </w:tcPr>
          <w:p>
            <w:pPr>
              <w:jc w:val="center"/>
              <w:ind w:right="35"/>
              <w:spacing w:after="0"/>
              <w:rPr>
                <w:sz w:val="20"/>
                <w:szCs w:val="20"/>
                <w:color w:val="auto"/>
              </w:rPr>
            </w:pPr>
            <w:r>
              <w:rPr>
                <w:rFonts w:ascii="Arial" w:cs="Arial" w:eastAsia="Arial" w:hAnsi="Arial"/>
                <w:sz w:val="16"/>
                <w:szCs w:val="16"/>
                <w:b w:val="1"/>
                <w:bCs w:val="1"/>
                <w:color w:val="auto"/>
              </w:rPr>
              <w:t>from AOCL into Income</w:t>
            </w:r>
          </w:p>
        </w:tc>
        <w:tc>
          <w:tcPr>
            <w:tcW w:w="0" w:type="dxa"/>
            <w:vAlign w:val="bottom"/>
          </w:tcPr>
          <w:p>
            <w:pPr>
              <w:spacing w:after="0"/>
              <w:rPr>
                <w:sz w:val="1"/>
                <w:szCs w:val="1"/>
                <w:color w:val="auto"/>
              </w:rPr>
            </w:pPr>
          </w:p>
        </w:tc>
      </w:tr>
      <w:tr>
        <w:trPr>
          <w:trHeight w:val="341"/>
        </w:trPr>
        <w:tc>
          <w:tcPr>
            <w:tcW w:w="2340" w:type="dxa"/>
            <w:vAlign w:val="bottom"/>
            <w:tcBorders>
              <w:bottom w:val="single" w:sz="8" w:color="97AAD0"/>
            </w:tcBorders>
            <w:shd w:val="clear" w:color="auto" w:fill="97AAD0"/>
          </w:tcPr>
          <w:p>
            <w:pPr>
              <w:spacing w:after="0"/>
              <w:rPr>
                <w:sz w:val="24"/>
                <w:szCs w:val="24"/>
                <w:color w:val="auto"/>
              </w:rPr>
            </w:pPr>
          </w:p>
        </w:tc>
        <w:tc>
          <w:tcPr>
            <w:tcW w:w="2820" w:type="dxa"/>
            <w:vAlign w:val="bottom"/>
            <w:tcBorders>
              <w:bottom w:val="single" w:sz="8" w:color="97AAD0"/>
            </w:tcBorders>
            <w:gridSpan w:val="3"/>
            <w:shd w:val="clear" w:color="auto" w:fill="97AAD0"/>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3000" w:type="dxa"/>
            <w:vAlign w:val="bottom"/>
            <w:tcBorders>
              <w:bottom w:val="single" w:sz="8" w:color="97AAD0"/>
            </w:tcBorders>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Location of Gain Reclassified</w:t>
            </w:r>
          </w:p>
        </w:tc>
        <w:tc>
          <w:tcPr>
            <w:tcW w:w="2640" w:type="dxa"/>
            <w:vAlign w:val="bottom"/>
            <w:tcBorders>
              <w:bottom w:val="single" w:sz="8" w:color="auto"/>
            </w:tcBorders>
            <w:gridSpan w:val="2"/>
            <w:shd w:val="clear" w:color="auto" w:fill="97AAD0"/>
          </w:tcPr>
          <w:p>
            <w:pPr>
              <w:jc w:val="center"/>
              <w:ind w:right="35"/>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0"/>
        </w:trPr>
        <w:tc>
          <w:tcPr>
            <w:tcW w:w="2340" w:type="dxa"/>
            <w:vAlign w:val="bottom"/>
            <w:tcBorders>
              <w:top w:val="single" w:sz="8" w:color="auto"/>
            </w:tcBorders>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Instrument</w:t>
            </w:r>
          </w:p>
        </w:tc>
        <w:tc>
          <w:tcPr>
            <w:tcW w:w="1620" w:type="dxa"/>
            <w:vAlign w:val="bottom"/>
            <w:tcBorders>
              <w:top w:val="single" w:sz="8" w:color="auto"/>
            </w:tcBorders>
            <w:vMerge w:val="restart"/>
            <w:shd w:val="clear" w:color="auto" w:fill="97AAD0"/>
          </w:tcPr>
          <w:p>
            <w:pPr>
              <w:jc w:val="right"/>
              <w:ind w:right="598"/>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top w:val="single" w:sz="8" w:color="auto"/>
            </w:tcBorders>
            <w:vMerge w:val="restart"/>
            <w:shd w:val="clear" w:color="auto" w:fill="97AAD0"/>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shd w:val="clear" w:color="auto" w:fill="97AAD0"/>
          </w:tcPr>
          <w:p>
            <w:pPr>
              <w:spacing w:after="0" w:line="20" w:lineRule="exact"/>
              <w:rPr>
                <w:sz w:val="1"/>
                <w:szCs w:val="1"/>
                <w:color w:val="auto"/>
              </w:rPr>
            </w:pPr>
          </w:p>
        </w:tc>
        <w:tc>
          <w:tcPr>
            <w:tcW w:w="3000" w:type="dxa"/>
            <w:vAlign w:val="bottom"/>
            <w:tcBorders>
              <w:top w:val="single" w:sz="8" w:color="97AAD0"/>
            </w:tcBorders>
            <w:vMerge w:val="restart"/>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from AOCL into Income</w:t>
            </w:r>
          </w:p>
        </w:tc>
        <w:tc>
          <w:tcPr>
            <w:tcW w:w="1420" w:type="dxa"/>
            <w:vAlign w:val="bottom"/>
            <w:tcBorders>
              <w:top w:val="single" w:sz="8" w:color="97AAD0"/>
            </w:tcBorders>
            <w:vMerge w:val="restart"/>
            <w:shd w:val="clear" w:color="auto" w:fill="97AAD0"/>
          </w:tcPr>
          <w:p>
            <w:pPr>
              <w:jc w:val="right"/>
              <w:ind w:right="618"/>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top w:val="single" w:sz="8" w:color="97AAD0"/>
            </w:tcBorders>
            <w:vMerge w:val="restart"/>
            <w:shd w:val="clear" w:color="auto" w:fill="97AAD0"/>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line="20" w:lineRule="exact"/>
              <w:rPr>
                <w:sz w:val="1"/>
                <w:szCs w:val="1"/>
                <w:color w:val="auto"/>
              </w:rPr>
            </w:pPr>
          </w:p>
        </w:tc>
      </w:tr>
      <w:tr>
        <w:trPr>
          <w:trHeight w:val="285"/>
        </w:trPr>
        <w:tc>
          <w:tcPr>
            <w:tcW w:w="2340" w:type="dxa"/>
            <w:vAlign w:val="bottom"/>
            <w:tcBorders>
              <w:bottom w:val="single" w:sz="8" w:color="97AAD0"/>
            </w:tcBorders>
            <w:vMerge w:val="continue"/>
            <w:shd w:val="clear" w:color="auto" w:fill="97AAD0"/>
          </w:tcPr>
          <w:p>
            <w:pPr>
              <w:spacing w:after="0"/>
              <w:rPr>
                <w:sz w:val="24"/>
                <w:szCs w:val="24"/>
                <w:color w:val="auto"/>
              </w:rPr>
            </w:pPr>
          </w:p>
        </w:tc>
        <w:tc>
          <w:tcPr>
            <w:tcW w:w="1620" w:type="dxa"/>
            <w:vAlign w:val="bottom"/>
            <w:tcBorders>
              <w:bottom w:val="single" w:sz="8" w:color="97AAD0"/>
            </w:tcBorders>
            <w:vMerge w:val="continue"/>
            <w:shd w:val="clear" w:color="auto" w:fill="97AAD0"/>
          </w:tcPr>
          <w:p>
            <w:pPr>
              <w:spacing w:after="0"/>
              <w:rPr>
                <w:sz w:val="24"/>
                <w:szCs w:val="24"/>
                <w:color w:val="auto"/>
              </w:rPr>
            </w:pPr>
          </w:p>
        </w:tc>
        <w:tc>
          <w:tcPr>
            <w:tcW w:w="1080" w:type="dxa"/>
            <w:vAlign w:val="bottom"/>
            <w:tcBorders>
              <w:bottom w:val="single" w:sz="8" w:color="97AAD0"/>
            </w:tcBorders>
            <w:vMerge w:val="continue"/>
            <w:shd w:val="clear" w:color="auto" w:fill="97AAD0"/>
          </w:tcPr>
          <w:p>
            <w:pPr>
              <w:spacing w:after="0"/>
              <w:rPr>
                <w:sz w:val="24"/>
                <w:szCs w:val="24"/>
                <w:color w:val="auto"/>
              </w:rPr>
            </w:pPr>
          </w:p>
        </w:tc>
        <w:tc>
          <w:tcPr>
            <w:tcW w:w="120" w:type="dxa"/>
            <w:vAlign w:val="bottom"/>
            <w:tcBorders>
              <w:bottom w:val="single" w:sz="8" w:color="97AAD0"/>
            </w:tcBorders>
            <w:shd w:val="clear" w:color="auto" w:fill="97AAD0"/>
          </w:tcPr>
          <w:p>
            <w:pPr>
              <w:spacing w:after="0"/>
              <w:rPr>
                <w:sz w:val="24"/>
                <w:szCs w:val="24"/>
                <w:color w:val="auto"/>
              </w:rPr>
            </w:pPr>
          </w:p>
        </w:tc>
        <w:tc>
          <w:tcPr>
            <w:tcW w:w="3000" w:type="dxa"/>
            <w:vAlign w:val="bottom"/>
            <w:tcBorders>
              <w:bottom w:val="single" w:sz="8" w:color="97AAD0"/>
            </w:tcBorders>
            <w:vMerge w:val="continue"/>
            <w:shd w:val="clear" w:color="auto" w:fill="97AAD0"/>
          </w:tcPr>
          <w:p>
            <w:pPr>
              <w:spacing w:after="0"/>
              <w:rPr>
                <w:sz w:val="24"/>
                <w:szCs w:val="24"/>
                <w:color w:val="auto"/>
              </w:rPr>
            </w:pPr>
          </w:p>
        </w:tc>
        <w:tc>
          <w:tcPr>
            <w:tcW w:w="1420" w:type="dxa"/>
            <w:vAlign w:val="bottom"/>
            <w:tcBorders>
              <w:bottom w:val="single" w:sz="8" w:color="97AAD0"/>
            </w:tcBorders>
            <w:vMerge w:val="continue"/>
            <w:shd w:val="clear" w:color="auto" w:fill="97AAD0"/>
          </w:tcPr>
          <w:p>
            <w:pPr>
              <w:spacing w:after="0"/>
              <w:rPr>
                <w:sz w:val="24"/>
                <w:szCs w:val="24"/>
                <w:color w:val="auto"/>
              </w:rPr>
            </w:pPr>
          </w:p>
        </w:tc>
        <w:tc>
          <w:tcPr>
            <w:tcW w:w="1220" w:type="dxa"/>
            <w:vAlign w:val="bottom"/>
            <w:tcBorders>
              <w:bottom w:val="single" w:sz="8" w:color="97AAD0"/>
            </w:tcBorders>
            <w:vMerge w:val="continue"/>
            <w:shd w:val="clear" w:color="auto" w:fill="97AAD0"/>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340" w:type="dxa"/>
            <w:vAlign w:val="bottom"/>
            <w:tcBorders>
              <w:top w:val="single" w:sz="8" w:color="auto"/>
            </w:tcBorders>
            <w:shd w:val="clear" w:color="auto" w:fill="E5E9F3"/>
          </w:tcPr>
          <w:p>
            <w:pPr>
              <w:ind w:left="100"/>
              <w:spacing w:after="0" w:line="179" w:lineRule="exact"/>
              <w:rPr>
                <w:sz w:val="20"/>
                <w:szCs w:val="20"/>
                <w:color w:val="auto"/>
              </w:rPr>
            </w:pPr>
            <w:r>
              <w:rPr>
                <w:rFonts w:ascii="Arial" w:cs="Arial" w:eastAsia="Arial" w:hAnsi="Arial"/>
                <w:sz w:val="18"/>
                <w:szCs w:val="18"/>
                <w:color w:val="auto"/>
              </w:rPr>
              <w:t>Forward starting interest</w:t>
            </w:r>
          </w:p>
        </w:tc>
        <w:tc>
          <w:tcPr>
            <w:tcW w:w="1620" w:type="dxa"/>
            <w:vAlign w:val="bottom"/>
            <w:tcBorders>
              <w:top w:val="single" w:sz="8" w:color="auto"/>
            </w:tcBorders>
            <w:vMerge w:val="restart"/>
            <w:shd w:val="clear" w:color="auto" w:fill="E5E9F3"/>
          </w:tcPr>
          <w:p>
            <w:pPr>
              <w:jc w:val="right"/>
              <w:ind w:right="218"/>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vMerge w:val="restart"/>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E5E9F3"/>
          </w:tcPr>
          <w:p>
            <w:pPr>
              <w:spacing w:after="0"/>
              <w:rPr>
                <w:sz w:val="15"/>
                <w:szCs w:val="15"/>
                <w:color w:val="auto"/>
              </w:rPr>
            </w:pPr>
          </w:p>
        </w:tc>
        <w:tc>
          <w:tcPr>
            <w:tcW w:w="3000" w:type="dxa"/>
            <w:vAlign w:val="bottom"/>
            <w:tcBorders>
              <w:top w:val="single" w:sz="8" w:color="auto"/>
            </w:tcBorders>
            <w:vMerge w:val="restart"/>
            <w:shd w:val="clear" w:color="auto" w:fill="E5E9F3"/>
          </w:tcPr>
          <w:p>
            <w:pPr>
              <w:ind w:left="100"/>
              <w:spacing w:after="0"/>
              <w:rPr>
                <w:sz w:val="20"/>
                <w:szCs w:val="20"/>
                <w:color w:val="auto"/>
              </w:rPr>
            </w:pPr>
            <w:r>
              <w:rPr>
                <w:rFonts w:ascii="Arial" w:cs="Arial" w:eastAsia="Arial" w:hAnsi="Arial"/>
                <w:sz w:val="18"/>
                <w:szCs w:val="18"/>
                <w:color w:val="auto"/>
              </w:rPr>
              <w:t>Interest and other expenses, net</w:t>
            </w:r>
          </w:p>
        </w:tc>
        <w:tc>
          <w:tcPr>
            <w:tcW w:w="1420" w:type="dxa"/>
            <w:vAlign w:val="bottom"/>
            <w:tcBorders>
              <w:top w:val="single" w:sz="8" w:color="auto"/>
            </w:tcBorders>
            <w:vMerge w:val="restart"/>
            <w:shd w:val="clear" w:color="auto" w:fill="E5E9F3"/>
          </w:tcPr>
          <w:p>
            <w:pPr>
              <w:jc w:val="right"/>
              <w:ind w:right="238"/>
              <w:spacing w:after="0"/>
              <w:rPr>
                <w:sz w:val="20"/>
                <w:szCs w:val="20"/>
                <w:color w:val="auto"/>
              </w:rPr>
            </w:pPr>
            <w:r>
              <w:rPr>
                <w:rFonts w:ascii="Arial" w:cs="Arial" w:eastAsia="Arial" w:hAnsi="Arial"/>
                <w:sz w:val="18"/>
                <w:szCs w:val="18"/>
                <w:color w:val="auto"/>
              </w:rPr>
              <w:t>0.3</w:t>
            </w:r>
          </w:p>
        </w:tc>
        <w:tc>
          <w:tcPr>
            <w:tcW w:w="1220" w:type="dxa"/>
            <w:vAlign w:val="bottom"/>
            <w:tcBorders>
              <w:top w:val="single" w:sz="8" w:color="auto"/>
            </w:tcBorders>
            <w:vMerge w:val="restart"/>
            <w:shd w:val="clear" w:color="auto" w:fill="E5E9F3"/>
          </w:tcPr>
          <w:p>
            <w:pPr>
              <w:jc w:val="right"/>
              <w:ind w:right="3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234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swap</w:t>
            </w:r>
          </w:p>
        </w:tc>
        <w:tc>
          <w:tcPr>
            <w:tcW w:w="1620" w:type="dxa"/>
            <w:vAlign w:val="bottom"/>
            <w:tcBorders>
              <w:bottom w:val="single" w:sz="8" w:color="auto"/>
            </w:tcBorders>
            <w:vMerge w:val="continue"/>
            <w:shd w:val="clear" w:color="auto" w:fill="E5E9F3"/>
          </w:tcPr>
          <w:p>
            <w:pPr>
              <w:spacing w:after="0"/>
              <w:rPr>
                <w:sz w:val="19"/>
                <w:szCs w:val="19"/>
                <w:color w:val="auto"/>
              </w:rPr>
            </w:pPr>
          </w:p>
        </w:tc>
        <w:tc>
          <w:tcPr>
            <w:tcW w:w="1080" w:type="dxa"/>
            <w:vAlign w:val="bottom"/>
            <w:tcBorders>
              <w:bottom w:val="single" w:sz="8" w:color="auto"/>
            </w:tcBorders>
            <w:vMerge w:val="continue"/>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3000" w:type="dxa"/>
            <w:vAlign w:val="bottom"/>
            <w:tcBorders>
              <w:bottom w:val="single" w:sz="8" w:color="auto"/>
            </w:tcBorders>
            <w:vMerge w:val="continue"/>
            <w:shd w:val="clear" w:color="auto" w:fill="E5E9F3"/>
          </w:tcPr>
          <w:p>
            <w:pPr>
              <w:spacing w:after="0"/>
              <w:rPr>
                <w:sz w:val="19"/>
                <w:szCs w:val="19"/>
                <w:color w:val="auto"/>
              </w:rPr>
            </w:pPr>
          </w:p>
        </w:tc>
        <w:tc>
          <w:tcPr>
            <w:tcW w:w="1420" w:type="dxa"/>
            <w:vAlign w:val="bottom"/>
            <w:tcBorders>
              <w:bottom w:val="single" w:sz="8" w:color="auto"/>
            </w:tcBorders>
            <w:vMerge w:val="continue"/>
            <w:shd w:val="clear" w:color="auto" w:fill="E5E9F3"/>
          </w:tcPr>
          <w:p>
            <w:pPr>
              <w:spacing w:after="0"/>
              <w:rPr>
                <w:sz w:val="19"/>
                <w:szCs w:val="19"/>
                <w:color w:val="auto"/>
              </w:rPr>
            </w:pPr>
          </w:p>
        </w:tc>
        <w:tc>
          <w:tcPr>
            <w:tcW w:w="1220" w:type="dxa"/>
            <w:vAlign w:val="bottom"/>
            <w:tcBorders>
              <w:bottom w:val="single" w:sz="8" w:color="auto"/>
            </w:tcBorders>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10800"/>
          </w:cols>
          <w:pgMar w:left="720" w:top="734" w:right="720" w:bottom="175" w:gutter="0" w:footer="0" w:header="0"/>
          <w:type w:val="continuous"/>
        </w:sectPr>
      </w:pPr>
    </w:p>
    <w:bookmarkStart w:id="86" w:name="page87"/>
    <w:bookmarkEnd w:id="86"/>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6" o:spid="_x0000_s114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27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expect the net amount of pre-tax derivative gains and losses included in AOCL on December 31, 2024 to be reclassified into earnings over the next 12 months will not be significant. The actual amount that will be reclassified to earnings will vary due to future currency exchange rates.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Fair Value Hedges</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5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March 2022, we entered into a cross currency swap agreement to hedge an intercompany fixed-rate CHF denominated note, including the annual interest payment, to a fixed-rate Euro denominated note. In April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w:t>
      </w:r>
    </w:p>
    <w:p>
      <w:pPr>
        <w:spacing w:after="0" w:line="72" w:lineRule="exact"/>
        <w:rPr>
          <w:sz w:val="20"/>
          <w:szCs w:val="20"/>
          <w:color w:val="auto"/>
        </w:rPr>
      </w:pPr>
    </w:p>
    <w:p>
      <w:pPr>
        <w:ind w:right="280"/>
        <w:spacing w:after="0" w:line="282" w:lineRule="auto"/>
        <w:rPr>
          <w:sz w:val="20"/>
          <w:szCs w:val="20"/>
          <w:color w:val="auto"/>
        </w:rPr>
      </w:pPr>
      <w:r>
        <w:rPr>
          <w:rFonts w:ascii="Arial" w:cs="Arial" w:eastAsia="Arial" w:hAnsi="Arial"/>
          <w:sz w:val="20"/>
          <w:szCs w:val="20"/>
          <w:color w:val="auto"/>
        </w:rPr>
        <w:t>The following tables present the impact that the fair value hedges had on our Consolidated Statement of Operations for the year ended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Borders>
              <w:top w:val="single" w:sz="8" w:color="auto"/>
            </w:tcBorders>
            <w:shd w:val="clear" w:color="auto" w:fill="97AAD0"/>
          </w:tcPr>
          <w:p>
            <w:pPr>
              <w:spacing w:after="0"/>
              <w:rPr>
                <w:sz w:val="15"/>
                <w:szCs w:val="15"/>
                <w:color w:val="auto"/>
              </w:rPr>
            </w:pPr>
          </w:p>
        </w:tc>
        <w:tc>
          <w:tcPr>
            <w:tcW w:w="2680" w:type="dxa"/>
            <w:vAlign w:val="bottom"/>
            <w:tcBorders>
              <w:top w:val="single" w:sz="8" w:color="auto"/>
            </w:tcBorders>
            <w:gridSpan w:val="3"/>
            <w:vMerge w:val="restart"/>
            <w:shd w:val="clear" w:color="auto" w:fill="97AAD0"/>
          </w:tcPr>
          <w:p>
            <w:pPr>
              <w:jc w:val="right"/>
              <w:spacing w:after="0"/>
              <w:rPr>
                <w:sz w:val="20"/>
                <w:szCs w:val="20"/>
                <w:color w:val="auto"/>
              </w:rPr>
            </w:pPr>
            <w:r>
              <w:rPr>
                <w:rFonts w:ascii="Arial" w:cs="Arial" w:eastAsia="Arial" w:hAnsi="Arial"/>
                <w:sz w:val="16"/>
                <w:szCs w:val="16"/>
                <w:b w:val="1"/>
                <w:bCs w:val="1"/>
                <w:color w:val="auto"/>
              </w:rPr>
              <w:t>Gain (Loss) Recognized in OCI</w:t>
            </w:r>
          </w:p>
        </w:tc>
        <w:tc>
          <w:tcPr>
            <w:tcW w:w="120" w:type="dxa"/>
            <w:vAlign w:val="bottom"/>
            <w:tcBorders>
              <w:top w:val="single" w:sz="8" w:color="auto"/>
            </w:tcBorders>
            <w:shd w:val="clear" w:color="auto" w:fill="97AAD0"/>
          </w:tcPr>
          <w:p>
            <w:pPr>
              <w:spacing w:after="0"/>
              <w:rPr>
                <w:sz w:val="15"/>
                <w:szCs w:val="15"/>
                <w:color w:val="auto"/>
              </w:rPr>
            </w:pPr>
          </w:p>
        </w:tc>
        <w:tc>
          <w:tcPr>
            <w:tcW w:w="2900" w:type="dxa"/>
            <w:vAlign w:val="bottom"/>
            <w:tcBorders>
              <w:top w:val="single" w:sz="8" w:color="auto"/>
            </w:tcBorders>
            <w:shd w:val="clear" w:color="auto" w:fill="97AAD0"/>
          </w:tcPr>
          <w:p>
            <w:pPr>
              <w:spacing w:after="0"/>
              <w:rPr>
                <w:sz w:val="15"/>
                <w:szCs w:val="15"/>
                <w:color w:val="auto"/>
              </w:rPr>
            </w:pPr>
          </w:p>
        </w:tc>
        <w:tc>
          <w:tcPr>
            <w:tcW w:w="160" w:type="dxa"/>
            <w:vAlign w:val="bottom"/>
            <w:tcBorders>
              <w:top w:val="single" w:sz="8" w:color="auto"/>
            </w:tcBorders>
            <w:shd w:val="clear" w:color="auto" w:fill="97AAD0"/>
          </w:tcPr>
          <w:p>
            <w:pPr>
              <w:spacing w:after="0"/>
              <w:rPr>
                <w:sz w:val="15"/>
                <w:szCs w:val="15"/>
                <w:color w:val="auto"/>
              </w:rPr>
            </w:pPr>
          </w:p>
        </w:tc>
        <w:tc>
          <w:tcPr>
            <w:tcW w:w="160" w:type="dxa"/>
            <w:vAlign w:val="bottom"/>
            <w:tcBorders>
              <w:top w:val="single" w:sz="8" w:color="auto"/>
            </w:tcBorders>
            <w:shd w:val="clear" w:color="auto" w:fill="97AAD0"/>
          </w:tcPr>
          <w:p>
            <w:pPr>
              <w:spacing w:after="0"/>
              <w:rPr>
                <w:sz w:val="15"/>
                <w:szCs w:val="15"/>
                <w:color w:val="auto"/>
              </w:rPr>
            </w:pPr>
          </w:p>
        </w:tc>
        <w:tc>
          <w:tcPr>
            <w:tcW w:w="2420" w:type="dxa"/>
            <w:vAlign w:val="bottom"/>
            <w:tcBorders>
              <w:top w:val="single" w:sz="8" w:color="auto"/>
            </w:tcBorders>
            <w:gridSpan w:val="3"/>
            <w:shd w:val="clear" w:color="auto" w:fill="97AAD0"/>
          </w:tcPr>
          <w:p>
            <w:pPr>
              <w:jc w:val="center"/>
              <w:ind w:right="193"/>
              <w:spacing w:after="0" w:line="175" w:lineRule="exact"/>
              <w:rPr>
                <w:sz w:val="20"/>
                <w:szCs w:val="20"/>
                <w:color w:val="auto"/>
              </w:rPr>
            </w:pPr>
            <w:r>
              <w:rPr>
                <w:rFonts w:ascii="Arial" w:cs="Arial" w:eastAsia="Arial" w:hAnsi="Arial"/>
                <w:sz w:val="16"/>
                <w:szCs w:val="16"/>
                <w:b w:val="1"/>
                <w:bCs w:val="1"/>
                <w:color w:val="auto"/>
              </w:rPr>
              <w:t>Gain (Loss) Recognized in</w:t>
            </w:r>
          </w:p>
        </w:tc>
        <w:tc>
          <w:tcPr>
            <w:tcW w:w="0" w:type="dxa"/>
            <w:vAlign w:val="bottom"/>
          </w:tcPr>
          <w:p>
            <w:pPr>
              <w:spacing w:after="0"/>
              <w:rPr>
                <w:sz w:val="1"/>
                <w:szCs w:val="1"/>
                <w:color w:val="auto"/>
              </w:rPr>
            </w:pPr>
          </w:p>
        </w:tc>
      </w:tr>
      <w:tr>
        <w:trPr>
          <w:trHeight w:val="203"/>
        </w:trPr>
        <w:tc>
          <w:tcPr>
            <w:tcW w:w="2360" w:type="dxa"/>
            <w:vAlign w:val="bottom"/>
            <w:shd w:val="clear" w:color="auto" w:fill="97AAD0"/>
          </w:tcPr>
          <w:p>
            <w:pPr>
              <w:spacing w:after="0"/>
              <w:rPr>
                <w:sz w:val="17"/>
                <w:szCs w:val="17"/>
                <w:color w:val="auto"/>
              </w:rPr>
            </w:pPr>
          </w:p>
        </w:tc>
        <w:tc>
          <w:tcPr>
            <w:tcW w:w="2680" w:type="dxa"/>
            <w:vAlign w:val="bottom"/>
            <w:gridSpan w:val="3"/>
            <w:vMerge w:val="continue"/>
            <w:shd w:val="clear" w:color="auto" w:fill="97AAD0"/>
          </w:tcPr>
          <w:p>
            <w:pPr>
              <w:spacing w:after="0"/>
              <w:rPr>
                <w:sz w:val="17"/>
                <w:szCs w:val="17"/>
                <w:color w:val="auto"/>
              </w:rPr>
            </w:pPr>
          </w:p>
        </w:tc>
        <w:tc>
          <w:tcPr>
            <w:tcW w:w="120" w:type="dxa"/>
            <w:vAlign w:val="bottom"/>
            <w:shd w:val="clear" w:color="auto" w:fill="97AAD0"/>
          </w:tcPr>
          <w:p>
            <w:pPr>
              <w:spacing w:after="0"/>
              <w:rPr>
                <w:sz w:val="17"/>
                <w:szCs w:val="17"/>
                <w:color w:val="auto"/>
              </w:rPr>
            </w:pPr>
          </w:p>
        </w:tc>
        <w:tc>
          <w:tcPr>
            <w:tcW w:w="2900" w:type="dxa"/>
            <w:vAlign w:val="bottom"/>
            <w:shd w:val="clear" w:color="auto" w:fill="97AAD0"/>
          </w:tcPr>
          <w:p>
            <w:pPr>
              <w:spacing w:after="0"/>
              <w:rPr>
                <w:sz w:val="17"/>
                <w:szCs w:val="17"/>
                <w:color w:val="auto"/>
              </w:rPr>
            </w:pPr>
          </w:p>
        </w:tc>
        <w:tc>
          <w:tcPr>
            <w:tcW w:w="160" w:type="dxa"/>
            <w:vAlign w:val="bottom"/>
            <w:shd w:val="clear" w:color="auto" w:fill="97AAD0"/>
          </w:tcPr>
          <w:p>
            <w:pPr>
              <w:spacing w:after="0"/>
              <w:rPr>
                <w:sz w:val="17"/>
                <w:szCs w:val="17"/>
                <w:color w:val="auto"/>
              </w:rPr>
            </w:pPr>
          </w:p>
        </w:tc>
        <w:tc>
          <w:tcPr>
            <w:tcW w:w="160" w:type="dxa"/>
            <w:vAlign w:val="bottom"/>
            <w:shd w:val="clear" w:color="auto" w:fill="97AAD0"/>
          </w:tcPr>
          <w:p>
            <w:pPr>
              <w:spacing w:after="0"/>
              <w:rPr>
                <w:sz w:val="17"/>
                <w:szCs w:val="17"/>
                <w:color w:val="auto"/>
              </w:rPr>
            </w:pPr>
          </w:p>
        </w:tc>
        <w:tc>
          <w:tcPr>
            <w:tcW w:w="1440" w:type="dxa"/>
            <w:vAlign w:val="bottom"/>
            <w:gridSpan w:val="2"/>
            <w:shd w:val="clear" w:color="auto" w:fill="97AAD0"/>
          </w:tcPr>
          <w:p>
            <w:pPr>
              <w:jc w:val="center"/>
              <w:ind w:left="597"/>
              <w:spacing w:after="0"/>
              <w:rPr>
                <w:sz w:val="20"/>
                <w:szCs w:val="20"/>
                <w:color w:val="auto"/>
              </w:rPr>
            </w:pPr>
            <w:r>
              <w:rPr>
                <w:rFonts w:ascii="Arial" w:cs="Arial" w:eastAsia="Arial" w:hAnsi="Arial"/>
                <w:sz w:val="16"/>
                <w:szCs w:val="16"/>
                <w:b w:val="1"/>
                <w:bCs w:val="1"/>
                <w:color w:val="auto"/>
                <w:w w:val="99"/>
              </w:rPr>
              <w:t>Income</w:t>
            </w:r>
          </w:p>
        </w:tc>
        <w:tc>
          <w:tcPr>
            <w:tcW w:w="980" w:type="dxa"/>
            <w:vAlign w:val="bottom"/>
            <w:shd w:val="clear" w:color="auto" w:fill="97AAD0"/>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360" w:type="dxa"/>
            <w:vAlign w:val="bottom"/>
            <w:tcBorders>
              <w:bottom w:val="single" w:sz="8" w:color="auto"/>
            </w:tcBorders>
            <w:shd w:val="clear" w:color="auto" w:fill="97AAD0"/>
          </w:tcPr>
          <w:p>
            <w:pPr>
              <w:spacing w:after="0"/>
              <w:rPr>
                <w:sz w:val="24"/>
                <w:szCs w:val="24"/>
                <w:color w:val="auto"/>
              </w:rPr>
            </w:pPr>
          </w:p>
        </w:tc>
        <w:tc>
          <w:tcPr>
            <w:tcW w:w="400" w:type="dxa"/>
            <w:vAlign w:val="bottom"/>
            <w:tcBorders>
              <w:bottom w:val="single" w:sz="8" w:color="auto"/>
            </w:tcBorders>
            <w:shd w:val="clear" w:color="auto" w:fill="97AAD0"/>
          </w:tcPr>
          <w:p>
            <w:pPr>
              <w:spacing w:after="0"/>
              <w:rPr>
                <w:sz w:val="24"/>
                <w:szCs w:val="24"/>
                <w:color w:val="auto"/>
              </w:rPr>
            </w:pPr>
          </w:p>
        </w:tc>
        <w:tc>
          <w:tcPr>
            <w:tcW w:w="2280" w:type="dxa"/>
            <w:vAlign w:val="bottom"/>
            <w:tcBorders>
              <w:bottom w:val="single" w:sz="8" w:color="auto"/>
            </w:tcBorders>
            <w:gridSpan w:val="2"/>
            <w:shd w:val="clear" w:color="auto" w:fill="97AAD0"/>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shd w:val="clear" w:color="auto" w:fill="97AAD0"/>
          </w:tcPr>
          <w:p>
            <w:pPr>
              <w:spacing w:after="0"/>
              <w:rPr>
                <w:sz w:val="24"/>
                <w:szCs w:val="24"/>
                <w:color w:val="auto"/>
              </w:rPr>
            </w:pPr>
          </w:p>
        </w:tc>
        <w:tc>
          <w:tcPr>
            <w:tcW w:w="2900" w:type="dxa"/>
            <w:vAlign w:val="bottom"/>
            <w:tcBorders>
              <w:bottom w:val="single" w:sz="8" w:color="97AAD0"/>
            </w:tcBorders>
            <w:shd w:val="clear" w:color="auto" w:fill="97AAD0"/>
          </w:tcPr>
          <w:p>
            <w:pPr>
              <w:jc w:val="center"/>
              <w:ind w:left="35"/>
              <w:spacing w:after="0"/>
              <w:rPr>
                <w:sz w:val="20"/>
                <w:szCs w:val="20"/>
                <w:color w:val="auto"/>
              </w:rPr>
            </w:pPr>
            <w:r>
              <w:rPr>
                <w:rFonts w:ascii="Arial" w:cs="Arial" w:eastAsia="Arial" w:hAnsi="Arial"/>
                <w:sz w:val="16"/>
                <w:szCs w:val="16"/>
                <w:b w:val="1"/>
                <w:bCs w:val="1"/>
                <w:color w:val="auto"/>
                <w:w w:val="99"/>
              </w:rPr>
              <w:t>Location of Gain (Loss)</w:t>
            </w:r>
          </w:p>
        </w:tc>
        <w:tc>
          <w:tcPr>
            <w:tcW w:w="160" w:type="dxa"/>
            <w:vAlign w:val="bottom"/>
            <w:tcBorders>
              <w:bottom w:val="single" w:sz="8" w:color="97AAD0"/>
            </w:tcBorders>
            <w:shd w:val="clear" w:color="auto" w:fill="97AAD0"/>
          </w:tcPr>
          <w:p>
            <w:pPr>
              <w:spacing w:after="0"/>
              <w:rPr>
                <w:sz w:val="24"/>
                <w:szCs w:val="24"/>
                <w:color w:val="auto"/>
              </w:rPr>
            </w:pPr>
          </w:p>
        </w:tc>
        <w:tc>
          <w:tcPr>
            <w:tcW w:w="160" w:type="dxa"/>
            <w:vAlign w:val="bottom"/>
            <w:tcBorders>
              <w:bottom w:val="single" w:sz="8" w:color="auto"/>
            </w:tcBorders>
            <w:shd w:val="clear" w:color="auto" w:fill="97AAD0"/>
          </w:tcPr>
          <w:p>
            <w:pPr>
              <w:spacing w:after="0"/>
              <w:rPr>
                <w:sz w:val="24"/>
                <w:szCs w:val="24"/>
                <w:color w:val="auto"/>
              </w:rPr>
            </w:pPr>
          </w:p>
        </w:tc>
        <w:tc>
          <w:tcPr>
            <w:tcW w:w="2420" w:type="dxa"/>
            <w:vAlign w:val="bottom"/>
            <w:tcBorders>
              <w:bottom w:val="single" w:sz="8" w:color="auto"/>
            </w:tcBorders>
            <w:gridSpan w:val="3"/>
            <w:shd w:val="clear" w:color="auto" w:fill="97AAD0"/>
          </w:tcPr>
          <w:p>
            <w:pPr>
              <w:jc w:val="center"/>
              <w:ind w:right="213"/>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Instrument</w:t>
            </w:r>
          </w:p>
        </w:tc>
        <w:tc>
          <w:tcPr>
            <w:tcW w:w="400" w:type="dxa"/>
            <w:vAlign w:val="bottom"/>
            <w:tcBorders>
              <w:bottom w:val="single" w:sz="8" w:color="auto"/>
            </w:tcBorders>
            <w:shd w:val="clear" w:color="auto" w:fill="97AAD0"/>
          </w:tcPr>
          <w:p>
            <w:pPr>
              <w:spacing w:after="0"/>
              <w:rPr>
                <w:sz w:val="23"/>
                <w:szCs w:val="23"/>
                <w:color w:val="auto"/>
              </w:rPr>
            </w:pPr>
          </w:p>
        </w:tc>
        <w:tc>
          <w:tcPr>
            <w:tcW w:w="1400" w:type="dxa"/>
            <w:vAlign w:val="bottom"/>
            <w:tcBorders>
              <w:bottom w:val="single" w:sz="8" w:color="auto"/>
            </w:tcBorders>
            <w:shd w:val="clear" w:color="auto" w:fill="97AAD0"/>
          </w:tcPr>
          <w:p>
            <w:pPr>
              <w:jc w:val="right"/>
              <w:ind w:right="735"/>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shd w:val="clear" w:color="auto" w:fill="97AAD0"/>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shd w:val="clear" w:color="auto" w:fill="97AAD0"/>
          </w:tcPr>
          <w:p>
            <w:pPr>
              <w:spacing w:after="0"/>
              <w:rPr>
                <w:sz w:val="23"/>
                <w:szCs w:val="23"/>
                <w:color w:val="auto"/>
              </w:rPr>
            </w:pPr>
          </w:p>
        </w:tc>
        <w:tc>
          <w:tcPr>
            <w:tcW w:w="2900" w:type="dxa"/>
            <w:vAlign w:val="bottom"/>
            <w:tcBorders>
              <w:bottom w:val="single" w:sz="8" w:color="auto"/>
            </w:tcBorders>
            <w:shd w:val="clear" w:color="auto" w:fill="97AAD0"/>
          </w:tcPr>
          <w:p>
            <w:pPr>
              <w:jc w:val="center"/>
              <w:ind w:left="55"/>
              <w:spacing w:after="0"/>
              <w:rPr>
                <w:sz w:val="20"/>
                <w:szCs w:val="20"/>
                <w:color w:val="auto"/>
              </w:rPr>
            </w:pPr>
            <w:r>
              <w:rPr>
                <w:rFonts w:ascii="Arial" w:cs="Arial" w:eastAsia="Arial" w:hAnsi="Arial"/>
                <w:sz w:val="16"/>
                <w:szCs w:val="16"/>
                <w:b w:val="1"/>
                <w:bCs w:val="1"/>
                <w:color w:val="auto"/>
                <w:w w:val="99"/>
              </w:rPr>
              <w:t>Recognized in Income</w:t>
            </w:r>
          </w:p>
        </w:tc>
        <w:tc>
          <w:tcPr>
            <w:tcW w:w="160" w:type="dxa"/>
            <w:vAlign w:val="bottom"/>
            <w:tcBorders>
              <w:bottom w:val="single" w:sz="8" w:color="auto"/>
            </w:tcBorders>
            <w:shd w:val="clear" w:color="auto" w:fill="97AAD0"/>
          </w:tcPr>
          <w:p>
            <w:pPr>
              <w:spacing w:after="0"/>
              <w:rPr>
                <w:sz w:val="23"/>
                <w:szCs w:val="23"/>
                <w:color w:val="auto"/>
              </w:rPr>
            </w:pPr>
          </w:p>
        </w:tc>
        <w:tc>
          <w:tcPr>
            <w:tcW w:w="160" w:type="dxa"/>
            <w:vAlign w:val="bottom"/>
            <w:tcBorders>
              <w:bottom w:val="single" w:sz="8" w:color="auto"/>
            </w:tcBorders>
            <w:shd w:val="clear" w:color="auto" w:fill="97AAD0"/>
          </w:tcPr>
          <w:p>
            <w:pPr>
              <w:spacing w:after="0"/>
              <w:rPr>
                <w:sz w:val="23"/>
                <w:szCs w:val="23"/>
                <w:color w:val="auto"/>
              </w:rPr>
            </w:pPr>
          </w:p>
        </w:tc>
        <w:tc>
          <w:tcPr>
            <w:tcW w:w="1080" w:type="dxa"/>
            <w:vAlign w:val="bottom"/>
            <w:tcBorders>
              <w:bottom w:val="single" w:sz="8" w:color="auto"/>
            </w:tcBorders>
            <w:shd w:val="clear" w:color="auto" w:fill="97AAD0"/>
          </w:tcPr>
          <w:p>
            <w:pPr>
              <w:jc w:val="right"/>
              <w:ind w:right="437"/>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shd w:val="clear" w:color="auto" w:fill="97AAD0"/>
          </w:tcPr>
          <w:p>
            <w:pPr>
              <w:spacing w:after="0"/>
              <w:rPr>
                <w:sz w:val="23"/>
                <w:szCs w:val="23"/>
                <w:color w:val="auto"/>
              </w:rPr>
            </w:pPr>
          </w:p>
        </w:tc>
        <w:tc>
          <w:tcPr>
            <w:tcW w:w="980" w:type="dxa"/>
            <w:vAlign w:val="bottom"/>
            <w:tcBorders>
              <w:bottom w:val="single" w:sz="8" w:color="auto"/>
            </w:tcBorders>
            <w:shd w:val="clear" w:color="auto" w:fill="97AAD0"/>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Intercompany CHF notes</w:t>
            </w:r>
          </w:p>
        </w:tc>
        <w:tc>
          <w:tcPr>
            <w:tcW w:w="4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5E9F3"/>
          </w:tcPr>
          <w:p>
            <w:pPr>
              <w:jc w:val="right"/>
              <w:ind w:right="35"/>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9F3"/>
          </w:tcPr>
          <w:p>
            <w:pPr>
              <w:spacing w:after="0"/>
              <w:rPr>
                <w:sz w:val="21"/>
                <w:szCs w:val="21"/>
                <w:color w:val="auto"/>
              </w:rPr>
            </w:pPr>
          </w:p>
        </w:tc>
        <w:tc>
          <w:tcPr>
            <w:tcW w:w="2900" w:type="dxa"/>
            <w:vAlign w:val="bottom"/>
            <w:tcBorders>
              <w:bottom w:val="single" w:sz="8" w:color="auto"/>
            </w:tcBorders>
            <w:shd w:val="clear" w:color="auto" w:fill="E5E9F3"/>
          </w:tcPr>
          <w:p>
            <w:pPr>
              <w:ind w:left="160"/>
              <w:spacing w:after="0"/>
              <w:rPr>
                <w:sz w:val="20"/>
                <w:szCs w:val="20"/>
                <w:color w:val="auto"/>
              </w:rPr>
            </w:pPr>
            <w:r>
              <w:rPr>
                <w:rFonts w:ascii="Arial" w:cs="Arial" w:eastAsia="Arial" w:hAnsi="Arial"/>
                <w:sz w:val="18"/>
                <w:szCs w:val="18"/>
                <w:color w:val="auto"/>
              </w:rPr>
              <w:t>Interest and other expenses, net</w:t>
            </w:r>
          </w:p>
        </w:tc>
        <w:tc>
          <w:tcPr>
            <w:tcW w:w="320" w:type="dxa"/>
            <w:vAlign w:val="bottom"/>
            <w:tcBorders>
              <w:bottom w:val="single" w:sz="8" w:color="auto"/>
            </w:tcBorders>
            <w:gridSpan w:val="2"/>
            <w:shd w:val="clear" w:color="auto" w:fill="E5E9F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57"/>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shd w:val="clear" w:color="auto" w:fill="E5E9F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Cross-currency swaps</w:t>
            </w: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0.9</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w:t>
            </w:r>
          </w:p>
        </w:tc>
        <w:tc>
          <w:tcPr>
            <w:tcW w:w="2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Interest and other expenses, net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Non-Designated Instruments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2024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60" w:type="dxa"/>
            <w:vAlign w:val="bottom"/>
            <w:tcBorders>
              <w:top w:val="single" w:sz="8" w:color="auto"/>
              <w:bottom w:val="single" w:sz="8" w:color="97AAD0"/>
            </w:tcBorders>
            <w:shd w:val="clear" w:color="auto" w:fill="97AAD0"/>
          </w:tcPr>
          <w:p>
            <w:pPr>
              <w:spacing w:after="0"/>
              <w:rPr>
                <w:sz w:val="24"/>
                <w:szCs w:val="24"/>
                <w:color w:val="auto"/>
              </w:rPr>
            </w:pPr>
          </w:p>
        </w:tc>
        <w:tc>
          <w:tcPr>
            <w:tcW w:w="3720" w:type="dxa"/>
            <w:vAlign w:val="bottom"/>
            <w:tcBorders>
              <w:top w:val="single" w:sz="8" w:color="auto"/>
              <w:bottom w:val="single" w:sz="8" w:color="97AAD0"/>
            </w:tcBorders>
            <w:shd w:val="clear" w:color="auto" w:fill="97AAD0"/>
          </w:tcPr>
          <w:p>
            <w:pPr>
              <w:jc w:val="center"/>
              <w:ind w:left="337"/>
              <w:spacing w:after="0"/>
              <w:rPr>
                <w:sz w:val="20"/>
                <w:szCs w:val="20"/>
                <w:color w:val="auto"/>
              </w:rPr>
            </w:pPr>
            <w:r>
              <w:rPr>
                <w:rFonts w:ascii="Arial" w:cs="Arial" w:eastAsia="Arial" w:hAnsi="Arial"/>
                <w:sz w:val="16"/>
                <w:szCs w:val="16"/>
                <w:b w:val="1"/>
                <w:bCs w:val="1"/>
                <w:color w:val="auto"/>
                <w:w w:val="99"/>
              </w:rPr>
              <w:t>Location of Gain</w:t>
            </w:r>
          </w:p>
        </w:tc>
        <w:tc>
          <w:tcPr>
            <w:tcW w:w="120" w:type="dxa"/>
            <w:vAlign w:val="bottom"/>
            <w:tcBorders>
              <w:top w:val="single" w:sz="8" w:color="auto"/>
              <w:bottom w:val="single" w:sz="8" w:color="97AAD0"/>
            </w:tcBorders>
            <w:shd w:val="clear" w:color="auto" w:fill="97AAD0"/>
          </w:tcPr>
          <w:p>
            <w:pPr>
              <w:spacing w:after="0"/>
              <w:rPr>
                <w:sz w:val="24"/>
                <w:szCs w:val="24"/>
                <w:color w:val="auto"/>
              </w:rPr>
            </w:pPr>
          </w:p>
        </w:tc>
        <w:tc>
          <w:tcPr>
            <w:tcW w:w="260" w:type="dxa"/>
            <w:vAlign w:val="bottom"/>
            <w:tcBorders>
              <w:top w:val="single" w:sz="8" w:color="auto"/>
              <w:bottom w:val="single" w:sz="8" w:color="auto"/>
            </w:tcBorders>
            <w:shd w:val="clear" w:color="auto" w:fill="97AAD0"/>
          </w:tcPr>
          <w:p>
            <w:pPr>
              <w:spacing w:after="0"/>
              <w:rPr>
                <w:sz w:val="24"/>
                <w:szCs w:val="24"/>
                <w:color w:val="auto"/>
              </w:rPr>
            </w:pPr>
          </w:p>
        </w:tc>
        <w:tc>
          <w:tcPr>
            <w:tcW w:w="3340" w:type="dxa"/>
            <w:vAlign w:val="bottom"/>
            <w:tcBorders>
              <w:top w:val="single" w:sz="8" w:color="auto"/>
              <w:bottom w:val="single" w:sz="8" w:color="auto"/>
            </w:tcBorders>
            <w:gridSpan w:val="3"/>
            <w:shd w:val="clear" w:color="auto" w:fill="97AAD0"/>
          </w:tcPr>
          <w:p>
            <w:pPr>
              <w:jc w:val="center"/>
              <w:ind w:right="295"/>
              <w:spacing w:after="0"/>
              <w:rPr>
                <w:sz w:val="20"/>
                <w:szCs w:val="20"/>
                <w:color w:val="auto"/>
              </w:rPr>
            </w:pPr>
            <w:r>
              <w:rPr>
                <w:rFonts w:ascii="Arial" w:cs="Arial" w:eastAsia="Arial" w:hAnsi="Arial"/>
                <w:sz w:val="16"/>
                <w:szCs w:val="16"/>
                <w:b w:val="1"/>
                <w:bCs w:val="1"/>
                <w:color w:val="auto"/>
                <w:w w:val="99"/>
              </w:rPr>
              <w:t>Gain (Loss) Recognized in Income</w:t>
            </w:r>
          </w:p>
        </w:tc>
      </w:tr>
      <w:tr>
        <w:trPr>
          <w:trHeight w:val="266"/>
        </w:trPr>
        <w:tc>
          <w:tcPr>
            <w:tcW w:w="336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Instrument</w:t>
            </w:r>
          </w:p>
        </w:tc>
        <w:tc>
          <w:tcPr>
            <w:tcW w:w="3720" w:type="dxa"/>
            <w:vAlign w:val="bottom"/>
            <w:tcBorders>
              <w:bottom w:val="single" w:sz="8" w:color="auto"/>
            </w:tcBorders>
            <w:shd w:val="clear" w:color="auto" w:fill="97AAD0"/>
          </w:tcPr>
          <w:p>
            <w:pPr>
              <w:jc w:val="center"/>
              <w:ind w:left="337"/>
              <w:spacing w:after="0"/>
              <w:rPr>
                <w:sz w:val="20"/>
                <w:szCs w:val="20"/>
                <w:color w:val="auto"/>
              </w:rPr>
            </w:pPr>
            <w:r>
              <w:rPr>
                <w:rFonts w:ascii="Arial" w:cs="Arial" w:eastAsia="Arial" w:hAnsi="Arial"/>
                <w:sz w:val="16"/>
                <w:szCs w:val="16"/>
                <w:b w:val="1"/>
                <w:bCs w:val="1"/>
                <w:color w:val="auto"/>
              </w:rPr>
              <w:t>Recognized in Income</w:t>
            </w:r>
          </w:p>
        </w:tc>
        <w:tc>
          <w:tcPr>
            <w:tcW w:w="120" w:type="dxa"/>
            <w:vAlign w:val="bottom"/>
            <w:tcBorders>
              <w:bottom w:val="single" w:sz="8" w:color="auto"/>
            </w:tcBorders>
            <w:shd w:val="clear" w:color="auto" w:fill="97AAD0"/>
          </w:tcPr>
          <w:p>
            <w:pPr>
              <w:spacing w:after="0"/>
              <w:rPr>
                <w:sz w:val="23"/>
                <w:szCs w:val="23"/>
                <w:color w:val="auto"/>
              </w:rPr>
            </w:pPr>
          </w:p>
        </w:tc>
        <w:tc>
          <w:tcPr>
            <w:tcW w:w="260" w:type="dxa"/>
            <w:vAlign w:val="bottom"/>
            <w:tcBorders>
              <w:bottom w:val="single" w:sz="8" w:color="auto"/>
            </w:tcBorders>
            <w:shd w:val="clear" w:color="auto" w:fill="97AAD0"/>
          </w:tcPr>
          <w:p>
            <w:pPr>
              <w:spacing w:after="0"/>
              <w:rPr>
                <w:sz w:val="23"/>
                <w:szCs w:val="23"/>
                <w:color w:val="auto"/>
              </w:rPr>
            </w:pPr>
          </w:p>
        </w:tc>
        <w:tc>
          <w:tcPr>
            <w:tcW w:w="3340" w:type="dxa"/>
            <w:vAlign w:val="bottom"/>
            <w:tcBorders>
              <w:bottom w:val="single" w:sz="8" w:color="auto"/>
            </w:tcBorders>
            <w:gridSpan w:val="3"/>
            <w:shd w:val="clear" w:color="auto" w:fill="97AAD0"/>
          </w:tcPr>
          <w:p>
            <w:pPr>
              <w:jc w:val="center"/>
              <w:ind w:right="295"/>
              <w:spacing w:after="0"/>
              <w:rPr>
                <w:sz w:val="20"/>
                <w:szCs w:val="20"/>
                <w:color w:val="auto"/>
              </w:rPr>
            </w:pPr>
            <w:r>
              <w:rPr>
                <w:rFonts w:ascii="Arial" w:cs="Arial" w:eastAsia="Arial" w:hAnsi="Arial"/>
                <w:sz w:val="16"/>
                <w:szCs w:val="16"/>
                <w:b w:val="1"/>
                <w:bCs w:val="1"/>
                <w:color w:val="auto"/>
                <w:w w:val="99"/>
              </w:rPr>
              <w:t>Year Ended December 31,</w:t>
            </w:r>
          </w:p>
        </w:tc>
      </w:tr>
      <w:tr>
        <w:trPr>
          <w:trHeight w:val="266"/>
        </w:trPr>
        <w:tc>
          <w:tcPr>
            <w:tcW w:w="3360" w:type="dxa"/>
            <w:vAlign w:val="bottom"/>
            <w:tcBorders>
              <w:bottom w:val="single" w:sz="8" w:color="auto"/>
            </w:tcBorders>
            <w:shd w:val="clear" w:color="auto" w:fill="97AAD0"/>
          </w:tcPr>
          <w:p>
            <w:pPr>
              <w:spacing w:after="0"/>
              <w:rPr>
                <w:sz w:val="23"/>
                <w:szCs w:val="23"/>
                <w:color w:val="auto"/>
              </w:rPr>
            </w:pPr>
          </w:p>
        </w:tc>
        <w:tc>
          <w:tcPr>
            <w:tcW w:w="3720" w:type="dxa"/>
            <w:vAlign w:val="bottom"/>
            <w:tcBorders>
              <w:bottom w:val="single" w:sz="8" w:color="auto"/>
            </w:tcBorders>
            <w:shd w:val="clear" w:color="auto" w:fill="97AAD0"/>
          </w:tcPr>
          <w:p>
            <w:pPr>
              <w:spacing w:after="0"/>
              <w:rPr>
                <w:sz w:val="23"/>
                <w:szCs w:val="23"/>
                <w:color w:val="auto"/>
              </w:rPr>
            </w:pPr>
          </w:p>
        </w:tc>
        <w:tc>
          <w:tcPr>
            <w:tcW w:w="120" w:type="dxa"/>
            <w:vAlign w:val="bottom"/>
            <w:tcBorders>
              <w:bottom w:val="single" w:sz="8" w:color="auto"/>
            </w:tcBorders>
            <w:shd w:val="clear" w:color="auto" w:fill="97AAD0"/>
          </w:tcPr>
          <w:p>
            <w:pPr>
              <w:spacing w:after="0"/>
              <w:rPr>
                <w:sz w:val="23"/>
                <w:szCs w:val="23"/>
                <w:color w:val="auto"/>
              </w:rPr>
            </w:pPr>
          </w:p>
        </w:tc>
        <w:tc>
          <w:tcPr>
            <w:tcW w:w="260" w:type="dxa"/>
            <w:vAlign w:val="bottom"/>
            <w:tcBorders>
              <w:bottom w:val="single" w:sz="8" w:color="auto"/>
            </w:tcBorders>
            <w:shd w:val="clear" w:color="auto" w:fill="97AAD0"/>
          </w:tcPr>
          <w:p>
            <w:pPr>
              <w:spacing w:after="0"/>
              <w:rPr>
                <w:sz w:val="23"/>
                <w:szCs w:val="23"/>
                <w:color w:val="auto"/>
              </w:rPr>
            </w:pPr>
          </w:p>
        </w:tc>
        <w:tc>
          <w:tcPr>
            <w:tcW w:w="1520" w:type="dxa"/>
            <w:vAlign w:val="bottom"/>
            <w:tcBorders>
              <w:bottom w:val="single" w:sz="8" w:color="auto"/>
            </w:tcBorders>
            <w:shd w:val="clear" w:color="auto" w:fill="97AAD0"/>
          </w:tcPr>
          <w:p>
            <w:pPr>
              <w:jc w:val="right"/>
              <w:ind w:right="718"/>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shd w:val="clear" w:color="auto" w:fill="97AAD0"/>
          </w:tcPr>
          <w:p>
            <w:pPr>
              <w:spacing w:after="0"/>
              <w:rPr>
                <w:sz w:val="23"/>
                <w:szCs w:val="23"/>
                <w:color w:val="auto"/>
              </w:rPr>
            </w:pPr>
          </w:p>
        </w:tc>
        <w:tc>
          <w:tcPr>
            <w:tcW w:w="1380" w:type="dxa"/>
            <w:vAlign w:val="bottom"/>
            <w:tcBorders>
              <w:bottom w:val="single" w:sz="8" w:color="auto"/>
            </w:tcBorders>
            <w:shd w:val="clear" w:color="auto" w:fill="97AAD0"/>
          </w:tcPr>
          <w:p>
            <w:pPr>
              <w:jc w:val="right"/>
              <w:ind w:right="675"/>
              <w:spacing w:after="0"/>
              <w:rPr>
                <w:sz w:val="20"/>
                <w:szCs w:val="20"/>
                <w:color w:val="auto"/>
              </w:rPr>
            </w:pPr>
            <w:r>
              <w:rPr>
                <w:rFonts w:ascii="Arial" w:cs="Arial" w:eastAsia="Arial" w:hAnsi="Arial"/>
                <w:sz w:val="16"/>
                <w:szCs w:val="16"/>
                <w:b w:val="1"/>
                <w:bCs w:val="1"/>
                <w:color w:val="auto"/>
              </w:rPr>
              <w:t>2023</w:t>
            </w:r>
          </w:p>
        </w:tc>
      </w:tr>
      <w:tr>
        <w:trPr>
          <w:trHeight w:val="243"/>
        </w:trPr>
        <w:tc>
          <w:tcPr>
            <w:tcW w:w="336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Foreign currency forward contracts</w:t>
            </w:r>
          </w:p>
        </w:tc>
        <w:tc>
          <w:tcPr>
            <w:tcW w:w="3720" w:type="dxa"/>
            <w:vAlign w:val="bottom"/>
            <w:tcBorders>
              <w:bottom w:val="single" w:sz="8" w:color="auto"/>
            </w:tcBorders>
            <w:shd w:val="clear" w:color="auto" w:fill="E5E9F3"/>
          </w:tcPr>
          <w:p>
            <w:pPr>
              <w:ind w:left="480"/>
              <w:spacing w:after="0"/>
              <w:rPr>
                <w:sz w:val="20"/>
                <w:szCs w:val="20"/>
                <w:color w:val="auto"/>
              </w:rPr>
            </w:pPr>
            <w:r>
              <w:rPr>
                <w:rFonts w:ascii="Arial" w:cs="Arial" w:eastAsia="Arial" w:hAnsi="Arial"/>
                <w:sz w:val="18"/>
                <w:szCs w:val="18"/>
                <w:color w:val="auto"/>
              </w:rPr>
              <w:t>Interest and other expenses, net</w:t>
            </w:r>
          </w:p>
        </w:tc>
        <w:tc>
          <w:tcPr>
            <w:tcW w:w="380" w:type="dxa"/>
            <w:vAlign w:val="bottom"/>
            <w:tcBorders>
              <w:bottom w:val="single" w:sz="8" w:color="auto"/>
            </w:tcBorders>
            <w:gridSpan w:val="2"/>
            <w:shd w:val="clear" w:color="auto" w:fill="E5E9F3"/>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shd w:val="clear" w:color="auto" w:fill="E5E9F3"/>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E5E9F3"/>
          </w:tcPr>
          <w:p>
            <w:pPr>
              <w:jc w:val="right"/>
              <w:ind w:right="35"/>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10800"/>
          </w:cols>
          <w:pgMar w:left="720" w:top="734" w:right="720" w:bottom="175" w:gutter="0" w:footer="0" w:header="0"/>
          <w:type w:val="continuous"/>
        </w:sectPr>
      </w:pPr>
    </w:p>
    <w:bookmarkStart w:id="87" w:name="page88"/>
    <w:bookmarkEnd w:id="8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7" o:spid="_x0000_s114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537BB5"/>
        </w:rPr>
        <w:t>Derivative and Non-Derivative Assets and Liabilities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following tables present the fair value of derivative and non-derivative assets and liabilities on the Consolidated Balance Sheets as of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760" w:type="dxa"/>
            <w:vAlign w:val="bottom"/>
            <w:tcBorders>
              <w:top w:val="single" w:sz="8" w:color="auto"/>
              <w:bottom w:val="single" w:sz="8" w:color="97AAD0"/>
            </w:tcBorders>
            <w:shd w:val="clear" w:color="auto" w:fill="97AAD0"/>
          </w:tcPr>
          <w:p>
            <w:pPr>
              <w:spacing w:after="0"/>
              <w:rPr>
                <w:sz w:val="24"/>
                <w:szCs w:val="24"/>
                <w:color w:val="auto"/>
              </w:rPr>
            </w:pPr>
          </w:p>
        </w:tc>
        <w:tc>
          <w:tcPr>
            <w:tcW w:w="100" w:type="dxa"/>
            <w:vAlign w:val="bottom"/>
            <w:tcBorders>
              <w:top w:val="single" w:sz="8" w:color="auto"/>
              <w:bottom w:val="single" w:sz="8" w:color="97AAD0"/>
            </w:tcBorders>
            <w:shd w:val="clear" w:color="auto" w:fill="97AAD0"/>
          </w:tcPr>
          <w:p>
            <w:pPr>
              <w:spacing w:after="0"/>
              <w:rPr>
                <w:sz w:val="24"/>
                <w:szCs w:val="24"/>
                <w:color w:val="auto"/>
              </w:rPr>
            </w:pPr>
          </w:p>
        </w:tc>
        <w:tc>
          <w:tcPr>
            <w:tcW w:w="2480" w:type="dxa"/>
            <w:vAlign w:val="bottom"/>
            <w:tcBorders>
              <w:top w:val="single" w:sz="8" w:color="auto"/>
              <w:bottom w:val="single" w:sz="8" w:color="auto"/>
            </w:tcBorders>
            <w:shd w:val="clear" w:color="auto" w:fill="97AAD0"/>
          </w:tcPr>
          <w:p>
            <w:pPr>
              <w:spacing w:after="0"/>
              <w:rPr>
                <w:sz w:val="24"/>
                <w:szCs w:val="24"/>
                <w:color w:val="auto"/>
              </w:rPr>
            </w:pPr>
          </w:p>
        </w:tc>
        <w:tc>
          <w:tcPr>
            <w:tcW w:w="940" w:type="dxa"/>
            <w:vAlign w:val="bottom"/>
            <w:tcBorders>
              <w:top w:val="single" w:sz="8" w:color="auto"/>
              <w:bottom w:val="single" w:sz="8" w:color="auto"/>
            </w:tcBorders>
            <w:gridSpan w:val="3"/>
            <w:shd w:val="clear" w:color="auto" w:fill="97AAD0"/>
          </w:tcPr>
          <w:p>
            <w:pPr>
              <w:jc w:val="right"/>
              <w:ind w:right="180"/>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top w:val="single" w:sz="8" w:color="auto"/>
              <w:bottom w:val="single" w:sz="8" w:color="auto"/>
            </w:tcBorders>
            <w:shd w:val="clear" w:color="auto" w:fill="97AAD0"/>
          </w:tcPr>
          <w:p>
            <w:pPr>
              <w:spacing w:after="0"/>
              <w:rPr>
                <w:sz w:val="24"/>
                <w:szCs w:val="24"/>
                <w:color w:val="auto"/>
              </w:rPr>
            </w:pPr>
          </w:p>
        </w:tc>
        <w:tc>
          <w:tcPr>
            <w:tcW w:w="380" w:type="dxa"/>
            <w:vAlign w:val="bottom"/>
            <w:tcBorders>
              <w:top w:val="single" w:sz="8" w:color="auto"/>
              <w:bottom w:val="single" w:sz="8" w:color="auto"/>
            </w:tcBorders>
            <w:shd w:val="clear" w:color="auto" w:fill="97AAD0"/>
          </w:tcPr>
          <w:p>
            <w:pPr>
              <w:spacing w:after="0"/>
              <w:rPr>
                <w:sz w:val="24"/>
                <w:szCs w:val="24"/>
                <w:color w:val="auto"/>
              </w:rPr>
            </w:pPr>
          </w:p>
        </w:tc>
        <w:tc>
          <w:tcPr>
            <w:tcW w:w="1080" w:type="dxa"/>
            <w:vAlign w:val="bottom"/>
            <w:tcBorders>
              <w:top w:val="single" w:sz="8" w:color="auto"/>
              <w:bottom w:val="single" w:sz="8" w:color="auto"/>
            </w:tcBorders>
            <w:shd w:val="clear" w:color="auto" w:fill="97AAD0"/>
          </w:tcPr>
          <w:p>
            <w:pPr>
              <w:spacing w:after="0"/>
              <w:rPr>
                <w:sz w:val="24"/>
                <w:szCs w:val="24"/>
                <w:color w:val="auto"/>
              </w:rPr>
            </w:pPr>
          </w:p>
        </w:tc>
      </w:tr>
      <w:tr>
        <w:trPr>
          <w:trHeight w:val="280"/>
        </w:trPr>
        <w:tc>
          <w:tcPr>
            <w:tcW w:w="4760" w:type="dxa"/>
            <w:vAlign w:val="bottom"/>
            <w:tcBorders>
              <w:bottom w:val="single" w:sz="8" w:color="97AAD0"/>
            </w:tcBorders>
            <w:shd w:val="clear" w:color="auto" w:fill="97AAD0"/>
          </w:tcPr>
          <w:p>
            <w:pPr>
              <w:spacing w:after="0"/>
              <w:rPr>
                <w:sz w:val="24"/>
                <w:szCs w:val="24"/>
                <w:color w:val="auto"/>
              </w:rPr>
            </w:pPr>
          </w:p>
        </w:tc>
        <w:tc>
          <w:tcPr>
            <w:tcW w:w="100" w:type="dxa"/>
            <w:vAlign w:val="bottom"/>
            <w:tcBorders>
              <w:bottom w:val="single" w:sz="8" w:color="97AAD0"/>
            </w:tcBorders>
            <w:shd w:val="clear" w:color="auto" w:fill="97AAD0"/>
          </w:tcPr>
          <w:p>
            <w:pPr>
              <w:spacing w:after="0"/>
              <w:rPr>
                <w:sz w:val="24"/>
                <w:szCs w:val="24"/>
                <w:color w:val="auto"/>
              </w:rPr>
            </w:pPr>
          </w:p>
        </w:tc>
        <w:tc>
          <w:tcPr>
            <w:tcW w:w="2480" w:type="dxa"/>
            <w:vAlign w:val="bottom"/>
            <w:tcBorders>
              <w:bottom w:val="single" w:sz="8" w:color="97AAD0"/>
            </w:tcBorders>
            <w:shd w:val="clear" w:color="auto" w:fill="97AAD0"/>
          </w:tcPr>
          <w:p>
            <w:pPr>
              <w:spacing w:after="0"/>
              <w:rPr>
                <w:sz w:val="24"/>
                <w:szCs w:val="24"/>
                <w:color w:val="auto"/>
              </w:rPr>
            </w:pPr>
          </w:p>
        </w:tc>
        <w:tc>
          <w:tcPr>
            <w:tcW w:w="660" w:type="dxa"/>
            <w:vAlign w:val="bottom"/>
            <w:tcBorders>
              <w:bottom w:val="single" w:sz="8" w:color="97AAD0"/>
            </w:tcBorders>
            <w:shd w:val="clear" w:color="auto" w:fill="97AAD0"/>
          </w:tcPr>
          <w:p>
            <w:pPr>
              <w:spacing w:after="0"/>
              <w:rPr>
                <w:sz w:val="24"/>
                <w:szCs w:val="24"/>
                <w:color w:val="auto"/>
              </w:rPr>
            </w:pPr>
          </w:p>
        </w:tc>
        <w:tc>
          <w:tcPr>
            <w:tcW w:w="20" w:type="dxa"/>
            <w:vAlign w:val="bottom"/>
            <w:tcBorders>
              <w:bottom w:val="single" w:sz="8" w:color="auto"/>
            </w:tcBorders>
            <w:shd w:val="clear" w:color="auto" w:fill="97AAD0"/>
          </w:tcPr>
          <w:p>
            <w:pPr>
              <w:spacing w:after="0"/>
              <w:rPr>
                <w:sz w:val="24"/>
                <w:szCs w:val="24"/>
                <w:color w:val="auto"/>
              </w:rPr>
            </w:pPr>
          </w:p>
        </w:tc>
        <w:tc>
          <w:tcPr>
            <w:tcW w:w="1320" w:type="dxa"/>
            <w:vAlign w:val="bottom"/>
            <w:tcBorders>
              <w:bottom w:val="single" w:sz="8" w:color="auto"/>
            </w:tcBorders>
            <w:gridSpan w:val="2"/>
            <w:shd w:val="clear" w:color="auto" w:fill="97AAD0"/>
          </w:tcPr>
          <w:p>
            <w:pPr>
              <w:jc w:val="center"/>
              <w:ind w:right="72"/>
              <w:spacing w:after="0"/>
              <w:rPr>
                <w:sz w:val="20"/>
                <w:szCs w:val="20"/>
                <w:color w:val="auto"/>
              </w:rPr>
            </w:pPr>
            <w:r>
              <w:rPr>
                <w:rFonts w:ascii="Arial" w:cs="Arial" w:eastAsia="Arial" w:hAnsi="Arial"/>
                <w:sz w:val="16"/>
                <w:szCs w:val="16"/>
                <w:b w:val="1"/>
                <w:bCs w:val="1"/>
                <w:color w:val="auto"/>
                <w:w w:val="99"/>
              </w:rPr>
              <w:t>December 31,</w:t>
            </w:r>
          </w:p>
        </w:tc>
        <w:tc>
          <w:tcPr>
            <w:tcW w:w="1460" w:type="dxa"/>
            <w:vAlign w:val="bottom"/>
            <w:tcBorders>
              <w:bottom w:val="single" w:sz="8" w:color="auto"/>
            </w:tcBorders>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December 31,</w:t>
            </w:r>
          </w:p>
        </w:tc>
      </w:tr>
      <w:tr>
        <w:trPr>
          <w:trHeight w:val="322"/>
        </w:trPr>
        <w:tc>
          <w:tcPr>
            <w:tcW w:w="4760" w:type="dxa"/>
            <w:vAlign w:val="bottom"/>
            <w:tcBorders>
              <w:bottom w:val="single" w:sz="8" w:color="97AAD0"/>
            </w:tcBorders>
            <w:shd w:val="clear" w:color="auto" w:fill="97AAD0"/>
          </w:tcPr>
          <w:p>
            <w:pPr>
              <w:spacing w:after="0"/>
              <w:rPr>
                <w:sz w:val="24"/>
                <w:szCs w:val="24"/>
                <w:color w:val="auto"/>
              </w:rPr>
            </w:pPr>
          </w:p>
        </w:tc>
        <w:tc>
          <w:tcPr>
            <w:tcW w:w="100" w:type="dxa"/>
            <w:vAlign w:val="bottom"/>
            <w:tcBorders>
              <w:bottom w:val="single" w:sz="8" w:color="97AAD0"/>
            </w:tcBorders>
            <w:shd w:val="clear" w:color="auto" w:fill="97AAD0"/>
          </w:tcPr>
          <w:p>
            <w:pPr>
              <w:spacing w:after="0"/>
              <w:rPr>
                <w:sz w:val="24"/>
                <w:szCs w:val="24"/>
                <w:color w:val="auto"/>
              </w:rPr>
            </w:pPr>
          </w:p>
        </w:tc>
        <w:tc>
          <w:tcPr>
            <w:tcW w:w="2480" w:type="dxa"/>
            <w:vAlign w:val="bottom"/>
            <w:tcBorders>
              <w:bottom w:val="single" w:sz="8" w:color="97AAD0"/>
            </w:tcBorders>
            <w:shd w:val="clear" w:color="auto" w:fill="97AAD0"/>
          </w:tcPr>
          <w:p>
            <w:pPr>
              <w:ind w:left="600"/>
              <w:spacing w:after="0"/>
              <w:rPr>
                <w:sz w:val="20"/>
                <w:szCs w:val="20"/>
                <w:color w:val="auto"/>
              </w:rPr>
            </w:pPr>
            <w:r>
              <w:rPr>
                <w:rFonts w:ascii="Arial" w:cs="Arial" w:eastAsia="Arial" w:hAnsi="Arial"/>
                <w:sz w:val="16"/>
                <w:szCs w:val="16"/>
                <w:b w:val="1"/>
                <w:bCs w:val="1"/>
                <w:color w:val="auto"/>
              </w:rPr>
              <w:t>Balance Sheet Location</w:t>
            </w:r>
          </w:p>
        </w:tc>
        <w:tc>
          <w:tcPr>
            <w:tcW w:w="660" w:type="dxa"/>
            <w:vAlign w:val="bottom"/>
            <w:tcBorders>
              <w:bottom w:val="single" w:sz="8" w:color="97AAD0"/>
            </w:tcBorders>
            <w:shd w:val="clear" w:color="auto" w:fill="97AAD0"/>
          </w:tcPr>
          <w:p>
            <w:pPr>
              <w:spacing w:after="0"/>
              <w:rPr>
                <w:sz w:val="24"/>
                <w:szCs w:val="24"/>
                <w:color w:val="auto"/>
              </w:rPr>
            </w:pPr>
          </w:p>
        </w:tc>
        <w:tc>
          <w:tcPr>
            <w:tcW w:w="20" w:type="dxa"/>
            <w:vAlign w:val="bottom"/>
            <w:tcBorders>
              <w:bottom w:val="single" w:sz="8" w:color="97AAD0"/>
            </w:tcBorders>
            <w:shd w:val="clear" w:color="auto" w:fill="97AAD0"/>
          </w:tcPr>
          <w:p>
            <w:pPr>
              <w:spacing w:after="0"/>
              <w:rPr>
                <w:sz w:val="24"/>
                <w:szCs w:val="24"/>
                <w:color w:val="auto"/>
              </w:rPr>
            </w:pPr>
          </w:p>
        </w:tc>
        <w:tc>
          <w:tcPr>
            <w:tcW w:w="260" w:type="dxa"/>
            <w:vAlign w:val="bottom"/>
            <w:tcBorders>
              <w:bottom w:val="single" w:sz="8" w:color="97AAD0"/>
            </w:tcBorders>
            <w:shd w:val="clear" w:color="auto" w:fill="97AAD0"/>
          </w:tcPr>
          <w:p>
            <w:pPr>
              <w:spacing w:after="0"/>
              <w:rPr>
                <w:sz w:val="24"/>
                <w:szCs w:val="24"/>
                <w:color w:val="auto"/>
              </w:rPr>
            </w:pPr>
          </w:p>
        </w:tc>
        <w:tc>
          <w:tcPr>
            <w:tcW w:w="1060" w:type="dxa"/>
            <w:vAlign w:val="bottom"/>
            <w:tcBorders>
              <w:bottom w:val="single" w:sz="8" w:color="97AAD0"/>
            </w:tcBorders>
            <w:shd w:val="clear" w:color="auto" w:fill="97AAD0"/>
          </w:tcPr>
          <w:p>
            <w:pPr>
              <w:jc w:val="center"/>
              <w:ind w:right="332"/>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97AAD0"/>
            </w:tcBorders>
            <w:shd w:val="clear" w:color="auto" w:fill="97AAD0"/>
          </w:tcPr>
          <w:p>
            <w:pPr>
              <w:spacing w:after="0"/>
              <w:rPr>
                <w:sz w:val="24"/>
                <w:szCs w:val="24"/>
                <w:color w:val="auto"/>
              </w:rPr>
            </w:pPr>
          </w:p>
        </w:tc>
        <w:tc>
          <w:tcPr>
            <w:tcW w:w="1080" w:type="dxa"/>
            <w:vAlign w:val="bottom"/>
            <w:tcBorders>
              <w:bottom w:val="single" w:sz="8" w:color="97AAD0"/>
            </w:tcBorders>
            <w:shd w:val="clear" w:color="auto" w:fill="97AAD0"/>
          </w:tcPr>
          <w:p>
            <w:pPr>
              <w:jc w:val="center"/>
              <w:ind w:right="312"/>
              <w:spacing w:after="0"/>
              <w:rPr>
                <w:sz w:val="20"/>
                <w:szCs w:val="20"/>
                <w:color w:val="auto"/>
              </w:rPr>
            </w:pPr>
            <w:r>
              <w:rPr>
                <w:rFonts w:ascii="Arial" w:cs="Arial" w:eastAsia="Arial" w:hAnsi="Arial"/>
                <w:sz w:val="16"/>
                <w:szCs w:val="16"/>
                <w:b w:val="1"/>
                <w:bCs w:val="1"/>
                <w:color w:val="auto"/>
              </w:rPr>
              <w:t>2023</w:t>
            </w:r>
          </w:p>
        </w:tc>
      </w:tr>
      <w:tr>
        <w:trPr>
          <w:trHeight w:val="257"/>
        </w:trPr>
        <w:tc>
          <w:tcPr>
            <w:tcW w:w="4760" w:type="dxa"/>
            <w:vAlign w:val="bottom"/>
            <w:tcBorders>
              <w:top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Instruments designated as fair value hedges:</w:t>
            </w:r>
          </w:p>
        </w:tc>
        <w:tc>
          <w:tcPr>
            <w:tcW w:w="100" w:type="dxa"/>
            <w:vAlign w:val="bottom"/>
            <w:tcBorders>
              <w:top w:val="single" w:sz="8" w:color="E5E9F3"/>
            </w:tcBorders>
            <w:shd w:val="clear" w:color="auto" w:fill="E5E9F3"/>
          </w:tcPr>
          <w:p>
            <w:pPr>
              <w:spacing w:after="0"/>
              <w:rPr>
                <w:sz w:val="22"/>
                <w:szCs w:val="22"/>
                <w:color w:val="auto"/>
              </w:rPr>
            </w:pPr>
          </w:p>
        </w:tc>
        <w:tc>
          <w:tcPr>
            <w:tcW w:w="2480" w:type="dxa"/>
            <w:vAlign w:val="bottom"/>
            <w:tcBorders>
              <w:top w:val="single" w:sz="8" w:color="auto"/>
            </w:tcBorders>
            <w:shd w:val="clear" w:color="auto" w:fill="E5E9F3"/>
          </w:tcPr>
          <w:p>
            <w:pPr>
              <w:spacing w:after="0"/>
              <w:rPr>
                <w:sz w:val="22"/>
                <w:szCs w:val="22"/>
                <w:color w:val="auto"/>
              </w:rPr>
            </w:pPr>
          </w:p>
        </w:tc>
        <w:tc>
          <w:tcPr>
            <w:tcW w:w="66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260" w:type="dxa"/>
            <w:vAlign w:val="bottom"/>
            <w:tcBorders>
              <w:top w:val="single" w:sz="8" w:color="auto"/>
            </w:tcBorders>
            <w:shd w:val="clear" w:color="auto" w:fill="E5E9F3"/>
          </w:tcPr>
          <w:p>
            <w:pPr>
              <w:spacing w:after="0"/>
              <w:rPr>
                <w:sz w:val="22"/>
                <w:szCs w:val="22"/>
                <w:color w:val="auto"/>
              </w:rPr>
            </w:pPr>
          </w:p>
        </w:tc>
        <w:tc>
          <w:tcPr>
            <w:tcW w:w="1060" w:type="dxa"/>
            <w:vAlign w:val="bottom"/>
            <w:tcBorders>
              <w:top w:val="single" w:sz="8" w:color="auto"/>
            </w:tcBorders>
            <w:shd w:val="clear" w:color="auto" w:fill="E5E9F3"/>
          </w:tcPr>
          <w:p>
            <w:pPr>
              <w:spacing w:after="0"/>
              <w:rPr>
                <w:sz w:val="22"/>
                <w:szCs w:val="22"/>
                <w:color w:val="auto"/>
              </w:rPr>
            </w:pPr>
          </w:p>
        </w:tc>
        <w:tc>
          <w:tcPr>
            <w:tcW w:w="380" w:type="dxa"/>
            <w:vAlign w:val="bottom"/>
            <w:tcBorders>
              <w:top w:val="single" w:sz="8" w:color="auto"/>
            </w:tcBorders>
            <w:shd w:val="clear" w:color="auto" w:fill="E5E9F3"/>
          </w:tcPr>
          <w:p>
            <w:pPr>
              <w:spacing w:after="0"/>
              <w:rPr>
                <w:sz w:val="22"/>
                <w:szCs w:val="22"/>
                <w:color w:val="auto"/>
              </w:rPr>
            </w:pPr>
          </w:p>
        </w:tc>
        <w:tc>
          <w:tcPr>
            <w:tcW w:w="1080" w:type="dxa"/>
            <w:vAlign w:val="bottom"/>
            <w:tcBorders>
              <w:top w:val="single" w:sz="8" w:color="auto"/>
            </w:tcBorders>
            <w:shd w:val="clear" w:color="auto" w:fill="E5E9F3"/>
          </w:tcPr>
          <w:p>
            <w:pPr>
              <w:spacing w:after="0"/>
              <w:rPr>
                <w:sz w:val="22"/>
                <w:szCs w:val="22"/>
                <w:color w:val="auto"/>
              </w:rPr>
            </w:pPr>
          </w:p>
        </w:tc>
      </w:tr>
      <w:tr>
        <w:trPr>
          <w:trHeight w:val="267"/>
        </w:trPr>
        <w:tc>
          <w:tcPr>
            <w:tcW w:w="4860" w:type="dxa"/>
            <w:vAlign w:val="bottom"/>
            <w:gridSpan w:val="2"/>
          </w:tcPr>
          <w:p>
            <w:pPr>
              <w:ind w:left="300"/>
              <w:spacing w:after="0"/>
              <w:rPr>
                <w:sz w:val="20"/>
                <w:szCs w:val="20"/>
                <w:color w:val="auto"/>
              </w:rPr>
            </w:pPr>
            <w:r>
              <w:rPr>
                <w:rFonts w:ascii="Arial" w:cs="Arial" w:eastAsia="Arial" w:hAnsi="Arial"/>
                <w:sz w:val="18"/>
                <w:szCs w:val="18"/>
                <w:color w:val="auto"/>
              </w:rPr>
              <w:t>Cross-currency swaps</w:t>
            </w:r>
          </w:p>
        </w:tc>
        <w:tc>
          <w:tcPr>
            <w:tcW w:w="24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31.7</w:t>
            </w:r>
          </w:p>
        </w:tc>
      </w:tr>
      <w:tr>
        <w:trPr>
          <w:trHeight w:val="267"/>
        </w:trPr>
        <w:tc>
          <w:tcPr>
            <w:tcW w:w="4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Instruments designated as net investment hedges:</w:t>
            </w:r>
          </w:p>
        </w:tc>
        <w:tc>
          <w:tcPr>
            <w:tcW w:w="100" w:type="dxa"/>
            <w:vAlign w:val="bottom"/>
            <w:shd w:val="clear" w:color="auto" w:fill="E5E9F3"/>
          </w:tcPr>
          <w:p>
            <w:pPr>
              <w:spacing w:after="0"/>
              <w:rPr>
                <w:sz w:val="23"/>
                <w:szCs w:val="23"/>
                <w:color w:val="auto"/>
              </w:rPr>
            </w:pPr>
          </w:p>
        </w:tc>
        <w:tc>
          <w:tcPr>
            <w:tcW w:w="2480" w:type="dxa"/>
            <w:vAlign w:val="bottom"/>
            <w:shd w:val="clear" w:color="auto" w:fill="E5E9F3"/>
          </w:tcPr>
          <w:p>
            <w:pPr>
              <w:spacing w:after="0"/>
              <w:rPr>
                <w:sz w:val="23"/>
                <w:szCs w:val="23"/>
                <w:color w:val="auto"/>
              </w:rPr>
            </w:pPr>
          </w:p>
        </w:tc>
        <w:tc>
          <w:tcPr>
            <w:tcW w:w="6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060" w:type="dxa"/>
            <w:vAlign w:val="bottom"/>
            <w:shd w:val="clear" w:color="auto" w:fill="E5E9F3"/>
          </w:tcPr>
          <w:p>
            <w:pPr>
              <w:spacing w:after="0"/>
              <w:rPr>
                <w:sz w:val="23"/>
                <w:szCs w:val="23"/>
                <w:color w:val="auto"/>
              </w:rPr>
            </w:pPr>
          </w:p>
        </w:tc>
        <w:tc>
          <w:tcPr>
            <w:tcW w:w="380" w:type="dxa"/>
            <w:vAlign w:val="bottom"/>
            <w:shd w:val="clear" w:color="auto" w:fill="E5E9F3"/>
          </w:tcPr>
          <w:p>
            <w:pPr>
              <w:spacing w:after="0"/>
              <w:rPr>
                <w:sz w:val="23"/>
                <w:szCs w:val="23"/>
                <w:color w:val="auto"/>
              </w:rPr>
            </w:pPr>
          </w:p>
        </w:tc>
        <w:tc>
          <w:tcPr>
            <w:tcW w:w="1080" w:type="dxa"/>
            <w:vAlign w:val="bottom"/>
            <w:shd w:val="clear" w:color="auto" w:fill="E5E9F3"/>
          </w:tcPr>
          <w:p>
            <w:pPr>
              <w:spacing w:after="0"/>
              <w:rPr>
                <w:sz w:val="23"/>
                <w:szCs w:val="23"/>
                <w:color w:val="auto"/>
              </w:rPr>
            </w:pPr>
          </w:p>
        </w:tc>
      </w:tr>
      <w:tr>
        <w:trPr>
          <w:trHeight w:val="267"/>
        </w:trPr>
        <w:tc>
          <w:tcPr>
            <w:tcW w:w="4860" w:type="dxa"/>
            <w:vAlign w:val="bottom"/>
            <w:gridSpan w:val="2"/>
          </w:tcPr>
          <w:p>
            <w:pPr>
              <w:ind w:left="300"/>
              <w:spacing w:after="0"/>
              <w:rPr>
                <w:sz w:val="20"/>
                <w:szCs w:val="20"/>
                <w:color w:val="auto"/>
              </w:rPr>
            </w:pPr>
            <w:r>
              <w:rPr>
                <w:rFonts w:ascii="Arial" w:cs="Arial" w:eastAsia="Arial" w:hAnsi="Arial"/>
                <w:sz w:val="18"/>
                <w:szCs w:val="18"/>
                <w:color w:val="auto"/>
              </w:rPr>
              <w:t>Cross-currency swaps</w:t>
            </w:r>
          </w:p>
        </w:tc>
        <w:tc>
          <w:tcPr>
            <w:tcW w:w="24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67"/>
        </w:trPr>
        <w:tc>
          <w:tcPr>
            <w:tcW w:w="4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Instruments not designated as hedges:</w:t>
            </w:r>
          </w:p>
        </w:tc>
        <w:tc>
          <w:tcPr>
            <w:tcW w:w="100" w:type="dxa"/>
            <w:vAlign w:val="bottom"/>
            <w:shd w:val="clear" w:color="auto" w:fill="E5E9F3"/>
          </w:tcPr>
          <w:p>
            <w:pPr>
              <w:spacing w:after="0"/>
              <w:rPr>
                <w:sz w:val="23"/>
                <w:szCs w:val="23"/>
                <w:color w:val="auto"/>
              </w:rPr>
            </w:pPr>
          </w:p>
        </w:tc>
        <w:tc>
          <w:tcPr>
            <w:tcW w:w="2480" w:type="dxa"/>
            <w:vAlign w:val="bottom"/>
            <w:shd w:val="clear" w:color="auto" w:fill="E5E9F3"/>
          </w:tcPr>
          <w:p>
            <w:pPr>
              <w:spacing w:after="0"/>
              <w:rPr>
                <w:sz w:val="23"/>
                <w:szCs w:val="23"/>
                <w:color w:val="auto"/>
              </w:rPr>
            </w:pPr>
          </w:p>
        </w:tc>
        <w:tc>
          <w:tcPr>
            <w:tcW w:w="6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060" w:type="dxa"/>
            <w:vAlign w:val="bottom"/>
            <w:shd w:val="clear" w:color="auto" w:fill="E5E9F3"/>
          </w:tcPr>
          <w:p>
            <w:pPr>
              <w:spacing w:after="0"/>
              <w:rPr>
                <w:sz w:val="23"/>
                <w:szCs w:val="23"/>
                <w:color w:val="auto"/>
              </w:rPr>
            </w:pPr>
          </w:p>
        </w:tc>
        <w:tc>
          <w:tcPr>
            <w:tcW w:w="380" w:type="dxa"/>
            <w:vAlign w:val="bottom"/>
            <w:shd w:val="clear" w:color="auto" w:fill="E5E9F3"/>
          </w:tcPr>
          <w:p>
            <w:pPr>
              <w:spacing w:after="0"/>
              <w:rPr>
                <w:sz w:val="23"/>
                <w:szCs w:val="23"/>
                <w:color w:val="auto"/>
              </w:rPr>
            </w:pPr>
          </w:p>
        </w:tc>
        <w:tc>
          <w:tcPr>
            <w:tcW w:w="1080" w:type="dxa"/>
            <w:vAlign w:val="bottom"/>
            <w:shd w:val="clear" w:color="auto" w:fill="E5E9F3"/>
          </w:tcPr>
          <w:p>
            <w:pPr>
              <w:spacing w:after="0"/>
              <w:rPr>
                <w:sz w:val="23"/>
                <w:szCs w:val="23"/>
                <w:color w:val="auto"/>
              </w:rPr>
            </w:pPr>
          </w:p>
        </w:tc>
      </w:tr>
      <w:tr>
        <w:trPr>
          <w:trHeight w:val="267"/>
        </w:trPr>
        <w:tc>
          <w:tcPr>
            <w:tcW w:w="48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 net</w:t>
            </w: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w:t>
            </w:r>
          </w:p>
        </w:tc>
      </w:tr>
      <w:tr>
        <w:trPr>
          <w:trHeight w:val="257"/>
        </w:trPr>
        <w:tc>
          <w:tcPr>
            <w:tcW w:w="476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8"/>
                <w:szCs w:val="18"/>
                <w:color w:val="auto"/>
              </w:rPr>
              <w:t>Total instruments</w:t>
            </w:r>
          </w:p>
        </w:tc>
        <w:tc>
          <w:tcPr>
            <w:tcW w:w="100" w:type="dxa"/>
            <w:vAlign w:val="bottom"/>
            <w:tcBorders>
              <w:bottom w:val="single" w:sz="8" w:color="auto"/>
            </w:tcBorders>
            <w:shd w:val="clear" w:color="auto" w:fill="E5E9F3"/>
          </w:tcPr>
          <w:p>
            <w:pPr>
              <w:spacing w:after="0"/>
              <w:rPr>
                <w:sz w:val="22"/>
                <w:szCs w:val="22"/>
                <w:color w:val="auto"/>
              </w:rPr>
            </w:pPr>
          </w:p>
        </w:tc>
        <w:tc>
          <w:tcPr>
            <w:tcW w:w="2480" w:type="dxa"/>
            <w:vAlign w:val="bottom"/>
            <w:tcBorders>
              <w:bottom w:val="single" w:sz="8" w:color="auto"/>
            </w:tcBorders>
            <w:shd w:val="clear" w:color="auto" w:fill="E5E9F3"/>
          </w:tcPr>
          <w:p>
            <w:pPr>
              <w:spacing w:after="0"/>
              <w:rPr>
                <w:sz w:val="22"/>
                <w:szCs w:val="22"/>
                <w:color w:val="auto"/>
              </w:rPr>
            </w:pPr>
          </w:p>
        </w:tc>
        <w:tc>
          <w:tcPr>
            <w:tcW w:w="940" w:type="dxa"/>
            <w:vAlign w:val="bottom"/>
            <w:tcBorders>
              <w:bottom w:val="single" w:sz="8" w:color="auto"/>
            </w:tcBorders>
            <w:gridSpan w:val="3"/>
            <w:shd w:val="clear" w:color="auto" w:fill="E5E9F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9F3"/>
          </w:tcPr>
          <w:p>
            <w:pPr>
              <w:jc w:val="right"/>
              <w:ind w:right="52"/>
              <w:spacing w:after="0"/>
              <w:rPr>
                <w:sz w:val="20"/>
                <w:szCs w:val="20"/>
                <w:color w:val="auto"/>
              </w:rPr>
            </w:pPr>
            <w:r>
              <w:rPr>
                <w:rFonts w:ascii="Arial" w:cs="Arial" w:eastAsia="Arial" w:hAnsi="Arial"/>
                <w:sz w:val="18"/>
                <w:szCs w:val="18"/>
                <w:color w:val="auto"/>
              </w:rPr>
              <w:t>18.1</w:t>
            </w:r>
          </w:p>
        </w:tc>
        <w:tc>
          <w:tcPr>
            <w:tcW w:w="380" w:type="dxa"/>
            <w:vAlign w:val="bottom"/>
            <w:tcBorders>
              <w:bottom w:val="single" w:sz="8" w:color="auto"/>
            </w:tcBorders>
            <w:shd w:val="clear" w:color="auto" w:fill="E5E9F3"/>
          </w:tcPr>
          <w:p>
            <w:pPr>
              <w:jc w:val="right"/>
              <w:ind w:right="9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52"/>
              <w:spacing w:after="0"/>
              <w:rPr>
                <w:sz w:val="20"/>
                <w:szCs w:val="20"/>
                <w:color w:val="auto"/>
              </w:rPr>
            </w:pPr>
            <w:r>
              <w:rPr>
                <w:rFonts w:ascii="Arial" w:cs="Arial" w:eastAsia="Arial" w:hAnsi="Arial"/>
                <w:sz w:val="18"/>
                <w:szCs w:val="18"/>
                <w:color w:val="auto"/>
              </w:rPr>
              <w:t>38.4</w:t>
            </w:r>
          </w:p>
        </w:tc>
      </w:tr>
      <w:tr>
        <w:trPr>
          <w:trHeight w:val="128"/>
        </w:trPr>
        <w:tc>
          <w:tcPr>
            <w:tcW w:w="4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266"/>
        </w:trPr>
        <w:tc>
          <w:tcPr>
            <w:tcW w:w="4760" w:type="dxa"/>
            <w:vAlign w:val="bottom"/>
            <w:tcBorders>
              <w:bottom w:val="single" w:sz="8" w:color="97AAD0"/>
            </w:tcBorders>
            <w:shd w:val="clear" w:color="auto" w:fill="97AAD0"/>
          </w:tcPr>
          <w:p>
            <w:pPr>
              <w:spacing w:after="0"/>
              <w:rPr>
                <w:sz w:val="23"/>
                <w:szCs w:val="23"/>
                <w:color w:val="auto"/>
              </w:rPr>
            </w:pPr>
          </w:p>
        </w:tc>
        <w:tc>
          <w:tcPr>
            <w:tcW w:w="100" w:type="dxa"/>
            <w:vAlign w:val="bottom"/>
            <w:tcBorders>
              <w:bottom w:val="single" w:sz="8" w:color="97AAD0"/>
            </w:tcBorders>
            <w:shd w:val="clear" w:color="auto" w:fill="97AAD0"/>
          </w:tcPr>
          <w:p>
            <w:pPr>
              <w:spacing w:after="0"/>
              <w:rPr>
                <w:sz w:val="23"/>
                <w:szCs w:val="23"/>
                <w:color w:val="auto"/>
              </w:rPr>
            </w:pPr>
          </w:p>
        </w:tc>
        <w:tc>
          <w:tcPr>
            <w:tcW w:w="2480" w:type="dxa"/>
            <w:vAlign w:val="bottom"/>
            <w:tcBorders>
              <w:bottom w:val="single" w:sz="8" w:color="auto"/>
            </w:tcBorders>
            <w:shd w:val="clear" w:color="auto" w:fill="97AAD0"/>
          </w:tcPr>
          <w:p>
            <w:pPr>
              <w:spacing w:after="0"/>
              <w:rPr>
                <w:sz w:val="23"/>
                <w:szCs w:val="23"/>
                <w:color w:val="auto"/>
              </w:rPr>
            </w:pPr>
          </w:p>
        </w:tc>
        <w:tc>
          <w:tcPr>
            <w:tcW w:w="940" w:type="dxa"/>
            <w:vAlign w:val="bottom"/>
            <w:tcBorders>
              <w:bottom w:val="single" w:sz="8" w:color="auto"/>
            </w:tcBorders>
            <w:gridSpan w:val="3"/>
            <w:shd w:val="clear" w:color="auto" w:fill="97AAD0"/>
          </w:tcPr>
          <w:p>
            <w:pPr>
              <w:jc w:val="right"/>
              <w:ind w:right="60"/>
              <w:spacing w:after="0"/>
              <w:rPr>
                <w:sz w:val="20"/>
                <w:szCs w:val="20"/>
                <w:color w:val="auto"/>
              </w:rPr>
            </w:pPr>
            <w:r>
              <w:rPr>
                <w:rFonts w:ascii="Arial" w:cs="Arial" w:eastAsia="Arial" w:hAnsi="Arial"/>
                <w:sz w:val="16"/>
                <w:szCs w:val="16"/>
                <w:b w:val="1"/>
                <w:bCs w:val="1"/>
                <w:color w:val="auto"/>
              </w:rPr>
              <w:t>Liabilities</w:t>
            </w:r>
          </w:p>
        </w:tc>
        <w:tc>
          <w:tcPr>
            <w:tcW w:w="1060" w:type="dxa"/>
            <w:vAlign w:val="bottom"/>
            <w:tcBorders>
              <w:bottom w:val="single" w:sz="8" w:color="auto"/>
            </w:tcBorders>
            <w:shd w:val="clear" w:color="auto" w:fill="97AAD0"/>
          </w:tcPr>
          <w:p>
            <w:pPr>
              <w:spacing w:after="0"/>
              <w:rPr>
                <w:sz w:val="23"/>
                <w:szCs w:val="23"/>
                <w:color w:val="auto"/>
              </w:rPr>
            </w:pPr>
          </w:p>
        </w:tc>
        <w:tc>
          <w:tcPr>
            <w:tcW w:w="380" w:type="dxa"/>
            <w:vAlign w:val="bottom"/>
            <w:tcBorders>
              <w:bottom w:val="single" w:sz="8" w:color="auto"/>
            </w:tcBorders>
            <w:shd w:val="clear" w:color="auto" w:fill="97AAD0"/>
          </w:tcPr>
          <w:p>
            <w:pPr>
              <w:spacing w:after="0"/>
              <w:rPr>
                <w:sz w:val="23"/>
                <w:szCs w:val="23"/>
                <w:color w:val="auto"/>
              </w:rPr>
            </w:pPr>
          </w:p>
        </w:tc>
        <w:tc>
          <w:tcPr>
            <w:tcW w:w="1080" w:type="dxa"/>
            <w:vAlign w:val="bottom"/>
            <w:tcBorders>
              <w:bottom w:val="single" w:sz="8" w:color="auto"/>
            </w:tcBorders>
            <w:shd w:val="clear" w:color="auto" w:fill="97AAD0"/>
          </w:tcPr>
          <w:p>
            <w:pPr>
              <w:spacing w:after="0"/>
              <w:rPr>
                <w:sz w:val="23"/>
                <w:szCs w:val="23"/>
                <w:color w:val="auto"/>
              </w:rPr>
            </w:pPr>
          </w:p>
        </w:tc>
      </w:tr>
      <w:tr>
        <w:trPr>
          <w:trHeight w:val="266"/>
        </w:trPr>
        <w:tc>
          <w:tcPr>
            <w:tcW w:w="4760" w:type="dxa"/>
            <w:vAlign w:val="bottom"/>
            <w:tcBorders>
              <w:bottom w:val="single" w:sz="8" w:color="97AAD0"/>
            </w:tcBorders>
            <w:shd w:val="clear" w:color="auto" w:fill="97AAD0"/>
          </w:tcPr>
          <w:p>
            <w:pPr>
              <w:spacing w:after="0"/>
              <w:rPr>
                <w:sz w:val="23"/>
                <w:szCs w:val="23"/>
                <w:color w:val="auto"/>
              </w:rPr>
            </w:pPr>
          </w:p>
        </w:tc>
        <w:tc>
          <w:tcPr>
            <w:tcW w:w="100" w:type="dxa"/>
            <w:vAlign w:val="bottom"/>
            <w:tcBorders>
              <w:bottom w:val="single" w:sz="8" w:color="97AAD0"/>
            </w:tcBorders>
            <w:shd w:val="clear" w:color="auto" w:fill="97AAD0"/>
          </w:tcPr>
          <w:p>
            <w:pPr>
              <w:spacing w:after="0"/>
              <w:rPr>
                <w:sz w:val="23"/>
                <w:szCs w:val="23"/>
                <w:color w:val="auto"/>
              </w:rPr>
            </w:pPr>
          </w:p>
        </w:tc>
        <w:tc>
          <w:tcPr>
            <w:tcW w:w="2480" w:type="dxa"/>
            <w:vAlign w:val="bottom"/>
            <w:tcBorders>
              <w:bottom w:val="single" w:sz="8" w:color="97AAD0"/>
            </w:tcBorders>
            <w:shd w:val="clear" w:color="auto" w:fill="97AAD0"/>
          </w:tcPr>
          <w:p>
            <w:pPr>
              <w:spacing w:after="0"/>
              <w:rPr>
                <w:sz w:val="23"/>
                <w:szCs w:val="23"/>
                <w:color w:val="auto"/>
              </w:rPr>
            </w:pPr>
          </w:p>
        </w:tc>
        <w:tc>
          <w:tcPr>
            <w:tcW w:w="660" w:type="dxa"/>
            <w:vAlign w:val="bottom"/>
            <w:tcBorders>
              <w:bottom w:val="single" w:sz="8" w:color="97AAD0"/>
            </w:tcBorders>
            <w:shd w:val="clear" w:color="auto" w:fill="97AAD0"/>
          </w:tcPr>
          <w:p>
            <w:pPr>
              <w:spacing w:after="0"/>
              <w:rPr>
                <w:sz w:val="23"/>
                <w:szCs w:val="23"/>
                <w:color w:val="auto"/>
              </w:rPr>
            </w:pPr>
          </w:p>
        </w:tc>
        <w:tc>
          <w:tcPr>
            <w:tcW w:w="20" w:type="dxa"/>
            <w:vAlign w:val="bottom"/>
            <w:tcBorders>
              <w:bottom w:val="single" w:sz="8" w:color="97AAD0"/>
            </w:tcBorders>
            <w:shd w:val="clear" w:color="auto" w:fill="97AAD0"/>
          </w:tcPr>
          <w:p>
            <w:pPr>
              <w:spacing w:after="0"/>
              <w:rPr>
                <w:sz w:val="23"/>
                <w:szCs w:val="23"/>
                <w:color w:val="auto"/>
              </w:rPr>
            </w:pPr>
          </w:p>
        </w:tc>
        <w:tc>
          <w:tcPr>
            <w:tcW w:w="1320" w:type="dxa"/>
            <w:vAlign w:val="bottom"/>
            <w:tcBorders>
              <w:bottom w:val="single" w:sz="8" w:color="auto"/>
            </w:tcBorders>
            <w:gridSpan w:val="2"/>
            <w:shd w:val="clear" w:color="auto" w:fill="97AAD0"/>
          </w:tcPr>
          <w:p>
            <w:pPr>
              <w:jc w:val="center"/>
              <w:ind w:right="32"/>
              <w:spacing w:after="0"/>
              <w:rPr>
                <w:sz w:val="20"/>
                <w:szCs w:val="20"/>
                <w:color w:val="auto"/>
              </w:rPr>
            </w:pPr>
            <w:r>
              <w:rPr>
                <w:rFonts w:ascii="Arial" w:cs="Arial" w:eastAsia="Arial" w:hAnsi="Arial"/>
                <w:sz w:val="16"/>
                <w:szCs w:val="16"/>
                <w:b w:val="1"/>
                <w:bCs w:val="1"/>
                <w:color w:val="auto"/>
                <w:w w:val="99"/>
              </w:rPr>
              <w:t>December 31,</w:t>
            </w:r>
          </w:p>
        </w:tc>
        <w:tc>
          <w:tcPr>
            <w:tcW w:w="1460" w:type="dxa"/>
            <w:vAlign w:val="bottom"/>
            <w:tcBorders>
              <w:bottom w:val="single" w:sz="8" w:color="auto"/>
            </w:tcBorders>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December 31,</w:t>
            </w:r>
          </w:p>
        </w:tc>
      </w:tr>
      <w:tr>
        <w:trPr>
          <w:trHeight w:val="294"/>
        </w:trPr>
        <w:tc>
          <w:tcPr>
            <w:tcW w:w="4760" w:type="dxa"/>
            <w:vAlign w:val="bottom"/>
            <w:tcBorders>
              <w:bottom w:val="single" w:sz="8" w:color="97AAD0"/>
            </w:tcBorders>
            <w:shd w:val="clear" w:color="auto" w:fill="97AAD0"/>
          </w:tcPr>
          <w:p>
            <w:pPr>
              <w:spacing w:after="0"/>
              <w:rPr>
                <w:sz w:val="24"/>
                <w:szCs w:val="24"/>
                <w:color w:val="auto"/>
              </w:rPr>
            </w:pPr>
          </w:p>
        </w:tc>
        <w:tc>
          <w:tcPr>
            <w:tcW w:w="100" w:type="dxa"/>
            <w:vAlign w:val="bottom"/>
            <w:tcBorders>
              <w:bottom w:val="single" w:sz="8" w:color="97AAD0"/>
            </w:tcBorders>
            <w:shd w:val="clear" w:color="auto" w:fill="97AAD0"/>
          </w:tcPr>
          <w:p>
            <w:pPr>
              <w:spacing w:after="0"/>
              <w:rPr>
                <w:sz w:val="24"/>
                <w:szCs w:val="24"/>
                <w:color w:val="auto"/>
              </w:rPr>
            </w:pPr>
          </w:p>
        </w:tc>
        <w:tc>
          <w:tcPr>
            <w:tcW w:w="2480" w:type="dxa"/>
            <w:vAlign w:val="bottom"/>
            <w:tcBorders>
              <w:bottom w:val="single" w:sz="8" w:color="97AAD0"/>
            </w:tcBorders>
            <w:shd w:val="clear" w:color="auto" w:fill="97AAD0"/>
          </w:tcPr>
          <w:p>
            <w:pPr>
              <w:ind w:left="620"/>
              <w:spacing w:after="0"/>
              <w:rPr>
                <w:sz w:val="20"/>
                <w:szCs w:val="20"/>
                <w:color w:val="auto"/>
              </w:rPr>
            </w:pPr>
            <w:r>
              <w:rPr>
                <w:rFonts w:ascii="Arial" w:cs="Arial" w:eastAsia="Arial" w:hAnsi="Arial"/>
                <w:sz w:val="16"/>
                <w:szCs w:val="16"/>
                <w:b w:val="1"/>
                <w:bCs w:val="1"/>
                <w:color w:val="auto"/>
              </w:rPr>
              <w:t>Balance Sheet Location</w:t>
            </w:r>
          </w:p>
        </w:tc>
        <w:tc>
          <w:tcPr>
            <w:tcW w:w="660" w:type="dxa"/>
            <w:vAlign w:val="bottom"/>
            <w:tcBorders>
              <w:bottom w:val="single" w:sz="8" w:color="97AAD0"/>
            </w:tcBorders>
            <w:shd w:val="clear" w:color="auto" w:fill="97AAD0"/>
          </w:tcPr>
          <w:p>
            <w:pPr>
              <w:spacing w:after="0"/>
              <w:rPr>
                <w:sz w:val="24"/>
                <w:szCs w:val="24"/>
                <w:color w:val="auto"/>
              </w:rPr>
            </w:pPr>
          </w:p>
        </w:tc>
        <w:tc>
          <w:tcPr>
            <w:tcW w:w="20" w:type="dxa"/>
            <w:vAlign w:val="bottom"/>
            <w:tcBorders>
              <w:bottom w:val="single" w:sz="8" w:color="97AAD0"/>
            </w:tcBorders>
            <w:shd w:val="clear" w:color="auto" w:fill="97AAD0"/>
          </w:tcPr>
          <w:p>
            <w:pPr>
              <w:spacing w:after="0"/>
              <w:rPr>
                <w:sz w:val="24"/>
                <w:szCs w:val="24"/>
                <w:color w:val="auto"/>
              </w:rPr>
            </w:pPr>
          </w:p>
        </w:tc>
        <w:tc>
          <w:tcPr>
            <w:tcW w:w="260" w:type="dxa"/>
            <w:vAlign w:val="bottom"/>
            <w:tcBorders>
              <w:bottom w:val="single" w:sz="8" w:color="97AAD0"/>
            </w:tcBorders>
            <w:shd w:val="clear" w:color="auto" w:fill="97AAD0"/>
          </w:tcPr>
          <w:p>
            <w:pPr>
              <w:spacing w:after="0"/>
              <w:rPr>
                <w:sz w:val="24"/>
                <w:szCs w:val="24"/>
                <w:color w:val="auto"/>
              </w:rPr>
            </w:pPr>
          </w:p>
        </w:tc>
        <w:tc>
          <w:tcPr>
            <w:tcW w:w="1060" w:type="dxa"/>
            <w:vAlign w:val="bottom"/>
            <w:tcBorders>
              <w:bottom w:val="single" w:sz="8" w:color="97AAD0"/>
            </w:tcBorders>
            <w:shd w:val="clear" w:color="auto" w:fill="97AAD0"/>
          </w:tcPr>
          <w:p>
            <w:pPr>
              <w:jc w:val="center"/>
              <w:ind w:right="292"/>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97AAD0"/>
            </w:tcBorders>
            <w:shd w:val="clear" w:color="auto" w:fill="97AAD0"/>
          </w:tcPr>
          <w:p>
            <w:pPr>
              <w:spacing w:after="0"/>
              <w:rPr>
                <w:sz w:val="24"/>
                <w:szCs w:val="24"/>
                <w:color w:val="auto"/>
              </w:rPr>
            </w:pPr>
          </w:p>
        </w:tc>
        <w:tc>
          <w:tcPr>
            <w:tcW w:w="1080" w:type="dxa"/>
            <w:vAlign w:val="bottom"/>
            <w:tcBorders>
              <w:bottom w:val="single" w:sz="8" w:color="97AAD0"/>
            </w:tcBorders>
            <w:shd w:val="clear" w:color="auto" w:fill="97AAD0"/>
          </w:tcPr>
          <w:p>
            <w:pPr>
              <w:jc w:val="center"/>
              <w:ind w:right="312"/>
              <w:spacing w:after="0"/>
              <w:rPr>
                <w:sz w:val="20"/>
                <w:szCs w:val="20"/>
                <w:color w:val="auto"/>
              </w:rPr>
            </w:pPr>
            <w:r>
              <w:rPr>
                <w:rFonts w:ascii="Arial" w:cs="Arial" w:eastAsia="Arial" w:hAnsi="Arial"/>
                <w:sz w:val="16"/>
                <w:szCs w:val="16"/>
                <w:b w:val="1"/>
                <w:bCs w:val="1"/>
                <w:color w:val="auto"/>
              </w:rPr>
              <w:t>2023</w:t>
            </w:r>
          </w:p>
        </w:tc>
      </w:tr>
      <w:tr>
        <w:trPr>
          <w:trHeight w:val="243"/>
        </w:trPr>
        <w:tc>
          <w:tcPr>
            <w:tcW w:w="4760" w:type="dxa"/>
            <w:vAlign w:val="bottom"/>
            <w:tcBorders>
              <w:top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Instruments designated as net investment hedges:</w:t>
            </w:r>
          </w:p>
        </w:tc>
        <w:tc>
          <w:tcPr>
            <w:tcW w:w="100" w:type="dxa"/>
            <w:vAlign w:val="bottom"/>
            <w:tcBorders>
              <w:top w:val="single" w:sz="8" w:color="E5E9F3"/>
            </w:tcBorders>
            <w:shd w:val="clear" w:color="auto" w:fill="E5E9F3"/>
          </w:tcPr>
          <w:p>
            <w:pPr>
              <w:spacing w:after="0"/>
              <w:rPr>
                <w:sz w:val="21"/>
                <w:szCs w:val="21"/>
                <w:color w:val="auto"/>
              </w:rPr>
            </w:pPr>
          </w:p>
        </w:tc>
        <w:tc>
          <w:tcPr>
            <w:tcW w:w="2480" w:type="dxa"/>
            <w:vAlign w:val="bottom"/>
            <w:tcBorders>
              <w:top w:val="single" w:sz="8" w:color="auto"/>
            </w:tcBorders>
            <w:shd w:val="clear" w:color="auto" w:fill="E5E9F3"/>
          </w:tcPr>
          <w:p>
            <w:pPr>
              <w:spacing w:after="0"/>
              <w:rPr>
                <w:sz w:val="21"/>
                <w:szCs w:val="21"/>
                <w:color w:val="auto"/>
              </w:rPr>
            </w:pPr>
          </w:p>
        </w:tc>
        <w:tc>
          <w:tcPr>
            <w:tcW w:w="660" w:type="dxa"/>
            <w:vAlign w:val="bottom"/>
            <w:tcBorders>
              <w:top w:val="single" w:sz="8" w:color="auto"/>
            </w:tcBorders>
            <w:shd w:val="clear" w:color="auto" w:fill="E5E9F3"/>
          </w:tcPr>
          <w:p>
            <w:pPr>
              <w:spacing w:after="0"/>
              <w:rPr>
                <w:sz w:val="21"/>
                <w:szCs w:val="21"/>
                <w:color w:val="auto"/>
              </w:rPr>
            </w:pPr>
          </w:p>
        </w:tc>
        <w:tc>
          <w:tcPr>
            <w:tcW w:w="20" w:type="dxa"/>
            <w:vAlign w:val="bottom"/>
            <w:tcBorders>
              <w:top w:val="single" w:sz="8" w:color="auto"/>
            </w:tcBorders>
            <w:shd w:val="clear" w:color="auto" w:fill="E5E9F3"/>
          </w:tcPr>
          <w:p>
            <w:pPr>
              <w:spacing w:after="0"/>
              <w:rPr>
                <w:sz w:val="21"/>
                <w:szCs w:val="21"/>
                <w:color w:val="auto"/>
              </w:rPr>
            </w:pPr>
          </w:p>
        </w:tc>
        <w:tc>
          <w:tcPr>
            <w:tcW w:w="260" w:type="dxa"/>
            <w:vAlign w:val="bottom"/>
            <w:tcBorders>
              <w:top w:val="single" w:sz="8" w:color="auto"/>
            </w:tcBorders>
            <w:shd w:val="clear" w:color="auto" w:fill="E5E9F3"/>
          </w:tcPr>
          <w:p>
            <w:pPr>
              <w:spacing w:after="0"/>
              <w:rPr>
                <w:sz w:val="21"/>
                <w:szCs w:val="21"/>
                <w:color w:val="auto"/>
              </w:rPr>
            </w:pPr>
          </w:p>
        </w:tc>
        <w:tc>
          <w:tcPr>
            <w:tcW w:w="1060" w:type="dxa"/>
            <w:vAlign w:val="bottom"/>
            <w:tcBorders>
              <w:top w:val="single" w:sz="8" w:color="auto"/>
            </w:tcBorders>
            <w:shd w:val="clear" w:color="auto" w:fill="E5E9F3"/>
          </w:tcPr>
          <w:p>
            <w:pPr>
              <w:spacing w:after="0"/>
              <w:rPr>
                <w:sz w:val="21"/>
                <w:szCs w:val="21"/>
                <w:color w:val="auto"/>
              </w:rPr>
            </w:pPr>
          </w:p>
        </w:tc>
        <w:tc>
          <w:tcPr>
            <w:tcW w:w="380" w:type="dxa"/>
            <w:vAlign w:val="bottom"/>
            <w:tcBorders>
              <w:top w:val="single" w:sz="8" w:color="auto"/>
            </w:tcBorders>
            <w:shd w:val="clear" w:color="auto" w:fill="E5E9F3"/>
          </w:tcPr>
          <w:p>
            <w:pPr>
              <w:spacing w:after="0"/>
              <w:rPr>
                <w:sz w:val="21"/>
                <w:szCs w:val="21"/>
                <w:color w:val="auto"/>
              </w:rPr>
            </w:pPr>
          </w:p>
        </w:tc>
        <w:tc>
          <w:tcPr>
            <w:tcW w:w="1080" w:type="dxa"/>
            <w:vAlign w:val="bottom"/>
            <w:tcBorders>
              <w:top w:val="single" w:sz="8" w:color="auto"/>
            </w:tcBorders>
            <w:shd w:val="clear" w:color="auto" w:fill="E5E9F3"/>
          </w:tcPr>
          <w:p>
            <w:pPr>
              <w:spacing w:after="0"/>
              <w:rPr>
                <w:sz w:val="21"/>
                <w:szCs w:val="21"/>
                <w:color w:val="auto"/>
              </w:rPr>
            </w:pPr>
          </w:p>
        </w:tc>
      </w:tr>
      <w:tr>
        <w:trPr>
          <w:trHeight w:val="253"/>
        </w:trPr>
        <w:tc>
          <w:tcPr>
            <w:tcW w:w="4860" w:type="dxa"/>
            <w:vAlign w:val="bottom"/>
            <w:gridSpan w:val="2"/>
          </w:tcPr>
          <w:p>
            <w:pPr>
              <w:ind w:left="300"/>
              <w:spacing w:after="0"/>
              <w:rPr>
                <w:sz w:val="20"/>
                <w:szCs w:val="20"/>
                <w:color w:val="auto"/>
              </w:rPr>
            </w:pPr>
            <w:r>
              <w:rPr>
                <w:rFonts w:ascii="Arial" w:cs="Arial" w:eastAsia="Arial" w:hAnsi="Arial"/>
                <w:sz w:val="18"/>
                <w:szCs w:val="18"/>
                <w:color w:val="auto"/>
              </w:rPr>
              <w:t>Euro Notes due in 2026</w:t>
            </w:r>
          </w:p>
        </w:tc>
        <w:tc>
          <w:tcPr>
            <w:tcW w:w="2480" w:type="dxa"/>
            <w:vAlign w:val="bottom"/>
          </w:tcPr>
          <w:p>
            <w:pPr>
              <w:spacing w:after="0"/>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516.6</w:t>
            </w:r>
          </w:p>
        </w:tc>
        <w:tc>
          <w:tcPr>
            <w:tcW w:w="38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550.0</w:t>
            </w:r>
          </w:p>
        </w:tc>
      </w:tr>
      <w:tr>
        <w:trPr>
          <w:trHeight w:val="253"/>
        </w:trPr>
        <w:tc>
          <w:tcPr>
            <w:tcW w:w="47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Euro Notes due in 2027</w:t>
            </w:r>
          </w:p>
        </w:tc>
        <w:tc>
          <w:tcPr>
            <w:tcW w:w="100" w:type="dxa"/>
            <w:vAlign w:val="bottom"/>
            <w:shd w:val="clear" w:color="auto" w:fill="E5E9F3"/>
          </w:tcPr>
          <w:p>
            <w:pPr>
              <w:spacing w:after="0"/>
              <w:rPr>
                <w:sz w:val="22"/>
                <w:szCs w:val="22"/>
                <w:color w:val="auto"/>
              </w:rPr>
            </w:pPr>
          </w:p>
        </w:tc>
        <w:tc>
          <w:tcPr>
            <w:tcW w:w="2480" w:type="dxa"/>
            <w:vAlign w:val="bottom"/>
            <w:shd w:val="clear" w:color="auto" w:fill="E5E9F3"/>
          </w:tcPr>
          <w:p>
            <w:pPr>
              <w:spacing w:after="0"/>
              <w:rPr>
                <w:sz w:val="20"/>
                <w:szCs w:val="20"/>
                <w:color w:val="auto"/>
              </w:rPr>
            </w:pPr>
            <w:r>
              <w:rPr>
                <w:rFonts w:ascii="Arial" w:cs="Arial" w:eastAsia="Arial" w:hAnsi="Arial"/>
                <w:sz w:val="18"/>
                <w:szCs w:val="18"/>
                <w:color w:val="auto"/>
              </w:rPr>
              <w:t>Long-term debt</w:t>
            </w:r>
          </w:p>
        </w:tc>
        <w:tc>
          <w:tcPr>
            <w:tcW w:w="6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411.8</w:t>
            </w:r>
          </w:p>
        </w:tc>
        <w:tc>
          <w:tcPr>
            <w:tcW w:w="380" w:type="dxa"/>
            <w:vAlign w:val="bottom"/>
            <w:shd w:val="clear" w:color="auto" w:fill="E5E9F3"/>
          </w:tcPr>
          <w:p>
            <w:pPr>
              <w:spacing w:after="0"/>
              <w:rPr>
                <w:sz w:val="22"/>
                <w:szCs w:val="22"/>
                <w:color w:val="auto"/>
              </w:rPr>
            </w:pPr>
          </w:p>
        </w:tc>
        <w:tc>
          <w:tcPr>
            <w:tcW w:w="108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438.2</w:t>
            </w:r>
          </w:p>
        </w:tc>
      </w:tr>
      <w:tr>
        <w:trPr>
          <w:trHeight w:val="253"/>
        </w:trPr>
        <w:tc>
          <w:tcPr>
            <w:tcW w:w="4860" w:type="dxa"/>
            <w:vAlign w:val="bottom"/>
            <w:gridSpan w:val="2"/>
          </w:tcPr>
          <w:p>
            <w:pPr>
              <w:ind w:left="300"/>
              <w:spacing w:after="0"/>
              <w:rPr>
                <w:sz w:val="20"/>
                <w:szCs w:val="20"/>
                <w:color w:val="auto"/>
              </w:rPr>
            </w:pPr>
            <w:r>
              <w:rPr>
                <w:rFonts w:ascii="Arial" w:cs="Arial" w:eastAsia="Arial" w:hAnsi="Arial"/>
                <w:sz w:val="18"/>
                <w:szCs w:val="18"/>
                <w:color w:val="auto"/>
              </w:rPr>
              <w:t>Cross-currency swaps</w:t>
            </w:r>
          </w:p>
        </w:tc>
        <w:tc>
          <w:tcPr>
            <w:tcW w:w="2480" w:type="dxa"/>
            <w:vAlign w:val="bottom"/>
          </w:tcPr>
          <w:p>
            <w:pPr>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73.3</w:t>
            </w:r>
          </w:p>
        </w:tc>
      </w:tr>
      <w:tr>
        <w:trPr>
          <w:trHeight w:val="253"/>
        </w:trPr>
        <w:tc>
          <w:tcPr>
            <w:tcW w:w="47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Instruments not designated as hedges:</w:t>
            </w:r>
          </w:p>
        </w:tc>
        <w:tc>
          <w:tcPr>
            <w:tcW w:w="100" w:type="dxa"/>
            <w:vAlign w:val="bottom"/>
            <w:shd w:val="clear" w:color="auto" w:fill="E5E9F3"/>
          </w:tcPr>
          <w:p>
            <w:pPr>
              <w:spacing w:after="0"/>
              <w:rPr>
                <w:sz w:val="22"/>
                <w:szCs w:val="22"/>
                <w:color w:val="auto"/>
              </w:rPr>
            </w:pPr>
          </w:p>
        </w:tc>
        <w:tc>
          <w:tcPr>
            <w:tcW w:w="2480" w:type="dxa"/>
            <w:vAlign w:val="bottom"/>
            <w:shd w:val="clear" w:color="auto" w:fill="E5E9F3"/>
          </w:tcPr>
          <w:p>
            <w:pPr>
              <w:spacing w:after="0"/>
              <w:rPr>
                <w:sz w:val="22"/>
                <w:szCs w:val="22"/>
                <w:color w:val="auto"/>
              </w:rPr>
            </w:pPr>
          </w:p>
        </w:tc>
        <w:tc>
          <w:tcPr>
            <w:tcW w:w="6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380" w:type="dxa"/>
            <w:vAlign w:val="bottom"/>
            <w:shd w:val="clear" w:color="auto" w:fill="E5E9F3"/>
          </w:tcPr>
          <w:p>
            <w:pPr>
              <w:spacing w:after="0"/>
              <w:rPr>
                <w:sz w:val="22"/>
                <w:szCs w:val="22"/>
                <w:color w:val="auto"/>
              </w:rPr>
            </w:pPr>
          </w:p>
        </w:tc>
        <w:tc>
          <w:tcPr>
            <w:tcW w:w="1080" w:type="dxa"/>
            <w:vAlign w:val="bottom"/>
            <w:shd w:val="clear" w:color="auto" w:fill="E5E9F3"/>
          </w:tcPr>
          <w:p>
            <w:pPr>
              <w:spacing w:after="0"/>
              <w:rPr>
                <w:sz w:val="22"/>
                <w:szCs w:val="22"/>
                <w:color w:val="auto"/>
              </w:rPr>
            </w:pPr>
          </w:p>
        </w:tc>
      </w:tr>
      <w:tr>
        <w:trPr>
          <w:trHeight w:val="253"/>
        </w:trPr>
        <w:tc>
          <w:tcPr>
            <w:tcW w:w="48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liabilities</w:t>
            </w: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43"/>
        </w:trPr>
        <w:tc>
          <w:tcPr>
            <w:tcW w:w="4760" w:type="dxa"/>
            <w:vAlign w:val="bottom"/>
            <w:tcBorders>
              <w:bottom w:val="single" w:sz="8" w:color="auto"/>
            </w:tcBorders>
            <w:shd w:val="clear" w:color="auto" w:fill="E5E9F3"/>
          </w:tcPr>
          <w:p>
            <w:pPr>
              <w:ind w:left="500"/>
              <w:spacing w:after="0"/>
              <w:rPr>
                <w:sz w:val="20"/>
                <w:szCs w:val="20"/>
                <w:color w:val="auto"/>
              </w:rPr>
            </w:pPr>
            <w:r>
              <w:rPr>
                <w:rFonts w:ascii="Arial" w:cs="Arial" w:eastAsia="Arial" w:hAnsi="Arial"/>
                <w:sz w:val="18"/>
                <w:szCs w:val="18"/>
                <w:color w:val="auto"/>
              </w:rPr>
              <w:t>Total instruments</w:t>
            </w:r>
          </w:p>
        </w:tc>
        <w:tc>
          <w:tcPr>
            <w:tcW w:w="100" w:type="dxa"/>
            <w:vAlign w:val="bottom"/>
            <w:tcBorders>
              <w:bottom w:val="single" w:sz="8" w:color="auto"/>
            </w:tcBorders>
            <w:shd w:val="clear" w:color="auto" w:fill="E5E9F3"/>
          </w:tcPr>
          <w:p>
            <w:pPr>
              <w:spacing w:after="0"/>
              <w:rPr>
                <w:sz w:val="21"/>
                <w:szCs w:val="21"/>
                <w:color w:val="auto"/>
              </w:rPr>
            </w:pPr>
          </w:p>
        </w:tc>
        <w:tc>
          <w:tcPr>
            <w:tcW w:w="2480" w:type="dxa"/>
            <w:vAlign w:val="bottom"/>
            <w:tcBorders>
              <w:bottom w:val="single" w:sz="8" w:color="auto"/>
            </w:tcBorders>
            <w:shd w:val="clear" w:color="auto" w:fill="E5E9F3"/>
          </w:tcPr>
          <w:p>
            <w:pPr>
              <w:spacing w:after="0"/>
              <w:rPr>
                <w:sz w:val="21"/>
                <w:szCs w:val="21"/>
                <w:color w:val="auto"/>
              </w:rPr>
            </w:pPr>
          </w:p>
        </w:tc>
        <w:tc>
          <w:tcPr>
            <w:tcW w:w="940" w:type="dxa"/>
            <w:vAlign w:val="bottom"/>
            <w:tcBorders>
              <w:bottom w:val="single" w:sz="8" w:color="auto"/>
            </w:tcBorders>
            <w:gridSpan w:val="3"/>
            <w:shd w:val="clear" w:color="auto" w:fill="E5E9F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9F3"/>
          </w:tcPr>
          <w:p>
            <w:pPr>
              <w:jc w:val="right"/>
              <w:ind w:right="32"/>
              <w:spacing w:after="0"/>
              <w:rPr>
                <w:sz w:val="20"/>
                <w:szCs w:val="20"/>
                <w:color w:val="auto"/>
              </w:rPr>
            </w:pPr>
            <w:r>
              <w:rPr>
                <w:rFonts w:ascii="Arial" w:cs="Arial" w:eastAsia="Arial" w:hAnsi="Arial"/>
                <w:sz w:val="18"/>
                <w:szCs w:val="18"/>
                <w:color w:val="auto"/>
              </w:rPr>
              <w:t>973.9</w:t>
            </w:r>
          </w:p>
        </w:tc>
        <w:tc>
          <w:tcPr>
            <w:tcW w:w="380" w:type="dxa"/>
            <w:vAlign w:val="bottom"/>
            <w:tcBorders>
              <w:bottom w:val="single" w:sz="8" w:color="auto"/>
            </w:tcBorders>
            <w:shd w:val="clear" w:color="auto" w:fill="E5E9F3"/>
          </w:tcPr>
          <w:p>
            <w:pPr>
              <w:jc w:val="right"/>
              <w:ind w:right="9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32"/>
              <w:spacing w:after="0"/>
              <w:rPr>
                <w:sz w:val="20"/>
                <w:szCs w:val="20"/>
                <w:color w:val="auto"/>
              </w:rPr>
            </w:pPr>
            <w:r>
              <w:rPr>
                <w:rFonts w:ascii="Arial" w:cs="Arial" w:eastAsia="Arial" w:hAnsi="Arial"/>
                <w:sz w:val="18"/>
                <w:szCs w:val="18"/>
                <w:color w:val="auto"/>
              </w:rPr>
              <w:t>1,063.8</w:t>
            </w:r>
          </w:p>
        </w:tc>
      </w:tr>
    </w:tbl>
    <w:p>
      <w:pPr>
        <w:jc w:val="both"/>
        <w:spacing w:after="0" w:line="262" w:lineRule="auto"/>
        <w:rPr>
          <w:sz w:val="20"/>
          <w:szCs w:val="20"/>
          <w:color w:val="auto"/>
        </w:rPr>
      </w:pPr>
      <w:r>
        <w:rPr>
          <w:rFonts w:ascii="Arial" w:cs="Arial" w:eastAsia="Arial" w:hAnsi="Arial"/>
          <w:sz w:val="20"/>
          <w:szCs w:val="20"/>
          <w:color w:val="auto"/>
        </w:rPr>
        <w:t>The fair value measurements of these items recorded in our Consolidated Balance Sheets for the years ended December 31, 2024 and 2023 are disclosed in Note 1 to the Consolidated Financial Statements.</w:t>
      </w:r>
    </w:p>
    <w:p>
      <w:pPr>
        <w:spacing w:after="0" w:line="225" w:lineRule="exact"/>
        <w:rPr>
          <w:sz w:val="20"/>
          <w:szCs w:val="20"/>
          <w:color w:val="auto"/>
        </w:rPr>
      </w:pPr>
    </w:p>
    <w:p>
      <w:pPr>
        <w:ind w:left="580" w:hanging="580"/>
        <w:spacing w:after="0"/>
        <w:tabs>
          <w:tab w:leader="none" w:pos="580" w:val="left"/>
        </w:tabs>
        <w:numPr>
          <w:ilvl w:val="0"/>
          <w:numId w:val="56"/>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Leases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expense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58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640" w:type="dxa"/>
            <w:vAlign w:val="bottom"/>
            <w:tcBorders>
              <w:bottom w:val="single" w:sz="8" w:color="auto"/>
            </w:tcBorders>
            <w:shd w:val="clear" w:color="auto" w:fill="97AAD0"/>
          </w:tcPr>
          <w:p>
            <w:pPr>
              <w:spacing w:after="0"/>
              <w:rPr>
                <w:sz w:val="24"/>
                <w:szCs w:val="24"/>
                <w:color w:val="auto"/>
              </w:rPr>
            </w:pPr>
          </w:p>
        </w:tc>
        <w:tc>
          <w:tcPr>
            <w:tcW w:w="960" w:type="dxa"/>
            <w:vAlign w:val="bottom"/>
            <w:tcBorders>
              <w:bottom w:val="single" w:sz="8" w:color="auto"/>
            </w:tcBorders>
            <w:shd w:val="clear" w:color="auto" w:fill="97AAD0"/>
          </w:tcPr>
          <w:p>
            <w:pPr>
              <w:jc w:val="right"/>
              <w:ind w:right="392"/>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shd w:val="clear" w:color="auto" w:fill="97AAD0"/>
          </w:tcPr>
          <w:p>
            <w:pPr>
              <w:spacing w:after="0"/>
              <w:rPr>
                <w:sz w:val="24"/>
                <w:szCs w:val="24"/>
                <w:color w:val="auto"/>
              </w:rPr>
            </w:pPr>
          </w:p>
        </w:tc>
        <w:tc>
          <w:tcPr>
            <w:tcW w:w="960" w:type="dxa"/>
            <w:vAlign w:val="bottom"/>
            <w:tcBorders>
              <w:bottom w:val="single" w:sz="8" w:color="auto"/>
            </w:tcBorders>
            <w:shd w:val="clear" w:color="auto" w:fill="97AAD0"/>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shd w:val="clear" w:color="auto" w:fill="97AAD0"/>
          </w:tcPr>
          <w:p>
            <w:pPr>
              <w:spacing w:after="0"/>
              <w:rPr>
                <w:sz w:val="24"/>
                <w:szCs w:val="24"/>
                <w:color w:val="auto"/>
              </w:rPr>
            </w:pPr>
          </w:p>
        </w:tc>
        <w:tc>
          <w:tcPr>
            <w:tcW w:w="940" w:type="dxa"/>
            <w:vAlign w:val="bottom"/>
            <w:tcBorders>
              <w:bottom w:val="single" w:sz="8" w:color="auto"/>
            </w:tcBorders>
            <w:shd w:val="clear" w:color="auto" w:fill="97AAD0"/>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262"/>
        </w:trPr>
        <w:tc>
          <w:tcPr>
            <w:tcW w:w="45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Operating lease expense</w:t>
            </w:r>
          </w:p>
        </w:tc>
        <w:tc>
          <w:tcPr>
            <w:tcW w:w="264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9F3"/>
          </w:tcPr>
          <w:p>
            <w:pPr>
              <w:jc w:val="right"/>
              <w:ind w:right="72"/>
              <w:spacing w:after="0"/>
              <w:rPr>
                <w:sz w:val="20"/>
                <w:szCs w:val="20"/>
                <w:color w:val="auto"/>
              </w:rPr>
            </w:pPr>
            <w:r>
              <w:rPr>
                <w:rFonts w:ascii="Arial" w:cs="Arial" w:eastAsia="Arial" w:hAnsi="Arial"/>
                <w:sz w:val="18"/>
                <w:szCs w:val="18"/>
                <w:color w:val="auto"/>
              </w:rPr>
              <w:t>129.7</w:t>
            </w:r>
          </w:p>
        </w:tc>
        <w:tc>
          <w:tcPr>
            <w:tcW w:w="36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9F3"/>
          </w:tcPr>
          <w:p>
            <w:pPr>
              <w:jc w:val="right"/>
              <w:ind w:right="72"/>
              <w:spacing w:after="0"/>
              <w:rPr>
                <w:sz w:val="20"/>
                <w:szCs w:val="20"/>
                <w:color w:val="auto"/>
              </w:rPr>
            </w:pPr>
            <w:r>
              <w:rPr>
                <w:rFonts w:ascii="Arial" w:cs="Arial" w:eastAsia="Arial" w:hAnsi="Arial"/>
                <w:sz w:val="18"/>
                <w:szCs w:val="18"/>
                <w:color w:val="auto"/>
              </w:rPr>
              <w:t>137.4</w:t>
            </w:r>
          </w:p>
        </w:tc>
        <w:tc>
          <w:tcPr>
            <w:tcW w:w="360" w:type="dxa"/>
            <w:vAlign w:val="bottom"/>
            <w:shd w:val="clear" w:color="auto" w:fill="E5E9F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9F3"/>
          </w:tcPr>
          <w:p>
            <w:pPr>
              <w:jc w:val="right"/>
              <w:ind w:right="52"/>
              <w:spacing w:after="0"/>
              <w:rPr>
                <w:sz w:val="20"/>
                <w:szCs w:val="20"/>
                <w:color w:val="auto"/>
              </w:rPr>
            </w:pPr>
            <w:r>
              <w:rPr>
                <w:rFonts w:ascii="Arial" w:cs="Arial" w:eastAsia="Arial" w:hAnsi="Arial"/>
                <w:sz w:val="18"/>
                <w:szCs w:val="18"/>
                <w:color w:val="auto"/>
              </w:rPr>
              <w:t>132.4</w:t>
            </w:r>
          </w:p>
        </w:tc>
      </w:tr>
      <w:tr>
        <w:trPr>
          <w:trHeight w:val="267"/>
        </w:trPr>
        <w:tc>
          <w:tcPr>
            <w:tcW w:w="4580" w:type="dxa"/>
            <w:vAlign w:val="bottom"/>
          </w:tcPr>
          <w:p>
            <w:pPr>
              <w:ind w:left="100"/>
              <w:spacing w:after="0"/>
              <w:rPr>
                <w:sz w:val="20"/>
                <w:szCs w:val="20"/>
                <w:color w:val="auto"/>
              </w:rPr>
            </w:pPr>
            <w:r>
              <w:rPr>
                <w:rFonts w:ascii="Arial" w:cs="Arial" w:eastAsia="Arial" w:hAnsi="Arial"/>
                <w:sz w:val="18"/>
                <w:szCs w:val="18"/>
                <w:color w:val="auto"/>
              </w:rPr>
              <w:t>Short-term lease expense</w:t>
            </w:r>
          </w:p>
        </w:tc>
        <w:tc>
          <w:tcPr>
            <w:tcW w:w="264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5.2</w:t>
            </w:r>
          </w:p>
        </w:tc>
      </w:tr>
      <w:tr>
        <w:trPr>
          <w:trHeight w:val="267"/>
        </w:trPr>
        <w:tc>
          <w:tcPr>
            <w:tcW w:w="4580" w:type="dxa"/>
            <w:vAlign w:val="bottom"/>
            <w:tcBorders>
              <w:bottom w:val="single" w:sz="8" w:color="auto"/>
            </w:tcBorders>
            <w:shd w:val="clear" w:color="auto" w:fill="E5E9F3"/>
          </w:tcPr>
          <w:p>
            <w:pPr>
              <w:ind w:left="100"/>
              <w:spacing w:after="0" w:line="267"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(a)</w:t>
            </w:r>
          </w:p>
        </w:tc>
        <w:tc>
          <w:tcPr>
            <w:tcW w:w="2640" w:type="dxa"/>
            <w:vAlign w:val="bottom"/>
            <w:tcBorders>
              <w:bottom w:val="single" w:sz="8" w:color="auto"/>
            </w:tcBorders>
            <w:shd w:val="clear" w:color="auto" w:fill="E5E9F3"/>
          </w:tcPr>
          <w:p>
            <w:pPr>
              <w:spacing w:after="0"/>
              <w:rPr>
                <w:sz w:val="23"/>
                <w:szCs w:val="23"/>
                <w:color w:val="auto"/>
              </w:rPr>
            </w:pPr>
          </w:p>
        </w:tc>
        <w:tc>
          <w:tcPr>
            <w:tcW w:w="960" w:type="dxa"/>
            <w:vAlign w:val="bottom"/>
            <w:tcBorders>
              <w:bottom w:val="single" w:sz="8" w:color="auto"/>
            </w:tcBorders>
            <w:shd w:val="clear" w:color="auto" w:fill="E5E9F3"/>
          </w:tcPr>
          <w:p>
            <w:pPr>
              <w:jc w:val="right"/>
              <w:ind w:right="72"/>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auto"/>
            </w:tcBorders>
            <w:shd w:val="clear" w:color="auto" w:fill="E5E9F3"/>
          </w:tcPr>
          <w:p>
            <w:pPr>
              <w:spacing w:after="0"/>
              <w:rPr>
                <w:sz w:val="23"/>
                <w:szCs w:val="23"/>
                <w:color w:val="auto"/>
              </w:rPr>
            </w:pPr>
          </w:p>
        </w:tc>
        <w:tc>
          <w:tcPr>
            <w:tcW w:w="960" w:type="dxa"/>
            <w:vAlign w:val="bottom"/>
            <w:tcBorders>
              <w:bottom w:val="single" w:sz="8" w:color="auto"/>
            </w:tcBorders>
            <w:shd w:val="clear" w:color="auto" w:fill="E5E9F3"/>
          </w:tcPr>
          <w:p>
            <w:pPr>
              <w:jc w:val="right"/>
              <w:ind w:right="72"/>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auto"/>
            </w:tcBorders>
            <w:shd w:val="clear" w:color="auto" w:fill="E5E9F3"/>
          </w:tcPr>
          <w:p>
            <w:pPr>
              <w:spacing w:after="0"/>
              <w:rPr>
                <w:sz w:val="23"/>
                <w:szCs w:val="23"/>
                <w:color w:val="auto"/>
              </w:rPr>
            </w:pPr>
          </w:p>
        </w:tc>
        <w:tc>
          <w:tcPr>
            <w:tcW w:w="940" w:type="dxa"/>
            <w:vAlign w:val="bottom"/>
            <w:tcBorders>
              <w:bottom w:val="single" w:sz="8" w:color="auto"/>
            </w:tcBorders>
            <w:shd w:val="clear" w:color="auto" w:fill="E5E9F3"/>
          </w:tcPr>
          <w:p>
            <w:pPr>
              <w:jc w:val="right"/>
              <w:ind w:right="52"/>
              <w:spacing w:after="0"/>
              <w:rPr>
                <w:sz w:val="20"/>
                <w:szCs w:val="20"/>
                <w:color w:val="auto"/>
              </w:rPr>
            </w:pPr>
            <w:r>
              <w:rPr>
                <w:rFonts w:ascii="Arial" w:cs="Arial" w:eastAsia="Arial" w:hAnsi="Arial"/>
                <w:sz w:val="18"/>
                <w:szCs w:val="18"/>
                <w:color w:val="auto"/>
              </w:rPr>
              <w:t>11.8</w:t>
            </w:r>
          </w:p>
        </w:tc>
      </w:tr>
      <w:tr>
        <w:trPr>
          <w:trHeight w:val="257"/>
        </w:trPr>
        <w:tc>
          <w:tcPr>
            <w:tcW w:w="4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 lease expense</w:t>
            </w:r>
          </w:p>
        </w:tc>
        <w:tc>
          <w:tcPr>
            <w:tcW w:w="2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151.8</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155.4</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149.4</w:t>
            </w:r>
          </w:p>
        </w:tc>
      </w:tr>
    </w:tbl>
    <w:p>
      <w:pPr>
        <w:spacing w:after="0" w:line="123" w:lineRule="exact"/>
        <w:rPr>
          <w:sz w:val="20"/>
          <w:szCs w:val="20"/>
          <w:color w:val="auto"/>
        </w:rPr>
      </w:pPr>
    </w:p>
    <w:p>
      <w:pPr>
        <w:ind w:left="320" w:hanging="320"/>
        <w:spacing w:after="0"/>
        <w:tabs>
          <w:tab w:leader="none" w:pos="320" w:val="left"/>
        </w:tabs>
        <w:numPr>
          <w:ilvl w:val="0"/>
          <w:numId w:val="57"/>
        </w:numPr>
        <w:rPr>
          <w:rFonts w:ascii="Arial" w:cs="Arial" w:eastAsia="Arial" w:hAnsi="Arial"/>
          <w:sz w:val="10"/>
          <w:szCs w:val="10"/>
          <w:color w:val="auto"/>
        </w:rPr>
      </w:pPr>
      <w:r>
        <w:rPr>
          <w:rFonts w:ascii="Arial" w:cs="Arial" w:eastAsia="Arial" w:hAnsi="Arial"/>
          <w:sz w:val="16"/>
          <w:szCs w:val="16"/>
          <w:color w:val="auto"/>
        </w:rPr>
        <w:t>Other lease expense includes variable lease expense and sublease income.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Other information related to leases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674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top w:val="single" w:sz="8" w:color="auto"/>
              <w:bottom w:val="single" w:sz="8" w:color="auto"/>
            </w:tcBorders>
            <w:shd w:val="clear" w:color="auto" w:fill="97AAD0"/>
          </w:tcPr>
          <w:p>
            <w:pPr>
              <w:spacing w:after="0"/>
              <w:rPr>
                <w:sz w:val="24"/>
                <w:szCs w:val="24"/>
                <w:color w:val="auto"/>
              </w:rPr>
            </w:pPr>
          </w:p>
        </w:tc>
        <w:tc>
          <w:tcPr>
            <w:tcW w:w="1080" w:type="dxa"/>
            <w:vAlign w:val="bottom"/>
            <w:tcBorders>
              <w:top w:val="single" w:sz="8" w:color="auto"/>
              <w:bottom w:val="single" w:sz="8" w:color="auto"/>
            </w:tcBorders>
            <w:shd w:val="clear" w:color="auto" w:fill="97AAD0"/>
          </w:tcPr>
          <w:p>
            <w:pPr>
              <w:jc w:val="right"/>
              <w:ind w:right="492"/>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bottom w:val="single" w:sz="8" w:color="auto"/>
            </w:tcBorders>
            <w:shd w:val="clear" w:color="auto" w:fill="97AAD0"/>
          </w:tcPr>
          <w:p>
            <w:pPr>
              <w:spacing w:after="0"/>
              <w:rPr>
                <w:sz w:val="24"/>
                <w:szCs w:val="24"/>
                <w:color w:val="auto"/>
              </w:rPr>
            </w:pPr>
          </w:p>
        </w:tc>
        <w:tc>
          <w:tcPr>
            <w:tcW w:w="1080" w:type="dxa"/>
            <w:vAlign w:val="bottom"/>
            <w:tcBorders>
              <w:top w:val="single" w:sz="8" w:color="auto"/>
              <w:bottom w:val="single" w:sz="8" w:color="auto"/>
            </w:tcBorders>
            <w:shd w:val="clear" w:color="auto" w:fill="97AAD0"/>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bottom w:val="single" w:sz="8" w:color="auto"/>
            </w:tcBorders>
            <w:shd w:val="clear" w:color="auto" w:fill="97AAD0"/>
          </w:tcPr>
          <w:p>
            <w:pPr>
              <w:spacing w:after="0"/>
              <w:rPr>
                <w:sz w:val="24"/>
                <w:szCs w:val="24"/>
                <w:color w:val="auto"/>
              </w:rPr>
            </w:pPr>
          </w:p>
        </w:tc>
        <w:tc>
          <w:tcPr>
            <w:tcW w:w="1000" w:type="dxa"/>
            <w:vAlign w:val="bottom"/>
            <w:tcBorders>
              <w:top w:val="single" w:sz="8" w:color="auto"/>
              <w:bottom w:val="single" w:sz="8" w:color="auto"/>
            </w:tcBorders>
            <w:shd w:val="clear" w:color="auto" w:fill="97AAD0"/>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11"/>
        </w:trPr>
        <w:tc>
          <w:tcPr>
            <w:tcW w:w="67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2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9F3"/>
          </w:tcPr>
          <w:p>
            <w:pPr>
              <w:jc w:val="right"/>
              <w:ind w:right="212"/>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9F3"/>
          </w:tcPr>
          <w:p>
            <w:pPr>
              <w:jc w:val="right"/>
              <w:ind w:right="212"/>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9F3"/>
          </w:tcPr>
          <w:p>
            <w:pPr>
              <w:jc w:val="right"/>
              <w:ind w:right="132"/>
              <w:spacing w:after="0"/>
              <w:rPr>
                <w:sz w:val="20"/>
                <w:szCs w:val="20"/>
                <w:color w:val="auto"/>
              </w:rPr>
            </w:pPr>
            <w:r>
              <w:rPr>
                <w:rFonts w:ascii="Arial" w:cs="Arial" w:eastAsia="Arial" w:hAnsi="Arial"/>
                <w:sz w:val="18"/>
                <w:szCs w:val="18"/>
                <w:color w:val="auto"/>
              </w:rPr>
              <w:t>127.7</w:t>
            </w:r>
          </w:p>
        </w:tc>
      </w:tr>
      <w:tr>
        <w:trPr>
          <w:trHeight w:val="221"/>
        </w:trPr>
        <w:tc>
          <w:tcPr>
            <w:tcW w:w="6740" w:type="dxa"/>
            <w:vAlign w:val="bottom"/>
          </w:tcPr>
          <w:p>
            <w:pPr>
              <w:ind w:left="10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20" w:type="dxa"/>
            <w:vAlign w:val="bottom"/>
          </w:tcPr>
          <w:p>
            <w:pPr>
              <w:spacing w:after="0"/>
              <w:rPr>
                <w:sz w:val="19"/>
                <w:szCs w:val="19"/>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9"/>
                <w:szCs w:val="19"/>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135.6</w:t>
            </w: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92.5</w:t>
            </w:r>
          </w:p>
        </w:tc>
      </w:tr>
      <w:tr>
        <w:trPr>
          <w:trHeight w:val="221"/>
        </w:trPr>
        <w:tc>
          <w:tcPr>
            <w:tcW w:w="6740" w:type="dxa"/>
            <w:vAlign w:val="bottom"/>
            <w:shd w:val="clear" w:color="auto" w:fill="E5E9F3"/>
          </w:tcPr>
          <w:p>
            <w:pPr>
              <w:ind w:left="100"/>
              <w:spacing w:after="0"/>
              <w:rPr>
                <w:sz w:val="20"/>
                <w:szCs w:val="20"/>
                <w:color w:val="auto"/>
              </w:rPr>
            </w:pPr>
            <w:r>
              <w:rPr>
                <w:rFonts w:ascii="Arial" w:cs="Arial" w:eastAsia="Arial" w:hAnsi="Arial"/>
                <w:sz w:val="18"/>
                <w:szCs w:val="18"/>
                <w:color w:val="auto"/>
              </w:rPr>
              <w:t>Weighted-average remaining lease term – operating leases</w:t>
            </w:r>
          </w:p>
        </w:tc>
        <w:tc>
          <w:tcPr>
            <w:tcW w:w="420" w:type="dxa"/>
            <w:vAlign w:val="bottom"/>
            <w:shd w:val="clear" w:color="auto" w:fill="E5E9F3"/>
          </w:tcPr>
          <w:p>
            <w:pPr>
              <w:spacing w:after="0"/>
              <w:rPr>
                <w:sz w:val="19"/>
                <w:szCs w:val="19"/>
                <w:color w:val="auto"/>
              </w:rPr>
            </w:pPr>
          </w:p>
        </w:tc>
        <w:tc>
          <w:tcPr>
            <w:tcW w:w="1080" w:type="dxa"/>
            <w:vAlign w:val="bottom"/>
            <w:shd w:val="clear" w:color="auto" w:fill="E5E9F3"/>
          </w:tcPr>
          <w:p>
            <w:pPr>
              <w:jc w:val="right"/>
              <w:ind w:right="212"/>
              <w:spacing w:after="0"/>
              <w:rPr>
                <w:sz w:val="20"/>
                <w:szCs w:val="20"/>
                <w:color w:val="auto"/>
              </w:rPr>
            </w:pPr>
            <w:r>
              <w:rPr>
                <w:rFonts w:ascii="Arial" w:cs="Arial" w:eastAsia="Arial" w:hAnsi="Arial"/>
                <w:sz w:val="18"/>
                <w:szCs w:val="18"/>
                <w:color w:val="auto"/>
              </w:rPr>
              <w:t>5.2 years</w:t>
            </w:r>
          </w:p>
        </w:tc>
        <w:tc>
          <w:tcPr>
            <w:tcW w:w="240" w:type="dxa"/>
            <w:vAlign w:val="bottom"/>
            <w:shd w:val="clear" w:color="auto" w:fill="E5E9F3"/>
          </w:tcPr>
          <w:p>
            <w:pPr>
              <w:spacing w:after="0"/>
              <w:rPr>
                <w:sz w:val="19"/>
                <w:szCs w:val="19"/>
                <w:color w:val="auto"/>
              </w:rPr>
            </w:pPr>
          </w:p>
        </w:tc>
        <w:tc>
          <w:tcPr>
            <w:tcW w:w="1080" w:type="dxa"/>
            <w:vAlign w:val="bottom"/>
            <w:shd w:val="clear" w:color="auto" w:fill="E5E9F3"/>
          </w:tcPr>
          <w:p>
            <w:pPr>
              <w:jc w:val="right"/>
              <w:ind w:right="212"/>
              <w:spacing w:after="0"/>
              <w:rPr>
                <w:sz w:val="20"/>
                <w:szCs w:val="20"/>
                <w:color w:val="auto"/>
              </w:rPr>
            </w:pPr>
            <w:r>
              <w:rPr>
                <w:rFonts w:ascii="Arial" w:cs="Arial" w:eastAsia="Arial" w:hAnsi="Arial"/>
                <w:sz w:val="18"/>
                <w:szCs w:val="18"/>
                <w:color w:val="auto"/>
              </w:rPr>
              <w:t>5.6 years</w:t>
            </w:r>
          </w:p>
        </w:tc>
        <w:tc>
          <w:tcPr>
            <w:tcW w:w="240" w:type="dxa"/>
            <w:vAlign w:val="bottom"/>
            <w:shd w:val="clear" w:color="auto" w:fill="E5E9F3"/>
          </w:tcPr>
          <w:p>
            <w:pPr>
              <w:spacing w:after="0"/>
              <w:rPr>
                <w:sz w:val="19"/>
                <w:szCs w:val="19"/>
                <w:color w:val="auto"/>
              </w:rPr>
            </w:pPr>
          </w:p>
        </w:tc>
        <w:tc>
          <w:tcPr>
            <w:tcW w:w="1000" w:type="dxa"/>
            <w:vAlign w:val="bottom"/>
            <w:shd w:val="clear" w:color="auto" w:fill="E5E9F3"/>
          </w:tcPr>
          <w:p>
            <w:pPr>
              <w:jc w:val="right"/>
              <w:ind w:right="132"/>
              <w:spacing w:after="0"/>
              <w:rPr>
                <w:sz w:val="20"/>
                <w:szCs w:val="20"/>
                <w:color w:val="auto"/>
              </w:rPr>
            </w:pPr>
            <w:r>
              <w:rPr>
                <w:rFonts w:ascii="Arial" w:cs="Arial" w:eastAsia="Arial" w:hAnsi="Arial"/>
                <w:sz w:val="18"/>
                <w:szCs w:val="18"/>
                <w:color w:val="auto"/>
              </w:rPr>
              <w:t>5.3 years</w:t>
            </w:r>
          </w:p>
        </w:tc>
      </w:tr>
      <w:tr>
        <w:trPr>
          <w:trHeight w:val="221"/>
        </w:trPr>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Weighted-average discount rate – operating leases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4.0 %</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3.8 %</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10800"/>
          </w:cols>
          <w:pgMar w:left="720" w:top="734" w:right="720" w:bottom="175"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84"/>
        </w:trPr>
        <w:tc>
          <w:tcPr>
            <w:tcW w:w="5600" w:type="dxa"/>
            <w:vAlign w:val="bottom"/>
            <w:shd w:val="clear" w:color="auto" w:fill="537BB5"/>
          </w:tcPr>
          <w:p>
            <w:pPr>
              <w:spacing w:after="0"/>
              <w:rPr>
                <w:sz w:val="24"/>
                <w:szCs w:val="24"/>
                <w:color w:val="auto"/>
              </w:rPr>
            </w:pPr>
          </w:p>
        </w:tc>
        <w:tc>
          <w:tcPr>
            <w:tcW w:w="2660" w:type="dxa"/>
            <w:vAlign w:val="bottom"/>
            <w:shd w:val="clear" w:color="auto" w:fill="537BB5"/>
          </w:tcPr>
          <w:p>
            <w:pPr>
              <w:spacing w:after="0"/>
              <w:rPr>
                <w:sz w:val="24"/>
                <w:szCs w:val="24"/>
                <w:color w:val="auto"/>
              </w:rPr>
            </w:pPr>
          </w:p>
        </w:tc>
        <w:tc>
          <w:tcPr>
            <w:tcW w:w="1080" w:type="dxa"/>
            <w:vAlign w:val="bottom"/>
            <w:shd w:val="clear" w:color="auto" w:fill="537BB5"/>
          </w:tcPr>
          <w:p>
            <w:pPr>
              <w:spacing w:after="0"/>
              <w:rPr>
                <w:sz w:val="24"/>
                <w:szCs w:val="24"/>
                <w:color w:val="auto"/>
              </w:rPr>
            </w:pPr>
          </w:p>
        </w:tc>
        <w:tc>
          <w:tcPr>
            <w:tcW w:w="420" w:type="dxa"/>
            <w:vAlign w:val="bottom"/>
            <w:shd w:val="clear" w:color="auto" w:fill="537BB5"/>
          </w:tcPr>
          <w:p>
            <w:pPr>
              <w:spacing w:after="0"/>
              <w:rPr>
                <w:sz w:val="24"/>
                <w:szCs w:val="24"/>
                <w:color w:val="auto"/>
              </w:rPr>
            </w:pPr>
          </w:p>
        </w:tc>
        <w:tc>
          <w:tcPr>
            <w:tcW w:w="1040" w:type="dxa"/>
            <w:vAlign w:val="bottom"/>
            <w:shd w:val="clear" w:color="auto" w:fill="537BB5"/>
          </w:tcPr>
          <w:p>
            <w:pPr>
              <w:jc w:val="center"/>
              <w:ind w:left="230"/>
              <w:spacing w:after="0"/>
              <w:rPr>
                <w:sz w:val="20"/>
                <w:szCs w:val="20"/>
                <w:color w:val="auto"/>
              </w:rPr>
            </w:pPr>
            <w:r>
              <w:rPr>
                <w:rFonts w:ascii="Arial" w:cs="Arial" w:eastAsia="Arial" w:hAnsi="Arial"/>
                <w:sz w:val="20"/>
                <w:szCs w:val="20"/>
                <w:color w:val="FFFFFF"/>
                <w:w w:val="97"/>
              </w:rPr>
              <w:t>Part II</w:t>
            </w:r>
          </w:p>
        </w:tc>
      </w:tr>
      <w:tr>
        <w:trPr>
          <w:trHeight w:val="391"/>
        </w:trPr>
        <w:tc>
          <w:tcPr>
            <w:tcW w:w="56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r>
      <w:tr>
        <w:trPr>
          <w:trHeight w:val="292"/>
        </w:trPr>
        <w:tc>
          <w:tcPr>
            <w:tcW w:w="5600" w:type="dxa"/>
            <w:vAlign w:val="bottom"/>
            <w:shd w:val="clear" w:color="auto" w:fill="97AAD0"/>
          </w:tcPr>
          <w:p>
            <w:pPr>
              <w:spacing w:after="0"/>
              <w:rPr>
                <w:sz w:val="24"/>
                <w:szCs w:val="24"/>
                <w:color w:val="auto"/>
              </w:rPr>
            </w:pPr>
          </w:p>
        </w:tc>
        <w:tc>
          <w:tcPr>
            <w:tcW w:w="3740" w:type="dxa"/>
            <w:vAlign w:val="bottom"/>
            <w:gridSpan w:val="2"/>
            <w:shd w:val="clear" w:color="auto" w:fill="97AAD0"/>
          </w:tcPr>
          <w:p>
            <w:pPr>
              <w:jc w:val="right"/>
              <w:ind w:right="152"/>
              <w:spacing w:after="0"/>
              <w:rPr>
                <w:sz w:val="20"/>
                <w:szCs w:val="20"/>
                <w:color w:val="auto"/>
              </w:rPr>
            </w:pPr>
            <w:r>
              <w:rPr>
                <w:rFonts w:ascii="Arial" w:cs="Arial" w:eastAsia="Arial" w:hAnsi="Arial"/>
                <w:sz w:val="16"/>
                <w:szCs w:val="16"/>
                <w:b w:val="1"/>
                <w:bCs w:val="1"/>
                <w:color w:val="auto"/>
              </w:rPr>
              <w:t>December 31,</w:t>
            </w:r>
          </w:p>
        </w:tc>
        <w:tc>
          <w:tcPr>
            <w:tcW w:w="14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December 31,</w:t>
            </w:r>
          </w:p>
        </w:tc>
      </w:tr>
      <w:tr>
        <w:trPr>
          <w:trHeight w:val="250"/>
        </w:trPr>
        <w:tc>
          <w:tcPr>
            <w:tcW w:w="5600" w:type="dxa"/>
            <w:vAlign w:val="bottom"/>
            <w:tcBorders>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Supplemental Balance Sheet Information</w:t>
            </w:r>
          </w:p>
        </w:tc>
        <w:tc>
          <w:tcPr>
            <w:tcW w:w="2660" w:type="dxa"/>
            <w:vAlign w:val="bottom"/>
            <w:tcBorders>
              <w:bottom w:val="single" w:sz="8" w:color="auto"/>
            </w:tcBorders>
            <w:shd w:val="clear" w:color="auto" w:fill="97AAD0"/>
          </w:tcPr>
          <w:p>
            <w:pPr>
              <w:spacing w:after="0"/>
              <w:rPr>
                <w:sz w:val="21"/>
                <w:szCs w:val="21"/>
                <w:color w:val="auto"/>
              </w:rPr>
            </w:pPr>
          </w:p>
        </w:tc>
        <w:tc>
          <w:tcPr>
            <w:tcW w:w="1080" w:type="dxa"/>
            <w:vAlign w:val="bottom"/>
            <w:tcBorders>
              <w:bottom w:val="single" w:sz="8" w:color="auto"/>
            </w:tcBorders>
            <w:shd w:val="clear" w:color="auto" w:fill="97AAD0"/>
          </w:tcPr>
          <w:p>
            <w:pPr>
              <w:jc w:val="right"/>
              <w:ind w:right="492"/>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shd w:val="clear" w:color="auto" w:fill="97AAD0"/>
          </w:tcPr>
          <w:p>
            <w:pPr>
              <w:spacing w:after="0"/>
              <w:rPr>
                <w:sz w:val="21"/>
                <w:szCs w:val="21"/>
                <w:color w:val="auto"/>
              </w:rPr>
            </w:pPr>
          </w:p>
        </w:tc>
        <w:tc>
          <w:tcPr>
            <w:tcW w:w="1040" w:type="dxa"/>
            <w:vAlign w:val="bottom"/>
            <w:tcBorders>
              <w:bottom w:val="single" w:sz="8" w:color="auto"/>
            </w:tcBorders>
            <w:shd w:val="clear" w:color="auto" w:fill="97AAD0"/>
          </w:tcPr>
          <w:p>
            <w:pPr>
              <w:jc w:val="right"/>
              <w:ind w:right="450"/>
              <w:spacing w:after="0"/>
              <w:rPr>
                <w:sz w:val="20"/>
                <w:szCs w:val="20"/>
                <w:color w:val="auto"/>
              </w:rPr>
            </w:pPr>
            <w:r>
              <w:rPr>
                <w:rFonts w:ascii="Arial" w:cs="Arial" w:eastAsia="Arial" w:hAnsi="Arial"/>
                <w:sz w:val="16"/>
                <w:szCs w:val="16"/>
                <w:b w:val="1"/>
                <w:bCs w:val="1"/>
                <w:color w:val="auto"/>
              </w:rPr>
              <w:t>2023</w:t>
            </w:r>
          </w:p>
        </w:tc>
      </w:tr>
      <w:tr>
        <w:trPr>
          <w:trHeight w:val="243"/>
        </w:trPr>
        <w:tc>
          <w:tcPr>
            <w:tcW w:w="5600" w:type="dxa"/>
            <w:vAlign w:val="bottom"/>
            <w:shd w:val="clear" w:color="auto" w:fill="E5E9F3"/>
          </w:tcPr>
          <w:p>
            <w:pPr>
              <w:ind w:left="100"/>
              <w:spacing w:after="0"/>
              <w:rPr>
                <w:sz w:val="20"/>
                <w:szCs w:val="20"/>
                <w:color w:val="auto"/>
              </w:rPr>
            </w:pPr>
            <w:r>
              <w:rPr>
                <w:rFonts w:ascii="Arial" w:cs="Arial" w:eastAsia="Arial" w:hAnsi="Arial"/>
                <w:sz w:val="18"/>
                <w:szCs w:val="18"/>
                <w:color w:val="auto"/>
              </w:rPr>
              <w:t>Operating lease right-of-use assets</w:t>
            </w:r>
          </w:p>
        </w:tc>
        <w:tc>
          <w:tcPr>
            <w:tcW w:w="2660" w:type="dxa"/>
            <w:vAlign w:val="bottom"/>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9F3"/>
          </w:tcPr>
          <w:p>
            <w:pPr>
              <w:jc w:val="right"/>
              <w:ind w:right="72"/>
              <w:spacing w:after="0"/>
              <w:rPr>
                <w:sz w:val="20"/>
                <w:szCs w:val="20"/>
                <w:color w:val="auto"/>
              </w:rPr>
            </w:pPr>
            <w:r>
              <w:rPr>
                <w:rFonts w:ascii="Arial" w:cs="Arial" w:eastAsia="Arial" w:hAnsi="Arial"/>
                <w:sz w:val="18"/>
                <w:szCs w:val="18"/>
                <w:color w:val="auto"/>
              </w:rPr>
              <w:t>361.3</w:t>
            </w:r>
          </w:p>
        </w:tc>
        <w:tc>
          <w:tcPr>
            <w:tcW w:w="420" w:type="dxa"/>
            <w:vAlign w:val="bottom"/>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9F3"/>
          </w:tcPr>
          <w:p>
            <w:pPr>
              <w:jc w:val="center"/>
              <w:ind w:left="250"/>
              <w:spacing w:after="0"/>
              <w:rPr>
                <w:sz w:val="20"/>
                <w:szCs w:val="20"/>
                <w:color w:val="auto"/>
              </w:rPr>
            </w:pPr>
            <w:r>
              <w:rPr>
                <w:rFonts w:ascii="Arial" w:cs="Arial" w:eastAsia="Arial" w:hAnsi="Arial"/>
                <w:sz w:val="18"/>
                <w:szCs w:val="18"/>
                <w:color w:val="auto"/>
              </w:rPr>
              <w:t>414.0</w:t>
            </w:r>
          </w:p>
        </w:tc>
      </w:tr>
      <w:tr>
        <w:trPr>
          <w:trHeight w:val="253"/>
        </w:trPr>
        <w:tc>
          <w:tcPr>
            <w:tcW w:w="5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5600" w:type="dxa"/>
            <w:vAlign w:val="bottom"/>
            <w:shd w:val="clear" w:color="auto" w:fill="E5E9F3"/>
          </w:tcPr>
          <w:p>
            <w:pPr>
              <w:ind w:left="100"/>
              <w:spacing w:after="0" w:line="253" w:lineRule="exact"/>
              <w:rPr>
                <w:sz w:val="20"/>
                <w:szCs w:val="20"/>
                <w:color w:val="auto"/>
              </w:rPr>
            </w:pPr>
            <w:r>
              <w:rPr>
                <w:rFonts w:ascii="Arial" w:cs="Arial" w:eastAsia="Arial" w:hAnsi="Arial"/>
                <w:sz w:val="18"/>
                <w:szCs w:val="18"/>
                <w:color w:val="auto"/>
              </w:rPr>
              <w:t>Short-term operating lease liability</w:t>
            </w:r>
            <w:r>
              <w:rPr>
                <w:rFonts w:ascii="Arial" w:cs="Arial" w:eastAsia="Arial" w:hAnsi="Arial"/>
                <w:sz w:val="24"/>
                <w:szCs w:val="24"/>
                <w:color w:val="auto"/>
                <w:vertAlign w:val="superscript"/>
              </w:rPr>
              <w:t>(a)</w:t>
            </w:r>
          </w:p>
        </w:tc>
        <w:tc>
          <w:tcPr>
            <w:tcW w:w="2660" w:type="dxa"/>
            <w:vAlign w:val="bottom"/>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9F3"/>
          </w:tcPr>
          <w:p>
            <w:pPr>
              <w:jc w:val="right"/>
              <w:ind w:right="72"/>
              <w:spacing w:after="0"/>
              <w:rPr>
                <w:sz w:val="20"/>
                <w:szCs w:val="20"/>
                <w:color w:val="auto"/>
              </w:rPr>
            </w:pPr>
            <w:r>
              <w:rPr>
                <w:rFonts w:ascii="Arial" w:cs="Arial" w:eastAsia="Arial" w:hAnsi="Arial"/>
                <w:sz w:val="18"/>
                <w:szCs w:val="18"/>
                <w:color w:val="auto"/>
              </w:rPr>
              <w:t>98.6</w:t>
            </w:r>
          </w:p>
        </w:tc>
        <w:tc>
          <w:tcPr>
            <w:tcW w:w="420" w:type="dxa"/>
            <w:vAlign w:val="bottom"/>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9F3"/>
          </w:tcPr>
          <w:p>
            <w:pPr>
              <w:jc w:val="center"/>
              <w:ind w:left="250"/>
              <w:spacing w:after="0"/>
              <w:rPr>
                <w:sz w:val="20"/>
                <w:szCs w:val="20"/>
                <w:color w:val="auto"/>
              </w:rPr>
            </w:pPr>
            <w:r>
              <w:rPr>
                <w:rFonts w:ascii="Arial" w:cs="Arial" w:eastAsia="Arial" w:hAnsi="Arial"/>
                <w:sz w:val="18"/>
                <w:szCs w:val="18"/>
                <w:color w:val="auto"/>
              </w:rPr>
              <w:t>100.2</w:t>
            </w:r>
          </w:p>
        </w:tc>
      </w:tr>
      <w:tr>
        <w:trPr>
          <w:trHeight w:val="253"/>
        </w:trPr>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Long-term operating lease liability</w:t>
            </w:r>
          </w:p>
        </w:tc>
        <w:tc>
          <w:tcPr>
            <w:tcW w:w="2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279.0</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rPr>
              <w:t>323.2</w:t>
            </w:r>
          </w:p>
        </w:tc>
      </w:tr>
      <w:tr>
        <w:trPr>
          <w:trHeight w:val="243"/>
        </w:trPr>
        <w:tc>
          <w:tcPr>
            <w:tcW w:w="560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Total operating lease liabilities</w:t>
            </w:r>
          </w:p>
        </w:tc>
        <w:tc>
          <w:tcPr>
            <w:tcW w:w="2660" w:type="dxa"/>
            <w:vAlign w:val="bottom"/>
            <w:tcBorders>
              <w:bottom w:val="single" w:sz="8" w:color="auto"/>
            </w:tcBorders>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9F3"/>
          </w:tcPr>
          <w:p>
            <w:pPr>
              <w:jc w:val="right"/>
              <w:ind w:right="72"/>
              <w:spacing w:after="0"/>
              <w:rPr>
                <w:sz w:val="20"/>
                <w:szCs w:val="20"/>
                <w:color w:val="auto"/>
              </w:rPr>
            </w:pPr>
            <w:r>
              <w:rPr>
                <w:rFonts w:ascii="Arial" w:cs="Arial" w:eastAsia="Arial" w:hAnsi="Arial"/>
                <w:sz w:val="18"/>
                <w:szCs w:val="18"/>
                <w:color w:val="auto"/>
              </w:rPr>
              <w:t>377.6</w:t>
            </w:r>
          </w:p>
        </w:tc>
        <w:tc>
          <w:tcPr>
            <w:tcW w:w="420" w:type="dxa"/>
            <w:vAlign w:val="bottom"/>
            <w:tcBorders>
              <w:bottom w:val="single" w:sz="8" w:color="auto"/>
            </w:tcBorders>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9F3"/>
          </w:tcPr>
          <w:p>
            <w:pPr>
              <w:jc w:val="center"/>
              <w:ind w:left="250"/>
              <w:spacing w:after="0"/>
              <w:rPr>
                <w:sz w:val="20"/>
                <w:szCs w:val="20"/>
                <w:color w:val="auto"/>
              </w:rPr>
            </w:pPr>
            <w:r>
              <w:rPr>
                <w:rFonts w:ascii="Arial" w:cs="Arial" w:eastAsia="Arial" w:hAnsi="Arial"/>
                <w:sz w:val="18"/>
                <w:szCs w:val="18"/>
                <w:color w:val="auto"/>
              </w:rPr>
              <w:t>423.4</w:t>
            </w:r>
          </w:p>
        </w:tc>
      </w:tr>
    </w:tbl>
    <w:p>
      <w:pPr>
        <w:spacing w:after="0" w:line="89" w:lineRule="exact"/>
        <w:rPr>
          <w:sz w:val="20"/>
          <w:szCs w:val="20"/>
          <w:color w:val="auto"/>
        </w:rPr>
      </w:pPr>
    </w:p>
    <w:p>
      <w:pPr>
        <w:ind w:left="320" w:hanging="320"/>
        <w:spacing w:after="0"/>
        <w:tabs>
          <w:tab w:leader="none" w:pos="320" w:val="left"/>
        </w:tabs>
        <w:numPr>
          <w:ilvl w:val="0"/>
          <w:numId w:val="58"/>
        </w:numPr>
        <w:rPr>
          <w:rFonts w:ascii="Arial" w:cs="Arial" w:eastAsia="Arial" w:hAnsi="Arial"/>
          <w:sz w:val="24"/>
          <w:szCs w:val="24"/>
          <w:color w:val="auto"/>
          <w:vertAlign w:val="superscript"/>
        </w:rPr>
      </w:pPr>
      <w:r>
        <w:rPr>
          <w:rFonts w:ascii="Arial" w:cs="Arial" w:eastAsia="Arial" w:hAnsi="Arial"/>
          <w:sz w:val="18"/>
          <w:szCs w:val="18"/>
          <w:color w:val="auto"/>
        </w:rPr>
        <w:t>Short-term operating lease liability is included in accrued liabilities on our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Maturities of operating lease liabilities as of December 31,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6460" w:type="dxa"/>
            <w:vAlign w:val="bottom"/>
            <w:tcBorders>
              <w:top w:val="single" w:sz="8" w:color="auto"/>
              <w:bottom w:val="single" w:sz="8" w:color="auto"/>
            </w:tcBorders>
            <w:shd w:val="clear" w:color="auto" w:fill="97AAD0"/>
          </w:tcPr>
          <w:p>
            <w:pPr>
              <w:ind w:left="100"/>
              <w:spacing w:after="0"/>
              <w:rPr>
                <w:sz w:val="20"/>
                <w:szCs w:val="20"/>
                <w:color w:val="auto"/>
              </w:rPr>
            </w:pPr>
            <w:r>
              <w:rPr>
                <w:rFonts w:ascii="Arial" w:cs="Arial" w:eastAsia="Arial" w:hAnsi="Arial"/>
                <w:sz w:val="16"/>
                <w:szCs w:val="16"/>
                <w:b w:val="1"/>
                <w:bCs w:val="1"/>
                <w:color w:val="auto"/>
              </w:rPr>
              <w:t>Period Ending December 31, 2024</w:t>
            </w:r>
          </w:p>
        </w:tc>
        <w:tc>
          <w:tcPr>
            <w:tcW w:w="4340" w:type="dxa"/>
            <w:vAlign w:val="bottom"/>
            <w:tcBorders>
              <w:top w:val="single" w:sz="8" w:color="auto"/>
              <w:bottom w:val="single" w:sz="8" w:color="auto"/>
            </w:tcBorders>
            <w:gridSpan w:val="2"/>
            <w:shd w:val="clear" w:color="auto" w:fill="97AAD0"/>
          </w:tcPr>
          <w:p>
            <w:pPr>
              <w:ind w:left="2840"/>
              <w:spacing w:after="0"/>
              <w:rPr>
                <w:sz w:val="20"/>
                <w:szCs w:val="20"/>
                <w:color w:val="auto"/>
              </w:rPr>
            </w:pPr>
            <w:r>
              <w:rPr>
                <w:rFonts w:ascii="Arial" w:cs="Arial" w:eastAsia="Arial" w:hAnsi="Arial"/>
                <w:sz w:val="16"/>
                <w:szCs w:val="16"/>
                <w:b w:val="1"/>
                <w:bCs w:val="1"/>
                <w:color w:val="auto"/>
              </w:rPr>
              <w:t>Operating Leases</w:t>
            </w:r>
          </w:p>
        </w:tc>
      </w:tr>
      <w:tr>
        <w:trPr>
          <w:trHeight w:val="257"/>
        </w:trPr>
        <w:tc>
          <w:tcPr>
            <w:tcW w:w="64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2025</w:t>
            </w:r>
          </w:p>
        </w:tc>
        <w:tc>
          <w:tcPr>
            <w:tcW w:w="3340" w:type="dxa"/>
            <w:vAlign w:val="bottom"/>
            <w:shd w:val="clear" w:color="auto" w:fill="E5E9F3"/>
          </w:tcPr>
          <w:p>
            <w:pPr>
              <w:ind w:left="28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111.5</w:t>
            </w:r>
          </w:p>
        </w:tc>
      </w:tr>
      <w:tr>
        <w:trPr>
          <w:trHeight w:val="267"/>
        </w:trPr>
        <w:tc>
          <w:tcPr>
            <w:tcW w:w="6460" w:type="dxa"/>
            <w:vAlign w:val="bottom"/>
          </w:tcPr>
          <w:p>
            <w:pPr>
              <w:ind w:left="100"/>
              <w:spacing w:after="0"/>
              <w:rPr>
                <w:sz w:val="20"/>
                <w:szCs w:val="20"/>
                <w:color w:val="auto"/>
              </w:rPr>
            </w:pPr>
            <w:r>
              <w:rPr>
                <w:rFonts w:ascii="Arial" w:cs="Arial" w:eastAsia="Arial" w:hAnsi="Arial"/>
                <w:sz w:val="18"/>
                <w:szCs w:val="18"/>
                <w:color w:val="auto"/>
              </w:rPr>
              <w:t>2026</w:t>
            </w:r>
          </w:p>
        </w:tc>
        <w:tc>
          <w:tcPr>
            <w:tcW w:w="33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88.3</w:t>
            </w:r>
          </w:p>
        </w:tc>
      </w:tr>
      <w:tr>
        <w:trPr>
          <w:trHeight w:val="267"/>
        </w:trPr>
        <w:tc>
          <w:tcPr>
            <w:tcW w:w="64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2027</w:t>
            </w:r>
          </w:p>
        </w:tc>
        <w:tc>
          <w:tcPr>
            <w:tcW w:w="334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66.7</w:t>
            </w:r>
          </w:p>
        </w:tc>
      </w:tr>
      <w:tr>
        <w:trPr>
          <w:trHeight w:val="267"/>
        </w:trPr>
        <w:tc>
          <w:tcPr>
            <w:tcW w:w="6460" w:type="dxa"/>
            <w:vAlign w:val="bottom"/>
          </w:tcPr>
          <w:p>
            <w:pPr>
              <w:ind w:left="100"/>
              <w:spacing w:after="0"/>
              <w:rPr>
                <w:sz w:val="20"/>
                <w:szCs w:val="20"/>
                <w:color w:val="auto"/>
              </w:rPr>
            </w:pPr>
            <w:r>
              <w:rPr>
                <w:rFonts w:ascii="Arial" w:cs="Arial" w:eastAsia="Arial" w:hAnsi="Arial"/>
                <w:sz w:val="18"/>
                <w:szCs w:val="18"/>
                <w:color w:val="auto"/>
              </w:rPr>
              <w:t>2028</w:t>
            </w:r>
          </w:p>
        </w:tc>
        <w:tc>
          <w:tcPr>
            <w:tcW w:w="33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51.4</w:t>
            </w:r>
          </w:p>
        </w:tc>
      </w:tr>
      <w:tr>
        <w:trPr>
          <w:trHeight w:val="267"/>
        </w:trPr>
        <w:tc>
          <w:tcPr>
            <w:tcW w:w="64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2029</w:t>
            </w:r>
          </w:p>
        </w:tc>
        <w:tc>
          <w:tcPr>
            <w:tcW w:w="3340" w:type="dxa"/>
            <w:vAlign w:val="bottom"/>
            <w:shd w:val="clear" w:color="auto" w:fill="E5E9F3"/>
          </w:tcPr>
          <w:p>
            <w:pPr>
              <w:spacing w:after="0"/>
              <w:rPr>
                <w:sz w:val="23"/>
                <w:szCs w:val="23"/>
                <w:color w:val="auto"/>
              </w:rPr>
            </w:pPr>
          </w:p>
        </w:tc>
        <w:tc>
          <w:tcPr>
            <w:tcW w:w="100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36.9</w:t>
            </w:r>
          </w:p>
        </w:tc>
      </w:tr>
      <w:tr>
        <w:trPr>
          <w:trHeight w:val="267"/>
        </w:trPr>
        <w:tc>
          <w:tcPr>
            <w:tcW w:w="6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Thereafter</w:t>
            </w:r>
          </w:p>
        </w:tc>
        <w:tc>
          <w:tcPr>
            <w:tcW w:w="3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65.6</w:t>
            </w:r>
          </w:p>
        </w:tc>
      </w:tr>
      <w:tr>
        <w:trPr>
          <w:trHeight w:val="257"/>
        </w:trPr>
        <w:tc>
          <w:tcPr>
            <w:tcW w:w="64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Total future undiscounted lease payments</w:t>
            </w:r>
          </w:p>
        </w:tc>
        <w:tc>
          <w:tcPr>
            <w:tcW w:w="3340" w:type="dxa"/>
            <w:vAlign w:val="bottom"/>
            <w:shd w:val="clear" w:color="auto" w:fill="E5E9F3"/>
          </w:tcPr>
          <w:p>
            <w:pPr>
              <w:spacing w:after="0"/>
              <w:rPr>
                <w:sz w:val="22"/>
                <w:szCs w:val="22"/>
                <w:color w:val="auto"/>
              </w:rPr>
            </w:pPr>
          </w:p>
        </w:tc>
        <w:tc>
          <w:tcPr>
            <w:tcW w:w="100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420.4</w:t>
            </w:r>
          </w:p>
        </w:tc>
      </w:tr>
      <w:tr>
        <w:trPr>
          <w:trHeight w:val="267"/>
        </w:trPr>
        <w:tc>
          <w:tcPr>
            <w:tcW w:w="64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Less imputed interest</w:t>
            </w:r>
          </w:p>
        </w:tc>
        <w:tc>
          <w:tcPr>
            <w:tcW w:w="3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(42.8 )</w:t>
            </w:r>
          </w:p>
        </w:tc>
      </w:tr>
      <w:tr>
        <w:trPr>
          <w:trHeight w:val="257"/>
        </w:trPr>
        <w:tc>
          <w:tcPr>
            <w:tcW w:w="6460" w:type="dxa"/>
            <w:vAlign w:val="bottom"/>
            <w:tcBorders>
              <w:bottom w:val="single" w:sz="8" w:color="auto"/>
            </w:tcBorders>
            <w:shd w:val="clear" w:color="auto" w:fill="E5E9F3"/>
          </w:tcPr>
          <w:p>
            <w:pPr>
              <w:ind w:left="300"/>
              <w:spacing w:after="0"/>
              <w:rPr>
                <w:sz w:val="20"/>
                <w:szCs w:val="20"/>
                <w:color w:val="auto"/>
              </w:rPr>
            </w:pPr>
            <w:r>
              <w:rPr>
                <w:rFonts w:ascii="Arial" w:cs="Arial" w:eastAsia="Arial" w:hAnsi="Arial"/>
                <w:sz w:val="18"/>
                <w:szCs w:val="18"/>
                <w:color w:val="auto"/>
              </w:rPr>
              <w:t>Total operating lease liabilities</w:t>
            </w:r>
          </w:p>
        </w:tc>
        <w:tc>
          <w:tcPr>
            <w:tcW w:w="3340" w:type="dxa"/>
            <w:vAlign w:val="bottom"/>
            <w:tcBorders>
              <w:bottom w:val="single" w:sz="8" w:color="auto"/>
            </w:tcBorders>
            <w:shd w:val="clear" w:color="auto" w:fill="E5E9F3"/>
          </w:tcPr>
          <w:p>
            <w:pPr>
              <w:ind w:left="28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377.6</w:t>
            </w:r>
          </w:p>
        </w:tc>
      </w:tr>
    </w:tbl>
    <w:p>
      <w:pPr>
        <w:spacing w:after="0" w:line="285" w:lineRule="exact"/>
        <w:rPr>
          <w:sz w:val="20"/>
          <w:szCs w:val="20"/>
          <w:color w:val="auto"/>
        </w:rPr>
      </w:pPr>
    </w:p>
    <w:p>
      <w:pPr>
        <w:ind w:left="580" w:hanging="580"/>
        <w:spacing w:after="0"/>
        <w:tabs>
          <w:tab w:leader="none" w:pos="580" w:val="left"/>
        </w:tabs>
        <w:numPr>
          <w:ilvl w:val="0"/>
          <w:numId w:val="59"/>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Segment Data</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chief operating decision maker ("CODM") is our Chief Executive Officer, who evaluates the performance of our operating segments using operating unit profit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ectPr>
          <w:pgSz w:w="12240" w:h="15840" w:orient="portrait"/>
          <w:cols w:equalWidth="0" w:num="1">
            <w:col w:w="10800"/>
          </w:cols>
          <w:pgMar w:left="720" w:top="7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10800"/>
          </w:cols>
          <w:pgMar w:left="720" w:top="720" w:right="720" w:bottom="175" w:gutter="0" w:footer="0" w:header="0"/>
          <w:type w:val="continuous"/>
        </w:sectPr>
      </w:pPr>
    </w:p>
    <w:bookmarkStart w:id="89" w:name="page90"/>
    <w:bookmarkEnd w:id="8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8" o:spid="_x0000_s114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Total assets for the segments are reported after the elimination of investments in subsidiaries and intercompany accounts.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80" w:type="dxa"/>
            <w:vAlign w:val="bottom"/>
            <w:tcBorders>
              <w:top w:val="single" w:sz="8" w:color="auto"/>
            </w:tcBorders>
            <w:shd w:val="clear" w:color="auto" w:fill="97AAD0"/>
          </w:tcPr>
          <w:p>
            <w:pPr>
              <w:spacing w:after="0"/>
              <w:rPr>
                <w:sz w:val="14"/>
                <w:szCs w:val="14"/>
                <w:color w:val="auto"/>
              </w:rPr>
            </w:pPr>
          </w:p>
        </w:tc>
        <w:tc>
          <w:tcPr>
            <w:tcW w:w="220" w:type="dxa"/>
            <w:vAlign w:val="bottom"/>
            <w:tcBorders>
              <w:top w:val="single" w:sz="8" w:color="auto"/>
            </w:tcBorders>
            <w:shd w:val="clear" w:color="auto" w:fill="97AAD0"/>
          </w:tcPr>
          <w:p>
            <w:pPr>
              <w:spacing w:after="0"/>
              <w:rPr>
                <w:sz w:val="14"/>
                <w:szCs w:val="14"/>
                <w:color w:val="auto"/>
              </w:rPr>
            </w:pPr>
          </w:p>
        </w:tc>
        <w:tc>
          <w:tcPr>
            <w:tcW w:w="180" w:type="dxa"/>
            <w:vAlign w:val="bottom"/>
            <w:tcBorders>
              <w:top w:val="single" w:sz="8" w:color="auto"/>
            </w:tcBorders>
            <w:shd w:val="clear" w:color="auto" w:fill="97AAD0"/>
          </w:tcPr>
          <w:p>
            <w:pPr>
              <w:spacing w:after="0"/>
              <w:rPr>
                <w:sz w:val="14"/>
                <w:szCs w:val="14"/>
                <w:color w:val="auto"/>
              </w:rPr>
            </w:pPr>
          </w:p>
        </w:tc>
        <w:tc>
          <w:tcPr>
            <w:tcW w:w="1140" w:type="dxa"/>
            <w:vAlign w:val="bottom"/>
            <w:tcBorders>
              <w:top w:val="single" w:sz="8" w:color="auto"/>
            </w:tcBorders>
            <w:shd w:val="clear" w:color="auto" w:fill="97AAD0"/>
          </w:tcPr>
          <w:p>
            <w:pPr>
              <w:spacing w:after="0"/>
              <w:rPr>
                <w:sz w:val="14"/>
                <w:szCs w:val="14"/>
                <w:color w:val="auto"/>
              </w:rPr>
            </w:pPr>
          </w:p>
        </w:tc>
        <w:tc>
          <w:tcPr>
            <w:tcW w:w="180" w:type="dxa"/>
            <w:vAlign w:val="bottom"/>
            <w:tcBorders>
              <w:top w:val="single" w:sz="8" w:color="auto"/>
            </w:tcBorders>
            <w:shd w:val="clear" w:color="auto" w:fill="97AAD0"/>
          </w:tcPr>
          <w:p>
            <w:pPr>
              <w:spacing w:after="0"/>
              <w:rPr>
                <w:sz w:val="14"/>
                <w:szCs w:val="14"/>
                <w:color w:val="auto"/>
              </w:rPr>
            </w:pPr>
          </w:p>
        </w:tc>
        <w:tc>
          <w:tcPr>
            <w:tcW w:w="180" w:type="dxa"/>
            <w:vAlign w:val="bottom"/>
            <w:tcBorders>
              <w:top w:val="single" w:sz="8" w:color="auto"/>
            </w:tcBorders>
            <w:shd w:val="clear" w:color="auto" w:fill="97AAD0"/>
          </w:tcPr>
          <w:p>
            <w:pPr>
              <w:spacing w:after="0"/>
              <w:rPr>
                <w:sz w:val="14"/>
                <w:szCs w:val="14"/>
                <w:color w:val="auto"/>
              </w:rPr>
            </w:pPr>
          </w:p>
        </w:tc>
        <w:tc>
          <w:tcPr>
            <w:tcW w:w="1140" w:type="dxa"/>
            <w:vAlign w:val="bottom"/>
            <w:tcBorders>
              <w:top w:val="single" w:sz="8" w:color="auto"/>
            </w:tcBorders>
            <w:vMerge w:val="restart"/>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Cost of</w:t>
            </w:r>
          </w:p>
        </w:tc>
        <w:tc>
          <w:tcPr>
            <w:tcW w:w="180" w:type="dxa"/>
            <w:vAlign w:val="bottom"/>
            <w:tcBorders>
              <w:top w:val="single" w:sz="8" w:color="auto"/>
            </w:tcBorders>
            <w:shd w:val="clear" w:color="auto" w:fill="97AAD0"/>
          </w:tcPr>
          <w:p>
            <w:pPr>
              <w:spacing w:after="0"/>
              <w:rPr>
                <w:sz w:val="14"/>
                <w:szCs w:val="14"/>
                <w:color w:val="auto"/>
              </w:rPr>
            </w:pPr>
          </w:p>
        </w:tc>
        <w:tc>
          <w:tcPr>
            <w:tcW w:w="120" w:type="dxa"/>
            <w:vAlign w:val="bottom"/>
            <w:tcBorders>
              <w:top w:val="single" w:sz="8" w:color="auto"/>
            </w:tcBorders>
            <w:shd w:val="clear" w:color="auto" w:fill="97AAD0"/>
          </w:tcPr>
          <w:p>
            <w:pPr>
              <w:spacing w:after="0"/>
              <w:rPr>
                <w:sz w:val="14"/>
                <w:szCs w:val="14"/>
                <w:color w:val="auto"/>
              </w:rPr>
            </w:pPr>
          </w:p>
        </w:tc>
        <w:tc>
          <w:tcPr>
            <w:tcW w:w="1200" w:type="dxa"/>
            <w:vAlign w:val="bottom"/>
            <w:tcBorders>
              <w:top w:val="single" w:sz="8" w:color="auto"/>
            </w:tcBorders>
            <w:shd w:val="clear" w:color="auto" w:fill="97AAD0"/>
          </w:tcPr>
          <w:p>
            <w:pPr>
              <w:jc w:val="center"/>
              <w:ind w:right="171"/>
              <w:spacing w:after="0" w:line="169" w:lineRule="exact"/>
              <w:rPr>
                <w:sz w:val="20"/>
                <w:szCs w:val="20"/>
                <w:color w:val="auto"/>
              </w:rPr>
            </w:pPr>
            <w:r>
              <w:rPr>
                <w:rFonts w:ascii="Arial" w:cs="Arial" w:eastAsia="Arial" w:hAnsi="Arial"/>
                <w:sz w:val="16"/>
                <w:szCs w:val="16"/>
                <w:b w:val="1"/>
                <w:bCs w:val="1"/>
                <w:color w:val="auto"/>
              </w:rPr>
              <w:t>Selling and</w:t>
            </w:r>
          </w:p>
        </w:tc>
        <w:tc>
          <w:tcPr>
            <w:tcW w:w="160" w:type="dxa"/>
            <w:vAlign w:val="bottom"/>
            <w:tcBorders>
              <w:top w:val="single" w:sz="8" w:color="auto"/>
            </w:tcBorders>
            <w:shd w:val="clear" w:color="auto" w:fill="97AAD0"/>
          </w:tcPr>
          <w:p>
            <w:pPr>
              <w:spacing w:after="0"/>
              <w:rPr>
                <w:sz w:val="14"/>
                <w:szCs w:val="14"/>
                <w:color w:val="auto"/>
              </w:rPr>
            </w:pPr>
          </w:p>
        </w:tc>
        <w:tc>
          <w:tcPr>
            <w:tcW w:w="260" w:type="dxa"/>
            <w:vAlign w:val="bottom"/>
            <w:tcBorders>
              <w:top w:val="single" w:sz="8" w:color="auto"/>
            </w:tcBorders>
            <w:shd w:val="clear" w:color="auto" w:fill="97AAD0"/>
          </w:tcPr>
          <w:p>
            <w:pPr>
              <w:spacing w:after="0"/>
              <w:rPr>
                <w:sz w:val="14"/>
                <w:szCs w:val="14"/>
                <w:color w:val="auto"/>
              </w:rPr>
            </w:pPr>
          </w:p>
        </w:tc>
        <w:tc>
          <w:tcPr>
            <w:tcW w:w="1060" w:type="dxa"/>
            <w:vAlign w:val="bottom"/>
            <w:tcBorders>
              <w:top w:val="single" w:sz="8" w:color="auto"/>
            </w:tcBorders>
            <w:shd w:val="clear" w:color="auto" w:fill="97AAD0"/>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2024</w:t>
            </w:r>
          </w:p>
        </w:tc>
        <w:tc>
          <w:tcPr>
            <w:tcW w:w="220" w:type="dxa"/>
            <w:vAlign w:val="bottom"/>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1140" w:type="dxa"/>
            <w:vAlign w:val="bottom"/>
            <w:vMerge w:val="restart"/>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1320" w:type="dxa"/>
            <w:vAlign w:val="bottom"/>
            <w:gridSpan w:val="2"/>
            <w:shd w:val="clear" w:color="auto" w:fill="97AAD0"/>
          </w:tcPr>
          <w:p>
            <w:pPr>
              <w:jc w:val="center"/>
              <w:ind w:right="71"/>
              <w:spacing w:after="0"/>
              <w:rPr>
                <w:sz w:val="20"/>
                <w:szCs w:val="20"/>
                <w:color w:val="auto"/>
              </w:rPr>
            </w:pPr>
            <w:r>
              <w:rPr>
                <w:rFonts w:ascii="Arial" w:cs="Arial" w:eastAsia="Arial" w:hAnsi="Arial"/>
                <w:sz w:val="16"/>
                <w:szCs w:val="16"/>
                <w:b w:val="1"/>
                <w:bCs w:val="1"/>
                <w:color w:val="auto"/>
              </w:rPr>
              <w:t>Administrative</w:t>
            </w:r>
          </w:p>
        </w:tc>
        <w:tc>
          <w:tcPr>
            <w:tcW w:w="160" w:type="dxa"/>
            <w:vAlign w:val="bottom"/>
            <w:shd w:val="clear" w:color="auto" w:fill="97AAD0"/>
          </w:tcPr>
          <w:p>
            <w:pPr>
              <w:spacing w:after="0"/>
              <w:rPr>
                <w:sz w:val="15"/>
                <w:szCs w:val="15"/>
                <w:color w:val="auto"/>
              </w:rPr>
            </w:pPr>
          </w:p>
        </w:tc>
        <w:tc>
          <w:tcPr>
            <w:tcW w:w="260" w:type="dxa"/>
            <w:vAlign w:val="bottom"/>
            <w:shd w:val="clear" w:color="auto" w:fill="97AAD0"/>
          </w:tcPr>
          <w:p>
            <w:pPr>
              <w:spacing w:after="0"/>
              <w:rPr>
                <w:sz w:val="15"/>
                <w:szCs w:val="15"/>
                <w:color w:val="auto"/>
              </w:rPr>
            </w:pPr>
          </w:p>
        </w:tc>
        <w:tc>
          <w:tcPr>
            <w:tcW w:w="1060" w:type="dxa"/>
            <w:vAlign w:val="bottom"/>
            <w:vMerge w:val="restart"/>
            <w:shd w:val="clear" w:color="auto" w:fill="97AAD0"/>
          </w:tcPr>
          <w:p>
            <w:pPr>
              <w:jc w:val="right"/>
              <w:ind w:right="471"/>
              <w:spacing w:after="0"/>
              <w:rPr>
                <w:sz w:val="20"/>
                <w:szCs w:val="20"/>
                <w:color w:val="auto"/>
              </w:rPr>
            </w:pPr>
            <w:r>
              <w:rPr>
                <w:rFonts w:ascii="Arial" w:cs="Arial" w:eastAsia="Arial" w:hAnsi="Arial"/>
                <w:sz w:val="16"/>
                <w:szCs w:val="16"/>
                <w:b w:val="1"/>
                <w:bCs w:val="1"/>
                <w:color w:val="auto"/>
              </w:rPr>
              <w:t>OUP</w:t>
            </w:r>
          </w:p>
        </w:tc>
        <w:tc>
          <w:tcPr>
            <w:tcW w:w="0" w:type="dxa"/>
            <w:vAlign w:val="bottom"/>
          </w:tcPr>
          <w:p>
            <w:pPr>
              <w:spacing w:after="0"/>
              <w:rPr>
                <w:sz w:val="1"/>
                <w:szCs w:val="1"/>
                <w:color w:val="auto"/>
              </w:rPr>
            </w:pPr>
          </w:p>
        </w:tc>
      </w:tr>
      <w:tr>
        <w:trPr>
          <w:trHeight w:val="203"/>
        </w:trPr>
        <w:tc>
          <w:tcPr>
            <w:tcW w:w="4780" w:type="dxa"/>
            <w:vAlign w:val="bottom"/>
            <w:vMerge w:val="continue"/>
            <w:shd w:val="clear" w:color="auto" w:fill="97AAD0"/>
          </w:tcPr>
          <w:p>
            <w:pPr>
              <w:spacing w:after="0"/>
              <w:rPr>
                <w:sz w:val="17"/>
                <w:szCs w:val="17"/>
                <w:color w:val="auto"/>
              </w:rPr>
            </w:pPr>
          </w:p>
        </w:tc>
        <w:tc>
          <w:tcPr>
            <w:tcW w:w="220" w:type="dxa"/>
            <w:vAlign w:val="bottom"/>
            <w:shd w:val="clear" w:color="auto" w:fill="97AAD0"/>
          </w:tcPr>
          <w:p>
            <w:pPr>
              <w:spacing w:after="0"/>
              <w:rPr>
                <w:sz w:val="17"/>
                <w:szCs w:val="17"/>
                <w:color w:val="auto"/>
              </w:rPr>
            </w:pPr>
          </w:p>
        </w:tc>
        <w:tc>
          <w:tcPr>
            <w:tcW w:w="180" w:type="dxa"/>
            <w:vAlign w:val="bottom"/>
            <w:shd w:val="clear" w:color="auto" w:fill="97AAD0"/>
          </w:tcPr>
          <w:p>
            <w:pPr>
              <w:spacing w:after="0"/>
              <w:rPr>
                <w:sz w:val="17"/>
                <w:szCs w:val="17"/>
                <w:color w:val="auto"/>
              </w:rPr>
            </w:pPr>
          </w:p>
        </w:tc>
        <w:tc>
          <w:tcPr>
            <w:tcW w:w="1140" w:type="dxa"/>
            <w:vAlign w:val="bottom"/>
            <w:vMerge w:val="continue"/>
            <w:shd w:val="clear" w:color="auto" w:fill="97AAD0"/>
          </w:tcPr>
          <w:p>
            <w:pPr>
              <w:spacing w:after="0"/>
              <w:rPr>
                <w:sz w:val="17"/>
                <w:szCs w:val="17"/>
                <w:color w:val="auto"/>
              </w:rPr>
            </w:pPr>
          </w:p>
        </w:tc>
        <w:tc>
          <w:tcPr>
            <w:tcW w:w="180" w:type="dxa"/>
            <w:vAlign w:val="bottom"/>
            <w:shd w:val="clear" w:color="auto" w:fill="97AAD0"/>
          </w:tcPr>
          <w:p>
            <w:pPr>
              <w:spacing w:after="0"/>
              <w:rPr>
                <w:sz w:val="17"/>
                <w:szCs w:val="17"/>
                <w:color w:val="auto"/>
              </w:rPr>
            </w:pPr>
          </w:p>
        </w:tc>
        <w:tc>
          <w:tcPr>
            <w:tcW w:w="180" w:type="dxa"/>
            <w:vAlign w:val="bottom"/>
            <w:shd w:val="clear" w:color="auto" w:fill="97AAD0"/>
          </w:tcPr>
          <w:p>
            <w:pPr>
              <w:spacing w:after="0"/>
              <w:rPr>
                <w:sz w:val="17"/>
                <w:szCs w:val="17"/>
                <w:color w:val="auto"/>
              </w:rPr>
            </w:pPr>
          </w:p>
        </w:tc>
        <w:tc>
          <w:tcPr>
            <w:tcW w:w="1140" w:type="dxa"/>
            <w:vAlign w:val="bottom"/>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Services</w:t>
            </w:r>
          </w:p>
        </w:tc>
        <w:tc>
          <w:tcPr>
            <w:tcW w:w="180" w:type="dxa"/>
            <w:vAlign w:val="bottom"/>
            <w:shd w:val="clear" w:color="auto" w:fill="97AAD0"/>
          </w:tcPr>
          <w:p>
            <w:pPr>
              <w:spacing w:after="0"/>
              <w:rPr>
                <w:sz w:val="17"/>
                <w:szCs w:val="17"/>
                <w:color w:val="auto"/>
              </w:rPr>
            </w:pPr>
          </w:p>
        </w:tc>
        <w:tc>
          <w:tcPr>
            <w:tcW w:w="120" w:type="dxa"/>
            <w:vAlign w:val="bottom"/>
            <w:shd w:val="clear" w:color="auto" w:fill="97AAD0"/>
          </w:tcPr>
          <w:p>
            <w:pPr>
              <w:spacing w:after="0"/>
              <w:rPr>
                <w:sz w:val="17"/>
                <w:szCs w:val="17"/>
                <w:color w:val="auto"/>
              </w:rPr>
            </w:pPr>
          </w:p>
        </w:tc>
        <w:tc>
          <w:tcPr>
            <w:tcW w:w="1200" w:type="dxa"/>
            <w:vAlign w:val="bottom"/>
            <w:shd w:val="clear" w:color="auto" w:fill="97AAD0"/>
          </w:tcPr>
          <w:p>
            <w:pPr>
              <w:jc w:val="center"/>
              <w:ind w:right="171"/>
              <w:spacing w:after="0"/>
              <w:rPr>
                <w:sz w:val="20"/>
                <w:szCs w:val="20"/>
                <w:color w:val="auto"/>
              </w:rPr>
            </w:pPr>
            <w:r>
              <w:rPr>
                <w:rFonts w:ascii="Arial" w:cs="Arial" w:eastAsia="Arial" w:hAnsi="Arial"/>
                <w:sz w:val="16"/>
                <w:szCs w:val="16"/>
                <w:b w:val="1"/>
                <w:bCs w:val="1"/>
                <w:color w:val="auto"/>
                <w:w w:val="98"/>
              </w:rPr>
              <w:t>Expenses</w:t>
            </w:r>
          </w:p>
        </w:tc>
        <w:tc>
          <w:tcPr>
            <w:tcW w:w="160" w:type="dxa"/>
            <w:vAlign w:val="bottom"/>
            <w:shd w:val="clear" w:color="auto" w:fill="97AAD0"/>
          </w:tcPr>
          <w:p>
            <w:pPr>
              <w:spacing w:after="0"/>
              <w:rPr>
                <w:sz w:val="17"/>
                <w:szCs w:val="17"/>
                <w:color w:val="auto"/>
              </w:rPr>
            </w:pPr>
          </w:p>
        </w:tc>
        <w:tc>
          <w:tcPr>
            <w:tcW w:w="260" w:type="dxa"/>
            <w:vAlign w:val="bottom"/>
            <w:shd w:val="clear" w:color="auto" w:fill="97AAD0"/>
          </w:tcPr>
          <w:p>
            <w:pPr>
              <w:spacing w:after="0"/>
              <w:rPr>
                <w:sz w:val="17"/>
                <w:szCs w:val="17"/>
                <w:color w:val="auto"/>
              </w:rPr>
            </w:pPr>
          </w:p>
        </w:tc>
        <w:tc>
          <w:tcPr>
            <w:tcW w:w="1060" w:type="dxa"/>
            <w:vAlign w:val="bottom"/>
            <w:vMerge w:val="continue"/>
            <w:shd w:val="clear" w:color="auto" w:fill="97AAD0"/>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20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060" w:type="dxa"/>
            <w:vAlign w:val="bottom"/>
            <w:shd w:val="clear" w:color="auto" w:fill="E5E9F3"/>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line="267" w:lineRule="exact"/>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(a)</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2,766.6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2,032.3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656.6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220" w:type="dxa"/>
            <w:vAlign w:val="bottom"/>
            <w:shd w:val="clear" w:color="auto" w:fill="E5E9F3"/>
          </w:tcPr>
          <w:p>
            <w:pPr>
              <w:spacing w:after="0"/>
              <w:rPr>
                <w:sz w:val="23"/>
                <w:szCs w:val="23"/>
                <w:color w:val="auto"/>
              </w:rPr>
            </w:pPr>
          </w:p>
        </w:tc>
        <w:tc>
          <w:tcPr>
            <w:tcW w:w="18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1,458.3</w:t>
            </w:r>
          </w:p>
        </w:tc>
        <w:tc>
          <w:tcPr>
            <w:tcW w:w="180" w:type="dxa"/>
            <w:vAlign w:val="bottom"/>
            <w:shd w:val="clear" w:color="auto" w:fill="E5E9F3"/>
          </w:tcPr>
          <w:p>
            <w:pPr>
              <w:spacing w:after="0"/>
              <w:rPr>
                <w:sz w:val="23"/>
                <w:szCs w:val="23"/>
                <w:color w:val="auto"/>
              </w:rPr>
            </w:pPr>
          </w:p>
        </w:tc>
        <w:tc>
          <w:tcPr>
            <w:tcW w:w="18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1,220.4</w:t>
            </w:r>
          </w:p>
        </w:tc>
        <w:tc>
          <w:tcPr>
            <w:tcW w:w="180" w:type="dxa"/>
            <w:vAlign w:val="bottom"/>
            <w:shd w:val="clear" w:color="auto" w:fill="E5E9F3"/>
          </w:tcPr>
          <w:p>
            <w:pPr>
              <w:spacing w:after="0"/>
              <w:rPr>
                <w:sz w:val="23"/>
                <w:szCs w:val="23"/>
                <w:color w:val="auto"/>
              </w:rPr>
            </w:pPr>
          </w:p>
        </w:tc>
        <w:tc>
          <w:tcPr>
            <w:tcW w:w="12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E5E9F3"/>
          </w:tcPr>
          <w:p>
            <w:pPr>
              <w:spacing w:after="0"/>
              <w:rPr>
                <w:sz w:val="23"/>
                <w:szCs w:val="23"/>
                <w:color w:val="auto"/>
              </w:rPr>
            </w:pPr>
          </w:p>
        </w:tc>
        <w:tc>
          <w:tcPr>
            <w:tcW w:w="26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spacing w:after="0"/>
              <w:rPr>
                <w:sz w:val="22"/>
                <w:szCs w:val="22"/>
                <w:color w:val="auto"/>
              </w:rPr>
            </w:pPr>
          </w:p>
        </w:tc>
        <w:tc>
          <w:tcPr>
            <w:tcW w:w="220" w:type="dxa"/>
            <w:vAlign w:val="bottom"/>
            <w:tcBorders>
              <w:bottom w:val="single" w:sz="8" w:color="E5E9F3"/>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4,224.9</w:t>
            </w:r>
          </w:p>
        </w:tc>
        <w:tc>
          <w:tcPr>
            <w:tcW w:w="180" w:type="dxa"/>
            <w:vAlign w:val="bottom"/>
            <w:tcBorders>
              <w:bottom w:val="single" w:sz="8" w:color="E5E9F3"/>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3,252.7</w:t>
            </w:r>
          </w:p>
        </w:tc>
        <w:tc>
          <w:tcPr>
            <w:tcW w:w="180" w:type="dxa"/>
            <w:vAlign w:val="bottom"/>
            <w:tcBorders>
              <w:bottom w:val="single" w:sz="8" w:color="E5E9F3"/>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830.6</w:t>
            </w:r>
          </w:p>
        </w:tc>
        <w:tc>
          <w:tcPr>
            <w:tcW w:w="160" w:type="dxa"/>
            <w:vAlign w:val="bottom"/>
            <w:tcBorders>
              <w:bottom w:val="single" w:sz="8" w:color="E5E9F3"/>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22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4,618.4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3,951.7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514.9</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22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1,677.0</w:t>
            </w:r>
          </w:p>
        </w:tc>
        <w:tc>
          <w:tcPr>
            <w:tcW w:w="18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1,398.1</w:t>
            </w:r>
          </w:p>
        </w:tc>
        <w:tc>
          <w:tcPr>
            <w:tcW w:w="18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2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165.8</w:t>
            </w:r>
          </w:p>
        </w:tc>
        <w:tc>
          <w:tcPr>
            <w:tcW w:w="16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220" w:type="dxa"/>
            <w:vAlign w:val="bottom"/>
            <w:tcBorders>
              <w:bottom w:val="single" w:sz="8" w:color="E5E9F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1,922.9</w:t>
            </w:r>
          </w:p>
        </w:tc>
        <w:tc>
          <w:tcPr>
            <w:tcW w:w="180" w:type="dxa"/>
            <w:vAlign w:val="bottom"/>
            <w:tcBorders>
              <w:bottom w:val="single" w:sz="8" w:color="E5E9F3"/>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1,667.8</w:t>
            </w:r>
          </w:p>
        </w:tc>
        <w:tc>
          <w:tcPr>
            <w:tcW w:w="180" w:type="dxa"/>
            <w:vAlign w:val="bottom"/>
            <w:tcBorders>
              <w:bottom w:val="single" w:sz="8" w:color="E5E9F3"/>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215.9</w:t>
            </w:r>
          </w:p>
        </w:tc>
        <w:tc>
          <w:tcPr>
            <w:tcW w:w="160" w:type="dxa"/>
            <w:vAlign w:val="bottom"/>
            <w:tcBorders>
              <w:bottom w:val="single" w:sz="8" w:color="E5E9F3"/>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18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8,218.3</w:t>
            </w:r>
          </w:p>
        </w:tc>
        <w:tc>
          <w:tcPr>
            <w:tcW w:w="180" w:type="dxa"/>
            <w:vAlign w:val="bottom"/>
            <w:shd w:val="clear" w:color="auto" w:fill="E5E9F3"/>
          </w:tcPr>
          <w:p>
            <w:pPr>
              <w:spacing w:after="0"/>
              <w:rPr>
                <w:sz w:val="22"/>
                <w:szCs w:val="22"/>
                <w:color w:val="auto"/>
              </w:rPr>
            </w:pPr>
          </w:p>
        </w:tc>
        <w:tc>
          <w:tcPr>
            <w:tcW w:w="18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7,017.6</w:t>
            </w:r>
          </w:p>
        </w:tc>
        <w:tc>
          <w:tcPr>
            <w:tcW w:w="180" w:type="dxa"/>
            <w:vAlign w:val="bottom"/>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896.6</w:t>
            </w:r>
          </w:p>
        </w:tc>
        <w:tc>
          <w:tcPr>
            <w:tcW w:w="160" w:type="dxa"/>
            <w:vAlign w:val="bottom"/>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57"/>
        </w:trPr>
        <w:tc>
          <w:tcPr>
            <w:tcW w:w="478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3,304.3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2,728.0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620.9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220" w:type="dxa"/>
            <w:vAlign w:val="bottom"/>
            <w:shd w:val="clear" w:color="auto" w:fill="E5E9F3"/>
          </w:tcPr>
          <w:p>
            <w:pPr>
              <w:spacing w:after="0"/>
              <w:rPr>
                <w:sz w:val="23"/>
                <w:szCs w:val="23"/>
                <w:color w:val="auto"/>
              </w:rPr>
            </w:pPr>
          </w:p>
        </w:tc>
        <w:tc>
          <w:tcPr>
            <w:tcW w:w="18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2,161.3</w:t>
            </w:r>
          </w:p>
        </w:tc>
        <w:tc>
          <w:tcPr>
            <w:tcW w:w="180" w:type="dxa"/>
            <w:vAlign w:val="bottom"/>
            <w:shd w:val="clear" w:color="auto" w:fill="E5E9F3"/>
          </w:tcPr>
          <w:p>
            <w:pPr>
              <w:spacing w:after="0"/>
              <w:rPr>
                <w:sz w:val="23"/>
                <w:szCs w:val="23"/>
                <w:color w:val="auto"/>
              </w:rPr>
            </w:pPr>
          </w:p>
        </w:tc>
        <w:tc>
          <w:tcPr>
            <w:tcW w:w="18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1,820.1</w:t>
            </w:r>
          </w:p>
        </w:tc>
        <w:tc>
          <w:tcPr>
            <w:tcW w:w="180" w:type="dxa"/>
            <w:vAlign w:val="bottom"/>
            <w:shd w:val="clear" w:color="auto" w:fill="E5E9F3"/>
          </w:tcPr>
          <w:p>
            <w:pPr>
              <w:spacing w:after="0"/>
              <w:rPr>
                <w:sz w:val="23"/>
                <w:szCs w:val="23"/>
                <w:color w:val="auto"/>
              </w:rPr>
            </w:pPr>
          </w:p>
        </w:tc>
        <w:tc>
          <w:tcPr>
            <w:tcW w:w="12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257.5</w:t>
            </w:r>
          </w:p>
        </w:tc>
        <w:tc>
          <w:tcPr>
            <w:tcW w:w="160" w:type="dxa"/>
            <w:vAlign w:val="bottom"/>
            <w:shd w:val="clear" w:color="auto" w:fill="E5E9F3"/>
          </w:tcPr>
          <w:p>
            <w:pPr>
              <w:spacing w:after="0"/>
              <w:rPr>
                <w:sz w:val="23"/>
                <w:szCs w:val="23"/>
                <w:color w:val="auto"/>
              </w:rPr>
            </w:pPr>
          </w:p>
        </w:tc>
        <w:tc>
          <w:tcPr>
            <w:tcW w:w="26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ind w:left="20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E5E9F3"/>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17,908.8</w:t>
            </w:r>
          </w:p>
        </w:tc>
        <w:tc>
          <w:tcPr>
            <w:tcW w:w="180" w:type="dxa"/>
            <w:vAlign w:val="bottom"/>
            <w:tcBorders>
              <w:bottom w:val="single" w:sz="8" w:color="E5E9F3"/>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14,818.4</w:t>
            </w:r>
          </w:p>
        </w:tc>
        <w:tc>
          <w:tcPr>
            <w:tcW w:w="180" w:type="dxa"/>
            <w:vAlign w:val="bottom"/>
            <w:tcBorders>
              <w:bottom w:val="single" w:sz="8" w:color="E5E9F3"/>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2,605.6</w:t>
            </w:r>
          </w:p>
        </w:tc>
        <w:tc>
          <w:tcPr>
            <w:tcW w:w="160" w:type="dxa"/>
            <w:vAlign w:val="bottom"/>
            <w:tcBorders>
              <w:bottom w:val="single" w:sz="8" w:color="E5E9F3"/>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E5E9F3"/>
            </w:tcBorders>
            <w:shd w:val="clear" w:color="auto" w:fill="E5E9F3"/>
          </w:tcPr>
          <w:p>
            <w:pPr>
              <w:spacing w:after="0"/>
              <w:rPr>
                <w:sz w:val="22"/>
                <w:szCs w:val="22"/>
                <w:color w:val="auto"/>
              </w:rPr>
            </w:pPr>
          </w:p>
        </w:tc>
        <w:tc>
          <w:tcPr>
            <w:tcW w:w="18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(54.9 )</w:t>
            </w:r>
          </w:p>
        </w:tc>
        <w:tc>
          <w:tcPr>
            <w:tcW w:w="180" w:type="dxa"/>
            <w:vAlign w:val="bottom"/>
            <w:tcBorders>
              <w:bottom w:val="single" w:sz="8" w:color="E5E9F3"/>
            </w:tcBorders>
            <w:shd w:val="clear" w:color="auto" w:fill="E5E9F3"/>
          </w:tcPr>
          <w:p>
            <w:pPr>
              <w:spacing w:after="0"/>
              <w:rPr>
                <w:sz w:val="22"/>
                <w:szCs w:val="22"/>
                <w:color w:val="auto"/>
              </w:rPr>
            </w:pPr>
          </w:p>
        </w:tc>
        <w:tc>
          <w:tcPr>
            <w:tcW w:w="18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(51.3 )</w:t>
            </w:r>
          </w:p>
        </w:tc>
        <w:tc>
          <w:tcPr>
            <w:tcW w:w="180" w:type="dxa"/>
            <w:vAlign w:val="bottom"/>
            <w:tcBorders>
              <w:bottom w:val="single" w:sz="8" w:color="E5E9F3"/>
            </w:tcBorders>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Borders>
              <w:bottom w:val="single" w:sz="8" w:color="E5E9F3"/>
            </w:tcBorders>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17,853.9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14,767.1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2,602.0</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57"/>
        </w:trPr>
        <w:tc>
          <w:tcPr>
            <w:tcW w:w="4780" w:type="dxa"/>
            <w:vAlign w:val="bottom"/>
            <w:tcBorders>
              <w:top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Reconciliation of operating unit profit (segment OUP)</w:t>
            </w:r>
          </w:p>
        </w:tc>
        <w:tc>
          <w:tcPr>
            <w:tcW w:w="220" w:type="dxa"/>
            <w:vAlign w:val="bottom"/>
            <w:tcBorders>
              <w:top w:val="single" w:sz="8" w:color="E5E9F3"/>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E5E9F3"/>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E5E9F3"/>
            </w:tcBorders>
            <w:shd w:val="clear" w:color="auto" w:fill="E5E9F3"/>
          </w:tcPr>
          <w:p>
            <w:pPr>
              <w:spacing w:after="0"/>
              <w:rPr>
                <w:sz w:val="22"/>
                <w:szCs w:val="22"/>
                <w:color w:val="auto"/>
              </w:rPr>
            </w:pPr>
          </w:p>
        </w:tc>
        <w:tc>
          <w:tcPr>
            <w:tcW w:w="120" w:type="dxa"/>
            <w:vAlign w:val="bottom"/>
            <w:tcBorders>
              <w:top w:val="single" w:sz="8" w:color="auto"/>
            </w:tcBorders>
            <w:shd w:val="clear" w:color="auto" w:fill="E5E9F3"/>
          </w:tcPr>
          <w:p>
            <w:pPr>
              <w:spacing w:after="0"/>
              <w:rPr>
                <w:sz w:val="22"/>
                <w:szCs w:val="22"/>
                <w:color w:val="auto"/>
              </w:rPr>
            </w:pPr>
          </w:p>
        </w:tc>
        <w:tc>
          <w:tcPr>
            <w:tcW w:w="120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E5E9F3"/>
            </w:tcBorders>
            <w:shd w:val="clear" w:color="auto" w:fill="E5E9F3"/>
          </w:tcPr>
          <w:p>
            <w:pPr>
              <w:spacing w:after="0"/>
              <w:rPr>
                <w:sz w:val="22"/>
                <w:szCs w:val="22"/>
                <w:color w:val="auto"/>
              </w:rPr>
            </w:pPr>
          </w:p>
        </w:tc>
        <w:tc>
          <w:tcPr>
            <w:tcW w:w="260" w:type="dxa"/>
            <w:vAlign w:val="bottom"/>
            <w:tcBorders>
              <w:top w:val="single" w:sz="8" w:color="auto"/>
            </w:tcBorders>
            <w:shd w:val="clear" w:color="auto" w:fill="E5E9F3"/>
          </w:tcPr>
          <w:p>
            <w:pPr>
              <w:spacing w:after="0"/>
              <w:rPr>
                <w:sz w:val="22"/>
                <w:szCs w:val="22"/>
                <w:color w:val="auto"/>
              </w:rPr>
            </w:pPr>
          </w:p>
        </w:tc>
        <w:tc>
          <w:tcPr>
            <w:tcW w:w="1060" w:type="dxa"/>
            <w:vAlign w:val="bottom"/>
            <w:tcBorders>
              <w:top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(146.1 )</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Goodwill impairment charges</w:t>
            </w:r>
          </w:p>
        </w:tc>
        <w:tc>
          <w:tcPr>
            <w:tcW w:w="22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20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26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line="267"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(b)</w:t>
            </w:r>
          </w:p>
        </w:tc>
        <w:tc>
          <w:tcPr>
            <w:tcW w:w="22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2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50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6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Interest and other expenses, net</w:t>
            </w:r>
          </w:p>
        </w:tc>
        <w:tc>
          <w:tcPr>
            <w:tcW w:w="22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12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60" w:type="dxa"/>
            <w:vAlign w:val="bottom"/>
            <w:tcBorders>
              <w:bottom w:val="single" w:sz="8" w:color="auto"/>
            </w:tcBorders>
            <w:shd w:val="clear" w:color="auto" w:fill="E5E9F3"/>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41" w:lineRule="exact"/>
        <w:rPr>
          <w:sz w:val="20"/>
          <w:szCs w:val="20"/>
          <w:color w:val="auto"/>
        </w:rPr>
      </w:pPr>
    </w:p>
    <w:p>
      <w:pPr>
        <w:ind w:left="40"/>
        <w:spacing w:after="0"/>
        <w:rPr>
          <w:sz w:val="20"/>
          <w:szCs w:val="20"/>
          <w:color w:val="auto"/>
        </w:rPr>
      </w:pPr>
      <w:r>
        <w:rPr>
          <w:rFonts w:ascii="PMingLiU" w:cs="PMingLiU" w:eastAsia="PMingLiU" w:hAnsi="PMingLiU"/>
          <w:sz w:val="10"/>
          <w:szCs w:val="10"/>
          <w:color w:val="auto"/>
        </w:rPr>
        <w:t>D</w:t>
      </w:r>
    </w:p>
    <w:p>
      <w:pPr>
        <w:spacing w:after="0" w:line="248" w:lineRule="exact"/>
        <w:rPr>
          <w:sz w:val="20"/>
          <w:szCs w:val="20"/>
          <w:color w:val="auto"/>
        </w:rPr>
      </w:pPr>
    </w:p>
    <w:p>
      <w:pPr>
        <w:ind w:left="40"/>
        <w:spacing w:after="0"/>
        <w:rPr>
          <w:sz w:val="20"/>
          <w:szCs w:val="20"/>
          <w:color w:val="auto"/>
        </w:rPr>
      </w:pPr>
      <w:r>
        <w:rPr>
          <w:rFonts w:ascii="PMingLiU" w:cs="PMingLiU" w:eastAsia="PMingLiU" w:hAnsi="PMingLiU"/>
          <w:sz w:val="10"/>
          <w:szCs w:val="10"/>
          <w:color w:val="auto"/>
        </w:rPr>
        <w:t>E</w:t>
      </w:r>
    </w:p>
    <w:p>
      <w:pPr>
        <w:spacing w:after="0" w:line="20" w:lineRule="exact"/>
        <w:rPr>
          <w:sz w:val="20"/>
          <w:szCs w:val="20"/>
          <w:color w:val="auto"/>
        </w:rPr>
      </w:pPr>
      <w:r>
        <w:rPr>
          <w:sz w:val="20"/>
          <w:szCs w:val="20"/>
          <w:color w:val="auto"/>
        </w:rPr>
        <w:br w:type="column"/>
      </w:r>
    </w:p>
    <w:p>
      <w:pPr>
        <w:ind w:right="500"/>
        <w:spacing w:after="0" w:line="233" w:lineRule="auto"/>
        <w:rPr>
          <w:sz w:val="20"/>
          <w:szCs w:val="20"/>
          <w:color w:val="auto"/>
        </w:rPr>
      </w:pPr>
      <w:r>
        <w:rPr>
          <w:rFonts w:ascii="Arial" w:cs="Arial" w:eastAsia="Arial" w:hAnsi="Arial"/>
          <w:sz w:val="16"/>
          <w:szCs w:val="16"/>
          <w:color w:val="auto"/>
        </w:rPr>
        <w:t>The United States revenues above represent revenues from our company-owned branches and franchise fees received from our franchise operations,</w:t>
      </w:r>
      <w:r>
        <w:rPr>
          <w:rFonts w:ascii="PMingLiU" w:cs="PMingLiU" w:eastAsia="PMingLiU" w:hAnsi="PMingLiU"/>
          <w:sz w:val="16"/>
          <w:szCs w:val="16"/>
          <w:color w:val="auto"/>
        </w:rPr>
        <w:t/>
      </w:r>
      <w:r>
        <w:rPr>
          <w:rFonts w:ascii="Arial" w:cs="Arial" w:eastAsia="Arial" w:hAnsi="Arial"/>
          <w:sz w:val="16"/>
          <w:szCs w:val="16"/>
          <w:color w:val="auto"/>
        </w:rPr>
        <w:t>which were $10.7 for 2024.</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w:t>
      </w:r>
      <w:r>
        <w:rPr>
          <w:rFonts w:ascii="PMingLiU" w:cs="PMingLiU" w:eastAsia="PMingLiU" w:hAnsi="PMingLiU"/>
          <w:sz w:val="16"/>
          <w:szCs w:val="16"/>
          <w:color w:val="auto"/>
        </w:rPr>
        <w:t/>
      </w:r>
      <w:r>
        <w:rPr>
          <w:rFonts w:ascii="Arial" w:cs="Arial" w:eastAsia="Arial" w:hAnsi="Arial"/>
          <w:sz w:val="16"/>
          <w:szCs w:val="16"/>
          <w:color w:val="auto"/>
        </w:rPr>
        <w:t>separately.</w:t>
      </w:r>
    </w:p>
    <w:p>
      <w:pPr>
        <w:spacing w:after="0" w:line="1" w:lineRule="exact"/>
        <w:rPr>
          <w:sz w:val="20"/>
          <w:szCs w:val="20"/>
          <w:color w:val="auto"/>
        </w:rPr>
      </w:pPr>
    </w:p>
    <w:p>
      <w:pPr>
        <w:sectPr>
          <w:pgSz w:w="12240" w:h="15840" w:orient="portrait"/>
          <w:cols w:equalWidth="0" w:num="2">
            <w:col w:w="160" w:space="200"/>
            <w:col w:w="10440"/>
          </w:cols>
          <w:pgMar w:left="720" w:top="734" w:right="720" w:bottom="175"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020" w:type="dxa"/>
            <w:vAlign w:val="bottom"/>
            <w:tcBorders>
              <w:top w:val="single" w:sz="8" w:color="auto"/>
            </w:tcBorders>
            <w:shd w:val="clear" w:color="auto" w:fill="97AAD0"/>
          </w:tcPr>
          <w:p>
            <w:pPr>
              <w:spacing w:after="0"/>
              <w:rPr>
                <w:sz w:val="14"/>
                <w:szCs w:val="14"/>
                <w:color w:val="auto"/>
              </w:rPr>
            </w:pPr>
          </w:p>
        </w:tc>
        <w:tc>
          <w:tcPr>
            <w:tcW w:w="1740" w:type="dxa"/>
            <w:vAlign w:val="bottom"/>
            <w:tcBorders>
              <w:top w:val="single" w:sz="8" w:color="auto"/>
            </w:tcBorders>
            <w:shd w:val="clear" w:color="auto" w:fill="97AAD0"/>
          </w:tcPr>
          <w:p>
            <w:pPr>
              <w:spacing w:after="0"/>
              <w:rPr>
                <w:sz w:val="14"/>
                <w:szCs w:val="14"/>
                <w:color w:val="auto"/>
              </w:rPr>
            </w:pPr>
          </w:p>
        </w:tc>
        <w:tc>
          <w:tcPr>
            <w:tcW w:w="100" w:type="dxa"/>
            <w:vAlign w:val="bottom"/>
            <w:tcBorders>
              <w:top w:val="single" w:sz="8" w:color="auto"/>
            </w:tcBorders>
            <w:shd w:val="clear" w:color="auto" w:fill="97AAD0"/>
          </w:tcPr>
          <w:p>
            <w:pPr>
              <w:spacing w:after="0"/>
              <w:rPr>
                <w:sz w:val="14"/>
                <w:szCs w:val="14"/>
                <w:color w:val="auto"/>
              </w:rPr>
            </w:pPr>
          </w:p>
        </w:tc>
        <w:tc>
          <w:tcPr>
            <w:tcW w:w="1200" w:type="dxa"/>
            <w:vAlign w:val="bottom"/>
            <w:tcBorders>
              <w:top w:val="single" w:sz="8" w:color="auto"/>
            </w:tcBorders>
            <w:shd w:val="clear" w:color="auto" w:fill="97AAD0"/>
          </w:tcPr>
          <w:p>
            <w:pPr>
              <w:spacing w:after="0"/>
              <w:rPr>
                <w:sz w:val="14"/>
                <w:szCs w:val="14"/>
                <w:color w:val="auto"/>
              </w:rPr>
            </w:pPr>
          </w:p>
        </w:tc>
        <w:tc>
          <w:tcPr>
            <w:tcW w:w="140" w:type="dxa"/>
            <w:vAlign w:val="bottom"/>
            <w:tcBorders>
              <w:top w:val="single" w:sz="8" w:color="auto"/>
            </w:tcBorders>
            <w:shd w:val="clear" w:color="auto" w:fill="97AAD0"/>
          </w:tcPr>
          <w:p>
            <w:pPr>
              <w:spacing w:after="0"/>
              <w:rPr>
                <w:sz w:val="14"/>
                <w:szCs w:val="14"/>
                <w:color w:val="auto"/>
              </w:rPr>
            </w:pPr>
          </w:p>
        </w:tc>
        <w:tc>
          <w:tcPr>
            <w:tcW w:w="120" w:type="dxa"/>
            <w:vAlign w:val="bottom"/>
            <w:tcBorders>
              <w:top w:val="single" w:sz="8" w:color="auto"/>
            </w:tcBorders>
            <w:shd w:val="clear" w:color="auto" w:fill="97AAD0"/>
          </w:tcPr>
          <w:p>
            <w:pPr>
              <w:spacing w:after="0"/>
              <w:rPr>
                <w:sz w:val="14"/>
                <w:szCs w:val="14"/>
                <w:color w:val="auto"/>
              </w:rPr>
            </w:pPr>
          </w:p>
        </w:tc>
        <w:tc>
          <w:tcPr>
            <w:tcW w:w="1140" w:type="dxa"/>
            <w:vAlign w:val="bottom"/>
            <w:tcBorders>
              <w:top w:val="single" w:sz="8" w:color="auto"/>
            </w:tcBorders>
            <w:shd w:val="clear" w:color="auto" w:fill="97AAD0"/>
          </w:tcPr>
          <w:p>
            <w:pPr>
              <w:spacing w:after="0"/>
              <w:rPr>
                <w:sz w:val="14"/>
                <w:szCs w:val="14"/>
                <w:color w:val="auto"/>
              </w:rPr>
            </w:pPr>
          </w:p>
        </w:tc>
        <w:tc>
          <w:tcPr>
            <w:tcW w:w="140" w:type="dxa"/>
            <w:vAlign w:val="bottom"/>
            <w:tcBorders>
              <w:top w:val="single" w:sz="8" w:color="auto"/>
            </w:tcBorders>
            <w:shd w:val="clear" w:color="auto" w:fill="97AAD0"/>
          </w:tcPr>
          <w:p>
            <w:pPr>
              <w:spacing w:after="0"/>
              <w:rPr>
                <w:sz w:val="14"/>
                <w:szCs w:val="14"/>
                <w:color w:val="auto"/>
              </w:rPr>
            </w:pPr>
          </w:p>
        </w:tc>
        <w:tc>
          <w:tcPr>
            <w:tcW w:w="1200" w:type="dxa"/>
            <w:vAlign w:val="bottom"/>
            <w:tcBorders>
              <w:top w:val="single" w:sz="8" w:color="auto"/>
            </w:tcBorders>
            <w:gridSpan w:val="2"/>
            <w:shd w:val="clear" w:color="auto" w:fill="97AAD0"/>
          </w:tcPr>
          <w:p>
            <w:pPr>
              <w:jc w:val="center"/>
              <w:ind w:right="51"/>
              <w:spacing w:after="0" w:line="169" w:lineRule="exact"/>
              <w:rPr>
                <w:sz w:val="20"/>
                <w:szCs w:val="20"/>
                <w:color w:val="auto"/>
              </w:rPr>
            </w:pPr>
            <w:r>
              <w:rPr>
                <w:rFonts w:ascii="Arial" w:cs="Arial" w:eastAsia="Arial" w:hAnsi="Arial"/>
                <w:sz w:val="16"/>
                <w:szCs w:val="16"/>
                <w:b w:val="1"/>
                <w:bCs w:val="1"/>
                <w:color w:val="auto"/>
              </w:rPr>
              <w:t>Depreciation</w:t>
            </w:r>
          </w:p>
        </w:tc>
        <w:tc>
          <w:tcPr>
            <w:tcW w:w="0" w:type="dxa"/>
            <w:vAlign w:val="bottom"/>
          </w:tcPr>
          <w:p>
            <w:pPr>
              <w:spacing w:after="0"/>
              <w:rPr>
                <w:sz w:val="1"/>
                <w:szCs w:val="1"/>
                <w:color w:val="auto"/>
              </w:rPr>
            </w:pPr>
          </w:p>
        </w:tc>
      </w:tr>
      <w:tr>
        <w:trPr>
          <w:trHeight w:val="184"/>
        </w:trPr>
        <w:tc>
          <w:tcPr>
            <w:tcW w:w="5020" w:type="dxa"/>
            <w:vAlign w:val="bottom"/>
            <w:shd w:val="clear" w:color="auto" w:fill="97AAD0"/>
          </w:tcPr>
          <w:p>
            <w:pPr>
              <w:spacing w:after="0"/>
              <w:rPr>
                <w:sz w:val="15"/>
                <w:szCs w:val="15"/>
                <w:color w:val="auto"/>
              </w:rPr>
            </w:pPr>
          </w:p>
        </w:tc>
        <w:tc>
          <w:tcPr>
            <w:tcW w:w="1740" w:type="dxa"/>
            <w:vAlign w:val="bottom"/>
            <w:shd w:val="clear" w:color="auto" w:fill="97AAD0"/>
          </w:tcPr>
          <w:p>
            <w:pPr>
              <w:spacing w:after="0"/>
              <w:rPr>
                <w:sz w:val="15"/>
                <w:szCs w:val="15"/>
                <w:color w:val="auto"/>
              </w:rPr>
            </w:pPr>
          </w:p>
        </w:tc>
        <w:tc>
          <w:tcPr>
            <w:tcW w:w="100" w:type="dxa"/>
            <w:vAlign w:val="bottom"/>
            <w:shd w:val="clear" w:color="auto" w:fill="97AAD0"/>
          </w:tcPr>
          <w:p>
            <w:pPr>
              <w:spacing w:after="0"/>
              <w:rPr>
                <w:sz w:val="15"/>
                <w:szCs w:val="15"/>
                <w:color w:val="auto"/>
              </w:rPr>
            </w:pPr>
          </w:p>
        </w:tc>
        <w:tc>
          <w:tcPr>
            <w:tcW w:w="120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40" w:type="dxa"/>
            <w:vAlign w:val="bottom"/>
            <w:vMerge w:val="restart"/>
            <w:shd w:val="clear" w:color="auto" w:fill="97AAD0"/>
          </w:tcPr>
          <w:p>
            <w:pPr>
              <w:jc w:val="right"/>
              <w:ind w:right="211"/>
              <w:spacing w:after="0"/>
              <w:rPr>
                <w:sz w:val="20"/>
                <w:szCs w:val="20"/>
                <w:color w:val="auto"/>
              </w:rPr>
            </w:pPr>
            <w:r>
              <w:rPr>
                <w:rFonts w:ascii="Arial" w:cs="Arial" w:eastAsia="Arial" w:hAnsi="Arial"/>
                <w:sz w:val="16"/>
                <w:szCs w:val="16"/>
                <w:b w:val="1"/>
                <w:bCs w:val="1"/>
                <w:color w:val="auto"/>
              </w:rPr>
              <w:t>Long-lived</w:t>
            </w:r>
          </w:p>
        </w:tc>
        <w:tc>
          <w:tcPr>
            <w:tcW w:w="14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060" w:type="dxa"/>
            <w:vAlign w:val="bottom"/>
            <w:shd w:val="clear" w:color="auto" w:fill="97AAD0"/>
          </w:tcPr>
          <w:p>
            <w:pPr>
              <w:jc w:val="center"/>
              <w:ind w:right="211"/>
              <w:spacing w:after="0"/>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184"/>
        </w:trPr>
        <w:tc>
          <w:tcPr>
            <w:tcW w:w="502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2024</w:t>
            </w:r>
          </w:p>
        </w:tc>
        <w:tc>
          <w:tcPr>
            <w:tcW w:w="1740" w:type="dxa"/>
            <w:vAlign w:val="bottom"/>
            <w:shd w:val="clear" w:color="auto" w:fill="97AAD0"/>
          </w:tcPr>
          <w:p>
            <w:pPr>
              <w:spacing w:after="0"/>
              <w:rPr>
                <w:sz w:val="15"/>
                <w:szCs w:val="15"/>
                <w:color w:val="auto"/>
              </w:rPr>
            </w:pPr>
          </w:p>
        </w:tc>
        <w:tc>
          <w:tcPr>
            <w:tcW w:w="100" w:type="dxa"/>
            <w:vAlign w:val="bottom"/>
            <w:shd w:val="clear" w:color="auto" w:fill="97AAD0"/>
          </w:tcPr>
          <w:p>
            <w:pPr>
              <w:spacing w:after="0"/>
              <w:rPr>
                <w:sz w:val="15"/>
                <w:szCs w:val="15"/>
                <w:color w:val="auto"/>
              </w:rPr>
            </w:pPr>
          </w:p>
        </w:tc>
        <w:tc>
          <w:tcPr>
            <w:tcW w:w="1200" w:type="dxa"/>
            <w:vAlign w:val="bottom"/>
            <w:vMerge w:val="restart"/>
            <w:shd w:val="clear" w:color="auto" w:fill="97AAD0"/>
          </w:tcPr>
          <w:p>
            <w:pPr>
              <w:jc w:val="right"/>
              <w:ind w:right="151"/>
              <w:spacing w:after="0"/>
              <w:rPr>
                <w:sz w:val="20"/>
                <w:szCs w:val="20"/>
                <w:color w:val="auto"/>
              </w:rPr>
            </w:pPr>
            <w:r>
              <w:rPr>
                <w:rFonts w:ascii="Arial" w:cs="Arial" w:eastAsia="Arial" w:hAnsi="Arial"/>
                <w:sz w:val="16"/>
                <w:szCs w:val="16"/>
                <w:b w:val="1"/>
                <w:bCs w:val="1"/>
                <w:color w:val="auto"/>
                <w:w w:val="98"/>
              </w:rPr>
              <w:t>Total Assets</w:t>
            </w: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00" w:type="dxa"/>
            <w:vAlign w:val="bottom"/>
            <w:gridSpan w:val="2"/>
            <w:shd w:val="clear" w:color="auto" w:fill="97AAD0"/>
          </w:tcPr>
          <w:p>
            <w:pPr>
              <w:jc w:val="center"/>
              <w:ind w:right="51"/>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vMerge w:val="continue"/>
            <w:shd w:val="clear" w:color="auto" w:fill="97AAD0"/>
          </w:tcPr>
          <w:p>
            <w:pPr>
              <w:spacing w:after="0"/>
              <w:rPr>
                <w:sz w:val="20"/>
                <w:szCs w:val="20"/>
                <w:color w:val="auto"/>
              </w:rPr>
            </w:pPr>
          </w:p>
        </w:tc>
        <w:tc>
          <w:tcPr>
            <w:tcW w:w="1740" w:type="dxa"/>
            <w:vAlign w:val="bottom"/>
            <w:tcBorders>
              <w:bottom w:val="single" w:sz="8" w:color="auto"/>
            </w:tcBorders>
            <w:shd w:val="clear" w:color="auto" w:fill="97AAD0"/>
          </w:tcPr>
          <w:p>
            <w:pPr>
              <w:spacing w:after="0"/>
              <w:rPr>
                <w:sz w:val="20"/>
                <w:szCs w:val="20"/>
                <w:color w:val="auto"/>
              </w:rPr>
            </w:pPr>
          </w:p>
        </w:tc>
        <w:tc>
          <w:tcPr>
            <w:tcW w:w="100" w:type="dxa"/>
            <w:vAlign w:val="bottom"/>
            <w:tcBorders>
              <w:bottom w:val="single" w:sz="8" w:color="auto"/>
            </w:tcBorders>
            <w:shd w:val="clear" w:color="auto" w:fill="97AAD0"/>
          </w:tcPr>
          <w:p>
            <w:pPr>
              <w:spacing w:after="0"/>
              <w:rPr>
                <w:sz w:val="20"/>
                <w:szCs w:val="20"/>
                <w:color w:val="auto"/>
              </w:rPr>
            </w:pPr>
          </w:p>
        </w:tc>
        <w:tc>
          <w:tcPr>
            <w:tcW w:w="1200" w:type="dxa"/>
            <w:vAlign w:val="bottom"/>
            <w:tcBorders>
              <w:bottom w:val="single" w:sz="8" w:color="auto"/>
            </w:tcBorders>
            <w:vMerge w:val="continue"/>
            <w:shd w:val="clear" w:color="auto" w:fill="97AAD0"/>
          </w:tcPr>
          <w:p>
            <w:pPr>
              <w:spacing w:after="0"/>
              <w:rPr>
                <w:sz w:val="20"/>
                <w:szCs w:val="20"/>
                <w:color w:val="auto"/>
              </w:rPr>
            </w:pPr>
          </w:p>
        </w:tc>
        <w:tc>
          <w:tcPr>
            <w:tcW w:w="140" w:type="dxa"/>
            <w:vAlign w:val="bottom"/>
            <w:tcBorders>
              <w:bottom w:val="single" w:sz="8" w:color="auto"/>
            </w:tcBorders>
            <w:shd w:val="clear" w:color="auto" w:fill="97AAD0"/>
          </w:tcPr>
          <w:p>
            <w:pPr>
              <w:spacing w:after="0"/>
              <w:rPr>
                <w:sz w:val="20"/>
                <w:szCs w:val="20"/>
                <w:color w:val="auto"/>
              </w:rPr>
            </w:pPr>
          </w:p>
        </w:tc>
        <w:tc>
          <w:tcPr>
            <w:tcW w:w="120" w:type="dxa"/>
            <w:vAlign w:val="bottom"/>
            <w:tcBorders>
              <w:bottom w:val="single" w:sz="8" w:color="auto"/>
            </w:tcBorders>
            <w:shd w:val="clear" w:color="auto" w:fill="97AAD0"/>
          </w:tcPr>
          <w:p>
            <w:pPr>
              <w:spacing w:after="0"/>
              <w:rPr>
                <w:sz w:val="20"/>
                <w:szCs w:val="20"/>
                <w:color w:val="auto"/>
              </w:rPr>
            </w:pPr>
          </w:p>
        </w:tc>
        <w:tc>
          <w:tcPr>
            <w:tcW w:w="1140" w:type="dxa"/>
            <w:vAlign w:val="bottom"/>
            <w:tcBorders>
              <w:bottom w:val="single" w:sz="8" w:color="auto"/>
            </w:tcBorders>
            <w:shd w:val="clear" w:color="auto" w:fill="97AAD0"/>
          </w:tcPr>
          <w:p>
            <w:pPr>
              <w:jc w:val="right"/>
              <w:ind w:right="291"/>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0"/>
                <w:szCs w:val="10"/>
                <w:b w:val="1"/>
                <w:bCs w:val="1"/>
                <w:color w:val="auto"/>
              </w:rPr>
              <w:t>(a)</w:t>
            </w:r>
          </w:p>
        </w:tc>
        <w:tc>
          <w:tcPr>
            <w:tcW w:w="140" w:type="dxa"/>
            <w:vAlign w:val="bottom"/>
            <w:tcBorders>
              <w:bottom w:val="single" w:sz="8" w:color="auto"/>
            </w:tcBorders>
            <w:shd w:val="clear" w:color="auto" w:fill="97AAD0"/>
          </w:tcPr>
          <w:p>
            <w:pPr>
              <w:spacing w:after="0"/>
              <w:rPr>
                <w:sz w:val="20"/>
                <w:szCs w:val="20"/>
                <w:color w:val="auto"/>
              </w:rPr>
            </w:pPr>
          </w:p>
        </w:tc>
        <w:tc>
          <w:tcPr>
            <w:tcW w:w="140" w:type="dxa"/>
            <w:vAlign w:val="bottom"/>
            <w:tcBorders>
              <w:bottom w:val="single" w:sz="8" w:color="auto"/>
            </w:tcBorders>
            <w:shd w:val="clear" w:color="auto" w:fill="97AAD0"/>
          </w:tcPr>
          <w:p>
            <w:pPr>
              <w:spacing w:after="0"/>
              <w:rPr>
                <w:sz w:val="20"/>
                <w:szCs w:val="20"/>
                <w:color w:val="auto"/>
              </w:rPr>
            </w:pPr>
          </w:p>
        </w:tc>
        <w:tc>
          <w:tcPr>
            <w:tcW w:w="1060" w:type="dxa"/>
            <w:vAlign w:val="bottom"/>
            <w:tcBorders>
              <w:bottom w:val="single" w:sz="8" w:color="auto"/>
            </w:tcBorders>
            <w:shd w:val="clear" w:color="auto" w:fill="97AAD0"/>
          </w:tcPr>
          <w:p>
            <w:pPr>
              <w:jc w:val="center"/>
              <w:ind w:right="191"/>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62"/>
        </w:trPr>
        <w:tc>
          <w:tcPr>
            <w:tcW w:w="5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Americas:</w:t>
            </w:r>
          </w:p>
        </w:tc>
        <w:tc>
          <w:tcPr>
            <w:tcW w:w="174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02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2,902.4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7"/>
        </w:trPr>
        <w:tc>
          <w:tcPr>
            <w:tcW w:w="50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1740" w:type="dxa"/>
            <w:vAlign w:val="bottom"/>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465.3</w:t>
            </w:r>
          </w:p>
        </w:tc>
        <w:tc>
          <w:tcPr>
            <w:tcW w:w="140" w:type="dxa"/>
            <w:vAlign w:val="bottom"/>
            <w:shd w:val="clear" w:color="auto" w:fill="E5E9F3"/>
          </w:tcPr>
          <w:p>
            <w:pPr>
              <w:spacing w:after="0"/>
              <w:rPr>
                <w:sz w:val="23"/>
                <w:szCs w:val="23"/>
                <w:color w:val="auto"/>
              </w:rPr>
            </w:pPr>
          </w:p>
        </w:tc>
        <w:tc>
          <w:tcPr>
            <w:tcW w:w="12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E5E9F3"/>
          </w:tcPr>
          <w:p>
            <w:pPr>
              <w:spacing w:after="0"/>
              <w:rPr>
                <w:sz w:val="23"/>
                <w:szCs w:val="23"/>
                <w:color w:val="auto"/>
              </w:rPr>
            </w:pPr>
          </w:p>
        </w:tc>
        <w:tc>
          <w:tcPr>
            <w:tcW w:w="1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E5E9F3"/>
            </w:tcBorders>
          </w:tcPr>
          <w:p>
            <w:pPr>
              <w:spacing w:after="0"/>
              <w:rPr>
                <w:sz w:val="22"/>
                <w:szCs w:val="22"/>
                <w:color w:val="auto"/>
              </w:rPr>
            </w:pPr>
          </w:p>
        </w:tc>
        <w:tc>
          <w:tcPr>
            <w:tcW w:w="1740" w:type="dxa"/>
            <w:vAlign w:val="bottom"/>
            <w:tcBorders>
              <w:bottom w:val="single" w:sz="8" w:color="E5E9F3"/>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3,367.7</w:t>
            </w:r>
          </w:p>
        </w:tc>
        <w:tc>
          <w:tcPr>
            <w:tcW w:w="140" w:type="dxa"/>
            <w:vAlign w:val="bottom"/>
            <w:tcBorders>
              <w:bottom w:val="single" w:sz="8" w:color="E5E9F3"/>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E5E9F3"/>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5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174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4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020" w:type="dxa"/>
            <w:vAlign w:val="bottom"/>
          </w:tcPr>
          <w:p>
            <w:pPr>
              <w:ind w:left="300"/>
              <w:spacing w:after="0"/>
              <w:rPr>
                <w:sz w:val="20"/>
                <w:szCs w:val="20"/>
                <w:color w:val="auto"/>
              </w:rPr>
            </w:pPr>
            <w:r>
              <w:rPr>
                <w:rFonts w:ascii="Arial" w:cs="Arial" w:eastAsia="Arial" w:hAnsi="Arial"/>
                <w:sz w:val="18"/>
                <w:szCs w:val="18"/>
                <w:color w:val="auto"/>
              </w:rPr>
              <w:t>France</w:t>
            </w: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2,049.8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7"/>
        </w:trPr>
        <w:tc>
          <w:tcPr>
            <w:tcW w:w="502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17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479.3</w:t>
            </w:r>
          </w:p>
        </w:tc>
        <w:tc>
          <w:tcPr>
            <w:tcW w:w="14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E5E9F3"/>
          </w:tcPr>
          <w:p>
            <w:pPr>
              <w:spacing w:after="0"/>
              <w:rPr>
                <w:sz w:val="23"/>
                <w:szCs w:val="23"/>
                <w:color w:val="auto"/>
              </w:rPr>
            </w:pPr>
          </w:p>
        </w:tc>
        <w:tc>
          <w:tcPr>
            <w:tcW w:w="14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7"/>
        </w:trPr>
        <w:tc>
          <w:tcPr>
            <w:tcW w:w="502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1740" w:type="dxa"/>
            <w:vAlign w:val="bottom"/>
            <w:tcBorders>
              <w:bottom w:val="single" w:sz="8" w:color="E5E9F3"/>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762.3</w:t>
            </w:r>
          </w:p>
        </w:tc>
        <w:tc>
          <w:tcPr>
            <w:tcW w:w="140" w:type="dxa"/>
            <w:vAlign w:val="bottom"/>
            <w:tcBorders>
              <w:bottom w:val="single" w:sz="8" w:color="E5E9F3"/>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45.5</w:t>
            </w:r>
          </w:p>
        </w:tc>
        <w:tc>
          <w:tcPr>
            <w:tcW w:w="140" w:type="dxa"/>
            <w:vAlign w:val="bottom"/>
            <w:tcBorders>
              <w:bottom w:val="single" w:sz="8" w:color="E5E9F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5020" w:type="dxa"/>
            <w:vAlign w:val="bottom"/>
            <w:shd w:val="clear" w:color="auto" w:fill="E5E9F3"/>
          </w:tcPr>
          <w:p>
            <w:pPr>
              <w:spacing w:after="0"/>
              <w:rPr>
                <w:sz w:val="22"/>
                <w:szCs w:val="22"/>
                <w:color w:val="auto"/>
              </w:rPr>
            </w:pPr>
          </w:p>
        </w:tc>
        <w:tc>
          <w:tcPr>
            <w:tcW w:w="1740" w:type="dxa"/>
            <w:vAlign w:val="bottom"/>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3,291.4</w:t>
            </w:r>
          </w:p>
        </w:tc>
        <w:tc>
          <w:tcPr>
            <w:tcW w:w="140" w:type="dxa"/>
            <w:vAlign w:val="bottom"/>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E5E9F3"/>
          </w:tcPr>
          <w:p>
            <w:pPr>
              <w:spacing w:after="0"/>
              <w:rPr>
                <w:sz w:val="22"/>
                <w:szCs w:val="22"/>
                <w:color w:val="auto"/>
              </w:rPr>
            </w:pPr>
          </w:p>
        </w:tc>
        <w:tc>
          <w:tcPr>
            <w:tcW w:w="14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7"/>
        </w:trPr>
        <w:tc>
          <w:tcPr>
            <w:tcW w:w="502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7"/>
        </w:trPr>
        <w:tc>
          <w:tcPr>
            <w:tcW w:w="502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615.0</w:t>
            </w:r>
          </w:p>
        </w:tc>
        <w:tc>
          <w:tcPr>
            <w:tcW w:w="140" w:type="dxa"/>
            <w:vAlign w:val="bottom"/>
            <w:shd w:val="clear" w:color="auto" w:fill="E5E9F3"/>
          </w:tcPr>
          <w:p>
            <w:pPr>
              <w:spacing w:after="0"/>
              <w:rPr>
                <w:sz w:val="23"/>
                <w:szCs w:val="23"/>
                <w:color w:val="auto"/>
              </w:rPr>
            </w:pPr>
          </w:p>
        </w:tc>
        <w:tc>
          <w:tcPr>
            <w:tcW w:w="12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E5E9F3"/>
          </w:tcPr>
          <w:p>
            <w:pPr>
              <w:spacing w:after="0"/>
              <w:rPr>
                <w:sz w:val="23"/>
                <w:szCs w:val="23"/>
                <w:color w:val="auto"/>
              </w:rPr>
            </w:pPr>
          </w:p>
        </w:tc>
        <w:tc>
          <w:tcPr>
            <w:tcW w:w="14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7"/>
        </w:trPr>
        <w:tc>
          <w:tcPr>
            <w:tcW w:w="5020" w:type="dxa"/>
            <w:vAlign w:val="bottom"/>
          </w:tcPr>
          <w:p>
            <w:pPr>
              <w:ind w:left="100"/>
              <w:spacing w:after="0" w:line="267"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(b)</w:t>
            </w: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329.2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7"/>
        </w:trPr>
        <w:tc>
          <w:tcPr>
            <w:tcW w:w="5020" w:type="dxa"/>
            <w:vAlign w:val="bottom"/>
            <w:shd w:val="clear" w:color="auto" w:fill="E5E9F3"/>
          </w:tcPr>
          <w:p>
            <w:pPr>
              <w:ind w:left="100"/>
              <w:spacing w:after="0" w:line="267"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(c)</w:t>
            </w:r>
          </w:p>
        </w:tc>
        <w:tc>
          <w:tcPr>
            <w:tcW w:w="1740" w:type="dxa"/>
            <w:vAlign w:val="bottom"/>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23"/>
                <w:szCs w:val="23"/>
                <w:color w:val="auto"/>
              </w:rPr>
            </w:pPr>
          </w:p>
        </w:tc>
        <w:tc>
          <w:tcPr>
            <w:tcW w:w="12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23"/>
                <w:szCs w:val="23"/>
                <w:color w:val="auto"/>
              </w:rPr>
            </w:pPr>
          </w:p>
        </w:tc>
        <w:tc>
          <w:tcPr>
            <w:tcW w:w="1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8,201.0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0800"/>
          </w:cols>
          <w:pgMar w:left="720" w:top="734" w:right="720" w:bottom="175"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PMingLiU" w:cs="PMingLiU" w:eastAsia="PMingLiU" w:hAnsi="PMingLiU"/>
          <w:sz w:val="10"/>
          <w:szCs w:val="10"/>
          <w:color w:val="auto"/>
        </w:rPr>
        <w:t>D</w:t>
      </w:r>
    </w:p>
    <w:p>
      <w:pPr>
        <w:spacing w:after="0" w:line="64" w:lineRule="exact"/>
        <w:rPr>
          <w:sz w:val="20"/>
          <w:szCs w:val="20"/>
          <w:color w:val="auto"/>
        </w:rPr>
      </w:pPr>
    </w:p>
    <w:p>
      <w:pPr>
        <w:ind w:left="40"/>
        <w:spacing w:after="0"/>
        <w:rPr>
          <w:sz w:val="20"/>
          <w:szCs w:val="20"/>
          <w:color w:val="auto"/>
        </w:rPr>
      </w:pPr>
      <w:r>
        <w:rPr>
          <w:rFonts w:ascii="PMingLiU" w:cs="PMingLiU" w:eastAsia="PMingLiU" w:hAnsi="PMingLiU"/>
          <w:sz w:val="10"/>
          <w:szCs w:val="10"/>
          <w:color w:val="auto"/>
        </w:rPr>
        <w:t>E</w:t>
      </w:r>
    </w:p>
    <w:p>
      <w:pPr>
        <w:spacing w:after="0" w:line="248" w:lineRule="exact"/>
        <w:rPr>
          <w:sz w:val="20"/>
          <w:szCs w:val="20"/>
          <w:color w:val="auto"/>
        </w:rPr>
      </w:pPr>
    </w:p>
    <w:p>
      <w:pPr>
        <w:ind w:left="40"/>
        <w:spacing w:after="0"/>
        <w:rPr>
          <w:sz w:val="20"/>
          <w:szCs w:val="20"/>
          <w:color w:val="auto"/>
        </w:rPr>
      </w:pPr>
      <w:r>
        <w:rPr>
          <w:rFonts w:ascii="PMingLiU" w:cs="PMingLiU" w:eastAsia="PMingLiU" w:hAnsi="PMingLiU"/>
          <w:sz w:val="10"/>
          <w:szCs w:val="10"/>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Long-lived assets consist of net property and equipment, net capitalized software and right-of-use assets.</w:t>
      </w:r>
    </w:p>
    <w:p>
      <w:pPr>
        <w:ind w:right="80"/>
        <w:spacing w:after="0" w:line="239" w:lineRule="auto"/>
        <w:rPr>
          <w:sz w:val="20"/>
          <w:szCs w:val="20"/>
          <w:color w:val="auto"/>
        </w:rPr>
      </w:pPr>
      <w:r>
        <w:rPr>
          <w:rFonts w:ascii="Arial" w:cs="Arial" w:eastAsia="Arial" w:hAnsi="Arial"/>
          <w:sz w:val="16"/>
          <w:szCs w:val="16"/>
          <w:color w:val="auto"/>
        </w:rPr>
        <w:t>Corporate assets include assets that were not used in the operations of any segment, the most significant of which were purchased intangibles and cash.</w:t>
      </w:r>
    </w:p>
    <w:p>
      <w:pPr>
        <w:spacing w:after="0" w:line="2"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w:t>
      </w:r>
      <w:r>
        <w:rPr>
          <w:rFonts w:ascii="PMingLiU" w:cs="PMingLiU" w:eastAsia="PMingLiU" w:hAnsi="PMingLiU"/>
          <w:sz w:val="16"/>
          <w:szCs w:val="16"/>
          <w:color w:val="auto"/>
        </w:rPr>
        <w:t/>
      </w:r>
      <w:r>
        <w:rPr>
          <w:rFonts w:ascii="Arial" w:cs="Arial" w:eastAsia="Arial" w:hAnsi="Arial"/>
          <w:sz w:val="16"/>
          <w:szCs w:val="16"/>
          <w:color w:val="auto"/>
        </w:rPr>
        <w:t>separately.</w:t>
      </w:r>
    </w:p>
    <w:p>
      <w:pPr>
        <w:spacing w:after="0" w:line="200" w:lineRule="exact"/>
        <w:rPr>
          <w:sz w:val="20"/>
          <w:szCs w:val="20"/>
          <w:color w:val="auto"/>
        </w:rPr>
      </w:pPr>
    </w:p>
    <w:p>
      <w:pPr>
        <w:sectPr>
          <w:pgSz w:w="12240" w:h="15840" w:orient="portrait"/>
          <w:cols w:equalWidth="0" w:num="2">
            <w:col w:w="160" w:space="200"/>
            <w:col w:w="10440"/>
          </w:cols>
          <w:pgMar w:left="720" w:top="734"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10800"/>
          </w:cols>
          <w:pgMar w:left="720" w:top="734" w:right="720" w:bottom="175"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84"/>
        </w:trPr>
        <w:tc>
          <w:tcPr>
            <w:tcW w:w="4780" w:type="dxa"/>
            <w:vAlign w:val="bottom"/>
            <w:shd w:val="clear" w:color="auto" w:fill="537BB5"/>
          </w:tcPr>
          <w:p>
            <w:pPr>
              <w:spacing w:after="0"/>
              <w:rPr>
                <w:sz w:val="24"/>
                <w:szCs w:val="24"/>
                <w:color w:val="auto"/>
              </w:rPr>
            </w:pPr>
          </w:p>
        </w:tc>
        <w:tc>
          <w:tcPr>
            <w:tcW w:w="220" w:type="dxa"/>
            <w:vAlign w:val="bottom"/>
            <w:shd w:val="clear" w:color="auto" w:fill="537BB5"/>
          </w:tcPr>
          <w:p>
            <w:pPr>
              <w:spacing w:after="0"/>
              <w:rPr>
                <w:sz w:val="24"/>
                <w:szCs w:val="24"/>
                <w:color w:val="auto"/>
              </w:rPr>
            </w:pPr>
          </w:p>
        </w:tc>
        <w:tc>
          <w:tcPr>
            <w:tcW w:w="20" w:type="dxa"/>
            <w:vAlign w:val="bottom"/>
            <w:shd w:val="clear" w:color="auto" w:fill="537BB5"/>
          </w:tcPr>
          <w:p>
            <w:pPr>
              <w:spacing w:after="0"/>
              <w:rPr>
                <w:sz w:val="24"/>
                <w:szCs w:val="24"/>
                <w:color w:val="auto"/>
              </w:rPr>
            </w:pPr>
          </w:p>
        </w:tc>
        <w:tc>
          <w:tcPr>
            <w:tcW w:w="160" w:type="dxa"/>
            <w:vAlign w:val="bottom"/>
            <w:shd w:val="clear" w:color="auto" w:fill="537BB5"/>
          </w:tcPr>
          <w:p>
            <w:pPr>
              <w:spacing w:after="0"/>
              <w:rPr>
                <w:sz w:val="24"/>
                <w:szCs w:val="24"/>
                <w:color w:val="auto"/>
              </w:rPr>
            </w:pPr>
          </w:p>
        </w:tc>
        <w:tc>
          <w:tcPr>
            <w:tcW w:w="1140" w:type="dxa"/>
            <w:vAlign w:val="bottom"/>
            <w:shd w:val="clear" w:color="auto" w:fill="537BB5"/>
          </w:tcPr>
          <w:p>
            <w:pPr>
              <w:spacing w:after="0"/>
              <w:rPr>
                <w:sz w:val="24"/>
                <w:szCs w:val="24"/>
                <w:color w:val="auto"/>
              </w:rPr>
            </w:pPr>
          </w:p>
        </w:tc>
        <w:tc>
          <w:tcPr>
            <w:tcW w:w="180" w:type="dxa"/>
            <w:vAlign w:val="bottom"/>
            <w:shd w:val="clear" w:color="auto" w:fill="537BB5"/>
          </w:tcPr>
          <w:p>
            <w:pPr>
              <w:spacing w:after="0"/>
              <w:rPr>
                <w:sz w:val="24"/>
                <w:szCs w:val="24"/>
                <w:color w:val="auto"/>
              </w:rPr>
            </w:pPr>
          </w:p>
        </w:tc>
        <w:tc>
          <w:tcPr>
            <w:tcW w:w="20" w:type="dxa"/>
            <w:vAlign w:val="bottom"/>
            <w:shd w:val="clear" w:color="auto" w:fill="537BB5"/>
          </w:tcPr>
          <w:p>
            <w:pPr>
              <w:spacing w:after="0"/>
              <w:rPr>
                <w:sz w:val="24"/>
                <w:szCs w:val="24"/>
                <w:color w:val="auto"/>
              </w:rPr>
            </w:pPr>
          </w:p>
        </w:tc>
        <w:tc>
          <w:tcPr>
            <w:tcW w:w="160" w:type="dxa"/>
            <w:vAlign w:val="bottom"/>
            <w:shd w:val="clear" w:color="auto" w:fill="537BB5"/>
          </w:tcPr>
          <w:p>
            <w:pPr>
              <w:spacing w:after="0"/>
              <w:rPr>
                <w:sz w:val="24"/>
                <w:szCs w:val="24"/>
                <w:color w:val="auto"/>
              </w:rPr>
            </w:pPr>
          </w:p>
        </w:tc>
        <w:tc>
          <w:tcPr>
            <w:tcW w:w="1140" w:type="dxa"/>
            <w:vAlign w:val="bottom"/>
            <w:shd w:val="clear" w:color="auto" w:fill="537BB5"/>
          </w:tcPr>
          <w:p>
            <w:pPr>
              <w:spacing w:after="0"/>
              <w:rPr>
                <w:sz w:val="24"/>
                <w:szCs w:val="24"/>
                <w:color w:val="auto"/>
              </w:rPr>
            </w:pPr>
          </w:p>
        </w:tc>
        <w:tc>
          <w:tcPr>
            <w:tcW w:w="180" w:type="dxa"/>
            <w:vAlign w:val="bottom"/>
            <w:shd w:val="clear" w:color="auto" w:fill="537BB5"/>
          </w:tcPr>
          <w:p>
            <w:pPr>
              <w:spacing w:after="0"/>
              <w:rPr>
                <w:sz w:val="24"/>
                <w:szCs w:val="24"/>
                <w:color w:val="auto"/>
              </w:rPr>
            </w:pPr>
          </w:p>
        </w:tc>
        <w:tc>
          <w:tcPr>
            <w:tcW w:w="20" w:type="dxa"/>
            <w:vAlign w:val="bottom"/>
            <w:shd w:val="clear" w:color="auto" w:fill="537BB5"/>
          </w:tcPr>
          <w:p>
            <w:pPr>
              <w:spacing w:after="0"/>
              <w:rPr>
                <w:sz w:val="24"/>
                <w:szCs w:val="24"/>
                <w:color w:val="auto"/>
              </w:rPr>
            </w:pPr>
          </w:p>
        </w:tc>
        <w:tc>
          <w:tcPr>
            <w:tcW w:w="100" w:type="dxa"/>
            <w:vAlign w:val="bottom"/>
            <w:shd w:val="clear" w:color="auto" w:fill="537BB5"/>
          </w:tcPr>
          <w:p>
            <w:pPr>
              <w:spacing w:after="0"/>
              <w:rPr>
                <w:sz w:val="24"/>
                <w:szCs w:val="24"/>
                <w:color w:val="auto"/>
              </w:rPr>
            </w:pPr>
          </w:p>
        </w:tc>
        <w:tc>
          <w:tcPr>
            <w:tcW w:w="1200" w:type="dxa"/>
            <w:vAlign w:val="bottom"/>
            <w:shd w:val="clear" w:color="auto" w:fill="537BB5"/>
          </w:tcPr>
          <w:p>
            <w:pPr>
              <w:spacing w:after="0"/>
              <w:rPr>
                <w:sz w:val="24"/>
                <w:szCs w:val="24"/>
                <w:color w:val="auto"/>
              </w:rPr>
            </w:pPr>
          </w:p>
        </w:tc>
        <w:tc>
          <w:tcPr>
            <w:tcW w:w="160" w:type="dxa"/>
            <w:vAlign w:val="bottom"/>
            <w:shd w:val="clear" w:color="auto" w:fill="537BB5"/>
          </w:tcPr>
          <w:p>
            <w:pPr>
              <w:spacing w:after="0"/>
              <w:rPr>
                <w:sz w:val="24"/>
                <w:szCs w:val="24"/>
                <w:color w:val="auto"/>
              </w:rPr>
            </w:pPr>
          </w:p>
        </w:tc>
        <w:tc>
          <w:tcPr>
            <w:tcW w:w="20" w:type="dxa"/>
            <w:vAlign w:val="bottom"/>
            <w:shd w:val="clear" w:color="auto" w:fill="537BB5"/>
          </w:tcPr>
          <w:p>
            <w:pPr>
              <w:spacing w:after="0"/>
              <w:rPr>
                <w:sz w:val="24"/>
                <w:szCs w:val="24"/>
                <w:color w:val="auto"/>
              </w:rPr>
            </w:pPr>
          </w:p>
        </w:tc>
        <w:tc>
          <w:tcPr>
            <w:tcW w:w="240" w:type="dxa"/>
            <w:vAlign w:val="bottom"/>
            <w:shd w:val="clear" w:color="auto" w:fill="537BB5"/>
          </w:tcPr>
          <w:p>
            <w:pPr>
              <w:spacing w:after="0"/>
              <w:rPr>
                <w:sz w:val="24"/>
                <w:szCs w:val="24"/>
                <w:color w:val="auto"/>
              </w:rPr>
            </w:pPr>
          </w:p>
        </w:tc>
        <w:tc>
          <w:tcPr>
            <w:tcW w:w="1060" w:type="dxa"/>
            <w:vAlign w:val="bottom"/>
            <w:shd w:val="clear" w:color="auto" w:fill="537BB5"/>
          </w:tcPr>
          <w:p>
            <w:pPr>
              <w:jc w:val="right"/>
              <w:ind w:right="10"/>
              <w:spacing w:after="0"/>
              <w:rPr>
                <w:sz w:val="20"/>
                <w:szCs w:val="20"/>
                <w:color w:val="auto"/>
              </w:rPr>
            </w:pPr>
            <w:r>
              <w:rPr>
                <w:rFonts w:ascii="Arial" w:cs="Arial" w:eastAsia="Arial" w:hAnsi="Arial"/>
                <w:sz w:val="20"/>
                <w:szCs w:val="20"/>
                <w:color w:val="FFFFFF"/>
              </w:rPr>
              <w:t>Part II</w:t>
            </w: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780" w:type="dxa"/>
            <w:vAlign w:val="bottom"/>
            <w:shd w:val="clear" w:color="auto" w:fill="97AAD0"/>
          </w:tcPr>
          <w:p>
            <w:pPr>
              <w:spacing w:after="0"/>
              <w:rPr>
                <w:sz w:val="14"/>
                <w:szCs w:val="14"/>
                <w:color w:val="auto"/>
              </w:rPr>
            </w:pPr>
          </w:p>
        </w:tc>
        <w:tc>
          <w:tcPr>
            <w:tcW w:w="220" w:type="dxa"/>
            <w:vAlign w:val="bottom"/>
            <w:shd w:val="clear" w:color="auto" w:fill="97AAD0"/>
          </w:tcPr>
          <w:p>
            <w:pPr>
              <w:spacing w:after="0"/>
              <w:rPr>
                <w:sz w:val="14"/>
                <w:szCs w:val="14"/>
                <w:color w:val="auto"/>
              </w:rPr>
            </w:pPr>
          </w:p>
        </w:tc>
        <w:tc>
          <w:tcPr>
            <w:tcW w:w="20" w:type="dxa"/>
            <w:vAlign w:val="bottom"/>
            <w:shd w:val="clear" w:color="auto" w:fill="97AAD0"/>
          </w:tcPr>
          <w:p>
            <w:pPr>
              <w:spacing w:after="0"/>
              <w:rPr>
                <w:sz w:val="14"/>
                <w:szCs w:val="14"/>
                <w:color w:val="auto"/>
              </w:rPr>
            </w:pPr>
          </w:p>
        </w:tc>
        <w:tc>
          <w:tcPr>
            <w:tcW w:w="160" w:type="dxa"/>
            <w:vAlign w:val="bottom"/>
            <w:shd w:val="clear" w:color="auto" w:fill="97AAD0"/>
          </w:tcPr>
          <w:p>
            <w:pPr>
              <w:spacing w:after="0"/>
              <w:rPr>
                <w:sz w:val="14"/>
                <w:szCs w:val="14"/>
                <w:color w:val="auto"/>
              </w:rPr>
            </w:pPr>
          </w:p>
        </w:tc>
        <w:tc>
          <w:tcPr>
            <w:tcW w:w="1140" w:type="dxa"/>
            <w:vAlign w:val="bottom"/>
            <w:shd w:val="clear" w:color="auto" w:fill="97AAD0"/>
          </w:tcPr>
          <w:p>
            <w:pPr>
              <w:spacing w:after="0"/>
              <w:rPr>
                <w:sz w:val="14"/>
                <w:szCs w:val="14"/>
                <w:color w:val="auto"/>
              </w:rPr>
            </w:pPr>
          </w:p>
        </w:tc>
        <w:tc>
          <w:tcPr>
            <w:tcW w:w="180" w:type="dxa"/>
            <w:vAlign w:val="bottom"/>
            <w:shd w:val="clear" w:color="auto" w:fill="97AAD0"/>
          </w:tcPr>
          <w:p>
            <w:pPr>
              <w:spacing w:after="0"/>
              <w:rPr>
                <w:sz w:val="14"/>
                <w:szCs w:val="14"/>
                <w:color w:val="auto"/>
              </w:rPr>
            </w:pPr>
          </w:p>
        </w:tc>
        <w:tc>
          <w:tcPr>
            <w:tcW w:w="20" w:type="dxa"/>
            <w:vAlign w:val="bottom"/>
            <w:shd w:val="clear" w:color="auto" w:fill="97AAD0"/>
          </w:tcPr>
          <w:p>
            <w:pPr>
              <w:spacing w:after="0"/>
              <w:rPr>
                <w:sz w:val="14"/>
                <w:szCs w:val="14"/>
                <w:color w:val="auto"/>
              </w:rPr>
            </w:pPr>
          </w:p>
        </w:tc>
        <w:tc>
          <w:tcPr>
            <w:tcW w:w="160" w:type="dxa"/>
            <w:vAlign w:val="bottom"/>
            <w:shd w:val="clear" w:color="auto" w:fill="97AAD0"/>
          </w:tcPr>
          <w:p>
            <w:pPr>
              <w:spacing w:after="0"/>
              <w:rPr>
                <w:sz w:val="14"/>
                <w:szCs w:val="14"/>
                <w:color w:val="auto"/>
              </w:rPr>
            </w:pPr>
          </w:p>
        </w:tc>
        <w:tc>
          <w:tcPr>
            <w:tcW w:w="1140" w:type="dxa"/>
            <w:vAlign w:val="bottom"/>
            <w:vMerge w:val="restart"/>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Cost of</w:t>
            </w:r>
          </w:p>
        </w:tc>
        <w:tc>
          <w:tcPr>
            <w:tcW w:w="180" w:type="dxa"/>
            <w:vAlign w:val="bottom"/>
            <w:shd w:val="clear" w:color="auto" w:fill="97AAD0"/>
          </w:tcPr>
          <w:p>
            <w:pPr>
              <w:spacing w:after="0"/>
              <w:rPr>
                <w:sz w:val="14"/>
                <w:szCs w:val="14"/>
                <w:color w:val="auto"/>
              </w:rPr>
            </w:pPr>
          </w:p>
        </w:tc>
        <w:tc>
          <w:tcPr>
            <w:tcW w:w="20" w:type="dxa"/>
            <w:vAlign w:val="bottom"/>
            <w:shd w:val="clear" w:color="auto" w:fill="97AAD0"/>
          </w:tcPr>
          <w:p>
            <w:pPr>
              <w:spacing w:after="0"/>
              <w:rPr>
                <w:sz w:val="14"/>
                <w:szCs w:val="14"/>
                <w:color w:val="auto"/>
              </w:rPr>
            </w:pPr>
          </w:p>
        </w:tc>
        <w:tc>
          <w:tcPr>
            <w:tcW w:w="100" w:type="dxa"/>
            <w:vAlign w:val="bottom"/>
            <w:shd w:val="clear" w:color="auto" w:fill="97AAD0"/>
          </w:tcPr>
          <w:p>
            <w:pPr>
              <w:spacing w:after="0"/>
              <w:rPr>
                <w:sz w:val="14"/>
                <w:szCs w:val="14"/>
                <w:color w:val="auto"/>
              </w:rPr>
            </w:pPr>
          </w:p>
        </w:tc>
        <w:tc>
          <w:tcPr>
            <w:tcW w:w="1200" w:type="dxa"/>
            <w:vAlign w:val="bottom"/>
            <w:shd w:val="clear" w:color="auto" w:fill="97AAD0"/>
          </w:tcPr>
          <w:p>
            <w:pPr>
              <w:jc w:val="center"/>
              <w:ind w:right="171"/>
              <w:spacing w:after="0" w:line="169" w:lineRule="exact"/>
              <w:rPr>
                <w:sz w:val="20"/>
                <w:szCs w:val="20"/>
                <w:color w:val="auto"/>
              </w:rPr>
            </w:pPr>
            <w:r>
              <w:rPr>
                <w:rFonts w:ascii="Arial" w:cs="Arial" w:eastAsia="Arial" w:hAnsi="Arial"/>
                <w:sz w:val="16"/>
                <w:szCs w:val="16"/>
                <w:b w:val="1"/>
                <w:bCs w:val="1"/>
                <w:color w:val="auto"/>
              </w:rPr>
              <w:t>Selling and</w:t>
            </w:r>
          </w:p>
        </w:tc>
        <w:tc>
          <w:tcPr>
            <w:tcW w:w="160" w:type="dxa"/>
            <w:vAlign w:val="bottom"/>
            <w:shd w:val="clear" w:color="auto" w:fill="97AAD0"/>
          </w:tcPr>
          <w:p>
            <w:pPr>
              <w:spacing w:after="0"/>
              <w:rPr>
                <w:sz w:val="14"/>
                <w:szCs w:val="14"/>
                <w:color w:val="auto"/>
              </w:rPr>
            </w:pPr>
          </w:p>
        </w:tc>
        <w:tc>
          <w:tcPr>
            <w:tcW w:w="20" w:type="dxa"/>
            <w:vAlign w:val="bottom"/>
            <w:shd w:val="clear" w:color="auto" w:fill="97AAD0"/>
          </w:tcPr>
          <w:p>
            <w:pPr>
              <w:spacing w:after="0"/>
              <w:rPr>
                <w:sz w:val="14"/>
                <w:szCs w:val="14"/>
                <w:color w:val="auto"/>
              </w:rPr>
            </w:pPr>
          </w:p>
        </w:tc>
        <w:tc>
          <w:tcPr>
            <w:tcW w:w="240" w:type="dxa"/>
            <w:vAlign w:val="bottom"/>
            <w:shd w:val="clear" w:color="auto" w:fill="97AAD0"/>
          </w:tcPr>
          <w:p>
            <w:pPr>
              <w:spacing w:after="0"/>
              <w:rPr>
                <w:sz w:val="14"/>
                <w:szCs w:val="14"/>
                <w:color w:val="auto"/>
              </w:rPr>
            </w:pPr>
          </w:p>
        </w:tc>
        <w:tc>
          <w:tcPr>
            <w:tcW w:w="1060" w:type="dxa"/>
            <w:vAlign w:val="bottom"/>
            <w:shd w:val="clear" w:color="auto" w:fill="97AAD0"/>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2023</w:t>
            </w:r>
          </w:p>
        </w:tc>
        <w:tc>
          <w:tcPr>
            <w:tcW w:w="22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140" w:type="dxa"/>
            <w:vAlign w:val="bottom"/>
            <w:vMerge w:val="restart"/>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300" w:type="dxa"/>
            <w:vAlign w:val="bottom"/>
            <w:gridSpan w:val="2"/>
            <w:shd w:val="clear" w:color="auto" w:fill="97AAD0"/>
          </w:tcPr>
          <w:p>
            <w:pPr>
              <w:jc w:val="center"/>
              <w:ind w:right="91"/>
              <w:spacing w:after="0"/>
              <w:rPr>
                <w:sz w:val="20"/>
                <w:szCs w:val="20"/>
                <w:color w:val="auto"/>
              </w:rPr>
            </w:pPr>
            <w:r>
              <w:rPr>
                <w:rFonts w:ascii="Arial" w:cs="Arial" w:eastAsia="Arial" w:hAnsi="Arial"/>
                <w:sz w:val="16"/>
                <w:szCs w:val="16"/>
                <w:b w:val="1"/>
                <w:bCs w:val="1"/>
                <w:color w:val="auto"/>
              </w:rPr>
              <w:t>Administrative</w:t>
            </w:r>
          </w:p>
        </w:tc>
        <w:tc>
          <w:tcPr>
            <w:tcW w:w="16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60" w:type="dxa"/>
            <w:vAlign w:val="bottom"/>
            <w:vMerge w:val="restart"/>
            <w:shd w:val="clear" w:color="auto" w:fill="97AAD0"/>
          </w:tcPr>
          <w:p>
            <w:pPr>
              <w:jc w:val="right"/>
              <w:ind w:right="470"/>
              <w:spacing w:after="0"/>
              <w:rPr>
                <w:sz w:val="20"/>
                <w:szCs w:val="20"/>
                <w:color w:val="auto"/>
              </w:rPr>
            </w:pPr>
            <w:r>
              <w:rPr>
                <w:rFonts w:ascii="Arial" w:cs="Arial" w:eastAsia="Arial" w:hAnsi="Arial"/>
                <w:sz w:val="16"/>
                <w:szCs w:val="16"/>
                <w:b w:val="1"/>
                <w:bCs w:val="1"/>
                <w:color w:val="auto"/>
              </w:rPr>
              <w:t>OUP</w:t>
            </w:r>
          </w:p>
        </w:tc>
        <w:tc>
          <w:tcPr>
            <w:tcW w:w="0" w:type="dxa"/>
            <w:vAlign w:val="bottom"/>
          </w:tcPr>
          <w:p>
            <w:pPr>
              <w:spacing w:after="0"/>
              <w:rPr>
                <w:sz w:val="1"/>
                <w:szCs w:val="1"/>
                <w:color w:val="auto"/>
              </w:rPr>
            </w:pPr>
          </w:p>
        </w:tc>
      </w:tr>
      <w:tr>
        <w:trPr>
          <w:trHeight w:val="240"/>
        </w:trPr>
        <w:tc>
          <w:tcPr>
            <w:tcW w:w="4780" w:type="dxa"/>
            <w:vAlign w:val="bottom"/>
            <w:tcBorders>
              <w:bottom w:val="single" w:sz="8" w:color="97AAD0"/>
            </w:tcBorders>
            <w:vMerge w:val="continue"/>
            <w:shd w:val="clear" w:color="auto" w:fill="97AAD0"/>
          </w:tcPr>
          <w:p>
            <w:pPr>
              <w:spacing w:after="0"/>
              <w:rPr>
                <w:sz w:val="20"/>
                <w:szCs w:val="20"/>
                <w:color w:val="auto"/>
              </w:rPr>
            </w:pPr>
          </w:p>
        </w:tc>
        <w:tc>
          <w:tcPr>
            <w:tcW w:w="22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60" w:type="dxa"/>
            <w:vAlign w:val="bottom"/>
            <w:tcBorders>
              <w:bottom w:val="single" w:sz="8" w:color="97AAD0"/>
            </w:tcBorders>
            <w:shd w:val="clear" w:color="auto" w:fill="97AAD0"/>
          </w:tcPr>
          <w:p>
            <w:pPr>
              <w:spacing w:after="0"/>
              <w:rPr>
                <w:sz w:val="20"/>
                <w:szCs w:val="20"/>
                <w:color w:val="auto"/>
              </w:rPr>
            </w:pPr>
          </w:p>
        </w:tc>
        <w:tc>
          <w:tcPr>
            <w:tcW w:w="1140" w:type="dxa"/>
            <w:vAlign w:val="bottom"/>
            <w:tcBorders>
              <w:bottom w:val="single" w:sz="8" w:color="97AAD0"/>
            </w:tcBorders>
            <w:vMerge w:val="continue"/>
            <w:shd w:val="clear" w:color="auto" w:fill="97AAD0"/>
          </w:tcPr>
          <w:p>
            <w:pPr>
              <w:spacing w:after="0"/>
              <w:rPr>
                <w:sz w:val="20"/>
                <w:szCs w:val="20"/>
                <w:color w:val="auto"/>
              </w:rPr>
            </w:pPr>
          </w:p>
        </w:tc>
        <w:tc>
          <w:tcPr>
            <w:tcW w:w="18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60" w:type="dxa"/>
            <w:vAlign w:val="bottom"/>
            <w:tcBorders>
              <w:bottom w:val="single" w:sz="8" w:color="97AAD0"/>
            </w:tcBorders>
            <w:shd w:val="clear" w:color="auto" w:fill="97AAD0"/>
          </w:tcPr>
          <w:p>
            <w:pPr>
              <w:spacing w:after="0"/>
              <w:rPr>
                <w:sz w:val="20"/>
                <w:szCs w:val="20"/>
                <w:color w:val="auto"/>
              </w:rPr>
            </w:pPr>
          </w:p>
        </w:tc>
        <w:tc>
          <w:tcPr>
            <w:tcW w:w="1140" w:type="dxa"/>
            <w:vAlign w:val="bottom"/>
            <w:tcBorders>
              <w:bottom w:val="single" w:sz="8" w:color="97AAD0"/>
            </w:tcBorders>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Services</w:t>
            </w:r>
          </w:p>
        </w:tc>
        <w:tc>
          <w:tcPr>
            <w:tcW w:w="18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00" w:type="dxa"/>
            <w:vAlign w:val="bottom"/>
            <w:tcBorders>
              <w:bottom w:val="single" w:sz="8" w:color="97AAD0"/>
            </w:tcBorders>
            <w:shd w:val="clear" w:color="auto" w:fill="97AAD0"/>
          </w:tcPr>
          <w:p>
            <w:pPr>
              <w:spacing w:after="0"/>
              <w:rPr>
                <w:sz w:val="20"/>
                <w:szCs w:val="20"/>
                <w:color w:val="auto"/>
              </w:rPr>
            </w:pPr>
          </w:p>
        </w:tc>
        <w:tc>
          <w:tcPr>
            <w:tcW w:w="1200" w:type="dxa"/>
            <w:vAlign w:val="bottom"/>
            <w:tcBorders>
              <w:bottom w:val="single" w:sz="8" w:color="97AAD0"/>
            </w:tcBorders>
            <w:shd w:val="clear" w:color="auto" w:fill="97AAD0"/>
          </w:tcPr>
          <w:p>
            <w:pPr>
              <w:jc w:val="center"/>
              <w:ind w:right="171"/>
              <w:spacing w:after="0"/>
              <w:rPr>
                <w:sz w:val="20"/>
                <w:szCs w:val="20"/>
                <w:color w:val="auto"/>
              </w:rPr>
            </w:pPr>
            <w:r>
              <w:rPr>
                <w:rFonts w:ascii="Arial" w:cs="Arial" w:eastAsia="Arial" w:hAnsi="Arial"/>
                <w:sz w:val="16"/>
                <w:szCs w:val="16"/>
                <w:b w:val="1"/>
                <w:bCs w:val="1"/>
                <w:color w:val="auto"/>
                <w:w w:val="98"/>
              </w:rPr>
              <w:t>Expenses</w:t>
            </w:r>
          </w:p>
        </w:tc>
        <w:tc>
          <w:tcPr>
            <w:tcW w:w="16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240" w:type="dxa"/>
            <w:vAlign w:val="bottom"/>
            <w:tcBorders>
              <w:bottom w:val="single" w:sz="8" w:color="97AAD0"/>
            </w:tcBorders>
            <w:shd w:val="clear" w:color="auto" w:fill="97AAD0"/>
          </w:tcPr>
          <w:p>
            <w:pPr>
              <w:spacing w:after="0"/>
              <w:rPr>
                <w:sz w:val="20"/>
                <w:szCs w:val="20"/>
                <w:color w:val="auto"/>
              </w:rPr>
            </w:pPr>
          </w:p>
        </w:tc>
        <w:tc>
          <w:tcPr>
            <w:tcW w:w="1060" w:type="dxa"/>
            <w:vAlign w:val="bottom"/>
            <w:tcBorders>
              <w:bottom w:val="single" w:sz="8" w:color="97AAD0"/>
            </w:tcBorders>
            <w:vMerge w:val="continue"/>
            <w:shd w:val="clear" w:color="auto" w:fill="97AAD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80" w:type="dxa"/>
            <w:vAlign w:val="bottom"/>
            <w:tcBorders>
              <w:top w:val="single" w:sz="8" w:color="auto"/>
            </w:tcBorders>
            <w:shd w:val="clear" w:color="auto" w:fill="E5E9F3"/>
          </w:tcPr>
          <w:p>
            <w:pPr>
              <w:ind w:left="100"/>
              <w:spacing w:after="0" w:line="257" w:lineRule="exact"/>
              <w:rPr>
                <w:sz w:val="20"/>
                <w:szCs w:val="20"/>
                <w:color w:val="auto"/>
              </w:rPr>
            </w:pPr>
            <w:r>
              <w:rPr>
                <w:rFonts w:ascii="Arial" w:cs="Arial" w:eastAsia="Arial" w:hAnsi="Arial"/>
                <w:sz w:val="18"/>
                <w:szCs w:val="18"/>
                <w:color w:val="auto"/>
              </w:rPr>
              <w:t>Americas:</w:t>
            </w:r>
            <w:r>
              <w:rPr>
                <w:rFonts w:ascii="Arial" w:cs="Arial" w:eastAsia="Arial" w:hAnsi="Arial"/>
                <w:sz w:val="24"/>
                <w:szCs w:val="24"/>
                <w:color w:val="auto"/>
                <w:vertAlign w:val="superscript"/>
              </w:rPr>
              <w:t>(a)</w:t>
            </w:r>
          </w:p>
        </w:tc>
        <w:tc>
          <w:tcPr>
            <w:tcW w:w="22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00" w:type="dxa"/>
            <w:vAlign w:val="bottom"/>
            <w:tcBorders>
              <w:top w:val="single" w:sz="8" w:color="auto"/>
            </w:tcBorders>
            <w:shd w:val="clear" w:color="auto" w:fill="E5E9F3"/>
          </w:tcPr>
          <w:p>
            <w:pPr>
              <w:spacing w:after="0"/>
              <w:rPr>
                <w:sz w:val="22"/>
                <w:szCs w:val="22"/>
                <w:color w:val="auto"/>
              </w:rPr>
            </w:pPr>
          </w:p>
        </w:tc>
        <w:tc>
          <w:tcPr>
            <w:tcW w:w="120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240" w:type="dxa"/>
            <w:vAlign w:val="bottom"/>
            <w:tcBorders>
              <w:top w:val="single" w:sz="8" w:color="auto"/>
            </w:tcBorders>
            <w:shd w:val="clear" w:color="auto" w:fill="E5E9F3"/>
          </w:tcPr>
          <w:p>
            <w:pPr>
              <w:spacing w:after="0"/>
              <w:rPr>
                <w:sz w:val="22"/>
                <w:szCs w:val="22"/>
                <w:color w:val="auto"/>
              </w:rPr>
            </w:pPr>
          </w:p>
        </w:tc>
        <w:tc>
          <w:tcPr>
            <w:tcW w:w="1060" w:type="dxa"/>
            <w:vAlign w:val="bottom"/>
            <w:tcBorders>
              <w:top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line="267" w:lineRule="exact"/>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(b)</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2,866.2</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2,081.6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690.2</w:t>
            </w: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22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1,548.6</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1,294.5</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2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spacing w:after="0"/>
              <w:rPr>
                <w:sz w:val="22"/>
                <w:szCs w:val="22"/>
                <w:color w:val="auto"/>
              </w:rPr>
            </w:pPr>
          </w:p>
        </w:tc>
        <w:tc>
          <w:tcPr>
            <w:tcW w:w="22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4,414.8</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3,376.1</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873.1</w:t>
            </w:r>
          </w:p>
        </w:tc>
        <w:tc>
          <w:tcPr>
            <w:tcW w:w="16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4,867.1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4,145.9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532.9</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22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1,708.8</w:t>
            </w: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1,418.4</w:t>
            </w: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4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1,939.4</w:t>
            </w: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1,662.6</w:t>
            </w: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232.1</w:t>
            </w: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8,515.3</w:t>
            </w:r>
          </w:p>
        </w:tc>
        <w:tc>
          <w:tcPr>
            <w:tcW w:w="18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7,226.9</w:t>
            </w:r>
          </w:p>
        </w:tc>
        <w:tc>
          <w:tcPr>
            <w:tcW w:w="18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930.7</w:t>
            </w:r>
          </w:p>
        </w:tc>
        <w:tc>
          <w:tcPr>
            <w:tcW w:w="16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57"/>
        </w:trPr>
        <w:tc>
          <w:tcPr>
            <w:tcW w:w="478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3,748.0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3,099.0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765.7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(116.7 )</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22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2,322.3</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1,940.2</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289.5</w:t>
            </w:r>
          </w:p>
        </w:tc>
        <w:tc>
          <w:tcPr>
            <w:tcW w:w="16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2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ind w:left="20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19,000.4</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15,642.2</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2,859.0</w:t>
            </w:r>
          </w:p>
        </w:tc>
        <w:tc>
          <w:tcPr>
            <w:tcW w:w="16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(85.9 )</w:t>
            </w:r>
          </w:p>
        </w:tc>
        <w:tc>
          <w:tcPr>
            <w:tcW w:w="18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(85.9 )</w:t>
            </w:r>
          </w:p>
        </w:tc>
        <w:tc>
          <w:tcPr>
            <w:tcW w:w="18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18,914.5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15,556.3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2,859.0</w:t>
            </w: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52"/>
        </w:trPr>
        <w:tc>
          <w:tcPr>
            <w:tcW w:w="4780" w:type="dxa"/>
            <w:vAlign w:val="bottom"/>
            <w:tcBorders>
              <w:top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Reconciliation of operating unit profit (segment OUP)</w:t>
            </w:r>
          </w:p>
        </w:tc>
        <w:tc>
          <w:tcPr>
            <w:tcW w:w="22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160" w:type="dxa"/>
            <w:vAlign w:val="bottom"/>
            <w:tcBorders>
              <w:top w:val="single" w:sz="8" w:color="auto"/>
            </w:tcBorders>
            <w:shd w:val="clear" w:color="auto" w:fill="E5E9F3"/>
          </w:tcPr>
          <w:p>
            <w:pPr>
              <w:spacing w:after="0"/>
              <w:rPr>
                <w:sz w:val="21"/>
                <w:szCs w:val="21"/>
                <w:color w:val="auto"/>
              </w:rPr>
            </w:pPr>
          </w:p>
        </w:tc>
        <w:tc>
          <w:tcPr>
            <w:tcW w:w="1140" w:type="dxa"/>
            <w:vAlign w:val="bottom"/>
            <w:tcBorders>
              <w:top w:val="single" w:sz="8" w:color="auto"/>
            </w:tcBorders>
            <w:shd w:val="clear" w:color="auto" w:fill="E5E9F3"/>
          </w:tcPr>
          <w:p>
            <w:pPr>
              <w:spacing w:after="0"/>
              <w:rPr>
                <w:sz w:val="21"/>
                <w:szCs w:val="21"/>
                <w:color w:val="auto"/>
              </w:rPr>
            </w:pPr>
          </w:p>
        </w:tc>
        <w:tc>
          <w:tcPr>
            <w:tcW w:w="18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160" w:type="dxa"/>
            <w:vAlign w:val="bottom"/>
            <w:tcBorders>
              <w:top w:val="single" w:sz="8" w:color="auto"/>
            </w:tcBorders>
            <w:shd w:val="clear" w:color="auto" w:fill="E5E9F3"/>
          </w:tcPr>
          <w:p>
            <w:pPr>
              <w:spacing w:after="0"/>
              <w:rPr>
                <w:sz w:val="21"/>
                <w:szCs w:val="21"/>
                <w:color w:val="auto"/>
              </w:rPr>
            </w:pPr>
          </w:p>
        </w:tc>
        <w:tc>
          <w:tcPr>
            <w:tcW w:w="1140" w:type="dxa"/>
            <w:vAlign w:val="bottom"/>
            <w:tcBorders>
              <w:top w:val="single" w:sz="8" w:color="auto"/>
            </w:tcBorders>
            <w:shd w:val="clear" w:color="auto" w:fill="E5E9F3"/>
          </w:tcPr>
          <w:p>
            <w:pPr>
              <w:spacing w:after="0"/>
              <w:rPr>
                <w:sz w:val="21"/>
                <w:szCs w:val="21"/>
                <w:color w:val="auto"/>
              </w:rPr>
            </w:pPr>
          </w:p>
        </w:tc>
        <w:tc>
          <w:tcPr>
            <w:tcW w:w="18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auto"/>
            </w:tcBorders>
            <w:shd w:val="clear" w:color="auto" w:fill="E5E9F3"/>
          </w:tcPr>
          <w:p>
            <w:pPr>
              <w:spacing w:after="0"/>
              <w:rPr>
                <w:sz w:val="21"/>
                <w:szCs w:val="21"/>
                <w:color w:val="auto"/>
              </w:rPr>
            </w:pPr>
          </w:p>
        </w:tc>
        <w:tc>
          <w:tcPr>
            <w:tcW w:w="100" w:type="dxa"/>
            <w:vAlign w:val="bottom"/>
            <w:tcBorders>
              <w:top w:val="single" w:sz="8" w:color="auto"/>
            </w:tcBorders>
            <w:shd w:val="clear" w:color="auto" w:fill="E5E9F3"/>
          </w:tcPr>
          <w:p>
            <w:pPr>
              <w:spacing w:after="0"/>
              <w:rPr>
                <w:sz w:val="21"/>
                <w:szCs w:val="21"/>
                <w:color w:val="auto"/>
              </w:rPr>
            </w:pPr>
          </w:p>
        </w:tc>
        <w:tc>
          <w:tcPr>
            <w:tcW w:w="1200" w:type="dxa"/>
            <w:vAlign w:val="bottom"/>
            <w:tcBorders>
              <w:top w:val="single" w:sz="8" w:color="auto"/>
            </w:tcBorders>
            <w:shd w:val="clear" w:color="auto" w:fill="E5E9F3"/>
          </w:tcPr>
          <w:p>
            <w:pPr>
              <w:spacing w:after="0"/>
              <w:rPr>
                <w:sz w:val="21"/>
                <w:szCs w:val="21"/>
                <w:color w:val="auto"/>
              </w:rPr>
            </w:pPr>
          </w:p>
        </w:tc>
        <w:tc>
          <w:tcPr>
            <w:tcW w:w="16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240" w:type="dxa"/>
            <w:vAlign w:val="bottom"/>
            <w:tcBorders>
              <w:top w:val="single" w:sz="8" w:color="auto"/>
            </w:tcBorders>
            <w:shd w:val="clear" w:color="auto" w:fill="E5E9F3"/>
          </w:tcPr>
          <w:p>
            <w:pPr>
              <w:spacing w:after="0"/>
              <w:rPr>
                <w:sz w:val="21"/>
                <w:szCs w:val="21"/>
                <w:color w:val="auto"/>
              </w:rPr>
            </w:pPr>
          </w:p>
        </w:tc>
        <w:tc>
          <w:tcPr>
            <w:tcW w:w="1060" w:type="dxa"/>
            <w:vAlign w:val="bottom"/>
            <w:tcBorders>
              <w:top w:val="single" w:sz="8" w:color="auto"/>
            </w:tcBorders>
            <w:shd w:val="clear" w:color="auto" w:fill="E5E9F3"/>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(153.7 )</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Goodwill impairment charges</w:t>
            </w:r>
          </w:p>
        </w:tc>
        <w:tc>
          <w:tcPr>
            <w:tcW w:w="22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40" w:type="dxa"/>
            <w:vAlign w:val="bottom"/>
            <w:shd w:val="clear" w:color="auto" w:fill="E5E9F3"/>
          </w:tcPr>
          <w:p>
            <w:pPr>
              <w:spacing w:after="0"/>
              <w:rPr>
                <w:sz w:val="23"/>
                <w:szCs w:val="23"/>
                <w:color w:val="auto"/>
              </w:rPr>
            </w:pPr>
          </w:p>
        </w:tc>
        <w:tc>
          <w:tcPr>
            <w:tcW w:w="10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line="267"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(c)</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0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50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Interest and other expenses, net</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0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hanging="320"/>
        <w:spacing w:after="0" w:line="243" w:lineRule="auto"/>
        <w:tabs>
          <w:tab w:leader="none" w:pos="320" w:val="left"/>
        </w:tabs>
        <w:numPr>
          <w:ilvl w:val="0"/>
          <w:numId w:val="60"/>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0" w:hanging="320"/>
        <w:spacing w:after="0" w:line="239" w:lineRule="auto"/>
        <w:tabs>
          <w:tab w:leader="none" w:pos="320" w:val="left"/>
        </w:tabs>
        <w:numPr>
          <w:ilvl w:val="0"/>
          <w:numId w:val="60"/>
        </w:numPr>
        <w:rPr>
          <w:rFonts w:ascii="Arial" w:cs="Arial" w:eastAsia="Arial" w:hAnsi="Arial"/>
          <w:sz w:val="10"/>
          <w:szCs w:val="10"/>
          <w:color w:val="auto"/>
        </w:rPr>
      </w:pPr>
      <w:r>
        <w:rPr>
          <w:rFonts w:ascii="Arial" w:cs="Arial" w:eastAsia="Arial" w:hAnsi="Arial"/>
          <w:sz w:val="16"/>
          <w:szCs w:val="16"/>
          <w:color w:val="auto"/>
        </w:rPr>
        <w:t>The United States revenues above represent revenues from our company-owned branches and franchise fees received from our franchise operations, which were $11.9 for 2023.</w:t>
      </w:r>
    </w:p>
    <w:p>
      <w:pPr>
        <w:spacing w:after="0" w:line="1" w:lineRule="exact"/>
        <w:rPr>
          <w:rFonts w:ascii="Arial" w:cs="Arial" w:eastAsia="Arial" w:hAnsi="Arial"/>
          <w:sz w:val="10"/>
          <w:szCs w:val="10"/>
          <w:color w:val="auto"/>
        </w:rPr>
      </w:pPr>
    </w:p>
    <w:p>
      <w:pPr>
        <w:ind w:left="320" w:hanging="320"/>
        <w:spacing w:after="0" w:line="236" w:lineRule="auto"/>
        <w:tabs>
          <w:tab w:leader="none" w:pos="320" w:val="left"/>
        </w:tabs>
        <w:numPr>
          <w:ilvl w:val="0"/>
          <w:numId w:val="60"/>
        </w:numPr>
        <w:rPr>
          <w:rFonts w:ascii="Arial" w:cs="Arial" w:eastAsia="Arial" w:hAnsi="Arial"/>
          <w:sz w:val="10"/>
          <w:szCs w:val="1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 separately.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Borders>
              <w:top w:val="single" w:sz="8" w:color="auto"/>
            </w:tcBorders>
            <w:shd w:val="clear" w:color="auto" w:fill="97AAD0"/>
          </w:tcPr>
          <w:p>
            <w:pPr>
              <w:spacing w:after="0"/>
              <w:rPr>
                <w:sz w:val="14"/>
                <w:szCs w:val="14"/>
                <w:color w:val="auto"/>
              </w:rPr>
            </w:pPr>
          </w:p>
        </w:tc>
        <w:tc>
          <w:tcPr>
            <w:tcW w:w="1800" w:type="dxa"/>
            <w:vAlign w:val="bottom"/>
            <w:tcBorders>
              <w:top w:val="single" w:sz="8" w:color="auto"/>
            </w:tcBorders>
            <w:shd w:val="clear" w:color="auto" w:fill="97AAD0"/>
          </w:tcPr>
          <w:p>
            <w:pPr>
              <w:spacing w:after="0"/>
              <w:rPr>
                <w:sz w:val="14"/>
                <w:szCs w:val="14"/>
                <w:color w:val="auto"/>
              </w:rPr>
            </w:pPr>
          </w:p>
        </w:tc>
        <w:tc>
          <w:tcPr>
            <w:tcW w:w="300" w:type="dxa"/>
            <w:vAlign w:val="bottom"/>
            <w:tcBorders>
              <w:top w:val="single" w:sz="8" w:color="auto"/>
            </w:tcBorders>
            <w:shd w:val="clear" w:color="auto" w:fill="97AAD0"/>
          </w:tcPr>
          <w:p>
            <w:pPr>
              <w:spacing w:after="0"/>
              <w:rPr>
                <w:sz w:val="14"/>
                <w:szCs w:val="14"/>
                <w:color w:val="auto"/>
              </w:rPr>
            </w:pPr>
          </w:p>
        </w:tc>
        <w:tc>
          <w:tcPr>
            <w:tcW w:w="920" w:type="dxa"/>
            <w:vAlign w:val="bottom"/>
            <w:tcBorders>
              <w:top w:val="single" w:sz="8" w:color="auto"/>
            </w:tcBorders>
            <w:shd w:val="clear" w:color="auto" w:fill="97AAD0"/>
          </w:tcPr>
          <w:p>
            <w:pPr>
              <w:spacing w:after="0"/>
              <w:rPr>
                <w:sz w:val="14"/>
                <w:szCs w:val="14"/>
                <w:color w:val="auto"/>
              </w:rPr>
            </w:pPr>
          </w:p>
        </w:tc>
        <w:tc>
          <w:tcPr>
            <w:tcW w:w="140" w:type="dxa"/>
            <w:vAlign w:val="bottom"/>
            <w:tcBorders>
              <w:top w:val="single" w:sz="8" w:color="auto"/>
            </w:tcBorders>
            <w:shd w:val="clear" w:color="auto" w:fill="97AAD0"/>
          </w:tcPr>
          <w:p>
            <w:pPr>
              <w:spacing w:after="0"/>
              <w:rPr>
                <w:sz w:val="14"/>
                <w:szCs w:val="14"/>
                <w:color w:val="auto"/>
              </w:rPr>
            </w:pPr>
          </w:p>
        </w:tc>
        <w:tc>
          <w:tcPr>
            <w:tcW w:w="120" w:type="dxa"/>
            <w:vAlign w:val="bottom"/>
            <w:tcBorders>
              <w:top w:val="single" w:sz="8" w:color="auto"/>
            </w:tcBorders>
            <w:shd w:val="clear" w:color="auto" w:fill="97AAD0"/>
          </w:tcPr>
          <w:p>
            <w:pPr>
              <w:spacing w:after="0"/>
              <w:rPr>
                <w:sz w:val="14"/>
                <w:szCs w:val="14"/>
                <w:color w:val="auto"/>
              </w:rPr>
            </w:pPr>
          </w:p>
        </w:tc>
        <w:tc>
          <w:tcPr>
            <w:tcW w:w="1100" w:type="dxa"/>
            <w:vAlign w:val="bottom"/>
            <w:tcBorders>
              <w:top w:val="single" w:sz="8" w:color="auto"/>
            </w:tcBorders>
            <w:shd w:val="clear" w:color="auto" w:fill="97AAD0"/>
          </w:tcPr>
          <w:p>
            <w:pPr>
              <w:spacing w:after="0"/>
              <w:rPr>
                <w:sz w:val="14"/>
                <w:szCs w:val="14"/>
                <w:color w:val="auto"/>
              </w:rPr>
            </w:pPr>
          </w:p>
        </w:tc>
        <w:tc>
          <w:tcPr>
            <w:tcW w:w="140" w:type="dxa"/>
            <w:vAlign w:val="bottom"/>
            <w:tcBorders>
              <w:top w:val="single" w:sz="8" w:color="auto"/>
            </w:tcBorders>
            <w:shd w:val="clear" w:color="auto" w:fill="97AAD0"/>
          </w:tcPr>
          <w:p>
            <w:pPr>
              <w:spacing w:after="0"/>
              <w:rPr>
                <w:sz w:val="14"/>
                <w:szCs w:val="14"/>
                <w:color w:val="auto"/>
              </w:rPr>
            </w:pPr>
          </w:p>
        </w:tc>
        <w:tc>
          <w:tcPr>
            <w:tcW w:w="1220" w:type="dxa"/>
            <w:vAlign w:val="bottom"/>
            <w:tcBorders>
              <w:top w:val="single" w:sz="8" w:color="auto"/>
            </w:tcBorders>
            <w:gridSpan w:val="2"/>
            <w:shd w:val="clear" w:color="auto" w:fill="97AAD0"/>
          </w:tcPr>
          <w:p>
            <w:pPr>
              <w:jc w:val="center"/>
              <w:ind w:right="51"/>
              <w:spacing w:after="0" w:line="169" w:lineRule="exact"/>
              <w:rPr>
                <w:sz w:val="20"/>
                <w:szCs w:val="20"/>
                <w:color w:val="auto"/>
              </w:rPr>
            </w:pPr>
            <w:r>
              <w:rPr>
                <w:rFonts w:ascii="Arial" w:cs="Arial" w:eastAsia="Arial" w:hAnsi="Arial"/>
                <w:sz w:val="16"/>
                <w:szCs w:val="16"/>
                <w:b w:val="1"/>
                <w:bCs w:val="1"/>
                <w:color w:val="auto"/>
                <w:w w:val="99"/>
              </w:rPr>
              <w:t>Depreciation</w:t>
            </w:r>
          </w:p>
        </w:tc>
        <w:tc>
          <w:tcPr>
            <w:tcW w:w="0" w:type="dxa"/>
            <w:vAlign w:val="bottom"/>
          </w:tcPr>
          <w:p>
            <w:pPr>
              <w:spacing w:after="0"/>
              <w:rPr>
                <w:sz w:val="1"/>
                <w:szCs w:val="1"/>
                <w:color w:val="auto"/>
              </w:rPr>
            </w:pPr>
          </w:p>
        </w:tc>
      </w:tr>
      <w:tr>
        <w:trPr>
          <w:trHeight w:val="184"/>
        </w:trPr>
        <w:tc>
          <w:tcPr>
            <w:tcW w:w="5060" w:type="dxa"/>
            <w:vAlign w:val="bottom"/>
            <w:shd w:val="clear" w:color="auto" w:fill="97AAD0"/>
          </w:tcPr>
          <w:p>
            <w:pPr>
              <w:spacing w:after="0"/>
              <w:rPr>
                <w:sz w:val="15"/>
                <w:szCs w:val="15"/>
                <w:color w:val="auto"/>
              </w:rPr>
            </w:pPr>
          </w:p>
        </w:tc>
        <w:tc>
          <w:tcPr>
            <w:tcW w:w="1800" w:type="dxa"/>
            <w:vAlign w:val="bottom"/>
            <w:shd w:val="clear" w:color="auto" w:fill="97AAD0"/>
          </w:tcPr>
          <w:p>
            <w:pPr>
              <w:spacing w:after="0"/>
              <w:rPr>
                <w:sz w:val="15"/>
                <w:szCs w:val="15"/>
                <w:color w:val="auto"/>
              </w:rPr>
            </w:pPr>
          </w:p>
        </w:tc>
        <w:tc>
          <w:tcPr>
            <w:tcW w:w="300" w:type="dxa"/>
            <w:vAlign w:val="bottom"/>
            <w:shd w:val="clear" w:color="auto" w:fill="97AAD0"/>
          </w:tcPr>
          <w:p>
            <w:pPr>
              <w:spacing w:after="0"/>
              <w:rPr>
                <w:sz w:val="15"/>
                <w:szCs w:val="15"/>
                <w:color w:val="auto"/>
              </w:rPr>
            </w:pPr>
          </w:p>
        </w:tc>
        <w:tc>
          <w:tcPr>
            <w:tcW w:w="92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00" w:type="dxa"/>
            <w:vAlign w:val="bottom"/>
            <w:vMerge w:val="restart"/>
            <w:shd w:val="clear" w:color="auto" w:fill="97AAD0"/>
          </w:tcPr>
          <w:p>
            <w:pPr>
              <w:jc w:val="right"/>
              <w:ind w:right="191"/>
              <w:spacing w:after="0"/>
              <w:rPr>
                <w:sz w:val="20"/>
                <w:szCs w:val="20"/>
                <w:color w:val="auto"/>
              </w:rPr>
            </w:pPr>
            <w:r>
              <w:rPr>
                <w:rFonts w:ascii="Arial" w:cs="Arial" w:eastAsia="Arial" w:hAnsi="Arial"/>
                <w:sz w:val="16"/>
                <w:szCs w:val="16"/>
                <w:b w:val="1"/>
                <w:bCs w:val="1"/>
                <w:color w:val="auto"/>
                <w:w w:val="98"/>
              </w:rPr>
              <w:t>Long-lived</w:t>
            </w:r>
          </w:p>
        </w:tc>
        <w:tc>
          <w:tcPr>
            <w:tcW w:w="14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060" w:type="dxa"/>
            <w:vAlign w:val="bottom"/>
            <w:shd w:val="clear" w:color="auto" w:fill="97AAD0"/>
          </w:tcPr>
          <w:p>
            <w:pPr>
              <w:jc w:val="center"/>
              <w:ind w:right="211"/>
              <w:spacing w:after="0"/>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184"/>
        </w:trPr>
        <w:tc>
          <w:tcPr>
            <w:tcW w:w="506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2023</w:t>
            </w:r>
          </w:p>
        </w:tc>
        <w:tc>
          <w:tcPr>
            <w:tcW w:w="1800" w:type="dxa"/>
            <w:vAlign w:val="bottom"/>
            <w:shd w:val="clear" w:color="auto" w:fill="97AAD0"/>
          </w:tcPr>
          <w:p>
            <w:pPr>
              <w:spacing w:after="0"/>
              <w:rPr>
                <w:sz w:val="15"/>
                <w:szCs w:val="15"/>
                <w:color w:val="auto"/>
              </w:rPr>
            </w:pPr>
          </w:p>
        </w:tc>
        <w:tc>
          <w:tcPr>
            <w:tcW w:w="1220" w:type="dxa"/>
            <w:vAlign w:val="bottom"/>
            <w:gridSpan w:val="2"/>
            <w:vMerge w:val="restart"/>
            <w:shd w:val="clear" w:color="auto" w:fill="97AAD0"/>
          </w:tcPr>
          <w:p>
            <w:pPr>
              <w:jc w:val="right"/>
              <w:ind w:right="11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00" w:type="dxa"/>
            <w:vAlign w:val="bottom"/>
            <w:vMerge w:val="continue"/>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20" w:type="dxa"/>
            <w:vAlign w:val="bottom"/>
            <w:gridSpan w:val="2"/>
            <w:shd w:val="clear" w:color="auto" w:fill="97AAD0"/>
          </w:tcPr>
          <w:p>
            <w:pPr>
              <w:jc w:val="center"/>
              <w:ind w:right="31"/>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vMerge w:val="continue"/>
            <w:shd w:val="clear" w:color="auto" w:fill="97AAD0"/>
          </w:tcPr>
          <w:p>
            <w:pPr>
              <w:spacing w:after="0"/>
              <w:rPr>
                <w:sz w:val="20"/>
                <w:szCs w:val="20"/>
                <w:color w:val="auto"/>
              </w:rPr>
            </w:pPr>
          </w:p>
        </w:tc>
        <w:tc>
          <w:tcPr>
            <w:tcW w:w="1800" w:type="dxa"/>
            <w:vAlign w:val="bottom"/>
            <w:tcBorders>
              <w:bottom w:val="single" w:sz="8" w:color="auto"/>
            </w:tcBorders>
            <w:shd w:val="clear" w:color="auto" w:fill="97AAD0"/>
          </w:tcPr>
          <w:p>
            <w:pPr>
              <w:spacing w:after="0"/>
              <w:rPr>
                <w:sz w:val="20"/>
                <w:szCs w:val="20"/>
                <w:color w:val="auto"/>
              </w:rPr>
            </w:pPr>
          </w:p>
        </w:tc>
        <w:tc>
          <w:tcPr>
            <w:tcW w:w="1220" w:type="dxa"/>
            <w:vAlign w:val="bottom"/>
            <w:tcBorders>
              <w:bottom w:val="single" w:sz="8" w:color="auto"/>
            </w:tcBorders>
            <w:gridSpan w:val="2"/>
            <w:vMerge w:val="continue"/>
            <w:shd w:val="clear" w:color="auto" w:fill="97AAD0"/>
          </w:tcPr>
          <w:p>
            <w:pPr>
              <w:spacing w:after="0"/>
              <w:rPr>
                <w:sz w:val="20"/>
                <w:szCs w:val="20"/>
                <w:color w:val="auto"/>
              </w:rPr>
            </w:pPr>
          </w:p>
        </w:tc>
        <w:tc>
          <w:tcPr>
            <w:tcW w:w="140" w:type="dxa"/>
            <w:vAlign w:val="bottom"/>
            <w:tcBorders>
              <w:bottom w:val="single" w:sz="8" w:color="auto"/>
            </w:tcBorders>
            <w:shd w:val="clear" w:color="auto" w:fill="97AAD0"/>
          </w:tcPr>
          <w:p>
            <w:pPr>
              <w:spacing w:after="0"/>
              <w:rPr>
                <w:sz w:val="20"/>
                <w:szCs w:val="20"/>
                <w:color w:val="auto"/>
              </w:rPr>
            </w:pPr>
          </w:p>
        </w:tc>
        <w:tc>
          <w:tcPr>
            <w:tcW w:w="120" w:type="dxa"/>
            <w:vAlign w:val="bottom"/>
            <w:tcBorders>
              <w:bottom w:val="single" w:sz="8" w:color="auto"/>
            </w:tcBorders>
            <w:shd w:val="clear" w:color="auto" w:fill="97AAD0"/>
          </w:tcPr>
          <w:p>
            <w:pPr>
              <w:spacing w:after="0"/>
              <w:rPr>
                <w:sz w:val="20"/>
                <w:szCs w:val="20"/>
                <w:color w:val="auto"/>
              </w:rPr>
            </w:pPr>
          </w:p>
        </w:tc>
        <w:tc>
          <w:tcPr>
            <w:tcW w:w="1100" w:type="dxa"/>
            <w:vAlign w:val="bottom"/>
            <w:tcBorders>
              <w:bottom w:val="single" w:sz="8" w:color="auto"/>
            </w:tcBorders>
            <w:shd w:val="clear" w:color="auto" w:fill="97AAD0"/>
          </w:tcPr>
          <w:p>
            <w:pPr>
              <w:jc w:val="right"/>
              <w:ind w:right="271"/>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0"/>
                <w:szCs w:val="10"/>
                <w:b w:val="1"/>
                <w:bCs w:val="1"/>
                <w:color w:val="auto"/>
              </w:rPr>
              <w:t>(a)</w:t>
            </w:r>
          </w:p>
        </w:tc>
        <w:tc>
          <w:tcPr>
            <w:tcW w:w="140" w:type="dxa"/>
            <w:vAlign w:val="bottom"/>
            <w:tcBorders>
              <w:bottom w:val="single" w:sz="8" w:color="auto"/>
            </w:tcBorders>
            <w:shd w:val="clear" w:color="auto" w:fill="97AAD0"/>
          </w:tcPr>
          <w:p>
            <w:pPr>
              <w:spacing w:after="0"/>
              <w:rPr>
                <w:sz w:val="20"/>
                <w:szCs w:val="20"/>
                <w:color w:val="auto"/>
              </w:rPr>
            </w:pPr>
          </w:p>
        </w:tc>
        <w:tc>
          <w:tcPr>
            <w:tcW w:w="160" w:type="dxa"/>
            <w:vAlign w:val="bottom"/>
            <w:tcBorders>
              <w:bottom w:val="single" w:sz="8" w:color="auto"/>
            </w:tcBorders>
            <w:shd w:val="clear" w:color="auto" w:fill="97AAD0"/>
          </w:tcPr>
          <w:p>
            <w:pPr>
              <w:spacing w:after="0"/>
              <w:rPr>
                <w:sz w:val="20"/>
                <w:szCs w:val="20"/>
                <w:color w:val="auto"/>
              </w:rPr>
            </w:pPr>
          </w:p>
        </w:tc>
        <w:tc>
          <w:tcPr>
            <w:tcW w:w="1060" w:type="dxa"/>
            <w:vAlign w:val="bottom"/>
            <w:tcBorders>
              <w:bottom w:val="single" w:sz="8" w:color="auto"/>
            </w:tcBorders>
            <w:shd w:val="clear" w:color="auto" w:fill="97AAD0"/>
          </w:tcPr>
          <w:p>
            <w:pPr>
              <w:jc w:val="center"/>
              <w:ind w:right="191"/>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16"/>
        </w:trPr>
        <w:tc>
          <w:tcPr>
            <w:tcW w:w="5060" w:type="dxa"/>
            <w:vAlign w:val="bottom"/>
            <w:shd w:val="clear" w:color="auto" w:fill="E5E9F3"/>
          </w:tcPr>
          <w:p>
            <w:pPr>
              <w:ind w:left="100"/>
              <w:spacing w:after="0" w:line="217" w:lineRule="exact"/>
              <w:rPr>
                <w:sz w:val="20"/>
                <w:szCs w:val="20"/>
                <w:color w:val="auto"/>
              </w:rPr>
            </w:pPr>
            <w:r>
              <w:rPr>
                <w:rFonts w:ascii="Arial" w:cs="Arial" w:eastAsia="Arial" w:hAnsi="Arial"/>
                <w:sz w:val="18"/>
                <w:szCs w:val="18"/>
                <w:color w:val="auto"/>
              </w:rPr>
              <w:t>Americas:</w:t>
            </w:r>
            <w:r>
              <w:rPr>
                <w:rFonts w:ascii="Arial" w:cs="Arial" w:eastAsia="Arial" w:hAnsi="Arial"/>
                <w:sz w:val="24"/>
                <w:szCs w:val="24"/>
                <w:color w:val="auto"/>
                <w:vertAlign w:val="superscript"/>
              </w:rPr>
              <w:t>(b)</w:t>
            </w:r>
          </w:p>
        </w:tc>
        <w:tc>
          <w:tcPr>
            <w:tcW w:w="1800" w:type="dxa"/>
            <w:vAlign w:val="bottom"/>
            <w:shd w:val="clear" w:color="auto" w:fill="E5E9F3"/>
          </w:tcPr>
          <w:p>
            <w:pPr>
              <w:spacing w:after="0"/>
              <w:rPr>
                <w:sz w:val="18"/>
                <w:szCs w:val="18"/>
                <w:color w:val="auto"/>
              </w:rPr>
            </w:pPr>
          </w:p>
        </w:tc>
        <w:tc>
          <w:tcPr>
            <w:tcW w:w="300" w:type="dxa"/>
            <w:vAlign w:val="bottom"/>
            <w:shd w:val="clear" w:color="auto" w:fill="E5E9F3"/>
          </w:tcPr>
          <w:p>
            <w:pPr>
              <w:spacing w:after="0"/>
              <w:rPr>
                <w:sz w:val="18"/>
                <w:szCs w:val="18"/>
                <w:color w:val="auto"/>
              </w:rPr>
            </w:pPr>
          </w:p>
        </w:tc>
        <w:tc>
          <w:tcPr>
            <w:tcW w:w="920" w:type="dxa"/>
            <w:vAlign w:val="bottom"/>
            <w:shd w:val="clear" w:color="auto" w:fill="E5E9F3"/>
          </w:tcPr>
          <w:p>
            <w:pPr>
              <w:spacing w:after="0"/>
              <w:rPr>
                <w:sz w:val="18"/>
                <w:szCs w:val="18"/>
                <w:color w:val="auto"/>
              </w:rPr>
            </w:pPr>
          </w:p>
        </w:tc>
        <w:tc>
          <w:tcPr>
            <w:tcW w:w="140" w:type="dxa"/>
            <w:vAlign w:val="bottom"/>
            <w:shd w:val="clear" w:color="auto" w:fill="E5E9F3"/>
          </w:tcPr>
          <w:p>
            <w:pPr>
              <w:spacing w:after="0"/>
              <w:rPr>
                <w:sz w:val="18"/>
                <w:szCs w:val="18"/>
                <w:color w:val="auto"/>
              </w:rPr>
            </w:pPr>
          </w:p>
        </w:tc>
        <w:tc>
          <w:tcPr>
            <w:tcW w:w="120" w:type="dxa"/>
            <w:vAlign w:val="bottom"/>
            <w:shd w:val="clear" w:color="auto" w:fill="E5E9F3"/>
          </w:tcPr>
          <w:p>
            <w:pPr>
              <w:spacing w:after="0"/>
              <w:rPr>
                <w:sz w:val="18"/>
                <w:szCs w:val="18"/>
                <w:color w:val="auto"/>
              </w:rPr>
            </w:pPr>
          </w:p>
        </w:tc>
        <w:tc>
          <w:tcPr>
            <w:tcW w:w="1100" w:type="dxa"/>
            <w:vAlign w:val="bottom"/>
            <w:shd w:val="clear" w:color="auto" w:fill="E5E9F3"/>
          </w:tcPr>
          <w:p>
            <w:pPr>
              <w:spacing w:after="0"/>
              <w:rPr>
                <w:sz w:val="18"/>
                <w:szCs w:val="18"/>
                <w:color w:val="auto"/>
              </w:rPr>
            </w:pPr>
          </w:p>
        </w:tc>
        <w:tc>
          <w:tcPr>
            <w:tcW w:w="140" w:type="dxa"/>
            <w:vAlign w:val="bottom"/>
            <w:shd w:val="clear" w:color="auto" w:fill="E5E9F3"/>
          </w:tcPr>
          <w:p>
            <w:pPr>
              <w:spacing w:after="0"/>
              <w:rPr>
                <w:sz w:val="18"/>
                <w:szCs w:val="18"/>
                <w:color w:val="auto"/>
              </w:rPr>
            </w:pPr>
          </w:p>
        </w:tc>
        <w:tc>
          <w:tcPr>
            <w:tcW w:w="160" w:type="dxa"/>
            <w:vAlign w:val="bottom"/>
            <w:shd w:val="clear" w:color="auto" w:fill="E5E9F3"/>
          </w:tcPr>
          <w:p>
            <w:pPr>
              <w:spacing w:after="0"/>
              <w:rPr>
                <w:sz w:val="18"/>
                <w:szCs w:val="18"/>
                <w:color w:val="auto"/>
              </w:rPr>
            </w:pPr>
          </w:p>
        </w:tc>
        <w:tc>
          <w:tcPr>
            <w:tcW w:w="1060" w:type="dxa"/>
            <w:vAlign w:val="bottom"/>
            <w:shd w:val="clear" w:color="auto" w:fill="E5E9F3"/>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210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3,050.4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1"/>
        </w:trPr>
        <w:tc>
          <w:tcPr>
            <w:tcW w:w="50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1800" w:type="dxa"/>
            <w:vAlign w:val="bottom"/>
            <w:shd w:val="clear" w:color="auto" w:fill="E5E9F3"/>
          </w:tcPr>
          <w:p>
            <w:pPr>
              <w:spacing w:after="0"/>
              <w:rPr>
                <w:sz w:val="19"/>
                <w:szCs w:val="19"/>
                <w:color w:val="auto"/>
              </w:rPr>
            </w:pPr>
          </w:p>
        </w:tc>
        <w:tc>
          <w:tcPr>
            <w:tcW w:w="30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11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E5E9F3"/>
          </w:tcPr>
          <w:p>
            <w:pPr>
              <w:spacing w:after="0"/>
              <w:rPr>
                <w:sz w:val="19"/>
                <w:szCs w:val="19"/>
                <w:color w:val="auto"/>
              </w:rPr>
            </w:pPr>
          </w:p>
        </w:tc>
        <w:tc>
          <w:tcPr>
            <w:tcW w:w="160" w:type="dxa"/>
            <w:vAlign w:val="bottom"/>
            <w:tcBorders>
              <w:bottom w:val="single" w:sz="8" w:color="auto"/>
            </w:tcBorders>
            <w:shd w:val="clear" w:color="auto" w:fill="E5E9F3"/>
          </w:tcPr>
          <w:p>
            <w:pPr>
              <w:spacing w:after="0"/>
              <w:rPr>
                <w:sz w:val="19"/>
                <w:szCs w:val="19"/>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1"/>
        </w:trPr>
        <w:tc>
          <w:tcPr>
            <w:tcW w:w="5060" w:type="dxa"/>
            <w:vAlign w:val="bottom"/>
            <w:tcBorders>
              <w:bottom w:val="single" w:sz="8" w:color="E5E9F3"/>
            </w:tcBorders>
          </w:tcPr>
          <w:p>
            <w:pPr>
              <w:spacing w:after="0"/>
              <w:rPr>
                <w:sz w:val="18"/>
                <w:szCs w:val="18"/>
                <w:color w:val="auto"/>
              </w:rPr>
            </w:pPr>
          </w:p>
        </w:tc>
        <w:tc>
          <w:tcPr>
            <w:tcW w:w="1800" w:type="dxa"/>
            <w:vAlign w:val="bottom"/>
            <w:tcBorders>
              <w:bottom w:val="single" w:sz="8" w:color="E5E9F3"/>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3,488.2</w:t>
            </w:r>
          </w:p>
        </w:tc>
        <w:tc>
          <w:tcPr>
            <w:tcW w:w="140" w:type="dxa"/>
            <w:vAlign w:val="bottom"/>
            <w:tcBorders>
              <w:bottom w:val="single" w:sz="8" w:color="E5E9F3"/>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104.4</w:t>
            </w:r>
          </w:p>
        </w:tc>
        <w:tc>
          <w:tcPr>
            <w:tcW w:w="140" w:type="dxa"/>
            <w:vAlign w:val="bottom"/>
            <w:tcBorders>
              <w:bottom w:val="single" w:sz="8" w:color="E5E9F3"/>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1"/>
        </w:trPr>
        <w:tc>
          <w:tcPr>
            <w:tcW w:w="50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1800" w:type="dxa"/>
            <w:vAlign w:val="bottom"/>
            <w:shd w:val="clear" w:color="auto" w:fill="E5E9F3"/>
          </w:tcPr>
          <w:p>
            <w:pPr>
              <w:spacing w:after="0"/>
              <w:rPr>
                <w:sz w:val="18"/>
                <w:szCs w:val="18"/>
                <w:color w:val="auto"/>
              </w:rPr>
            </w:pPr>
          </w:p>
        </w:tc>
        <w:tc>
          <w:tcPr>
            <w:tcW w:w="300" w:type="dxa"/>
            <w:vAlign w:val="bottom"/>
            <w:shd w:val="clear" w:color="auto" w:fill="E5E9F3"/>
          </w:tcPr>
          <w:p>
            <w:pPr>
              <w:spacing w:after="0"/>
              <w:rPr>
                <w:sz w:val="18"/>
                <w:szCs w:val="18"/>
                <w:color w:val="auto"/>
              </w:rPr>
            </w:pPr>
          </w:p>
        </w:tc>
        <w:tc>
          <w:tcPr>
            <w:tcW w:w="920" w:type="dxa"/>
            <w:vAlign w:val="bottom"/>
            <w:shd w:val="clear" w:color="auto" w:fill="E5E9F3"/>
          </w:tcPr>
          <w:p>
            <w:pPr>
              <w:spacing w:after="0"/>
              <w:rPr>
                <w:sz w:val="18"/>
                <w:szCs w:val="18"/>
                <w:color w:val="auto"/>
              </w:rPr>
            </w:pPr>
          </w:p>
        </w:tc>
        <w:tc>
          <w:tcPr>
            <w:tcW w:w="140" w:type="dxa"/>
            <w:vAlign w:val="bottom"/>
            <w:shd w:val="clear" w:color="auto" w:fill="E5E9F3"/>
          </w:tcPr>
          <w:p>
            <w:pPr>
              <w:spacing w:after="0"/>
              <w:rPr>
                <w:sz w:val="18"/>
                <w:szCs w:val="18"/>
                <w:color w:val="auto"/>
              </w:rPr>
            </w:pPr>
          </w:p>
        </w:tc>
        <w:tc>
          <w:tcPr>
            <w:tcW w:w="120" w:type="dxa"/>
            <w:vAlign w:val="bottom"/>
            <w:shd w:val="clear" w:color="auto" w:fill="E5E9F3"/>
          </w:tcPr>
          <w:p>
            <w:pPr>
              <w:spacing w:after="0"/>
              <w:rPr>
                <w:sz w:val="18"/>
                <w:szCs w:val="18"/>
                <w:color w:val="auto"/>
              </w:rPr>
            </w:pPr>
          </w:p>
        </w:tc>
        <w:tc>
          <w:tcPr>
            <w:tcW w:w="1100" w:type="dxa"/>
            <w:vAlign w:val="bottom"/>
            <w:shd w:val="clear" w:color="auto" w:fill="E5E9F3"/>
          </w:tcPr>
          <w:p>
            <w:pPr>
              <w:spacing w:after="0"/>
              <w:rPr>
                <w:sz w:val="18"/>
                <w:szCs w:val="18"/>
                <w:color w:val="auto"/>
              </w:rPr>
            </w:pPr>
          </w:p>
        </w:tc>
        <w:tc>
          <w:tcPr>
            <w:tcW w:w="140" w:type="dxa"/>
            <w:vAlign w:val="bottom"/>
            <w:shd w:val="clear" w:color="auto" w:fill="E5E9F3"/>
          </w:tcPr>
          <w:p>
            <w:pPr>
              <w:spacing w:after="0"/>
              <w:rPr>
                <w:sz w:val="18"/>
                <w:szCs w:val="18"/>
                <w:color w:val="auto"/>
              </w:rPr>
            </w:pPr>
          </w:p>
        </w:tc>
        <w:tc>
          <w:tcPr>
            <w:tcW w:w="160" w:type="dxa"/>
            <w:vAlign w:val="bottom"/>
            <w:shd w:val="clear" w:color="auto" w:fill="E5E9F3"/>
          </w:tcPr>
          <w:p>
            <w:pPr>
              <w:spacing w:after="0"/>
              <w:rPr>
                <w:sz w:val="18"/>
                <w:szCs w:val="18"/>
                <w:color w:val="auto"/>
              </w:rPr>
            </w:pPr>
          </w:p>
        </w:tc>
        <w:tc>
          <w:tcPr>
            <w:tcW w:w="1060" w:type="dxa"/>
            <w:vAlign w:val="bottom"/>
            <w:shd w:val="clear" w:color="auto" w:fill="E5E9F3"/>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300"/>
              <w:spacing w:after="0"/>
              <w:rPr>
                <w:sz w:val="20"/>
                <w:szCs w:val="20"/>
                <w:color w:val="auto"/>
              </w:rPr>
            </w:pPr>
            <w:r>
              <w:rPr>
                <w:rFonts w:ascii="Arial" w:cs="Arial" w:eastAsia="Arial" w:hAnsi="Arial"/>
                <w:sz w:val="18"/>
                <w:szCs w:val="18"/>
                <w:color w:val="auto"/>
              </w:rPr>
              <w:t>France</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2,253.6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50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1800" w:type="dxa"/>
            <w:vAlign w:val="bottom"/>
            <w:shd w:val="clear" w:color="auto" w:fill="E5E9F3"/>
          </w:tcPr>
          <w:p>
            <w:pPr>
              <w:spacing w:after="0"/>
              <w:rPr>
                <w:sz w:val="19"/>
                <w:szCs w:val="19"/>
                <w:color w:val="auto"/>
              </w:rPr>
            </w:pPr>
          </w:p>
        </w:tc>
        <w:tc>
          <w:tcPr>
            <w:tcW w:w="300" w:type="dxa"/>
            <w:vAlign w:val="bottom"/>
            <w:shd w:val="clear" w:color="auto" w:fill="E5E9F3"/>
          </w:tcPr>
          <w:p>
            <w:pPr>
              <w:spacing w:after="0"/>
              <w:rPr>
                <w:sz w:val="19"/>
                <w:szCs w:val="19"/>
                <w:color w:val="auto"/>
              </w:rPr>
            </w:pPr>
          </w:p>
        </w:tc>
        <w:tc>
          <w:tcPr>
            <w:tcW w:w="92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487.0</w:t>
            </w:r>
          </w:p>
        </w:tc>
        <w:tc>
          <w:tcPr>
            <w:tcW w:w="14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11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E5E9F3"/>
          </w:tcPr>
          <w:p>
            <w:pPr>
              <w:spacing w:after="0"/>
              <w:rPr>
                <w:sz w:val="19"/>
                <w:szCs w:val="19"/>
                <w:color w:val="auto"/>
              </w:rPr>
            </w:pPr>
          </w:p>
        </w:tc>
        <w:tc>
          <w:tcPr>
            <w:tcW w:w="160" w:type="dxa"/>
            <w:vAlign w:val="bottom"/>
            <w:shd w:val="clear" w:color="auto" w:fill="E5E9F3"/>
          </w:tcPr>
          <w:p>
            <w:pPr>
              <w:spacing w:after="0"/>
              <w:rPr>
                <w:sz w:val="19"/>
                <w:szCs w:val="19"/>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506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1800" w:type="dxa"/>
            <w:vAlign w:val="bottom"/>
            <w:tcBorders>
              <w:bottom w:val="single" w:sz="8" w:color="E5E9F3"/>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800.4</w:t>
            </w:r>
          </w:p>
        </w:tc>
        <w:tc>
          <w:tcPr>
            <w:tcW w:w="140" w:type="dxa"/>
            <w:vAlign w:val="bottom"/>
            <w:tcBorders>
              <w:bottom w:val="single" w:sz="8" w:color="E5E9F3"/>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E5E9F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1"/>
        </w:trPr>
        <w:tc>
          <w:tcPr>
            <w:tcW w:w="5060" w:type="dxa"/>
            <w:vAlign w:val="bottom"/>
            <w:shd w:val="clear" w:color="auto" w:fill="E5E9F3"/>
          </w:tcPr>
          <w:p>
            <w:pPr>
              <w:spacing w:after="0"/>
              <w:rPr>
                <w:sz w:val="18"/>
                <w:szCs w:val="18"/>
                <w:color w:val="auto"/>
              </w:rPr>
            </w:pPr>
          </w:p>
        </w:tc>
        <w:tc>
          <w:tcPr>
            <w:tcW w:w="1800" w:type="dxa"/>
            <w:vAlign w:val="bottom"/>
            <w:shd w:val="clear" w:color="auto" w:fill="E5E9F3"/>
          </w:tcPr>
          <w:p>
            <w:pPr>
              <w:spacing w:after="0"/>
              <w:rPr>
                <w:sz w:val="18"/>
                <w:szCs w:val="18"/>
                <w:color w:val="auto"/>
              </w:rPr>
            </w:pPr>
          </w:p>
        </w:tc>
        <w:tc>
          <w:tcPr>
            <w:tcW w:w="300" w:type="dxa"/>
            <w:vAlign w:val="bottom"/>
            <w:tcBorders>
              <w:bottom w:val="single" w:sz="8" w:color="auto"/>
            </w:tcBorders>
            <w:shd w:val="clear" w:color="auto" w:fill="E5E9F3"/>
          </w:tcPr>
          <w:p>
            <w:pPr>
              <w:spacing w:after="0"/>
              <w:rPr>
                <w:sz w:val="18"/>
                <w:szCs w:val="18"/>
                <w:color w:val="auto"/>
              </w:rPr>
            </w:pPr>
          </w:p>
        </w:tc>
        <w:tc>
          <w:tcPr>
            <w:tcW w:w="9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3,541.0</w:t>
            </w:r>
          </w:p>
        </w:tc>
        <w:tc>
          <w:tcPr>
            <w:tcW w:w="140" w:type="dxa"/>
            <w:vAlign w:val="bottom"/>
            <w:shd w:val="clear" w:color="auto" w:fill="E5E9F3"/>
          </w:tcPr>
          <w:p>
            <w:pPr>
              <w:spacing w:after="0"/>
              <w:rPr>
                <w:sz w:val="18"/>
                <w:szCs w:val="18"/>
                <w:color w:val="auto"/>
              </w:rPr>
            </w:pPr>
          </w:p>
        </w:tc>
        <w:tc>
          <w:tcPr>
            <w:tcW w:w="120" w:type="dxa"/>
            <w:vAlign w:val="bottom"/>
            <w:tcBorders>
              <w:bottom w:val="single" w:sz="8" w:color="auto"/>
            </w:tcBorders>
            <w:shd w:val="clear" w:color="auto" w:fill="E5E9F3"/>
          </w:tcPr>
          <w:p>
            <w:pPr>
              <w:spacing w:after="0"/>
              <w:rPr>
                <w:sz w:val="18"/>
                <w:szCs w:val="18"/>
                <w:color w:val="auto"/>
              </w:rPr>
            </w:pPr>
          </w:p>
        </w:tc>
        <w:tc>
          <w:tcPr>
            <w:tcW w:w="11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E5E9F3"/>
          </w:tcPr>
          <w:p>
            <w:pPr>
              <w:spacing w:after="0"/>
              <w:rPr>
                <w:sz w:val="18"/>
                <w:szCs w:val="18"/>
                <w:color w:val="auto"/>
              </w:rPr>
            </w:pPr>
          </w:p>
        </w:tc>
        <w:tc>
          <w:tcPr>
            <w:tcW w:w="160" w:type="dxa"/>
            <w:vAlign w:val="bottom"/>
            <w:tcBorders>
              <w:bottom w:val="single" w:sz="8" w:color="auto"/>
            </w:tcBorders>
            <w:shd w:val="clear" w:color="auto" w:fill="E5E9F3"/>
          </w:tcPr>
          <w:p>
            <w:pPr>
              <w:spacing w:after="0"/>
              <w:rPr>
                <w:sz w:val="18"/>
                <w:szCs w:val="18"/>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1"/>
        </w:trPr>
        <w:tc>
          <w:tcPr>
            <w:tcW w:w="506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586.3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1"/>
        </w:trPr>
        <w:tc>
          <w:tcPr>
            <w:tcW w:w="50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1800" w:type="dxa"/>
            <w:vAlign w:val="bottom"/>
            <w:shd w:val="clear" w:color="auto" w:fill="E5E9F3"/>
          </w:tcPr>
          <w:p>
            <w:pPr>
              <w:spacing w:after="0"/>
              <w:rPr>
                <w:sz w:val="19"/>
                <w:szCs w:val="19"/>
                <w:color w:val="auto"/>
              </w:rPr>
            </w:pPr>
          </w:p>
        </w:tc>
        <w:tc>
          <w:tcPr>
            <w:tcW w:w="300" w:type="dxa"/>
            <w:vAlign w:val="bottom"/>
            <w:shd w:val="clear" w:color="auto" w:fill="E5E9F3"/>
          </w:tcPr>
          <w:p>
            <w:pPr>
              <w:spacing w:after="0"/>
              <w:rPr>
                <w:sz w:val="19"/>
                <w:szCs w:val="19"/>
                <w:color w:val="auto"/>
              </w:rPr>
            </w:pPr>
          </w:p>
        </w:tc>
        <w:tc>
          <w:tcPr>
            <w:tcW w:w="920" w:type="dxa"/>
            <w:vAlign w:val="bottom"/>
            <w:shd w:val="clear" w:color="auto" w:fill="E5E9F3"/>
          </w:tcPr>
          <w:p>
            <w:pPr>
              <w:jc w:val="right"/>
              <w:ind w:right="50"/>
              <w:spacing w:after="0"/>
              <w:rPr>
                <w:sz w:val="20"/>
                <w:szCs w:val="20"/>
                <w:color w:val="auto"/>
              </w:rPr>
            </w:pPr>
            <w:r>
              <w:rPr>
                <w:rFonts w:ascii="Arial" w:cs="Arial" w:eastAsia="Arial" w:hAnsi="Arial"/>
                <w:sz w:val="18"/>
                <w:szCs w:val="18"/>
                <w:color w:val="auto"/>
              </w:rPr>
              <w:t>719.1</w:t>
            </w:r>
          </w:p>
        </w:tc>
        <w:tc>
          <w:tcPr>
            <w:tcW w:w="140" w:type="dxa"/>
            <w:vAlign w:val="bottom"/>
            <w:shd w:val="clear" w:color="auto" w:fill="E5E9F3"/>
          </w:tcPr>
          <w:p>
            <w:pPr>
              <w:spacing w:after="0"/>
              <w:rPr>
                <w:sz w:val="19"/>
                <w:szCs w:val="19"/>
                <w:color w:val="auto"/>
              </w:rPr>
            </w:pPr>
          </w:p>
        </w:tc>
        <w:tc>
          <w:tcPr>
            <w:tcW w:w="120" w:type="dxa"/>
            <w:vAlign w:val="bottom"/>
            <w:shd w:val="clear" w:color="auto" w:fill="E5E9F3"/>
          </w:tcPr>
          <w:p>
            <w:pPr>
              <w:spacing w:after="0"/>
              <w:rPr>
                <w:sz w:val="19"/>
                <w:szCs w:val="19"/>
                <w:color w:val="auto"/>
              </w:rPr>
            </w:pPr>
          </w:p>
        </w:tc>
        <w:tc>
          <w:tcPr>
            <w:tcW w:w="11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E5E9F3"/>
          </w:tcPr>
          <w:p>
            <w:pPr>
              <w:spacing w:after="0"/>
              <w:rPr>
                <w:sz w:val="19"/>
                <w:szCs w:val="19"/>
                <w:color w:val="auto"/>
              </w:rPr>
            </w:pPr>
          </w:p>
        </w:tc>
        <w:tc>
          <w:tcPr>
            <w:tcW w:w="160" w:type="dxa"/>
            <w:vAlign w:val="bottom"/>
            <w:shd w:val="clear" w:color="auto" w:fill="E5E9F3"/>
          </w:tcPr>
          <w:p>
            <w:pPr>
              <w:spacing w:after="0"/>
              <w:rPr>
                <w:sz w:val="19"/>
                <w:szCs w:val="19"/>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1"/>
        </w:trPr>
        <w:tc>
          <w:tcPr>
            <w:tcW w:w="5060" w:type="dxa"/>
            <w:vAlign w:val="bottom"/>
          </w:tcPr>
          <w:p>
            <w:pPr>
              <w:ind w:left="100"/>
              <w:spacing w:after="0" w:line="221"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(c)</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5060" w:type="dxa"/>
            <w:vAlign w:val="bottom"/>
            <w:shd w:val="clear" w:color="auto" w:fill="E5E9F3"/>
          </w:tcPr>
          <w:p>
            <w:pPr>
              <w:ind w:left="100"/>
              <w:spacing w:after="0" w:line="221"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(d)</w:t>
            </w:r>
          </w:p>
        </w:tc>
        <w:tc>
          <w:tcPr>
            <w:tcW w:w="1800" w:type="dxa"/>
            <w:vAlign w:val="bottom"/>
            <w:shd w:val="clear" w:color="auto" w:fill="E5E9F3"/>
          </w:tcPr>
          <w:p>
            <w:pPr>
              <w:spacing w:after="0"/>
              <w:rPr>
                <w:sz w:val="19"/>
                <w:szCs w:val="19"/>
                <w:color w:val="auto"/>
              </w:rPr>
            </w:pPr>
          </w:p>
        </w:tc>
        <w:tc>
          <w:tcPr>
            <w:tcW w:w="300" w:type="dxa"/>
            <w:vAlign w:val="bottom"/>
            <w:tcBorders>
              <w:bottom w:val="single" w:sz="8" w:color="auto"/>
            </w:tcBorders>
            <w:shd w:val="clear" w:color="auto" w:fill="E5E9F3"/>
          </w:tcPr>
          <w:p>
            <w:pPr>
              <w:spacing w:after="0"/>
              <w:rPr>
                <w:sz w:val="19"/>
                <w:szCs w:val="19"/>
                <w:color w:val="auto"/>
              </w:rPr>
            </w:pPr>
          </w:p>
        </w:tc>
        <w:tc>
          <w:tcPr>
            <w:tcW w:w="920" w:type="dxa"/>
            <w:vAlign w:val="bottom"/>
            <w:tcBorders>
              <w:bottom w:val="single" w:sz="8" w:color="auto"/>
            </w:tcBorders>
            <w:shd w:val="clear" w:color="auto" w:fill="E5E9F3"/>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19"/>
                <w:szCs w:val="19"/>
                <w:color w:val="auto"/>
              </w:rPr>
            </w:pPr>
          </w:p>
        </w:tc>
        <w:tc>
          <w:tcPr>
            <w:tcW w:w="120" w:type="dxa"/>
            <w:vAlign w:val="bottom"/>
            <w:tcBorders>
              <w:bottom w:val="single" w:sz="8" w:color="auto"/>
            </w:tcBorders>
            <w:shd w:val="clear" w:color="auto" w:fill="E5E9F3"/>
          </w:tcPr>
          <w:p>
            <w:pPr>
              <w:spacing w:after="0"/>
              <w:rPr>
                <w:sz w:val="19"/>
                <w:szCs w:val="19"/>
                <w:color w:val="auto"/>
              </w:rPr>
            </w:pPr>
          </w:p>
        </w:tc>
        <w:tc>
          <w:tcPr>
            <w:tcW w:w="11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19"/>
                <w:szCs w:val="19"/>
                <w:color w:val="auto"/>
              </w:rPr>
            </w:pPr>
          </w:p>
        </w:tc>
        <w:tc>
          <w:tcPr>
            <w:tcW w:w="160" w:type="dxa"/>
            <w:vAlign w:val="bottom"/>
            <w:tcBorders>
              <w:bottom w:val="single" w:sz="8" w:color="auto"/>
            </w:tcBorders>
            <w:shd w:val="clear" w:color="auto" w:fill="E5E9F3"/>
          </w:tcPr>
          <w:p>
            <w:pPr>
              <w:spacing w:after="0"/>
              <w:rPr>
                <w:sz w:val="19"/>
                <w:szCs w:val="19"/>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8,830.2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588.6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bl>
    <w:p>
      <w:pPr>
        <w:ind w:left="320" w:hanging="320"/>
        <w:spacing w:after="0"/>
        <w:tabs>
          <w:tab w:leader="none" w:pos="320" w:val="left"/>
        </w:tabs>
        <w:numPr>
          <w:ilvl w:val="0"/>
          <w:numId w:val="61"/>
        </w:numPr>
        <w:rPr>
          <w:rFonts w:ascii="Arial" w:cs="Arial" w:eastAsia="Arial" w:hAnsi="Arial"/>
          <w:sz w:val="10"/>
          <w:szCs w:val="10"/>
          <w:color w:val="auto"/>
        </w:rPr>
      </w:pPr>
      <w:r>
        <w:rPr>
          <w:rFonts w:ascii="Arial" w:cs="Arial" w:eastAsia="Arial" w:hAnsi="Arial"/>
          <w:sz w:val="16"/>
          <w:szCs w:val="16"/>
          <w:color w:val="auto"/>
        </w:rPr>
        <w:t>Long-lived assets consist of net property and equipment, net capitalized software and right-of-use assets.</w:t>
      </w:r>
    </w:p>
    <w:p>
      <w:pPr>
        <w:ind w:left="320" w:hanging="320"/>
        <w:spacing w:after="0" w:line="239" w:lineRule="auto"/>
        <w:tabs>
          <w:tab w:leader="none" w:pos="320" w:val="left"/>
        </w:tabs>
        <w:numPr>
          <w:ilvl w:val="0"/>
          <w:numId w:val="61"/>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 w:lineRule="exact"/>
        <w:rPr>
          <w:rFonts w:ascii="Arial" w:cs="Arial" w:eastAsia="Arial" w:hAnsi="Arial"/>
          <w:sz w:val="10"/>
          <w:szCs w:val="10"/>
          <w:color w:val="auto"/>
        </w:rPr>
      </w:pPr>
    </w:p>
    <w:p>
      <w:pPr>
        <w:ind w:left="320" w:hanging="320"/>
        <w:spacing w:after="0" w:line="239" w:lineRule="auto"/>
        <w:tabs>
          <w:tab w:leader="none" w:pos="320" w:val="left"/>
        </w:tabs>
        <w:numPr>
          <w:ilvl w:val="0"/>
          <w:numId w:val="61"/>
        </w:numPr>
        <w:rPr>
          <w:rFonts w:ascii="Arial" w:cs="Arial" w:eastAsia="Arial" w:hAnsi="Arial"/>
          <w:sz w:val="10"/>
          <w:szCs w:val="10"/>
          <w:color w:val="auto"/>
        </w:rPr>
      </w:pPr>
      <w:r>
        <w:rPr>
          <w:rFonts w:ascii="Arial" w:cs="Arial" w:eastAsia="Arial" w:hAnsi="Arial"/>
          <w:sz w:val="16"/>
          <w:szCs w:val="16"/>
          <w:color w:val="auto"/>
        </w:rPr>
        <w:t>Corporate assets include assets that were not used in the operations of any segment, the most significant of which were purchased intangibles and cash.</w:t>
      </w:r>
    </w:p>
    <w:p>
      <w:pPr>
        <w:spacing w:after="0" w:line="1" w:lineRule="exact"/>
        <w:rPr>
          <w:rFonts w:ascii="Arial" w:cs="Arial" w:eastAsia="Arial" w:hAnsi="Arial"/>
          <w:sz w:val="10"/>
          <w:szCs w:val="10"/>
          <w:color w:val="auto"/>
        </w:rPr>
      </w:pPr>
    </w:p>
    <w:p>
      <w:pPr>
        <w:ind w:left="320" w:hanging="320"/>
        <w:spacing w:after="0" w:line="254" w:lineRule="auto"/>
        <w:tabs>
          <w:tab w:leader="none" w:pos="320" w:val="left"/>
        </w:tabs>
        <w:numPr>
          <w:ilvl w:val="0"/>
          <w:numId w:val="61"/>
        </w:numPr>
        <w:rPr>
          <w:rFonts w:ascii="Arial" w:cs="Arial" w:eastAsia="Arial" w:hAnsi="Arial"/>
          <w:sz w:val="10"/>
          <w:szCs w:val="1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 separately.</w:t>
      </w:r>
    </w:p>
    <w:p>
      <w:pPr>
        <w:sectPr>
          <w:pgSz w:w="12240" w:h="15840" w:orient="portrait"/>
          <w:cols w:equalWidth="0" w:num="1">
            <w:col w:w="10800"/>
          </w:cols>
          <w:pgMar w:left="720" w:top="72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10800"/>
          </w:cols>
          <w:pgMar w:left="720" w:top="720" w:right="720" w:bottom="175" w:gutter="0" w:footer="0" w:header="0"/>
          <w:type w:val="continuous"/>
        </w:sectPr>
      </w:pPr>
    </w:p>
    <w:bookmarkStart w:id="91" w:name="page92"/>
    <w:bookmarkEnd w:id="91"/>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19" o:spid="_x0000_s1144"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Borders>
              <w:top w:val="single" w:sz="8" w:color="auto"/>
            </w:tcBorders>
            <w:shd w:val="clear" w:color="auto" w:fill="97AAD0"/>
          </w:tcPr>
          <w:p>
            <w:pPr>
              <w:spacing w:after="0"/>
              <w:rPr>
                <w:sz w:val="16"/>
                <w:szCs w:val="16"/>
                <w:color w:val="auto"/>
              </w:rPr>
            </w:pPr>
          </w:p>
        </w:tc>
        <w:tc>
          <w:tcPr>
            <w:tcW w:w="220" w:type="dxa"/>
            <w:vAlign w:val="bottom"/>
            <w:tcBorders>
              <w:top w:val="single" w:sz="8" w:color="auto"/>
            </w:tcBorders>
            <w:shd w:val="clear" w:color="auto" w:fill="97AAD0"/>
          </w:tcPr>
          <w:p>
            <w:pPr>
              <w:spacing w:after="0"/>
              <w:rPr>
                <w:sz w:val="16"/>
                <w:szCs w:val="16"/>
                <w:color w:val="auto"/>
              </w:rPr>
            </w:pPr>
          </w:p>
        </w:tc>
        <w:tc>
          <w:tcPr>
            <w:tcW w:w="20" w:type="dxa"/>
            <w:vAlign w:val="bottom"/>
            <w:tcBorders>
              <w:top w:val="single" w:sz="8" w:color="auto"/>
            </w:tcBorders>
            <w:shd w:val="clear" w:color="auto" w:fill="97AAD0"/>
          </w:tcPr>
          <w:p>
            <w:pPr>
              <w:spacing w:after="0"/>
              <w:rPr>
                <w:sz w:val="16"/>
                <w:szCs w:val="16"/>
                <w:color w:val="auto"/>
              </w:rPr>
            </w:pPr>
          </w:p>
        </w:tc>
        <w:tc>
          <w:tcPr>
            <w:tcW w:w="160" w:type="dxa"/>
            <w:vAlign w:val="bottom"/>
            <w:tcBorders>
              <w:top w:val="single" w:sz="8" w:color="auto"/>
            </w:tcBorders>
            <w:shd w:val="clear" w:color="auto" w:fill="97AAD0"/>
          </w:tcPr>
          <w:p>
            <w:pPr>
              <w:spacing w:after="0"/>
              <w:rPr>
                <w:sz w:val="16"/>
                <w:szCs w:val="16"/>
                <w:color w:val="auto"/>
              </w:rPr>
            </w:pPr>
          </w:p>
        </w:tc>
        <w:tc>
          <w:tcPr>
            <w:tcW w:w="1140" w:type="dxa"/>
            <w:vAlign w:val="bottom"/>
            <w:tcBorders>
              <w:top w:val="single" w:sz="8" w:color="auto"/>
            </w:tcBorders>
            <w:shd w:val="clear" w:color="auto" w:fill="97AAD0"/>
          </w:tcPr>
          <w:p>
            <w:pPr>
              <w:spacing w:after="0"/>
              <w:rPr>
                <w:sz w:val="16"/>
                <w:szCs w:val="16"/>
                <w:color w:val="auto"/>
              </w:rPr>
            </w:pPr>
          </w:p>
        </w:tc>
        <w:tc>
          <w:tcPr>
            <w:tcW w:w="180" w:type="dxa"/>
            <w:vAlign w:val="bottom"/>
            <w:tcBorders>
              <w:top w:val="single" w:sz="8" w:color="auto"/>
            </w:tcBorders>
            <w:shd w:val="clear" w:color="auto" w:fill="97AAD0"/>
          </w:tcPr>
          <w:p>
            <w:pPr>
              <w:spacing w:after="0"/>
              <w:rPr>
                <w:sz w:val="16"/>
                <w:szCs w:val="16"/>
                <w:color w:val="auto"/>
              </w:rPr>
            </w:pPr>
          </w:p>
        </w:tc>
        <w:tc>
          <w:tcPr>
            <w:tcW w:w="20" w:type="dxa"/>
            <w:vAlign w:val="bottom"/>
            <w:tcBorders>
              <w:top w:val="single" w:sz="8" w:color="auto"/>
            </w:tcBorders>
            <w:shd w:val="clear" w:color="auto" w:fill="97AAD0"/>
          </w:tcPr>
          <w:p>
            <w:pPr>
              <w:spacing w:after="0"/>
              <w:rPr>
                <w:sz w:val="16"/>
                <w:szCs w:val="16"/>
                <w:color w:val="auto"/>
              </w:rPr>
            </w:pPr>
          </w:p>
        </w:tc>
        <w:tc>
          <w:tcPr>
            <w:tcW w:w="160" w:type="dxa"/>
            <w:vAlign w:val="bottom"/>
            <w:tcBorders>
              <w:top w:val="single" w:sz="8" w:color="auto"/>
            </w:tcBorders>
            <w:shd w:val="clear" w:color="auto" w:fill="97AAD0"/>
          </w:tcPr>
          <w:p>
            <w:pPr>
              <w:spacing w:after="0"/>
              <w:rPr>
                <w:sz w:val="16"/>
                <w:szCs w:val="16"/>
                <w:color w:val="auto"/>
              </w:rPr>
            </w:pPr>
          </w:p>
        </w:tc>
        <w:tc>
          <w:tcPr>
            <w:tcW w:w="1140" w:type="dxa"/>
            <w:vAlign w:val="bottom"/>
            <w:tcBorders>
              <w:top w:val="single" w:sz="8" w:color="auto"/>
            </w:tcBorders>
            <w:vMerge w:val="restart"/>
            <w:shd w:val="clear" w:color="auto" w:fill="97AAD0"/>
          </w:tcPr>
          <w:p>
            <w:pPr>
              <w:jc w:val="right"/>
              <w:ind w:right="371"/>
              <w:spacing w:after="0"/>
              <w:rPr>
                <w:sz w:val="20"/>
                <w:szCs w:val="20"/>
                <w:color w:val="auto"/>
              </w:rPr>
            </w:pPr>
            <w:r>
              <w:rPr>
                <w:rFonts w:ascii="Arial" w:cs="Arial" w:eastAsia="Arial" w:hAnsi="Arial"/>
                <w:sz w:val="16"/>
                <w:szCs w:val="16"/>
                <w:b w:val="1"/>
                <w:bCs w:val="1"/>
                <w:color w:val="auto"/>
              </w:rPr>
              <w:t>Cost of</w:t>
            </w:r>
          </w:p>
        </w:tc>
        <w:tc>
          <w:tcPr>
            <w:tcW w:w="180" w:type="dxa"/>
            <w:vAlign w:val="bottom"/>
            <w:tcBorders>
              <w:top w:val="single" w:sz="8" w:color="auto"/>
            </w:tcBorders>
            <w:shd w:val="clear" w:color="auto" w:fill="97AAD0"/>
          </w:tcPr>
          <w:p>
            <w:pPr>
              <w:spacing w:after="0"/>
              <w:rPr>
                <w:sz w:val="16"/>
                <w:szCs w:val="16"/>
                <w:color w:val="auto"/>
              </w:rPr>
            </w:pPr>
          </w:p>
        </w:tc>
        <w:tc>
          <w:tcPr>
            <w:tcW w:w="20" w:type="dxa"/>
            <w:vAlign w:val="bottom"/>
            <w:tcBorders>
              <w:top w:val="single" w:sz="8" w:color="auto"/>
            </w:tcBorders>
            <w:shd w:val="clear" w:color="auto" w:fill="97AAD0"/>
          </w:tcPr>
          <w:p>
            <w:pPr>
              <w:spacing w:after="0"/>
              <w:rPr>
                <w:sz w:val="16"/>
                <w:szCs w:val="16"/>
                <w:color w:val="auto"/>
              </w:rPr>
            </w:pPr>
          </w:p>
        </w:tc>
        <w:tc>
          <w:tcPr>
            <w:tcW w:w="100" w:type="dxa"/>
            <w:vAlign w:val="bottom"/>
            <w:tcBorders>
              <w:top w:val="single" w:sz="8" w:color="auto"/>
            </w:tcBorders>
            <w:shd w:val="clear" w:color="auto" w:fill="97AAD0"/>
          </w:tcPr>
          <w:p>
            <w:pPr>
              <w:spacing w:after="0"/>
              <w:rPr>
                <w:sz w:val="16"/>
                <w:szCs w:val="16"/>
                <w:color w:val="auto"/>
              </w:rPr>
            </w:pPr>
          </w:p>
        </w:tc>
        <w:tc>
          <w:tcPr>
            <w:tcW w:w="1200" w:type="dxa"/>
            <w:vAlign w:val="bottom"/>
            <w:tcBorders>
              <w:top w:val="single" w:sz="8" w:color="auto"/>
            </w:tcBorders>
            <w:shd w:val="clear" w:color="auto" w:fill="97AAD0"/>
          </w:tcPr>
          <w:p>
            <w:pPr>
              <w:jc w:val="center"/>
              <w:ind w:right="171"/>
              <w:spacing w:after="0"/>
              <w:rPr>
                <w:sz w:val="20"/>
                <w:szCs w:val="20"/>
                <w:color w:val="auto"/>
              </w:rPr>
            </w:pPr>
            <w:r>
              <w:rPr>
                <w:rFonts w:ascii="Arial" w:cs="Arial" w:eastAsia="Arial" w:hAnsi="Arial"/>
                <w:sz w:val="16"/>
                <w:szCs w:val="16"/>
                <w:b w:val="1"/>
                <w:bCs w:val="1"/>
                <w:color w:val="auto"/>
              </w:rPr>
              <w:t>Selling and</w:t>
            </w:r>
          </w:p>
        </w:tc>
        <w:tc>
          <w:tcPr>
            <w:tcW w:w="160" w:type="dxa"/>
            <w:vAlign w:val="bottom"/>
            <w:tcBorders>
              <w:top w:val="single" w:sz="8" w:color="auto"/>
            </w:tcBorders>
            <w:shd w:val="clear" w:color="auto" w:fill="97AAD0"/>
          </w:tcPr>
          <w:p>
            <w:pPr>
              <w:spacing w:after="0"/>
              <w:rPr>
                <w:sz w:val="16"/>
                <w:szCs w:val="16"/>
                <w:color w:val="auto"/>
              </w:rPr>
            </w:pPr>
          </w:p>
        </w:tc>
        <w:tc>
          <w:tcPr>
            <w:tcW w:w="20" w:type="dxa"/>
            <w:vAlign w:val="bottom"/>
            <w:tcBorders>
              <w:top w:val="single" w:sz="8" w:color="auto"/>
            </w:tcBorders>
            <w:shd w:val="clear" w:color="auto" w:fill="97AAD0"/>
          </w:tcPr>
          <w:p>
            <w:pPr>
              <w:spacing w:after="0"/>
              <w:rPr>
                <w:sz w:val="16"/>
                <w:szCs w:val="16"/>
                <w:color w:val="auto"/>
              </w:rPr>
            </w:pPr>
          </w:p>
        </w:tc>
        <w:tc>
          <w:tcPr>
            <w:tcW w:w="240" w:type="dxa"/>
            <w:vAlign w:val="bottom"/>
            <w:tcBorders>
              <w:top w:val="single" w:sz="8" w:color="auto"/>
            </w:tcBorders>
            <w:shd w:val="clear" w:color="auto" w:fill="97AAD0"/>
          </w:tcPr>
          <w:p>
            <w:pPr>
              <w:spacing w:after="0"/>
              <w:rPr>
                <w:sz w:val="16"/>
                <w:szCs w:val="16"/>
                <w:color w:val="auto"/>
              </w:rPr>
            </w:pPr>
          </w:p>
        </w:tc>
        <w:tc>
          <w:tcPr>
            <w:tcW w:w="1060" w:type="dxa"/>
            <w:vAlign w:val="bottom"/>
            <w:tcBorders>
              <w:top w:val="single" w:sz="8" w:color="auto"/>
            </w:tcBorders>
            <w:shd w:val="clear" w:color="auto" w:fill="97AAD0"/>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2022</w:t>
            </w:r>
          </w:p>
        </w:tc>
        <w:tc>
          <w:tcPr>
            <w:tcW w:w="22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140" w:type="dxa"/>
            <w:vAlign w:val="bottom"/>
            <w:vMerge w:val="restart"/>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140" w:type="dxa"/>
            <w:vAlign w:val="bottom"/>
            <w:vMerge w:val="continue"/>
            <w:shd w:val="clear" w:color="auto" w:fill="97AAD0"/>
          </w:tcPr>
          <w:p>
            <w:pPr>
              <w:spacing w:after="0"/>
              <w:rPr>
                <w:sz w:val="15"/>
                <w:szCs w:val="15"/>
                <w:color w:val="auto"/>
              </w:rPr>
            </w:pPr>
          </w:p>
        </w:tc>
        <w:tc>
          <w:tcPr>
            <w:tcW w:w="18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1300" w:type="dxa"/>
            <w:vAlign w:val="bottom"/>
            <w:gridSpan w:val="2"/>
            <w:shd w:val="clear" w:color="auto" w:fill="97AAD0"/>
          </w:tcPr>
          <w:p>
            <w:pPr>
              <w:jc w:val="center"/>
              <w:ind w:right="91"/>
              <w:spacing w:after="0"/>
              <w:rPr>
                <w:sz w:val="20"/>
                <w:szCs w:val="20"/>
                <w:color w:val="auto"/>
              </w:rPr>
            </w:pPr>
            <w:r>
              <w:rPr>
                <w:rFonts w:ascii="Arial" w:cs="Arial" w:eastAsia="Arial" w:hAnsi="Arial"/>
                <w:sz w:val="16"/>
                <w:szCs w:val="16"/>
                <w:b w:val="1"/>
                <w:bCs w:val="1"/>
                <w:color w:val="auto"/>
              </w:rPr>
              <w:t>Administrative</w:t>
            </w:r>
          </w:p>
        </w:tc>
        <w:tc>
          <w:tcPr>
            <w:tcW w:w="160" w:type="dxa"/>
            <w:vAlign w:val="bottom"/>
            <w:shd w:val="clear" w:color="auto" w:fill="97AAD0"/>
          </w:tcPr>
          <w:p>
            <w:pPr>
              <w:spacing w:after="0"/>
              <w:rPr>
                <w:sz w:val="15"/>
                <w:szCs w:val="15"/>
                <w:color w:val="auto"/>
              </w:rPr>
            </w:pPr>
          </w:p>
        </w:tc>
        <w:tc>
          <w:tcPr>
            <w:tcW w:w="20" w:type="dxa"/>
            <w:vAlign w:val="bottom"/>
            <w:shd w:val="clear" w:color="auto" w:fill="97AAD0"/>
          </w:tcPr>
          <w:p>
            <w:pPr>
              <w:spacing w:after="0"/>
              <w:rPr>
                <w:sz w:val="15"/>
                <w:szCs w:val="15"/>
                <w:color w:val="auto"/>
              </w:rPr>
            </w:pPr>
          </w:p>
        </w:tc>
        <w:tc>
          <w:tcPr>
            <w:tcW w:w="240" w:type="dxa"/>
            <w:vAlign w:val="bottom"/>
            <w:shd w:val="clear" w:color="auto" w:fill="97AAD0"/>
          </w:tcPr>
          <w:p>
            <w:pPr>
              <w:spacing w:after="0"/>
              <w:rPr>
                <w:sz w:val="15"/>
                <w:szCs w:val="15"/>
                <w:color w:val="auto"/>
              </w:rPr>
            </w:pPr>
          </w:p>
        </w:tc>
        <w:tc>
          <w:tcPr>
            <w:tcW w:w="1060" w:type="dxa"/>
            <w:vAlign w:val="bottom"/>
            <w:vMerge w:val="restart"/>
            <w:shd w:val="clear" w:color="auto" w:fill="97AAD0"/>
          </w:tcPr>
          <w:p>
            <w:pPr>
              <w:jc w:val="right"/>
              <w:ind w:right="471"/>
              <w:spacing w:after="0"/>
              <w:rPr>
                <w:sz w:val="20"/>
                <w:szCs w:val="20"/>
                <w:color w:val="auto"/>
              </w:rPr>
            </w:pPr>
            <w:r>
              <w:rPr>
                <w:rFonts w:ascii="Arial" w:cs="Arial" w:eastAsia="Arial" w:hAnsi="Arial"/>
                <w:sz w:val="16"/>
                <w:szCs w:val="16"/>
                <w:b w:val="1"/>
                <w:bCs w:val="1"/>
                <w:color w:val="auto"/>
              </w:rPr>
              <w:t>OUP</w:t>
            </w:r>
          </w:p>
        </w:tc>
        <w:tc>
          <w:tcPr>
            <w:tcW w:w="0" w:type="dxa"/>
            <w:vAlign w:val="bottom"/>
          </w:tcPr>
          <w:p>
            <w:pPr>
              <w:spacing w:after="0"/>
              <w:rPr>
                <w:sz w:val="1"/>
                <w:szCs w:val="1"/>
                <w:color w:val="auto"/>
              </w:rPr>
            </w:pPr>
          </w:p>
        </w:tc>
      </w:tr>
      <w:tr>
        <w:trPr>
          <w:trHeight w:val="240"/>
        </w:trPr>
        <w:tc>
          <w:tcPr>
            <w:tcW w:w="4780" w:type="dxa"/>
            <w:vAlign w:val="bottom"/>
            <w:tcBorders>
              <w:bottom w:val="single" w:sz="8" w:color="97AAD0"/>
            </w:tcBorders>
            <w:vMerge w:val="continue"/>
            <w:shd w:val="clear" w:color="auto" w:fill="97AAD0"/>
          </w:tcPr>
          <w:p>
            <w:pPr>
              <w:spacing w:after="0"/>
              <w:rPr>
                <w:sz w:val="20"/>
                <w:szCs w:val="20"/>
                <w:color w:val="auto"/>
              </w:rPr>
            </w:pPr>
          </w:p>
        </w:tc>
        <w:tc>
          <w:tcPr>
            <w:tcW w:w="22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60" w:type="dxa"/>
            <w:vAlign w:val="bottom"/>
            <w:tcBorders>
              <w:bottom w:val="single" w:sz="8" w:color="97AAD0"/>
            </w:tcBorders>
            <w:shd w:val="clear" w:color="auto" w:fill="97AAD0"/>
          </w:tcPr>
          <w:p>
            <w:pPr>
              <w:spacing w:after="0"/>
              <w:rPr>
                <w:sz w:val="20"/>
                <w:szCs w:val="20"/>
                <w:color w:val="auto"/>
              </w:rPr>
            </w:pPr>
          </w:p>
        </w:tc>
        <w:tc>
          <w:tcPr>
            <w:tcW w:w="1140" w:type="dxa"/>
            <w:vAlign w:val="bottom"/>
            <w:tcBorders>
              <w:bottom w:val="single" w:sz="8" w:color="97AAD0"/>
            </w:tcBorders>
            <w:vMerge w:val="continue"/>
            <w:shd w:val="clear" w:color="auto" w:fill="97AAD0"/>
          </w:tcPr>
          <w:p>
            <w:pPr>
              <w:spacing w:after="0"/>
              <w:rPr>
                <w:sz w:val="20"/>
                <w:szCs w:val="20"/>
                <w:color w:val="auto"/>
              </w:rPr>
            </w:pPr>
          </w:p>
        </w:tc>
        <w:tc>
          <w:tcPr>
            <w:tcW w:w="18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60" w:type="dxa"/>
            <w:vAlign w:val="bottom"/>
            <w:tcBorders>
              <w:bottom w:val="single" w:sz="8" w:color="97AAD0"/>
            </w:tcBorders>
            <w:shd w:val="clear" w:color="auto" w:fill="97AAD0"/>
          </w:tcPr>
          <w:p>
            <w:pPr>
              <w:spacing w:after="0"/>
              <w:rPr>
                <w:sz w:val="20"/>
                <w:szCs w:val="20"/>
                <w:color w:val="auto"/>
              </w:rPr>
            </w:pPr>
          </w:p>
        </w:tc>
        <w:tc>
          <w:tcPr>
            <w:tcW w:w="1140" w:type="dxa"/>
            <w:vAlign w:val="bottom"/>
            <w:tcBorders>
              <w:bottom w:val="single" w:sz="8" w:color="97AAD0"/>
            </w:tcBorders>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Services</w:t>
            </w:r>
          </w:p>
        </w:tc>
        <w:tc>
          <w:tcPr>
            <w:tcW w:w="18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100" w:type="dxa"/>
            <w:vAlign w:val="bottom"/>
            <w:tcBorders>
              <w:bottom w:val="single" w:sz="8" w:color="97AAD0"/>
            </w:tcBorders>
            <w:shd w:val="clear" w:color="auto" w:fill="97AAD0"/>
          </w:tcPr>
          <w:p>
            <w:pPr>
              <w:spacing w:after="0"/>
              <w:rPr>
                <w:sz w:val="20"/>
                <w:szCs w:val="20"/>
                <w:color w:val="auto"/>
              </w:rPr>
            </w:pPr>
          </w:p>
        </w:tc>
        <w:tc>
          <w:tcPr>
            <w:tcW w:w="1200" w:type="dxa"/>
            <w:vAlign w:val="bottom"/>
            <w:tcBorders>
              <w:bottom w:val="single" w:sz="8" w:color="97AAD0"/>
            </w:tcBorders>
            <w:shd w:val="clear" w:color="auto" w:fill="97AAD0"/>
          </w:tcPr>
          <w:p>
            <w:pPr>
              <w:jc w:val="center"/>
              <w:ind w:right="171"/>
              <w:spacing w:after="0"/>
              <w:rPr>
                <w:sz w:val="20"/>
                <w:szCs w:val="20"/>
                <w:color w:val="auto"/>
              </w:rPr>
            </w:pPr>
            <w:r>
              <w:rPr>
                <w:rFonts w:ascii="Arial" w:cs="Arial" w:eastAsia="Arial" w:hAnsi="Arial"/>
                <w:sz w:val="16"/>
                <w:szCs w:val="16"/>
                <w:b w:val="1"/>
                <w:bCs w:val="1"/>
                <w:color w:val="auto"/>
                <w:w w:val="98"/>
              </w:rPr>
              <w:t>Expenses</w:t>
            </w:r>
          </w:p>
        </w:tc>
        <w:tc>
          <w:tcPr>
            <w:tcW w:w="160" w:type="dxa"/>
            <w:vAlign w:val="bottom"/>
            <w:tcBorders>
              <w:bottom w:val="single" w:sz="8" w:color="97AAD0"/>
            </w:tcBorders>
            <w:shd w:val="clear" w:color="auto" w:fill="97AAD0"/>
          </w:tcPr>
          <w:p>
            <w:pPr>
              <w:spacing w:after="0"/>
              <w:rPr>
                <w:sz w:val="20"/>
                <w:szCs w:val="20"/>
                <w:color w:val="auto"/>
              </w:rPr>
            </w:pPr>
          </w:p>
        </w:tc>
        <w:tc>
          <w:tcPr>
            <w:tcW w:w="20" w:type="dxa"/>
            <w:vAlign w:val="bottom"/>
            <w:tcBorders>
              <w:bottom w:val="single" w:sz="8" w:color="97AAD0"/>
            </w:tcBorders>
            <w:shd w:val="clear" w:color="auto" w:fill="97AAD0"/>
          </w:tcPr>
          <w:p>
            <w:pPr>
              <w:spacing w:after="0"/>
              <w:rPr>
                <w:sz w:val="20"/>
                <w:szCs w:val="20"/>
                <w:color w:val="auto"/>
              </w:rPr>
            </w:pPr>
          </w:p>
        </w:tc>
        <w:tc>
          <w:tcPr>
            <w:tcW w:w="240" w:type="dxa"/>
            <w:vAlign w:val="bottom"/>
            <w:tcBorders>
              <w:bottom w:val="single" w:sz="8" w:color="97AAD0"/>
            </w:tcBorders>
            <w:shd w:val="clear" w:color="auto" w:fill="97AAD0"/>
          </w:tcPr>
          <w:p>
            <w:pPr>
              <w:spacing w:after="0"/>
              <w:rPr>
                <w:sz w:val="20"/>
                <w:szCs w:val="20"/>
                <w:color w:val="auto"/>
              </w:rPr>
            </w:pPr>
          </w:p>
        </w:tc>
        <w:tc>
          <w:tcPr>
            <w:tcW w:w="1060" w:type="dxa"/>
            <w:vAlign w:val="bottom"/>
            <w:tcBorders>
              <w:bottom w:val="single" w:sz="8" w:color="97AAD0"/>
            </w:tcBorders>
            <w:vMerge w:val="continue"/>
            <w:shd w:val="clear" w:color="auto" w:fill="97AAD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80" w:type="dxa"/>
            <w:vAlign w:val="bottom"/>
            <w:tcBorders>
              <w:top w:val="single" w:sz="8" w:color="auto"/>
            </w:tcBorders>
            <w:shd w:val="clear" w:color="auto" w:fill="E5E9F3"/>
          </w:tcPr>
          <w:p>
            <w:pPr>
              <w:ind w:left="100"/>
              <w:spacing w:after="0" w:line="257" w:lineRule="exact"/>
              <w:rPr>
                <w:sz w:val="20"/>
                <w:szCs w:val="20"/>
                <w:color w:val="auto"/>
              </w:rPr>
            </w:pPr>
            <w:r>
              <w:rPr>
                <w:rFonts w:ascii="Arial" w:cs="Arial" w:eastAsia="Arial" w:hAnsi="Arial"/>
                <w:sz w:val="18"/>
                <w:szCs w:val="18"/>
                <w:color w:val="auto"/>
              </w:rPr>
              <w:t>Americas:</w:t>
            </w:r>
            <w:r>
              <w:rPr>
                <w:rFonts w:ascii="Arial" w:cs="Arial" w:eastAsia="Arial" w:hAnsi="Arial"/>
                <w:sz w:val="24"/>
                <w:szCs w:val="24"/>
                <w:color w:val="auto"/>
                <w:vertAlign w:val="superscript"/>
              </w:rPr>
              <w:t>(a)</w:t>
            </w:r>
          </w:p>
        </w:tc>
        <w:tc>
          <w:tcPr>
            <w:tcW w:w="22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1140" w:type="dxa"/>
            <w:vAlign w:val="bottom"/>
            <w:tcBorders>
              <w:top w:val="single" w:sz="8" w:color="auto"/>
            </w:tcBorders>
            <w:shd w:val="clear" w:color="auto" w:fill="E5E9F3"/>
          </w:tcPr>
          <w:p>
            <w:pPr>
              <w:spacing w:after="0"/>
              <w:rPr>
                <w:sz w:val="22"/>
                <w:szCs w:val="22"/>
                <w:color w:val="auto"/>
              </w:rPr>
            </w:pPr>
          </w:p>
        </w:tc>
        <w:tc>
          <w:tcPr>
            <w:tcW w:w="18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100" w:type="dxa"/>
            <w:vAlign w:val="bottom"/>
            <w:tcBorders>
              <w:top w:val="single" w:sz="8" w:color="auto"/>
            </w:tcBorders>
            <w:shd w:val="clear" w:color="auto" w:fill="E5E9F3"/>
          </w:tcPr>
          <w:p>
            <w:pPr>
              <w:spacing w:after="0"/>
              <w:rPr>
                <w:sz w:val="22"/>
                <w:szCs w:val="22"/>
                <w:color w:val="auto"/>
              </w:rPr>
            </w:pPr>
          </w:p>
        </w:tc>
        <w:tc>
          <w:tcPr>
            <w:tcW w:w="1200" w:type="dxa"/>
            <w:vAlign w:val="bottom"/>
            <w:tcBorders>
              <w:top w:val="single" w:sz="8" w:color="auto"/>
            </w:tcBorders>
            <w:shd w:val="clear" w:color="auto" w:fill="E5E9F3"/>
          </w:tcPr>
          <w:p>
            <w:pPr>
              <w:spacing w:after="0"/>
              <w:rPr>
                <w:sz w:val="22"/>
                <w:szCs w:val="22"/>
                <w:color w:val="auto"/>
              </w:rPr>
            </w:pPr>
          </w:p>
        </w:tc>
        <w:tc>
          <w:tcPr>
            <w:tcW w:w="160" w:type="dxa"/>
            <w:vAlign w:val="bottom"/>
            <w:tcBorders>
              <w:top w:val="single" w:sz="8" w:color="auto"/>
            </w:tcBorders>
            <w:shd w:val="clear" w:color="auto" w:fill="E5E9F3"/>
          </w:tcPr>
          <w:p>
            <w:pPr>
              <w:spacing w:after="0"/>
              <w:rPr>
                <w:sz w:val="22"/>
                <w:szCs w:val="22"/>
                <w:color w:val="auto"/>
              </w:rPr>
            </w:pPr>
          </w:p>
        </w:tc>
        <w:tc>
          <w:tcPr>
            <w:tcW w:w="20" w:type="dxa"/>
            <w:vAlign w:val="bottom"/>
            <w:tcBorders>
              <w:top w:val="single" w:sz="8" w:color="auto"/>
            </w:tcBorders>
            <w:shd w:val="clear" w:color="auto" w:fill="E5E9F3"/>
          </w:tcPr>
          <w:p>
            <w:pPr>
              <w:spacing w:after="0"/>
              <w:rPr>
                <w:sz w:val="22"/>
                <w:szCs w:val="22"/>
                <w:color w:val="auto"/>
              </w:rPr>
            </w:pPr>
          </w:p>
        </w:tc>
        <w:tc>
          <w:tcPr>
            <w:tcW w:w="240" w:type="dxa"/>
            <w:vAlign w:val="bottom"/>
            <w:tcBorders>
              <w:top w:val="single" w:sz="8" w:color="auto"/>
            </w:tcBorders>
            <w:shd w:val="clear" w:color="auto" w:fill="E5E9F3"/>
          </w:tcPr>
          <w:p>
            <w:pPr>
              <w:spacing w:after="0"/>
              <w:rPr>
                <w:sz w:val="22"/>
                <w:szCs w:val="22"/>
                <w:color w:val="auto"/>
              </w:rPr>
            </w:pPr>
          </w:p>
        </w:tc>
        <w:tc>
          <w:tcPr>
            <w:tcW w:w="1060" w:type="dxa"/>
            <w:vAlign w:val="bottom"/>
            <w:tcBorders>
              <w:top w:val="single" w:sz="8" w:color="auto"/>
            </w:tcBorders>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line="267" w:lineRule="exact"/>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(b)</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3,368.1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2,412.5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751.2</w:t>
            </w: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22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1,567.6</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1,324.0</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2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spacing w:after="0"/>
              <w:rPr>
                <w:sz w:val="22"/>
                <w:szCs w:val="22"/>
                <w:color w:val="auto"/>
              </w:rPr>
            </w:pPr>
          </w:p>
        </w:tc>
        <w:tc>
          <w:tcPr>
            <w:tcW w:w="22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4,935.7</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3,736.5</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916.6</w:t>
            </w:r>
          </w:p>
        </w:tc>
        <w:tc>
          <w:tcPr>
            <w:tcW w:w="16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shd w:val="clear" w:color="auto" w:fill="E5E9F3"/>
          </w:tcPr>
          <w:p>
            <w:pPr>
              <w:spacing w:after="0"/>
              <w:rPr>
                <w:sz w:val="22"/>
                <w:szCs w:val="22"/>
                <w:color w:val="auto"/>
              </w:rPr>
            </w:pPr>
          </w:p>
        </w:tc>
        <w:tc>
          <w:tcPr>
            <w:tcW w:w="1060" w:type="dxa"/>
            <w:vAlign w:val="bottom"/>
            <w:shd w:val="clear" w:color="auto" w:fill="E5E9F3"/>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4,785.0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4,077.2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481.1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22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1,706.9</w:t>
            </w: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1,431.6</w:t>
            </w: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40" w:type="dxa"/>
            <w:vAlign w:val="bottom"/>
            <w:shd w:val="clear" w:color="auto" w:fill="E5E9F3"/>
          </w:tcPr>
          <w:p>
            <w:pPr>
              <w:spacing w:after="0"/>
              <w:rPr>
                <w:sz w:val="23"/>
                <w:szCs w:val="23"/>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2,044.4</w:t>
            </w: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1,756.8</w:t>
            </w: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224.2</w:t>
            </w: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spacing w:after="0"/>
              <w:rPr>
                <w:sz w:val="22"/>
                <w:szCs w:val="22"/>
                <w:color w:val="auto"/>
              </w:rPr>
            </w:pPr>
          </w:p>
        </w:tc>
        <w:tc>
          <w:tcPr>
            <w:tcW w:w="220" w:type="dxa"/>
            <w:vAlign w:val="bottom"/>
            <w:shd w:val="clear" w:color="auto" w:fill="E5E9F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8,536.3</w:t>
            </w:r>
          </w:p>
        </w:tc>
        <w:tc>
          <w:tcPr>
            <w:tcW w:w="18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7,265.6</w:t>
            </w:r>
          </w:p>
        </w:tc>
        <w:tc>
          <w:tcPr>
            <w:tcW w:w="18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857.7</w:t>
            </w:r>
          </w:p>
        </w:tc>
        <w:tc>
          <w:tcPr>
            <w:tcW w:w="160" w:type="dxa"/>
            <w:vAlign w:val="bottom"/>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57"/>
        </w:trPr>
        <w:tc>
          <w:tcPr>
            <w:tcW w:w="478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4,048.3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3,344.6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661.3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22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2,387.3</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60" w:type="dxa"/>
            <w:vAlign w:val="bottom"/>
            <w:tcBorders>
              <w:bottom w:val="single" w:sz="8" w:color="auto"/>
            </w:tcBorders>
            <w:shd w:val="clear" w:color="auto" w:fill="E5E9F3"/>
          </w:tcPr>
          <w:p>
            <w:pPr>
              <w:spacing w:after="0"/>
              <w:rPr>
                <w:sz w:val="23"/>
                <w:szCs w:val="23"/>
                <w:color w:val="auto"/>
              </w:rPr>
            </w:pPr>
          </w:p>
        </w:tc>
        <w:tc>
          <w:tcPr>
            <w:tcW w:w="114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1,988.6</w:t>
            </w:r>
          </w:p>
        </w:tc>
        <w:tc>
          <w:tcPr>
            <w:tcW w:w="18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100" w:type="dxa"/>
            <w:vAlign w:val="bottom"/>
            <w:tcBorders>
              <w:bottom w:val="single" w:sz="8" w:color="auto"/>
            </w:tcBorders>
            <w:shd w:val="clear" w:color="auto" w:fill="E5E9F3"/>
          </w:tcPr>
          <w:p>
            <w:pPr>
              <w:spacing w:after="0"/>
              <w:rPr>
                <w:sz w:val="23"/>
                <w:szCs w:val="23"/>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310.9</w:t>
            </w:r>
          </w:p>
        </w:tc>
        <w:tc>
          <w:tcPr>
            <w:tcW w:w="160" w:type="dxa"/>
            <w:vAlign w:val="bottom"/>
            <w:shd w:val="clear" w:color="auto" w:fill="E5E9F3"/>
          </w:tcPr>
          <w:p>
            <w:pPr>
              <w:spacing w:after="0"/>
              <w:rPr>
                <w:sz w:val="23"/>
                <w:szCs w:val="23"/>
                <w:color w:val="auto"/>
              </w:rPr>
            </w:pPr>
          </w:p>
        </w:tc>
        <w:tc>
          <w:tcPr>
            <w:tcW w:w="20" w:type="dxa"/>
            <w:vAlign w:val="bottom"/>
            <w:tcBorders>
              <w:bottom w:val="single" w:sz="8" w:color="auto"/>
            </w:tcBorders>
            <w:shd w:val="clear" w:color="auto" w:fill="E5E9F3"/>
          </w:tcPr>
          <w:p>
            <w:pPr>
              <w:spacing w:after="0"/>
              <w:rPr>
                <w:sz w:val="23"/>
                <w:szCs w:val="23"/>
                <w:color w:val="auto"/>
              </w:rPr>
            </w:pPr>
          </w:p>
        </w:tc>
        <w:tc>
          <w:tcPr>
            <w:tcW w:w="240" w:type="dxa"/>
            <w:vAlign w:val="bottom"/>
            <w:tcBorders>
              <w:bottom w:val="single" w:sz="8" w:color="auto"/>
            </w:tcBorders>
            <w:shd w:val="clear" w:color="auto" w:fill="E5E9F3"/>
          </w:tcPr>
          <w:p>
            <w:pPr>
              <w:spacing w:after="0"/>
              <w:rPr>
                <w:sz w:val="23"/>
                <w:szCs w:val="23"/>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tcPr>
          <w:p>
            <w:pPr>
              <w:ind w:left="20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19,907.6</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16,335.3</w:t>
            </w:r>
          </w:p>
        </w:tc>
        <w:tc>
          <w:tcPr>
            <w:tcW w:w="18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2,746.5</w:t>
            </w:r>
          </w:p>
        </w:tc>
        <w:tc>
          <w:tcPr>
            <w:tcW w:w="160" w:type="dxa"/>
            <w:vAlign w:val="bottom"/>
            <w:tcBorders>
              <w:bottom w:val="single" w:sz="8" w:color="E5E9F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(80.1 )</w:t>
            </w:r>
          </w:p>
        </w:tc>
        <w:tc>
          <w:tcPr>
            <w:tcW w:w="18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14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(80.1 )</w:t>
            </w:r>
          </w:p>
        </w:tc>
        <w:tc>
          <w:tcPr>
            <w:tcW w:w="18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100" w:type="dxa"/>
            <w:vAlign w:val="bottom"/>
            <w:tcBorders>
              <w:bottom w:val="single" w:sz="8" w:color="auto"/>
            </w:tcBorders>
            <w:shd w:val="clear" w:color="auto" w:fill="E5E9F3"/>
          </w:tcPr>
          <w:p>
            <w:pPr>
              <w:spacing w:after="0"/>
              <w:rPr>
                <w:sz w:val="22"/>
                <w:szCs w:val="22"/>
                <w:color w:val="auto"/>
              </w:rPr>
            </w:pPr>
          </w:p>
        </w:tc>
        <w:tc>
          <w:tcPr>
            <w:tcW w:w="120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5E9F3"/>
            </w:tcBorders>
            <w:shd w:val="clear" w:color="auto" w:fill="E5E9F3"/>
          </w:tcPr>
          <w:p>
            <w:pPr>
              <w:spacing w:after="0"/>
              <w:rPr>
                <w:sz w:val="22"/>
                <w:szCs w:val="22"/>
                <w:color w:val="auto"/>
              </w:rPr>
            </w:pPr>
          </w:p>
        </w:tc>
        <w:tc>
          <w:tcPr>
            <w:tcW w:w="20" w:type="dxa"/>
            <w:vAlign w:val="bottom"/>
            <w:tcBorders>
              <w:bottom w:val="single" w:sz="8" w:color="auto"/>
            </w:tcBorders>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19,827.5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16,255.2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2,746.5</w:t>
            </w: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52"/>
        </w:trPr>
        <w:tc>
          <w:tcPr>
            <w:tcW w:w="4780" w:type="dxa"/>
            <w:vAlign w:val="bottom"/>
            <w:tcBorders>
              <w:top w:val="single" w:sz="8" w:color="E5E9F3"/>
            </w:tcBorders>
            <w:shd w:val="clear" w:color="auto" w:fill="E5E9F3"/>
          </w:tcPr>
          <w:p>
            <w:pPr>
              <w:ind w:left="100"/>
              <w:spacing w:after="0"/>
              <w:rPr>
                <w:sz w:val="20"/>
                <w:szCs w:val="20"/>
                <w:color w:val="auto"/>
              </w:rPr>
            </w:pPr>
            <w:r>
              <w:rPr>
                <w:rFonts w:ascii="Arial" w:cs="Arial" w:eastAsia="Arial" w:hAnsi="Arial"/>
                <w:sz w:val="18"/>
                <w:szCs w:val="18"/>
                <w:color w:val="auto"/>
              </w:rPr>
              <w:t>Reconciliation of operating unit profit (segment OUP)</w:t>
            </w:r>
          </w:p>
        </w:tc>
        <w:tc>
          <w:tcPr>
            <w:tcW w:w="22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160" w:type="dxa"/>
            <w:vAlign w:val="bottom"/>
            <w:tcBorders>
              <w:top w:val="single" w:sz="8" w:color="auto"/>
            </w:tcBorders>
            <w:shd w:val="clear" w:color="auto" w:fill="E5E9F3"/>
          </w:tcPr>
          <w:p>
            <w:pPr>
              <w:spacing w:after="0"/>
              <w:rPr>
                <w:sz w:val="21"/>
                <w:szCs w:val="21"/>
                <w:color w:val="auto"/>
              </w:rPr>
            </w:pPr>
          </w:p>
        </w:tc>
        <w:tc>
          <w:tcPr>
            <w:tcW w:w="1140" w:type="dxa"/>
            <w:vAlign w:val="bottom"/>
            <w:tcBorders>
              <w:top w:val="single" w:sz="8" w:color="auto"/>
            </w:tcBorders>
            <w:shd w:val="clear" w:color="auto" w:fill="E5E9F3"/>
          </w:tcPr>
          <w:p>
            <w:pPr>
              <w:spacing w:after="0"/>
              <w:rPr>
                <w:sz w:val="21"/>
                <w:szCs w:val="21"/>
                <w:color w:val="auto"/>
              </w:rPr>
            </w:pPr>
          </w:p>
        </w:tc>
        <w:tc>
          <w:tcPr>
            <w:tcW w:w="18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160" w:type="dxa"/>
            <w:vAlign w:val="bottom"/>
            <w:tcBorders>
              <w:top w:val="single" w:sz="8" w:color="auto"/>
            </w:tcBorders>
            <w:shd w:val="clear" w:color="auto" w:fill="E5E9F3"/>
          </w:tcPr>
          <w:p>
            <w:pPr>
              <w:spacing w:after="0"/>
              <w:rPr>
                <w:sz w:val="21"/>
                <w:szCs w:val="21"/>
                <w:color w:val="auto"/>
              </w:rPr>
            </w:pPr>
          </w:p>
        </w:tc>
        <w:tc>
          <w:tcPr>
            <w:tcW w:w="1140" w:type="dxa"/>
            <w:vAlign w:val="bottom"/>
            <w:tcBorders>
              <w:top w:val="single" w:sz="8" w:color="auto"/>
            </w:tcBorders>
            <w:shd w:val="clear" w:color="auto" w:fill="E5E9F3"/>
          </w:tcPr>
          <w:p>
            <w:pPr>
              <w:spacing w:after="0"/>
              <w:rPr>
                <w:sz w:val="21"/>
                <w:szCs w:val="21"/>
                <w:color w:val="auto"/>
              </w:rPr>
            </w:pPr>
          </w:p>
        </w:tc>
        <w:tc>
          <w:tcPr>
            <w:tcW w:w="18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auto"/>
            </w:tcBorders>
            <w:shd w:val="clear" w:color="auto" w:fill="E5E9F3"/>
          </w:tcPr>
          <w:p>
            <w:pPr>
              <w:spacing w:after="0"/>
              <w:rPr>
                <w:sz w:val="21"/>
                <w:szCs w:val="21"/>
                <w:color w:val="auto"/>
              </w:rPr>
            </w:pPr>
          </w:p>
        </w:tc>
        <w:tc>
          <w:tcPr>
            <w:tcW w:w="100" w:type="dxa"/>
            <w:vAlign w:val="bottom"/>
            <w:tcBorders>
              <w:top w:val="single" w:sz="8" w:color="auto"/>
            </w:tcBorders>
            <w:shd w:val="clear" w:color="auto" w:fill="E5E9F3"/>
          </w:tcPr>
          <w:p>
            <w:pPr>
              <w:spacing w:after="0"/>
              <w:rPr>
                <w:sz w:val="21"/>
                <w:szCs w:val="21"/>
                <w:color w:val="auto"/>
              </w:rPr>
            </w:pPr>
          </w:p>
        </w:tc>
        <w:tc>
          <w:tcPr>
            <w:tcW w:w="1200" w:type="dxa"/>
            <w:vAlign w:val="bottom"/>
            <w:tcBorders>
              <w:top w:val="single" w:sz="8" w:color="auto"/>
            </w:tcBorders>
            <w:shd w:val="clear" w:color="auto" w:fill="E5E9F3"/>
          </w:tcPr>
          <w:p>
            <w:pPr>
              <w:spacing w:after="0"/>
              <w:rPr>
                <w:sz w:val="21"/>
                <w:szCs w:val="21"/>
                <w:color w:val="auto"/>
              </w:rPr>
            </w:pPr>
          </w:p>
        </w:tc>
        <w:tc>
          <w:tcPr>
            <w:tcW w:w="160" w:type="dxa"/>
            <w:vAlign w:val="bottom"/>
            <w:tcBorders>
              <w:top w:val="single" w:sz="8" w:color="E5E9F3"/>
            </w:tcBorders>
            <w:shd w:val="clear" w:color="auto" w:fill="E5E9F3"/>
          </w:tcPr>
          <w:p>
            <w:pPr>
              <w:spacing w:after="0"/>
              <w:rPr>
                <w:sz w:val="21"/>
                <w:szCs w:val="21"/>
                <w:color w:val="auto"/>
              </w:rPr>
            </w:pPr>
          </w:p>
        </w:tc>
        <w:tc>
          <w:tcPr>
            <w:tcW w:w="20" w:type="dxa"/>
            <w:vAlign w:val="bottom"/>
            <w:tcBorders>
              <w:top w:val="single" w:sz="8" w:color="E5E9F3"/>
            </w:tcBorders>
            <w:shd w:val="clear" w:color="auto" w:fill="E5E9F3"/>
          </w:tcPr>
          <w:p>
            <w:pPr>
              <w:spacing w:after="0"/>
              <w:rPr>
                <w:sz w:val="21"/>
                <w:szCs w:val="21"/>
                <w:color w:val="auto"/>
              </w:rPr>
            </w:pPr>
          </w:p>
        </w:tc>
        <w:tc>
          <w:tcPr>
            <w:tcW w:w="240" w:type="dxa"/>
            <w:vAlign w:val="bottom"/>
            <w:tcBorders>
              <w:top w:val="single" w:sz="8" w:color="auto"/>
            </w:tcBorders>
            <w:shd w:val="clear" w:color="auto" w:fill="E5E9F3"/>
          </w:tcPr>
          <w:p>
            <w:pPr>
              <w:spacing w:after="0"/>
              <w:rPr>
                <w:sz w:val="21"/>
                <w:szCs w:val="21"/>
                <w:color w:val="auto"/>
              </w:rPr>
            </w:pPr>
          </w:p>
        </w:tc>
        <w:tc>
          <w:tcPr>
            <w:tcW w:w="1060" w:type="dxa"/>
            <w:vAlign w:val="bottom"/>
            <w:tcBorders>
              <w:top w:val="single" w:sz="8" w:color="auto"/>
            </w:tcBorders>
            <w:shd w:val="clear" w:color="auto" w:fill="E5E9F3"/>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3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(157.0 )</w:t>
            </w:r>
          </w:p>
        </w:tc>
        <w:tc>
          <w:tcPr>
            <w:tcW w:w="0" w:type="dxa"/>
            <w:vAlign w:val="bottom"/>
          </w:tcPr>
          <w:p>
            <w:pPr>
              <w:spacing w:after="0"/>
              <w:rPr>
                <w:sz w:val="1"/>
                <w:szCs w:val="1"/>
                <w:color w:val="auto"/>
              </w:rPr>
            </w:pPr>
          </w:p>
        </w:tc>
      </w:tr>
      <w:tr>
        <w:trPr>
          <w:trHeight w:val="26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Goodwill impairment charges</w:t>
            </w:r>
          </w:p>
        </w:tc>
        <w:tc>
          <w:tcPr>
            <w:tcW w:w="22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1140" w:type="dxa"/>
            <w:vAlign w:val="bottom"/>
            <w:shd w:val="clear" w:color="auto" w:fill="E5E9F3"/>
          </w:tcPr>
          <w:p>
            <w:pPr>
              <w:spacing w:after="0"/>
              <w:rPr>
                <w:sz w:val="23"/>
                <w:szCs w:val="23"/>
                <w:color w:val="auto"/>
              </w:rPr>
            </w:pPr>
          </w:p>
        </w:tc>
        <w:tc>
          <w:tcPr>
            <w:tcW w:w="18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100" w:type="dxa"/>
            <w:vAlign w:val="bottom"/>
            <w:shd w:val="clear" w:color="auto" w:fill="E5E9F3"/>
          </w:tcPr>
          <w:p>
            <w:pPr>
              <w:spacing w:after="0"/>
              <w:rPr>
                <w:sz w:val="23"/>
                <w:szCs w:val="23"/>
                <w:color w:val="auto"/>
              </w:rPr>
            </w:pPr>
          </w:p>
        </w:tc>
        <w:tc>
          <w:tcPr>
            <w:tcW w:w="1200" w:type="dxa"/>
            <w:vAlign w:val="bottom"/>
            <w:shd w:val="clear" w:color="auto" w:fill="E5E9F3"/>
          </w:tcPr>
          <w:p>
            <w:pPr>
              <w:spacing w:after="0"/>
              <w:rPr>
                <w:sz w:val="23"/>
                <w:szCs w:val="23"/>
                <w:color w:val="auto"/>
              </w:rPr>
            </w:pPr>
          </w:p>
        </w:tc>
        <w:tc>
          <w:tcPr>
            <w:tcW w:w="160" w:type="dxa"/>
            <w:vAlign w:val="bottom"/>
            <w:shd w:val="clear" w:color="auto" w:fill="E5E9F3"/>
          </w:tcPr>
          <w:p>
            <w:pPr>
              <w:spacing w:after="0"/>
              <w:rPr>
                <w:sz w:val="23"/>
                <w:szCs w:val="23"/>
                <w:color w:val="auto"/>
              </w:rPr>
            </w:pPr>
          </w:p>
        </w:tc>
        <w:tc>
          <w:tcPr>
            <w:tcW w:w="20" w:type="dxa"/>
            <w:vAlign w:val="bottom"/>
            <w:shd w:val="clear" w:color="auto" w:fill="E5E9F3"/>
          </w:tcPr>
          <w:p>
            <w:pPr>
              <w:spacing w:after="0"/>
              <w:rPr>
                <w:sz w:val="23"/>
                <w:szCs w:val="23"/>
                <w:color w:val="auto"/>
              </w:rPr>
            </w:pPr>
          </w:p>
        </w:tc>
        <w:tc>
          <w:tcPr>
            <w:tcW w:w="240" w:type="dxa"/>
            <w:vAlign w:val="bottom"/>
            <w:shd w:val="clear" w:color="auto" w:fill="E5E9F3"/>
          </w:tcPr>
          <w:p>
            <w:pPr>
              <w:spacing w:after="0"/>
              <w:rPr>
                <w:sz w:val="23"/>
                <w:szCs w:val="23"/>
                <w:color w:val="auto"/>
              </w:rPr>
            </w:pPr>
          </w:p>
        </w:tc>
        <w:tc>
          <w:tcPr>
            <w:tcW w:w="1060" w:type="dxa"/>
            <w:vAlign w:val="bottom"/>
            <w:shd w:val="clear" w:color="auto" w:fill="E5E9F3"/>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line="267"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(c)</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0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50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51"/>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Interest and other expenses, net</w:t>
            </w:r>
          </w:p>
        </w:tc>
        <w:tc>
          <w:tcPr>
            <w:tcW w:w="22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1140" w:type="dxa"/>
            <w:vAlign w:val="bottom"/>
            <w:tcBorders>
              <w:bottom w:val="single" w:sz="8" w:color="E5E9F3"/>
            </w:tcBorders>
          </w:tcPr>
          <w:p>
            <w:pPr>
              <w:spacing w:after="0"/>
              <w:rPr>
                <w:sz w:val="23"/>
                <w:szCs w:val="23"/>
                <w:color w:val="auto"/>
              </w:rPr>
            </w:pPr>
          </w:p>
        </w:tc>
        <w:tc>
          <w:tcPr>
            <w:tcW w:w="18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100" w:type="dxa"/>
            <w:vAlign w:val="bottom"/>
            <w:tcBorders>
              <w:bottom w:val="single" w:sz="8" w:color="E5E9F3"/>
            </w:tcBorders>
          </w:tcPr>
          <w:p>
            <w:pPr>
              <w:spacing w:after="0"/>
              <w:rPr>
                <w:sz w:val="23"/>
                <w:szCs w:val="23"/>
                <w:color w:val="auto"/>
              </w:rPr>
            </w:pPr>
          </w:p>
        </w:tc>
        <w:tc>
          <w:tcPr>
            <w:tcW w:w="1200" w:type="dxa"/>
            <w:vAlign w:val="bottom"/>
            <w:tcBorders>
              <w:bottom w:val="single" w:sz="8" w:color="E5E9F3"/>
            </w:tcBorders>
          </w:tcPr>
          <w:p>
            <w:pPr>
              <w:spacing w:after="0"/>
              <w:rPr>
                <w:sz w:val="23"/>
                <w:szCs w:val="23"/>
                <w:color w:val="auto"/>
              </w:rPr>
            </w:pPr>
          </w:p>
        </w:tc>
        <w:tc>
          <w:tcPr>
            <w:tcW w:w="160" w:type="dxa"/>
            <w:vAlign w:val="bottom"/>
            <w:tcBorders>
              <w:bottom w:val="single" w:sz="8" w:color="E5E9F3"/>
            </w:tcBorders>
          </w:tcPr>
          <w:p>
            <w:pPr>
              <w:spacing w:after="0"/>
              <w:rPr>
                <w:sz w:val="23"/>
                <w:szCs w:val="23"/>
                <w:color w:val="auto"/>
              </w:rPr>
            </w:pPr>
          </w:p>
        </w:tc>
        <w:tc>
          <w:tcPr>
            <w:tcW w:w="20" w:type="dxa"/>
            <w:vAlign w:val="bottom"/>
            <w:tcBorders>
              <w:bottom w:val="single" w:sz="8" w:color="E5E9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57"/>
        </w:trPr>
        <w:tc>
          <w:tcPr>
            <w:tcW w:w="4780" w:type="dxa"/>
            <w:vAlign w:val="bottom"/>
            <w:shd w:val="clear" w:color="auto" w:fill="E5E9F3"/>
          </w:tcPr>
          <w:p>
            <w:pPr>
              <w:ind w:left="30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140" w:type="dxa"/>
            <w:vAlign w:val="bottom"/>
            <w:shd w:val="clear" w:color="auto" w:fill="E5E9F3"/>
          </w:tcPr>
          <w:p>
            <w:pPr>
              <w:spacing w:after="0"/>
              <w:rPr>
                <w:sz w:val="22"/>
                <w:szCs w:val="22"/>
                <w:color w:val="auto"/>
              </w:rPr>
            </w:pPr>
          </w:p>
        </w:tc>
        <w:tc>
          <w:tcPr>
            <w:tcW w:w="18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100" w:type="dxa"/>
            <w:vAlign w:val="bottom"/>
            <w:shd w:val="clear" w:color="auto" w:fill="E5E9F3"/>
          </w:tcPr>
          <w:p>
            <w:pPr>
              <w:spacing w:after="0"/>
              <w:rPr>
                <w:sz w:val="22"/>
                <w:szCs w:val="22"/>
                <w:color w:val="auto"/>
              </w:rPr>
            </w:pPr>
          </w:p>
        </w:tc>
        <w:tc>
          <w:tcPr>
            <w:tcW w:w="120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20" w:type="dxa"/>
            <w:vAlign w:val="bottom"/>
            <w:shd w:val="clear" w:color="auto" w:fill="E5E9F3"/>
          </w:tcPr>
          <w:p>
            <w:pPr>
              <w:spacing w:after="0"/>
              <w:rPr>
                <w:sz w:val="22"/>
                <w:szCs w:val="22"/>
                <w:color w:val="auto"/>
              </w:rPr>
            </w:pPr>
          </w:p>
        </w:tc>
        <w:tc>
          <w:tcPr>
            <w:tcW w:w="240" w:type="dxa"/>
            <w:vAlign w:val="bottom"/>
            <w:tcBorders>
              <w:bottom w:val="single" w:sz="8" w:color="auto"/>
            </w:tcBorders>
            <w:shd w:val="clear" w:color="auto" w:fill="E5E9F3"/>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5E9F3"/>
          </w:tcPr>
          <w:p>
            <w:pPr>
              <w:jc w:val="right"/>
              <w:ind w:right="51"/>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hanging="320"/>
        <w:spacing w:after="0" w:line="243"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0" w:hanging="320"/>
        <w:spacing w:after="0" w:line="239"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6"/>
          <w:szCs w:val="16"/>
          <w:color w:val="auto"/>
        </w:rPr>
        <w:t>The United States revenues above represent revenues from our company-owned branches and franchise fees received from our franchise operations, which were $12.8 for 2022.</w:t>
      </w:r>
    </w:p>
    <w:p>
      <w:pPr>
        <w:spacing w:after="0" w:line="1" w:lineRule="exact"/>
        <w:rPr>
          <w:rFonts w:ascii="Arial" w:cs="Arial" w:eastAsia="Arial" w:hAnsi="Arial"/>
          <w:sz w:val="10"/>
          <w:szCs w:val="10"/>
          <w:color w:val="auto"/>
        </w:rPr>
      </w:pPr>
    </w:p>
    <w:p>
      <w:pPr>
        <w:ind w:left="320" w:hanging="320"/>
        <w:spacing w:after="0" w:line="236" w:lineRule="auto"/>
        <w:tabs>
          <w:tab w:leader="none" w:pos="320" w:val="left"/>
        </w:tabs>
        <w:numPr>
          <w:ilvl w:val="0"/>
          <w:numId w:val="62"/>
        </w:numPr>
        <w:rPr>
          <w:rFonts w:ascii="Arial" w:cs="Arial" w:eastAsia="Arial" w:hAnsi="Arial"/>
          <w:sz w:val="10"/>
          <w:szCs w:val="1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 separately.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60" w:type="dxa"/>
            <w:vAlign w:val="bottom"/>
            <w:tcBorders>
              <w:top w:val="single" w:sz="8" w:color="auto"/>
            </w:tcBorders>
            <w:shd w:val="clear" w:color="auto" w:fill="97AAD0"/>
          </w:tcPr>
          <w:p>
            <w:pPr>
              <w:spacing w:after="0"/>
              <w:rPr>
                <w:sz w:val="13"/>
                <w:szCs w:val="13"/>
                <w:color w:val="auto"/>
              </w:rPr>
            </w:pPr>
          </w:p>
        </w:tc>
        <w:tc>
          <w:tcPr>
            <w:tcW w:w="1800" w:type="dxa"/>
            <w:vAlign w:val="bottom"/>
            <w:tcBorders>
              <w:top w:val="single" w:sz="8" w:color="auto"/>
            </w:tcBorders>
            <w:shd w:val="clear" w:color="auto" w:fill="97AAD0"/>
          </w:tcPr>
          <w:p>
            <w:pPr>
              <w:spacing w:after="0"/>
              <w:rPr>
                <w:sz w:val="13"/>
                <w:szCs w:val="13"/>
                <w:color w:val="auto"/>
              </w:rPr>
            </w:pPr>
          </w:p>
        </w:tc>
        <w:tc>
          <w:tcPr>
            <w:tcW w:w="200" w:type="dxa"/>
            <w:vAlign w:val="bottom"/>
            <w:tcBorders>
              <w:top w:val="single" w:sz="8" w:color="auto"/>
            </w:tcBorders>
            <w:shd w:val="clear" w:color="auto" w:fill="97AAD0"/>
          </w:tcPr>
          <w:p>
            <w:pPr>
              <w:spacing w:after="0"/>
              <w:rPr>
                <w:sz w:val="13"/>
                <w:szCs w:val="13"/>
                <w:color w:val="auto"/>
              </w:rPr>
            </w:pPr>
          </w:p>
        </w:tc>
        <w:tc>
          <w:tcPr>
            <w:tcW w:w="1020" w:type="dxa"/>
            <w:vAlign w:val="bottom"/>
            <w:tcBorders>
              <w:top w:val="single" w:sz="8" w:color="auto"/>
            </w:tcBorders>
            <w:shd w:val="clear" w:color="auto" w:fill="97AAD0"/>
          </w:tcPr>
          <w:p>
            <w:pPr>
              <w:spacing w:after="0"/>
              <w:rPr>
                <w:sz w:val="13"/>
                <w:szCs w:val="13"/>
                <w:color w:val="auto"/>
              </w:rPr>
            </w:pPr>
          </w:p>
        </w:tc>
        <w:tc>
          <w:tcPr>
            <w:tcW w:w="140" w:type="dxa"/>
            <w:vAlign w:val="bottom"/>
            <w:tcBorders>
              <w:top w:val="single" w:sz="8" w:color="auto"/>
            </w:tcBorders>
            <w:shd w:val="clear" w:color="auto" w:fill="97AAD0"/>
          </w:tcPr>
          <w:p>
            <w:pPr>
              <w:spacing w:after="0"/>
              <w:rPr>
                <w:sz w:val="13"/>
                <w:szCs w:val="13"/>
                <w:color w:val="auto"/>
              </w:rPr>
            </w:pPr>
          </w:p>
        </w:tc>
        <w:tc>
          <w:tcPr>
            <w:tcW w:w="120" w:type="dxa"/>
            <w:vAlign w:val="bottom"/>
            <w:tcBorders>
              <w:top w:val="single" w:sz="8" w:color="auto"/>
            </w:tcBorders>
            <w:shd w:val="clear" w:color="auto" w:fill="97AAD0"/>
          </w:tcPr>
          <w:p>
            <w:pPr>
              <w:spacing w:after="0"/>
              <w:rPr>
                <w:sz w:val="13"/>
                <w:szCs w:val="13"/>
                <w:color w:val="auto"/>
              </w:rPr>
            </w:pPr>
          </w:p>
        </w:tc>
        <w:tc>
          <w:tcPr>
            <w:tcW w:w="1100" w:type="dxa"/>
            <w:vAlign w:val="bottom"/>
            <w:tcBorders>
              <w:top w:val="single" w:sz="8" w:color="auto"/>
            </w:tcBorders>
            <w:shd w:val="clear" w:color="auto" w:fill="97AAD0"/>
          </w:tcPr>
          <w:p>
            <w:pPr>
              <w:spacing w:after="0"/>
              <w:rPr>
                <w:sz w:val="13"/>
                <w:szCs w:val="13"/>
                <w:color w:val="auto"/>
              </w:rPr>
            </w:pPr>
          </w:p>
        </w:tc>
        <w:tc>
          <w:tcPr>
            <w:tcW w:w="140" w:type="dxa"/>
            <w:vAlign w:val="bottom"/>
            <w:tcBorders>
              <w:top w:val="single" w:sz="8" w:color="auto"/>
            </w:tcBorders>
            <w:shd w:val="clear" w:color="auto" w:fill="97AAD0"/>
          </w:tcPr>
          <w:p>
            <w:pPr>
              <w:spacing w:after="0"/>
              <w:rPr>
                <w:sz w:val="13"/>
                <w:szCs w:val="13"/>
                <w:color w:val="auto"/>
              </w:rPr>
            </w:pPr>
          </w:p>
        </w:tc>
        <w:tc>
          <w:tcPr>
            <w:tcW w:w="1220" w:type="dxa"/>
            <w:vAlign w:val="bottom"/>
            <w:tcBorders>
              <w:top w:val="single" w:sz="8" w:color="auto"/>
            </w:tcBorders>
            <w:gridSpan w:val="2"/>
            <w:shd w:val="clear" w:color="auto" w:fill="97AAD0"/>
          </w:tcPr>
          <w:p>
            <w:pPr>
              <w:jc w:val="center"/>
              <w:ind w:right="31"/>
              <w:spacing w:after="0" w:line="155" w:lineRule="exact"/>
              <w:rPr>
                <w:sz w:val="20"/>
                <w:szCs w:val="20"/>
                <w:color w:val="auto"/>
              </w:rPr>
            </w:pPr>
            <w:r>
              <w:rPr>
                <w:rFonts w:ascii="Arial" w:cs="Arial" w:eastAsia="Arial" w:hAnsi="Arial"/>
                <w:sz w:val="16"/>
                <w:szCs w:val="16"/>
                <w:b w:val="1"/>
                <w:bCs w:val="1"/>
                <w:color w:val="auto"/>
              </w:rPr>
              <w:t>Depreciation</w:t>
            </w:r>
          </w:p>
        </w:tc>
        <w:tc>
          <w:tcPr>
            <w:tcW w:w="0" w:type="dxa"/>
            <w:vAlign w:val="bottom"/>
          </w:tcPr>
          <w:p>
            <w:pPr>
              <w:spacing w:after="0"/>
              <w:rPr>
                <w:sz w:val="1"/>
                <w:szCs w:val="1"/>
                <w:color w:val="auto"/>
              </w:rPr>
            </w:pPr>
          </w:p>
        </w:tc>
      </w:tr>
      <w:tr>
        <w:trPr>
          <w:trHeight w:val="184"/>
        </w:trPr>
        <w:tc>
          <w:tcPr>
            <w:tcW w:w="5060" w:type="dxa"/>
            <w:vAlign w:val="bottom"/>
            <w:shd w:val="clear" w:color="auto" w:fill="97AAD0"/>
          </w:tcPr>
          <w:p>
            <w:pPr>
              <w:spacing w:after="0"/>
              <w:rPr>
                <w:sz w:val="15"/>
                <w:szCs w:val="15"/>
                <w:color w:val="auto"/>
              </w:rPr>
            </w:pPr>
          </w:p>
        </w:tc>
        <w:tc>
          <w:tcPr>
            <w:tcW w:w="1800" w:type="dxa"/>
            <w:vAlign w:val="bottom"/>
            <w:shd w:val="clear" w:color="auto" w:fill="97AAD0"/>
          </w:tcPr>
          <w:p>
            <w:pPr>
              <w:spacing w:after="0"/>
              <w:rPr>
                <w:sz w:val="15"/>
                <w:szCs w:val="15"/>
                <w:color w:val="auto"/>
              </w:rPr>
            </w:pPr>
          </w:p>
        </w:tc>
        <w:tc>
          <w:tcPr>
            <w:tcW w:w="200" w:type="dxa"/>
            <w:vAlign w:val="bottom"/>
            <w:shd w:val="clear" w:color="auto" w:fill="97AAD0"/>
          </w:tcPr>
          <w:p>
            <w:pPr>
              <w:spacing w:after="0"/>
              <w:rPr>
                <w:sz w:val="15"/>
                <w:szCs w:val="15"/>
                <w:color w:val="auto"/>
              </w:rPr>
            </w:pPr>
          </w:p>
        </w:tc>
        <w:tc>
          <w:tcPr>
            <w:tcW w:w="1020" w:type="dxa"/>
            <w:vAlign w:val="bottom"/>
            <w:vMerge w:val="restart"/>
            <w:shd w:val="clear" w:color="auto" w:fill="97AAD0"/>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00" w:type="dxa"/>
            <w:vAlign w:val="bottom"/>
            <w:vMerge w:val="restart"/>
            <w:shd w:val="clear" w:color="auto" w:fill="97AAD0"/>
          </w:tcPr>
          <w:p>
            <w:pPr>
              <w:jc w:val="right"/>
              <w:ind w:right="171"/>
              <w:spacing w:after="0"/>
              <w:rPr>
                <w:sz w:val="20"/>
                <w:szCs w:val="20"/>
                <w:color w:val="auto"/>
              </w:rPr>
            </w:pPr>
            <w:r>
              <w:rPr>
                <w:rFonts w:ascii="Arial" w:cs="Arial" w:eastAsia="Arial" w:hAnsi="Arial"/>
                <w:sz w:val="16"/>
                <w:szCs w:val="16"/>
                <w:b w:val="1"/>
                <w:bCs w:val="1"/>
                <w:color w:val="auto"/>
              </w:rPr>
              <w:t>Long-lived</w:t>
            </w:r>
          </w:p>
        </w:tc>
        <w:tc>
          <w:tcPr>
            <w:tcW w:w="140" w:type="dxa"/>
            <w:vAlign w:val="bottom"/>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060" w:type="dxa"/>
            <w:vAlign w:val="bottom"/>
            <w:shd w:val="clear" w:color="auto" w:fill="97AAD0"/>
          </w:tcPr>
          <w:p>
            <w:pPr>
              <w:jc w:val="center"/>
              <w:ind w:right="191"/>
              <w:spacing w:after="0"/>
              <w:rPr>
                <w:sz w:val="20"/>
                <w:szCs w:val="20"/>
                <w:color w:val="auto"/>
              </w:rPr>
            </w:pPr>
            <w:r>
              <w:rPr>
                <w:rFonts w:ascii="Arial" w:cs="Arial" w:eastAsia="Arial" w:hAnsi="Arial"/>
                <w:sz w:val="16"/>
                <w:szCs w:val="16"/>
                <w:b w:val="1"/>
                <w:bCs w:val="1"/>
                <w:color w:val="auto"/>
              </w:rPr>
              <w:t>and</w:t>
            </w:r>
          </w:p>
        </w:tc>
        <w:tc>
          <w:tcPr>
            <w:tcW w:w="0" w:type="dxa"/>
            <w:vAlign w:val="bottom"/>
          </w:tcPr>
          <w:p>
            <w:pPr>
              <w:spacing w:after="0"/>
              <w:rPr>
                <w:sz w:val="1"/>
                <w:szCs w:val="1"/>
                <w:color w:val="auto"/>
              </w:rPr>
            </w:pPr>
          </w:p>
        </w:tc>
      </w:tr>
      <w:tr>
        <w:trPr>
          <w:trHeight w:val="184"/>
        </w:trPr>
        <w:tc>
          <w:tcPr>
            <w:tcW w:w="506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Year Ended December 31, 2022</w:t>
            </w:r>
          </w:p>
        </w:tc>
        <w:tc>
          <w:tcPr>
            <w:tcW w:w="1800" w:type="dxa"/>
            <w:vAlign w:val="bottom"/>
            <w:shd w:val="clear" w:color="auto" w:fill="97AAD0"/>
          </w:tcPr>
          <w:p>
            <w:pPr>
              <w:spacing w:after="0"/>
              <w:rPr>
                <w:sz w:val="15"/>
                <w:szCs w:val="15"/>
                <w:color w:val="auto"/>
              </w:rPr>
            </w:pPr>
          </w:p>
        </w:tc>
        <w:tc>
          <w:tcPr>
            <w:tcW w:w="200" w:type="dxa"/>
            <w:vAlign w:val="bottom"/>
            <w:shd w:val="clear" w:color="auto" w:fill="97AAD0"/>
          </w:tcPr>
          <w:p>
            <w:pPr>
              <w:spacing w:after="0"/>
              <w:rPr>
                <w:sz w:val="15"/>
                <w:szCs w:val="15"/>
                <w:color w:val="auto"/>
              </w:rPr>
            </w:pPr>
          </w:p>
        </w:tc>
        <w:tc>
          <w:tcPr>
            <w:tcW w:w="1020" w:type="dxa"/>
            <w:vAlign w:val="bottom"/>
            <w:vMerge w:val="continue"/>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0" w:type="dxa"/>
            <w:vAlign w:val="bottom"/>
            <w:shd w:val="clear" w:color="auto" w:fill="97AAD0"/>
          </w:tcPr>
          <w:p>
            <w:pPr>
              <w:spacing w:after="0"/>
              <w:rPr>
                <w:sz w:val="15"/>
                <w:szCs w:val="15"/>
                <w:color w:val="auto"/>
              </w:rPr>
            </w:pPr>
          </w:p>
        </w:tc>
        <w:tc>
          <w:tcPr>
            <w:tcW w:w="1100" w:type="dxa"/>
            <w:vAlign w:val="bottom"/>
            <w:vMerge w:val="continue"/>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220" w:type="dxa"/>
            <w:vAlign w:val="bottom"/>
            <w:gridSpan w:val="2"/>
            <w:shd w:val="clear" w:color="auto" w:fill="97AAD0"/>
          </w:tcPr>
          <w:p>
            <w:pPr>
              <w:jc w:val="center"/>
              <w:ind w:right="31"/>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5060" w:type="dxa"/>
            <w:vAlign w:val="bottom"/>
            <w:tcBorders>
              <w:bottom w:val="single" w:sz="8" w:color="auto"/>
            </w:tcBorders>
            <w:vMerge w:val="continue"/>
            <w:shd w:val="clear" w:color="auto" w:fill="97AAD0"/>
          </w:tcPr>
          <w:p>
            <w:pPr>
              <w:spacing w:after="0"/>
              <w:rPr>
                <w:sz w:val="19"/>
                <w:szCs w:val="19"/>
                <w:color w:val="auto"/>
              </w:rPr>
            </w:pPr>
          </w:p>
        </w:tc>
        <w:tc>
          <w:tcPr>
            <w:tcW w:w="1800" w:type="dxa"/>
            <w:vAlign w:val="bottom"/>
            <w:tcBorders>
              <w:bottom w:val="single" w:sz="8" w:color="auto"/>
            </w:tcBorders>
            <w:shd w:val="clear" w:color="auto" w:fill="97AAD0"/>
          </w:tcPr>
          <w:p>
            <w:pPr>
              <w:spacing w:after="0"/>
              <w:rPr>
                <w:sz w:val="19"/>
                <w:szCs w:val="19"/>
                <w:color w:val="auto"/>
              </w:rPr>
            </w:pPr>
          </w:p>
        </w:tc>
        <w:tc>
          <w:tcPr>
            <w:tcW w:w="200" w:type="dxa"/>
            <w:vAlign w:val="bottom"/>
            <w:tcBorders>
              <w:bottom w:val="single" w:sz="8" w:color="auto"/>
            </w:tcBorders>
            <w:shd w:val="clear" w:color="auto" w:fill="97AAD0"/>
          </w:tcPr>
          <w:p>
            <w:pPr>
              <w:spacing w:after="0"/>
              <w:rPr>
                <w:sz w:val="19"/>
                <w:szCs w:val="19"/>
                <w:color w:val="auto"/>
              </w:rPr>
            </w:pPr>
          </w:p>
        </w:tc>
        <w:tc>
          <w:tcPr>
            <w:tcW w:w="1020" w:type="dxa"/>
            <w:vAlign w:val="bottom"/>
            <w:tcBorders>
              <w:bottom w:val="single" w:sz="8" w:color="auto"/>
            </w:tcBorders>
            <w:shd w:val="clear" w:color="auto" w:fill="97AAD0"/>
          </w:tcPr>
          <w:p>
            <w:pPr>
              <w:jc w:val="right"/>
              <w:ind w:right="311"/>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shd w:val="clear" w:color="auto" w:fill="97AAD0"/>
          </w:tcPr>
          <w:p>
            <w:pPr>
              <w:spacing w:after="0"/>
              <w:rPr>
                <w:sz w:val="19"/>
                <w:szCs w:val="19"/>
                <w:color w:val="auto"/>
              </w:rPr>
            </w:pPr>
          </w:p>
        </w:tc>
        <w:tc>
          <w:tcPr>
            <w:tcW w:w="120" w:type="dxa"/>
            <w:vAlign w:val="bottom"/>
            <w:tcBorders>
              <w:bottom w:val="single" w:sz="8" w:color="auto"/>
            </w:tcBorders>
            <w:shd w:val="clear" w:color="auto" w:fill="97AAD0"/>
          </w:tcPr>
          <w:p>
            <w:pPr>
              <w:spacing w:after="0"/>
              <w:rPr>
                <w:sz w:val="19"/>
                <w:szCs w:val="19"/>
                <w:color w:val="auto"/>
              </w:rPr>
            </w:pPr>
          </w:p>
        </w:tc>
        <w:tc>
          <w:tcPr>
            <w:tcW w:w="1100" w:type="dxa"/>
            <w:vAlign w:val="bottom"/>
            <w:tcBorders>
              <w:bottom w:val="single" w:sz="8" w:color="auto"/>
            </w:tcBorders>
            <w:shd w:val="clear" w:color="auto" w:fill="97AAD0"/>
          </w:tcPr>
          <w:p>
            <w:pPr>
              <w:jc w:val="right"/>
              <w:ind w:right="251"/>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0"/>
                <w:szCs w:val="10"/>
                <w:b w:val="1"/>
                <w:bCs w:val="1"/>
                <w:color w:val="auto"/>
              </w:rPr>
              <w:t>(a)</w:t>
            </w:r>
          </w:p>
        </w:tc>
        <w:tc>
          <w:tcPr>
            <w:tcW w:w="140" w:type="dxa"/>
            <w:vAlign w:val="bottom"/>
            <w:tcBorders>
              <w:bottom w:val="single" w:sz="8" w:color="auto"/>
            </w:tcBorders>
            <w:shd w:val="clear" w:color="auto" w:fill="97AAD0"/>
          </w:tcPr>
          <w:p>
            <w:pPr>
              <w:spacing w:after="0"/>
              <w:rPr>
                <w:sz w:val="19"/>
                <w:szCs w:val="19"/>
                <w:color w:val="auto"/>
              </w:rPr>
            </w:pPr>
          </w:p>
        </w:tc>
        <w:tc>
          <w:tcPr>
            <w:tcW w:w="160" w:type="dxa"/>
            <w:vAlign w:val="bottom"/>
            <w:tcBorders>
              <w:bottom w:val="single" w:sz="8" w:color="auto"/>
            </w:tcBorders>
            <w:shd w:val="clear" w:color="auto" w:fill="97AAD0"/>
          </w:tcPr>
          <w:p>
            <w:pPr>
              <w:spacing w:after="0"/>
              <w:rPr>
                <w:sz w:val="19"/>
                <w:szCs w:val="19"/>
                <w:color w:val="auto"/>
              </w:rPr>
            </w:pPr>
          </w:p>
        </w:tc>
        <w:tc>
          <w:tcPr>
            <w:tcW w:w="1060" w:type="dxa"/>
            <w:vAlign w:val="bottom"/>
            <w:tcBorders>
              <w:bottom w:val="single" w:sz="8" w:color="auto"/>
            </w:tcBorders>
            <w:shd w:val="clear" w:color="auto" w:fill="97AAD0"/>
          </w:tcPr>
          <w:p>
            <w:pPr>
              <w:jc w:val="center"/>
              <w:ind w:right="191"/>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43"/>
        </w:trPr>
        <w:tc>
          <w:tcPr>
            <w:tcW w:w="5060" w:type="dxa"/>
            <w:vAlign w:val="bottom"/>
            <w:shd w:val="clear" w:color="auto" w:fill="E5E9F3"/>
          </w:tcPr>
          <w:p>
            <w:pPr>
              <w:ind w:left="100"/>
              <w:spacing w:after="0" w:line="243" w:lineRule="exact"/>
              <w:rPr>
                <w:sz w:val="20"/>
                <w:szCs w:val="20"/>
                <w:color w:val="auto"/>
              </w:rPr>
            </w:pPr>
            <w:r>
              <w:rPr>
                <w:rFonts w:ascii="Arial" w:cs="Arial" w:eastAsia="Arial" w:hAnsi="Arial"/>
                <w:sz w:val="18"/>
                <w:szCs w:val="18"/>
                <w:color w:val="auto"/>
              </w:rPr>
              <w:t>Americas:</w:t>
            </w:r>
            <w:r>
              <w:rPr>
                <w:rFonts w:ascii="Arial" w:cs="Arial" w:eastAsia="Arial" w:hAnsi="Arial"/>
                <w:sz w:val="24"/>
                <w:szCs w:val="24"/>
                <w:color w:val="auto"/>
                <w:vertAlign w:val="superscript"/>
              </w:rPr>
              <w:t>(b)</w:t>
            </w:r>
          </w:p>
        </w:tc>
        <w:tc>
          <w:tcPr>
            <w:tcW w:w="1800" w:type="dxa"/>
            <w:vAlign w:val="bottom"/>
            <w:shd w:val="clear" w:color="auto" w:fill="E5E9F3"/>
          </w:tcPr>
          <w:p>
            <w:pPr>
              <w:spacing w:after="0"/>
              <w:rPr>
                <w:sz w:val="21"/>
                <w:szCs w:val="21"/>
                <w:color w:val="auto"/>
              </w:rPr>
            </w:pPr>
          </w:p>
        </w:tc>
        <w:tc>
          <w:tcPr>
            <w:tcW w:w="200" w:type="dxa"/>
            <w:vAlign w:val="bottom"/>
            <w:shd w:val="clear" w:color="auto" w:fill="E5E9F3"/>
          </w:tcPr>
          <w:p>
            <w:pPr>
              <w:spacing w:after="0"/>
              <w:rPr>
                <w:sz w:val="21"/>
                <w:szCs w:val="21"/>
                <w:color w:val="auto"/>
              </w:rPr>
            </w:pPr>
          </w:p>
        </w:tc>
        <w:tc>
          <w:tcPr>
            <w:tcW w:w="102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120" w:type="dxa"/>
            <w:vAlign w:val="bottom"/>
            <w:shd w:val="clear" w:color="auto" w:fill="E5E9F3"/>
          </w:tcPr>
          <w:p>
            <w:pPr>
              <w:spacing w:after="0"/>
              <w:rPr>
                <w:sz w:val="21"/>
                <w:szCs w:val="21"/>
                <w:color w:val="auto"/>
              </w:rPr>
            </w:pPr>
          </w:p>
        </w:tc>
        <w:tc>
          <w:tcPr>
            <w:tcW w:w="110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160" w:type="dxa"/>
            <w:vAlign w:val="bottom"/>
            <w:shd w:val="clear" w:color="auto" w:fill="E5E9F3"/>
          </w:tcPr>
          <w:p>
            <w:pPr>
              <w:spacing w:after="0"/>
              <w:rPr>
                <w:sz w:val="21"/>
                <w:szCs w:val="21"/>
                <w:color w:val="auto"/>
              </w:rPr>
            </w:pPr>
          </w:p>
        </w:tc>
        <w:tc>
          <w:tcPr>
            <w:tcW w:w="1060" w:type="dxa"/>
            <w:vAlign w:val="bottom"/>
            <w:shd w:val="clear" w:color="auto" w:fill="E5E9F3"/>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3,232.7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3"/>
        </w:trPr>
        <w:tc>
          <w:tcPr>
            <w:tcW w:w="50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Other Americas</w:t>
            </w:r>
          </w:p>
        </w:tc>
        <w:tc>
          <w:tcPr>
            <w:tcW w:w="1800" w:type="dxa"/>
            <w:vAlign w:val="bottom"/>
            <w:shd w:val="clear" w:color="auto" w:fill="E5E9F3"/>
          </w:tcPr>
          <w:p>
            <w:pPr>
              <w:spacing w:after="0"/>
              <w:rPr>
                <w:sz w:val="22"/>
                <w:szCs w:val="22"/>
                <w:color w:val="auto"/>
              </w:rPr>
            </w:pPr>
          </w:p>
        </w:tc>
        <w:tc>
          <w:tcPr>
            <w:tcW w:w="200" w:type="dxa"/>
            <w:vAlign w:val="bottom"/>
            <w:tcBorders>
              <w:bottom w:val="single" w:sz="8" w:color="auto"/>
            </w:tcBorders>
            <w:shd w:val="clear" w:color="auto" w:fill="E5E9F3"/>
          </w:tcPr>
          <w:p>
            <w:pPr>
              <w:spacing w:after="0"/>
              <w:rPr>
                <w:sz w:val="22"/>
                <w:szCs w:val="22"/>
                <w:color w:val="auto"/>
              </w:rPr>
            </w:pP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407.9</w:t>
            </w:r>
          </w:p>
        </w:tc>
        <w:tc>
          <w:tcPr>
            <w:tcW w:w="140" w:type="dxa"/>
            <w:vAlign w:val="bottom"/>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spacing w:after="0"/>
              <w:rPr>
                <w:sz w:val="22"/>
                <w:szCs w:val="22"/>
                <w:color w:val="auto"/>
              </w:rPr>
            </w:pPr>
          </w:p>
        </w:tc>
        <w:tc>
          <w:tcPr>
            <w:tcW w:w="11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E5E9F3"/>
            </w:tcBorders>
          </w:tcPr>
          <w:p>
            <w:pPr>
              <w:spacing w:after="0"/>
              <w:rPr>
                <w:sz w:val="21"/>
                <w:szCs w:val="21"/>
                <w:color w:val="auto"/>
              </w:rPr>
            </w:pPr>
          </w:p>
        </w:tc>
        <w:tc>
          <w:tcPr>
            <w:tcW w:w="1800" w:type="dxa"/>
            <w:vAlign w:val="bottom"/>
            <w:tcBorders>
              <w:bottom w:val="single" w:sz="8" w:color="E5E9F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3,640.6</w:t>
            </w:r>
          </w:p>
        </w:tc>
        <w:tc>
          <w:tcPr>
            <w:tcW w:w="140" w:type="dxa"/>
            <w:vAlign w:val="bottom"/>
            <w:tcBorders>
              <w:bottom w:val="single" w:sz="8" w:color="E5E9F3"/>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93.8</w:t>
            </w:r>
          </w:p>
        </w:tc>
        <w:tc>
          <w:tcPr>
            <w:tcW w:w="140" w:type="dxa"/>
            <w:vAlign w:val="bottom"/>
            <w:tcBorders>
              <w:bottom w:val="single" w:sz="8" w:color="E5E9F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Southern Europe:</w:t>
            </w:r>
          </w:p>
        </w:tc>
        <w:tc>
          <w:tcPr>
            <w:tcW w:w="1800" w:type="dxa"/>
            <w:vAlign w:val="bottom"/>
            <w:shd w:val="clear" w:color="auto" w:fill="E5E9F3"/>
          </w:tcPr>
          <w:p>
            <w:pPr>
              <w:spacing w:after="0"/>
              <w:rPr>
                <w:sz w:val="21"/>
                <w:szCs w:val="21"/>
                <w:color w:val="auto"/>
              </w:rPr>
            </w:pPr>
          </w:p>
        </w:tc>
        <w:tc>
          <w:tcPr>
            <w:tcW w:w="200" w:type="dxa"/>
            <w:vAlign w:val="bottom"/>
            <w:shd w:val="clear" w:color="auto" w:fill="E5E9F3"/>
          </w:tcPr>
          <w:p>
            <w:pPr>
              <w:spacing w:after="0"/>
              <w:rPr>
                <w:sz w:val="21"/>
                <w:szCs w:val="21"/>
                <w:color w:val="auto"/>
              </w:rPr>
            </w:pPr>
          </w:p>
        </w:tc>
        <w:tc>
          <w:tcPr>
            <w:tcW w:w="102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120" w:type="dxa"/>
            <w:vAlign w:val="bottom"/>
            <w:shd w:val="clear" w:color="auto" w:fill="E5E9F3"/>
          </w:tcPr>
          <w:p>
            <w:pPr>
              <w:spacing w:after="0"/>
              <w:rPr>
                <w:sz w:val="21"/>
                <w:szCs w:val="21"/>
                <w:color w:val="auto"/>
              </w:rPr>
            </w:pPr>
          </w:p>
        </w:tc>
        <w:tc>
          <w:tcPr>
            <w:tcW w:w="1100" w:type="dxa"/>
            <w:vAlign w:val="bottom"/>
            <w:shd w:val="clear" w:color="auto" w:fill="E5E9F3"/>
          </w:tcPr>
          <w:p>
            <w:pPr>
              <w:spacing w:after="0"/>
              <w:rPr>
                <w:sz w:val="21"/>
                <w:szCs w:val="21"/>
                <w:color w:val="auto"/>
              </w:rPr>
            </w:pPr>
          </w:p>
        </w:tc>
        <w:tc>
          <w:tcPr>
            <w:tcW w:w="140" w:type="dxa"/>
            <w:vAlign w:val="bottom"/>
            <w:shd w:val="clear" w:color="auto" w:fill="E5E9F3"/>
          </w:tcPr>
          <w:p>
            <w:pPr>
              <w:spacing w:after="0"/>
              <w:rPr>
                <w:sz w:val="21"/>
                <w:szCs w:val="21"/>
                <w:color w:val="auto"/>
              </w:rPr>
            </w:pPr>
          </w:p>
        </w:tc>
        <w:tc>
          <w:tcPr>
            <w:tcW w:w="160" w:type="dxa"/>
            <w:vAlign w:val="bottom"/>
            <w:shd w:val="clear" w:color="auto" w:fill="E5E9F3"/>
          </w:tcPr>
          <w:p>
            <w:pPr>
              <w:spacing w:after="0"/>
              <w:rPr>
                <w:sz w:val="21"/>
                <w:szCs w:val="21"/>
                <w:color w:val="auto"/>
              </w:rPr>
            </w:pPr>
          </w:p>
        </w:tc>
        <w:tc>
          <w:tcPr>
            <w:tcW w:w="1060" w:type="dxa"/>
            <w:vAlign w:val="bottom"/>
            <w:shd w:val="clear" w:color="auto" w:fill="E5E9F3"/>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300"/>
              <w:spacing w:after="0"/>
              <w:rPr>
                <w:sz w:val="20"/>
                <w:szCs w:val="20"/>
                <w:color w:val="auto"/>
              </w:rPr>
            </w:pPr>
            <w:r>
              <w:rPr>
                <w:rFonts w:ascii="Arial" w:cs="Arial" w:eastAsia="Arial" w:hAnsi="Arial"/>
                <w:sz w:val="18"/>
                <w:szCs w:val="18"/>
                <w:color w:val="auto"/>
              </w:rPr>
              <w:t>France</w:t>
            </w:r>
          </w:p>
        </w:tc>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2,281.9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160.7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3"/>
        </w:trPr>
        <w:tc>
          <w:tcPr>
            <w:tcW w:w="5060" w:type="dxa"/>
            <w:vAlign w:val="bottom"/>
            <w:shd w:val="clear" w:color="auto" w:fill="E5E9F3"/>
          </w:tcPr>
          <w:p>
            <w:pPr>
              <w:ind w:left="300"/>
              <w:spacing w:after="0"/>
              <w:rPr>
                <w:sz w:val="20"/>
                <w:szCs w:val="20"/>
                <w:color w:val="auto"/>
              </w:rPr>
            </w:pPr>
            <w:r>
              <w:rPr>
                <w:rFonts w:ascii="Arial" w:cs="Arial" w:eastAsia="Arial" w:hAnsi="Arial"/>
                <w:sz w:val="18"/>
                <w:szCs w:val="18"/>
                <w:color w:val="auto"/>
              </w:rPr>
              <w:t>Italy</w:t>
            </w:r>
          </w:p>
        </w:tc>
        <w:tc>
          <w:tcPr>
            <w:tcW w:w="180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455.3</w:t>
            </w:r>
          </w:p>
        </w:tc>
        <w:tc>
          <w:tcPr>
            <w:tcW w:w="14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1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3"/>
        </w:trPr>
        <w:tc>
          <w:tcPr>
            <w:tcW w:w="5060" w:type="dxa"/>
            <w:vAlign w:val="bottom"/>
            <w:tcBorders>
              <w:bottom w:val="single" w:sz="8" w:color="E5E9F3"/>
            </w:tcBorders>
          </w:tcPr>
          <w:p>
            <w:pPr>
              <w:ind w:left="300"/>
              <w:spacing w:after="0"/>
              <w:rPr>
                <w:sz w:val="20"/>
                <w:szCs w:val="20"/>
                <w:color w:val="auto"/>
              </w:rPr>
            </w:pPr>
            <w:r>
              <w:rPr>
                <w:rFonts w:ascii="Arial" w:cs="Arial" w:eastAsia="Arial" w:hAnsi="Arial"/>
                <w:sz w:val="18"/>
                <w:szCs w:val="18"/>
                <w:color w:val="auto"/>
              </w:rPr>
              <w:t>Other Southern Europe</w:t>
            </w:r>
          </w:p>
        </w:tc>
        <w:tc>
          <w:tcPr>
            <w:tcW w:w="1800" w:type="dxa"/>
            <w:vAlign w:val="bottom"/>
            <w:tcBorders>
              <w:bottom w:val="single" w:sz="8" w:color="E5E9F3"/>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821.2</w:t>
            </w:r>
          </w:p>
        </w:tc>
        <w:tc>
          <w:tcPr>
            <w:tcW w:w="140" w:type="dxa"/>
            <w:vAlign w:val="bottom"/>
            <w:tcBorders>
              <w:bottom w:val="single" w:sz="8" w:color="E5E9F3"/>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60.1</w:t>
            </w:r>
          </w:p>
        </w:tc>
        <w:tc>
          <w:tcPr>
            <w:tcW w:w="140" w:type="dxa"/>
            <w:vAlign w:val="bottom"/>
            <w:tcBorders>
              <w:bottom w:val="single" w:sz="8" w:color="E5E9F3"/>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060" w:type="dxa"/>
            <w:vAlign w:val="bottom"/>
            <w:shd w:val="clear" w:color="auto" w:fill="E5E9F3"/>
          </w:tcPr>
          <w:p>
            <w:pPr>
              <w:spacing w:after="0"/>
              <w:rPr>
                <w:sz w:val="21"/>
                <w:szCs w:val="21"/>
                <w:color w:val="auto"/>
              </w:rPr>
            </w:pPr>
          </w:p>
        </w:tc>
        <w:tc>
          <w:tcPr>
            <w:tcW w:w="1800" w:type="dxa"/>
            <w:vAlign w:val="bottom"/>
            <w:shd w:val="clear" w:color="auto" w:fill="E5E9F3"/>
          </w:tcPr>
          <w:p>
            <w:pPr>
              <w:spacing w:after="0"/>
              <w:rPr>
                <w:sz w:val="21"/>
                <w:szCs w:val="21"/>
                <w:color w:val="auto"/>
              </w:rPr>
            </w:pPr>
          </w:p>
        </w:tc>
        <w:tc>
          <w:tcPr>
            <w:tcW w:w="200" w:type="dxa"/>
            <w:vAlign w:val="bottom"/>
            <w:tcBorders>
              <w:bottom w:val="single" w:sz="8" w:color="auto"/>
            </w:tcBorders>
            <w:shd w:val="clear" w:color="auto" w:fill="E5E9F3"/>
          </w:tcPr>
          <w:p>
            <w:pPr>
              <w:spacing w:after="0"/>
              <w:rPr>
                <w:sz w:val="21"/>
                <w:szCs w:val="21"/>
                <w:color w:val="auto"/>
              </w:rPr>
            </w:pP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3,558.4</w:t>
            </w:r>
          </w:p>
        </w:tc>
        <w:tc>
          <w:tcPr>
            <w:tcW w:w="140" w:type="dxa"/>
            <w:vAlign w:val="bottom"/>
            <w:shd w:val="clear" w:color="auto" w:fill="E5E9F3"/>
          </w:tcPr>
          <w:p>
            <w:pPr>
              <w:spacing w:after="0"/>
              <w:rPr>
                <w:sz w:val="21"/>
                <w:szCs w:val="21"/>
                <w:color w:val="auto"/>
              </w:rPr>
            </w:pPr>
          </w:p>
        </w:tc>
        <w:tc>
          <w:tcPr>
            <w:tcW w:w="120" w:type="dxa"/>
            <w:vAlign w:val="bottom"/>
            <w:tcBorders>
              <w:bottom w:val="single" w:sz="8" w:color="auto"/>
            </w:tcBorders>
            <w:shd w:val="clear" w:color="auto" w:fill="E5E9F3"/>
          </w:tcPr>
          <w:p>
            <w:pPr>
              <w:spacing w:after="0"/>
              <w:rPr>
                <w:sz w:val="21"/>
                <w:szCs w:val="21"/>
                <w:color w:val="auto"/>
              </w:rPr>
            </w:pPr>
          </w:p>
        </w:tc>
        <w:tc>
          <w:tcPr>
            <w:tcW w:w="11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253.5</w:t>
            </w:r>
          </w:p>
        </w:tc>
        <w:tc>
          <w:tcPr>
            <w:tcW w:w="140" w:type="dxa"/>
            <w:vAlign w:val="bottom"/>
            <w:shd w:val="clear" w:color="auto" w:fill="E5E9F3"/>
          </w:tcPr>
          <w:p>
            <w:pPr>
              <w:spacing w:after="0"/>
              <w:rPr>
                <w:sz w:val="21"/>
                <w:szCs w:val="21"/>
                <w:color w:val="auto"/>
              </w:rPr>
            </w:pPr>
          </w:p>
        </w:tc>
        <w:tc>
          <w:tcPr>
            <w:tcW w:w="160" w:type="dxa"/>
            <w:vAlign w:val="bottom"/>
            <w:tcBorders>
              <w:bottom w:val="single" w:sz="8" w:color="auto"/>
            </w:tcBorders>
            <w:shd w:val="clear" w:color="auto" w:fill="E5E9F3"/>
          </w:tcPr>
          <w:p>
            <w:pPr>
              <w:spacing w:after="0"/>
              <w:rPr>
                <w:sz w:val="21"/>
                <w:szCs w:val="21"/>
                <w:color w:val="auto"/>
              </w:rPr>
            </w:pPr>
          </w:p>
        </w:tc>
        <w:tc>
          <w:tcPr>
            <w:tcW w:w="10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06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3"/>
        </w:trPr>
        <w:tc>
          <w:tcPr>
            <w:tcW w:w="50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APME</w:t>
            </w:r>
          </w:p>
        </w:tc>
        <w:tc>
          <w:tcPr>
            <w:tcW w:w="1800" w:type="dxa"/>
            <w:vAlign w:val="bottom"/>
            <w:shd w:val="clear" w:color="auto" w:fill="E5E9F3"/>
          </w:tcPr>
          <w:p>
            <w:pPr>
              <w:spacing w:after="0"/>
              <w:rPr>
                <w:sz w:val="22"/>
                <w:szCs w:val="22"/>
                <w:color w:val="auto"/>
              </w:rPr>
            </w:pPr>
          </w:p>
        </w:tc>
        <w:tc>
          <w:tcPr>
            <w:tcW w:w="200" w:type="dxa"/>
            <w:vAlign w:val="bottom"/>
            <w:shd w:val="clear" w:color="auto" w:fill="E5E9F3"/>
          </w:tcPr>
          <w:p>
            <w:pPr>
              <w:spacing w:after="0"/>
              <w:rPr>
                <w:sz w:val="22"/>
                <w:szCs w:val="22"/>
                <w:color w:val="auto"/>
              </w:rPr>
            </w:pPr>
          </w:p>
        </w:tc>
        <w:tc>
          <w:tcPr>
            <w:tcW w:w="102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744.4</w:t>
            </w:r>
          </w:p>
        </w:tc>
        <w:tc>
          <w:tcPr>
            <w:tcW w:w="140" w:type="dxa"/>
            <w:vAlign w:val="bottom"/>
            <w:shd w:val="clear" w:color="auto" w:fill="E5E9F3"/>
          </w:tcPr>
          <w:p>
            <w:pPr>
              <w:spacing w:after="0"/>
              <w:rPr>
                <w:sz w:val="22"/>
                <w:szCs w:val="22"/>
                <w:color w:val="auto"/>
              </w:rPr>
            </w:pPr>
          </w:p>
        </w:tc>
        <w:tc>
          <w:tcPr>
            <w:tcW w:w="120" w:type="dxa"/>
            <w:vAlign w:val="bottom"/>
            <w:shd w:val="clear" w:color="auto" w:fill="E5E9F3"/>
          </w:tcPr>
          <w:p>
            <w:pPr>
              <w:spacing w:after="0"/>
              <w:rPr>
                <w:sz w:val="22"/>
                <w:szCs w:val="22"/>
                <w:color w:val="auto"/>
              </w:rPr>
            </w:pPr>
          </w:p>
        </w:tc>
        <w:tc>
          <w:tcPr>
            <w:tcW w:w="110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E5E9F3"/>
          </w:tcPr>
          <w:p>
            <w:pPr>
              <w:spacing w:after="0"/>
              <w:rPr>
                <w:sz w:val="22"/>
                <w:szCs w:val="22"/>
                <w:color w:val="auto"/>
              </w:rPr>
            </w:pPr>
          </w:p>
        </w:tc>
        <w:tc>
          <w:tcPr>
            <w:tcW w:w="160" w:type="dxa"/>
            <w:vAlign w:val="bottom"/>
            <w:shd w:val="clear" w:color="auto" w:fill="E5E9F3"/>
          </w:tcPr>
          <w:p>
            <w:pPr>
              <w:spacing w:after="0"/>
              <w:rPr>
                <w:sz w:val="22"/>
                <w:szCs w:val="22"/>
                <w:color w:val="auto"/>
              </w:rPr>
            </w:pPr>
          </w:p>
        </w:tc>
        <w:tc>
          <w:tcPr>
            <w:tcW w:w="1060" w:type="dxa"/>
            <w:vAlign w:val="bottom"/>
            <w:shd w:val="clear" w:color="auto" w:fill="E5E9F3"/>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3"/>
        </w:trPr>
        <w:tc>
          <w:tcPr>
            <w:tcW w:w="5060" w:type="dxa"/>
            <w:vAlign w:val="bottom"/>
          </w:tcPr>
          <w:p>
            <w:pPr>
              <w:ind w:left="100"/>
              <w:spacing w:after="0" w:line="253"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(c)</w:t>
            </w:r>
          </w:p>
        </w:tc>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444.1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3"/>
        </w:trPr>
        <w:tc>
          <w:tcPr>
            <w:tcW w:w="5060" w:type="dxa"/>
            <w:vAlign w:val="bottom"/>
            <w:shd w:val="clear" w:color="auto" w:fill="E5E9F3"/>
          </w:tcPr>
          <w:p>
            <w:pPr>
              <w:ind w:left="100"/>
              <w:spacing w:after="0" w:line="253"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(d)</w:t>
            </w:r>
          </w:p>
        </w:tc>
        <w:tc>
          <w:tcPr>
            <w:tcW w:w="1800" w:type="dxa"/>
            <w:vAlign w:val="bottom"/>
            <w:shd w:val="clear" w:color="auto" w:fill="E5E9F3"/>
          </w:tcPr>
          <w:p>
            <w:pPr>
              <w:spacing w:after="0"/>
              <w:rPr>
                <w:sz w:val="22"/>
                <w:szCs w:val="22"/>
                <w:color w:val="auto"/>
              </w:rPr>
            </w:pPr>
          </w:p>
        </w:tc>
        <w:tc>
          <w:tcPr>
            <w:tcW w:w="200" w:type="dxa"/>
            <w:vAlign w:val="bottom"/>
            <w:tcBorders>
              <w:bottom w:val="single" w:sz="8" w:color="auto"/>
            </w:tcBorders>
            <w:shd w:val="clear" w:color="auto" w:fill="E5E9F3"/>
          </w:tcPr>
          <w:p>
            <w:pPr>
              <w:spacing w:after="0"/>
              <w:rPr>
                <w:sz w:val="22"/>
                <w:szCs w:val="22"/>
                <w:color w:val="auto"/>
              </w:rPr>
            </w:pPr>
          </w:p>
        </w:tc>
        <w:tc>
          <w:tcPr>
            <w:tcW w:w="102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22"/>
                <w:szCs w:val="22"/>
                <w:color w:val="auto"/>
              </w:rPr>
            </w:pPr>
          </w:p>
        </w:tc>
        <w:tc>
          <w:tcPr>
            <w:tcW w:w="120" w:type="dxa"/>
            <w:vAlign w:val="bottom"/>
            <w:tcBorders>
              <w:bottom w:val="single" w:sz="8" w:color="auto"/>
            </w:tcBorders>
            <w:shd w:val="clear" w:color="auto" w:fill="E5E9F3"/>
          </w:tcPr>
          <w:p>
            <w:pPr>
              <w:spacing w:after="0"/>
              <w:rPr>
                <w:sz w:val="22"/>
                <w:szCs w:val="22"/>
                <w:color w:val="auto"/>
              </w:rPr>
            </w:pPr>
          </w:p>
        </w:tc>
        <w:tc>
          <w:tcPr>
            <w:tcW w:w="110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22"/>
                <w:szCs w:val="22"/>
                <w:color w:val="auto"/>
              </w:rPr>
            </w:pPr>
          </w:p>
        </w:tc>
        <w:tc>
          <w:tcPr>
            <w:tcW w:w="160" w:type="dxa"/>
            <w:vAlign w:val="bottom"/>
            <w:tcBorders>
              <w:bottom w:val="single" w:sz="8" w:color="auto"/>
            </w:tcBorders>
            <w:shd w:val="clear" w:color="auto" w:fill="E5E9F3"/>
          </w:tcPr>
          <w:p>
            <w:pPr>
              <w:spacing w:after="0"/>
              <w:rPr>
                <w:sz w:val="22"/>
                <w:szCs w:val="22"/>
                <w:color w:val="auto"/>
              </w:rPr>
            </w:pPr>
          </w:p>
        </w:tc>
        <w:tc>
          <w:tcPr>
            <w:tcW w:w="1060" w:type="dxa"/>
            <w:vAlign w:val="bottom"/>
            <w:tcBorders>
              <w:bottom w:val="single" w:sz="8" w:color="auto"/>
            </w:tcBorders>
            <w:shd w:val="clear" w:color="auto" w:fill="E5E9F3"/>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8"/>
        </w:trPr>
        <w:tc>
          <w:tcPr>
            <w:tcW w:w="506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bl>
    <w:p>
      <w:pPr>
        <w:ind w:left="320" w:hanging="320"/>
        <w:spacing w:after="0"/>
        <w:tabs>
          <w:tab w:leader="none" w:pos="320" w:val="left"/>
        </w:tabs>
        <w:numPr>
          <w:ilvl w:val="0"/>
          <w:numId w:val="63"/>
        </w:numPr>
        <w:rPr>
          <w:rFonts w:ascii="Arial" w:cs="Arial" w:eastAsia="Arial" w:hAnsi="Arial"/>
          <w:sz w:val="10"/>
          <w:szCs w:val="10"/>
          <w:color w:val="auto"/>
        </w:rPr>
      </w:pPr>
      <w:r>
        <w:rPr>
          <w:rFonts w:ascii="Arial" w:cs="Arial" w:eastAsia="Arial" w:hAnsi="Arial"/>
          <w:sz w:val="16"/>
          <w:szCs w:val="16"/>
          <w:color w:val="auto"/>
        </w:rPr>
        <w:t>Long-lived assets consist of net property and equipment, net capitalized software and right-of-use assets.</w:t>
      </w:r>
    </w:p>
    <w:p>
      <w:pPr>
        <w:ind w:left="320" w:hanging="320"/>
        <w:spacing w:after="0" w:line="239" w:lineRule="auto"/>
        <w:tabs>
          <w:tab w:leader="none" w:pos="320" w:val="left"/>
        </w:tabs>
        <w:numPr>
          <w:ilvl w:val="0"/>
          <w:numId w:val="63"/>
        </w:numPr>
        <w:rPr>
          <w:rFonts w:ascii="Arial" w:cs="Arial" w:eastAsia="Arial" w:hAnsi="Arial"/>
          <w:sz w:val="10"/>
          <w:szCs w:val="10"/>
          <w:color w:val="auto"/>
        </w:rPr>
      </w:pPr>
      <w:r>
        <w:rPr>
          <w:rFonts w:ascii="Arial" w:cs="Arial" w:eastAsia="Arial" w:hAnsi="Arial"/>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 w:lineRule="exact"/>
        <w:rPr>
          <w:rFonts w:ascii="Arial" w:cs="Arial" w:eastAsia="Arial" w:hAnsi="Arial"/>
          <w:sz w:val="10"/>
          <w:szCs w:val="10"/>
          <w:color w:val="auto"/>
        </w:rPr>
      </w:pPr>
    </w:p>
    <w:p>
      <w:pPr>
        <w:ind w:left="320" w:hanging="320"/>
        <w:spacing w:after="0" w:line="239" w:lineRule="auto"/>
        <w:tabs>
          <w:tab w:leader="none" w:pos="320" w:val="left"/>
        </w:tabs>
        <w:numPr>
          <w:ilvl w:val="0"/>
          <w:numId w:val="63"/>
        </w:numPr>
        <w:rPr>
          <w:rFonts w:ascii="Arial" w:cs="Arial" w:eastAsia="Arial" w:hAnsi="Arial"/>
          <w:sz w:val="10"/>
          <w:szCs w:val="10"/>
          <w:color w:val="auto"/>
        </w:rPr>
      </w:pPr>
      <w:r>
        <w:rPr>
          <w:rFonts w:ascii="Arial" w:cs="Arial" w:eastAsia="Arial" w:hAnsi="Arial"/>
          <w:sz w:val="16"/>
          <w:szCs w:val="16"/>
          <w:color w:val="auto"/>
        </w:rPr>
        <w:t>Corporate assets include assets that were not used in the operations of any segment, the most significant of which were purchased intangibles and cash.</w:t>
      </w:r>
    </w:p>
    <w:p>
      <w:pPr>
        <w:spacing w:after="0" w:line="1" w:lineRule="exact"/>
        <w:rPr>
          <w:rFonts w:ascii="Arial" w:cs="Arial" w:eastAsia="Arial" w:hAnsi="Arial"/>
          <w:sz w:val="10"/>
          <w:szCs w:val="10"/>
          <w:color w:val="auto"/>
        </w:rPr>
      </w:pPr>
    </w:p>
    <w:p>
      <w:pPr>
        <w:ind w:left="320" w:hanging="320"/>
        <w:spacing w:after="0" w:line="254" w:lineRule="auto"/>
        <w:tabs>
          <w:tab w:leader="none" w:pos="320" w:val="left"/>
        </w:tabs>
        <w:numPr>
          <w:ilvl w:val="0"/>
          <w:numId w:val="63"/>
        </w:numPr>
        <w:rPr>
          <w:rFonts w:ascii="Arial" w:cs="Arial" w:eastAsia="Arial" w:hAnsi="Arial"/>
          <w:sz w:val="10"/>
          <w:szCs w:val="10"/>
          <w:color w:val="auto"/>
        </w:rPr>
      </w:pPr>
      <w:r>
        <w:rPr>
          <w:rFonts w:ascii="Arial" w:cs="Arial" w:eastAsia="Arial" w:hAnsi="Arial"/>
          <w:sz w:val="16"/>
          <w:szCs w:val="16"/>
          <w:color w:val="auto"/>
        </w:rPr>
        <w:t>Intangible asset amortization related to acquisitions is excluded from operating costs within the reportable segments and corporate expenses, and shown separately.</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10800"/>
          </w:cols>
          <w:pgMar w:left="720" w:top="734" w:right="720" w:bottom="175" w:gutter="0" w:footer="0" w:header="0"/>
          <w:type w:val="continuous"/>
        </w:sectPr>
      </w:pPr>
    </w:p>
    <w:bookmarkStart w:id="92" w:name="page93"/>
    <w:bookmarkEnd w:id="92"/>
    <w:p>
      <w:pPr>
        <w:ind w:left="101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0" o:spid="_x0000_s1145"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ind w:left="580" w:hanging="580"/>
        <w:spacing w:after="0"/>
        <w:tabs>
          <w:tab w:leader="none" w:pos="580" w:val="left"/>
        </w:tabs>
        <w:numPr>
          <w:ilvl w:val="0"/>
          <w:numId w:val="64"/>
        </w:numPr>
        <w:rPr>
          <w:rFonts w:ascii="Arial" w:cs="Arial" w:eastAsia="Arial" w:hAnsi="Arial"/>
          <w:sz w:val="28"/>
          <w:szCs w:val="28"/>
          <w:b w:val="1"/>
          <w:bCs w:val="1"/>
          <w:color w:val="537BB5"/>
        </w:rPr>
      </w:pPr>
      <w:r>
        <w:rPr>
          <w:rFonts w:ascii="Arial" w:cs="Arial" w:eastAsia="Arial" w:hAnsi="Arial"/>
          <w:sz w:val="28"/>
          <w:szCs w:val="28"/>
          <w:b w:val="1"/>
          <w:bCs w:val="1"/>
          <w:u w:val="single" w:color="auto"/>
          <w:color w:val="537BB5"/>
        </w:rPr>
        <w:t>Commitments and Contingencies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Guarantees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We have entered into certain guarantee contracts and stand-by letters of credit that total $571.0 as of December 31, 2024 ($524.2 for guarantees and $46.8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Litigation</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10800"/>
          </w:cols>
          <w:pgMar w:left="720" w:top="734" w:right="720" w:bottom="175" w:gutter="0" w:footer="0" w:header="0"/>
          <w:type w:val="continuous"/>
        </w:sectPr>
      </w:pPr>
    </w:p>
    <w:bookmarkStart w:id="93" w:name="page94"/>
    <w:bookmarkEnd w:id="93"/>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1" o:spid="_x0000_s1146"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28"/>
          <w:szCs w:val="28"/>
          <w:b w:val="1"/>
          <w:bCs w:val="1"/>
          <w:color w:val="537BB5"/>
        </w:rPr>
        <w:t>Item 9. Changes in and Disagreements with Accountants on Accounting and Financial Disclosure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9A.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Disclosure Controls and Procedures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Management Report on Internal Control over Financial Reporting</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2024.</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effectiveness of our internal control over financial reporting as of December 31, 2024 has been audited by Deloitte &amp; Touche LLP, an independent registered public accounting firm, as stated in their report which appears herein.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Internal Control over Financial Reporting</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537BB5"/>
        </w:rPr>
        <w:t>Trading Plans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During the quarter ended December 31, 2024, no director or Section 16 officer adopted or terminated any "Rule 10b5-1 trading arrangements" or "non-Rule 10b5-1 trading arrangements" as each term is defined in Item 408(a) of Regulation S-K.</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9C. Disclosure Regarding Foreign Jurisdictions that Prevent Inspections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10800"/>
          </w:cols>
          <w:pgMar w:left="720" w:top="734" w:right="720" w:bottom="175" w:gutter="0" w:footer="0" w:header="0"/>
          <w:type w:val="continuous"/>
        </w:sectPr>
      </w:pPr>
    </w:p>
    <w:bookmarkStart w:id="94" w:name="page95"/>
    <w:bookmarkEnd w:id="94"/>
    <w:p>
      <w:pPr>
        <w:ind w:left="1012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2" o:spid="_x0000_s1147"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III</w:t>
      </w:r>
    </w:p>
    <w:p>
      <w:pPr>
        <w:spacing w:after="0" w:line="76" w:lineRule="exact"/>
        <w:rPr>
          <w:sz w:val="20"/>
          <w:szCs w:val="20"/>
          <w:color w:val="auto"/>
        </w:rPr>
      </w:pPr>
    </w:p>
    <w:p>
      <w:pPr>
        <w:spacing w:after="0"/>
        <w:rPr>
          <w:sz w:val="20"/>
          <w:szCs w:val="20"/>
          <w:color w:val="auto"/>
        </w:rPr>
      </w:pPr>
      <w:r>
        <w:rPr>
          <w:rFonts w:ascii="Arial" w:cs="Arial" w:eastAsia="Arial" w:hAnsi="Arial"/>
          <w:sz w:val="46"/>
          <w:szCs w:val="46"/>
          <w:b w:val="1"/>
          <w:bCs w:val="1"/>
          <w:color w:val="537BB5"/>
        </w:rPr>
        <w:t>PART III</w:t>
      </w:r>
    </w:p>
    <w:p>
      <w:pPr>
        <w:spacing w:after="0" w:line="5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10. Directors, Executive Officers and Corporate Governance</w:t>
      </w:r>
    </w:p>
    <w:p>
      <w:pPr>
        <w:spacing w:after="0" w:line="91" w:lineRule="exact"/>
        <w:rPr>
          <w:sz w:val="20"/>
          <w:szCs w:val="20"/>
          <w:color w:val="auto"/>
        </w:rPr>
      </w:pPr>
    </w:p>
    <w:p>
      <w:pPr>
        <w:ind w:left="300" w:hanging="300"/>
        <w:spacing w:after="0"/>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Executive Officers. Reference is made to “Information about out Executive Officers” in Part I after Item 4.</w:t>
      </w:r>
    </w:p>
    <w:p>
      <w:pPr>
        <w:spacing w:after="0" w:line="120" w:lineRule="exact"/>
        <w:rPr>
          <w:rFonts w:ascii="Arial" w:cs="Arial" w:eastAsia="Arial" w:hAnsi="Arial"/>
          <w:sz w:val="20"/>
          <w:szCs w:val="20"/>
          <w:color w:val="auto"/>
        </w:rPr>
      </w:pPr>
    </w:p>
    <w:p>
      <w:pPr>
        <w:jc w:val="both"/>
        <w:ind w:left="300" w:hanging="300"/>
        <w:spacing w:after="0" w:line="261" w:lineRule="auto"/>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Directors. The information required by this Item is set forth in our Proxy Statement for the Annual Meeting of Shareholders to be held on May 2, 2025 under the caption “Election of Directors,” which information is hereby incorporated herein by reference.</w:t>
      </w:r>
    </w:p>
    <w:p>
      <w:pPr>
        <w:spacing w:after="0" w:line="59" w:lineRule="exact"/>
        <w:rPr>
          <w:rFonts w:ascii="Arial" w:cs="Arial" w:eastAsia="Arial" w:hAnsi="Arial"/>
          <w:sz w:val="20"/>
          <w:szCs w:val="20"/>
          <w:color w:val="auto"/>
        </w:rPr>
      </w:pPr>
    </w:p>
    <w:p>
      <w:pPr>
        <w:jc w:val="both"/>
        <w:ind w:left="300" w:hanging="300"/>
        <w:spacing w:after="0" w:line="261" w:lineRule="auto"/>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board of directors has determined that John F. Ferraro, chair of the audit committee and Paul Read, are “audit committee financial experts.” Mr. Ferraro and Mr. Read are both “independent” as that term is used in the applicable New York Stock Exchange listing standard.</w:t>
      </w:r>
    </w:p>
    <w:p>
      <w:pPr>
        <w:spacing w:after="0" w:line="59" w:lineRule="exact"/>
        <w:rPr>
          <w:rFonts w:ascii="Arial" w:cs="Arial" w:eastAsia="Arial" w:hAnsi="Arial"/>
          <w:sz w:val="20"/>
          <w:szCs w:val="20"/>
          <w:color w:val="auto"/>
        </w:rPr>
      </w:pPr>
    </w:p>
    <w:p>
      <w:pPr>
        <w:jc w:val="both"/>
        <w:ind w:left="300" w:hanging="300"/>
        <w:spacing w:after="0" w:line="261" w:lineRule="auto"/>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Audit Committee. The information required by this Item is set forth in our Proxy Statement for the Annual Meeting of Shareholders to be held on May 2, 2025 under the caption “Meetings and Committees of the Board,” which information is hereby incorporated herein by reference.</w:t>
      </w:r>
    </w:p>
    <w:p>
      <w:pPr>
        <w:spacing w:after="0" w:line="59" w:lineRule="exact"/>
        <w:rPr>
          <w:rFonts w:ascii="Arial" w:cs="Arial" w:eastAsia="Arial" w:hAnsi="Arial"/>
          <w:sz w:val="20"/>
          <w:szCs w:val="20"/>
          <w:color w:val="auto"/>
        </w:rPr>
      </w:pPr>
    </w:p>
    <w:p>
      <w:pPr>
        <w:jc w:val="both"/>
        <w:ind w:left="300" w:hanging="300"/>
        <w:spacing w:after="0" w:line="248" w:lineRule="auto"/>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74" w:lineRule="exact"/>
        <w:rPr>
          <w:rFonts w:ascii="Arial" w:cs="Arial" w:eastAsia="Arial" w:hAnsi="Arial"/>
          <w:sz w:val="20"/>
          <w:szCs w:val="20"/>
          <w:color w:val="auto"/>
        </w:rPr>
      </w:pPr>
    </w:p>
    <w:p>
      <w:pPr>
        <w:jc w:val="both"/>
        <w:ind w:left="300" w:hanging="300"/>
        <w:spacing w:after="0" w:line="261" w:lineRule="auto"/>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Insider Trading Policy. The information required by this Item is set forth in our Proxy Statement for the Annual Meeting of Shareholders to be held on May 2, 2025 under the caption “Our Insider Trading Policy Prohibits Hedging, Pledging and Short-Sale Transactions.”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11. Executive Compensation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information required by this Item is set forth in our Proxy Statement for the Annual Meeting of Shareholders to be held on May 2, 2025, under the captions "Compensation Discussion and Analysis," "Compensation Tables," "Compensation Policies and Practices as they Relate to Risk Management," "CEO Pay Ratio," “People, Culture and Compensation Committee Interlocks and Insider Participation;” and “Report of the People, Culture and Compensation Committee of the Board of Directors,” and "Equity Grant and Approval Timing Practices", which information is hereby incorporated herein by reference.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10800"/>
          </w:cols>
          <w:pgMar w:left="720" w:top="734" w:right="720" w:bottom="175" w:gutter="0" w:footer="0" w:header="0"/>
          <w:type w:val="continuous"/>
        </w:sectPr>
      </w:pPr>
    </w:p>
    <w:bookmarkStart w:id="95" w:name="page96"/>
    <w:bookmarkEnd w:id="95"/>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3" o:spid="_x0000_s1148"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III</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28"/>
          <w:szCs w:val="28"/>
          <w:b w:val="1"/>
          <w:bCs w:val="1"/>
          <w:color w:val="537BB5"/>
        </w:rPr>
        <w:t>Item 12. Security Ownership of Certain Beneficial Owners and Management and Related Shareholder Matters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information required by this Item is set forth in our Proxy Statement for the Annual Meeting of Shareholders to be held on May 2, 2025, under the caption “Security Ownership of Certain Beneficial Owners,” and under the caption “Beneficial Ownership of Directors and Executive Officers,” which information is hereby incorporated herein by reference.</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following table sets forth information as of December 31, 2024 about our shares of common stock outstanding and available for issuance under our existing equity compensation plans.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Borders>
              <w:top w:val="single" w:sz="8" w:color="auto"/>
            </w:tcBorders>
            <w:shd w:val="clear" w:color="auto" w:fill="97AAD0"/>
          </w:tcPr>
          <w:p>
            <w:pPr>
              <w:spacing w:after="0"/>
              <w:rPr>
                <w:sz w:val="16"/>
                <w:szCs w:val="16"/>
                <w:color w:val="auto"/>
              </w:rPr>
            </w:pPr>
          </w:p>
        </w:tc>
        <w:tc>
          <w:tcPr>
            <w:tcW w:w="1300" w:type="dxa"/>
            <w:vAlign w:val="bottom"/>
            <w:tcBorders>
              <w:top w:val="single" w:sz="8" w:color="auto"/>
            </w:tcBorders>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Borders>
              <w:top w:val="single" w:sz="8" w:color="auto"/>
            </w:tcBorders>
            <w:shd w:val="clear" w:color="auto" w:fill="97AAD0"/>
          </w:tcPr>
          <w:p>
            <w:pPr>
              <w:spacing w:after="0"/>
              <w:rPr>
                <w:sz w:val="16"/>
                <w:szCs w:val="16"/>
                <w:color w:val="auto"/>
              </w:rPr>
            </w:pPr>
          </w:p>
        </w:tc>
        <w:tc>
          <w:tcPr>
            <w:tcW w:w="220" w:type="dxa"/>
            <w:vAlign w:val="bottom"/>
            <w:tcBorders>
              <w:top w:val="single" w:sz="8" w:color="auto"/>
            </w:tcBorders>
            <w:shd w:val="clear" w:color="auto" w:fill="97AAD0"/>
          </w:tcPr>
          <w:p>
            <w:pPr>
              <w:spacing w:after="0"/>
              <w:rPr>
                <w:sz w:val="16"/>
                <w:szCs w:val="16"/>
                <w:color w:val="auto"/>
              </w:rPr>
            </w:pPr>
          </w:p>
        </w:tc>
        <w:tc>
          <w:tcPr>
            <w:tcW w:w="1240" w:type="dxa"/>
            <w:vAlign w:val="bottom"/>
            <w:tcBorders>
              <w:top w:val="single" w:sz="8" w:color="auto"/>
            </w:tcBorders>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rPr>
              <w:t>Weighted-</w:t>
            </w:r>
          </w:p>
        </w:tc>
        <w:tc>
          <w:tcPr>
            <w:tcW w:w="1620" w:type="dxa"/>
            <w:vAlign w:val="bottom"/>
            <w:tcBorders>
              <w:top w:val="single" w:sz="8" w:color="auto"/>
            </w:tcBorders>
            <w:vMerge w:val="restart"/>
            <w:shd w:val="clear" w:color="auto" w:fill="97AAD0"/>
          </w:tcPr>
          <w:p>
            <w:pPr>
              <w:jc w:val="center"/>
              <w:ind w:right="38"/>
              <w:spacing w:after="0"/>
              <w:rPr>
                <w:sz w:val="20"/>
                <w:szCs w:val="20"/>
                <w:color w:val="auto"/>
              </w:rPr>
            </w:pPr>
            <w:r>
              <w:rPr>
                <w:rFonts w:ascii="Arial" w:cs="Arial" w:eastAsia="Arial" w:hAnsi="Arial"/>
                <w:sz w:val="16"/>
                <w:szCs w:val="16"/>
                <w:b w:val="1"/>
                <w:bCs w:val="1"/>
                <w:color w:val="auto"/>
              </w:rPr>
              <w:t>Weighted-</w:t>
            </w:r>
          </w:p>
        </w:tc>
        <w:tc>
          <w:tcPr>
            <w:tcW w:w="1880" w:type="dxa"/>
            <w:vAlign w:val="bottom"/>
            <w:tcBorders>
              <w:top w:val="single" w:sz="8" w:color="auto"/>
            </w:tcBorders>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9"/>
              </w:rPr>
              <w:t>Number of securities</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securities to be</w:t>
            </w:r>
          </w:p>
        </w:tc>
        <w:tc>
          <w:tcPr>
            <w:tcW w:w="1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240" w:type="dxa"/>
            <w:vAlign w:val="bottom"/>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rPr>
              <w:t>average</w:t>
            </w:r>
          </w:p>
        </w:tc>
        <w:tc>
          <w:tcPr>
            <w:tcW w:w="1620" w:type="dxa"/>
            <w:vAlign w:val="bottom"/>
            <w:vMerge w:val="continue"/>
            <w:shd w:val="clear" w:color="auto" w:fill="97AAD0"/>
          </w:tcPr>
          <w:p>
            <w:pPr>
              <w:spacing w:after="0"/>
              <w:rPr>
                <w:sz w:val="15"/>
                <w:szCs w:val="15"/>
                <w:color w:val="auto"/>
              </w:rPr>
            </w:pP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issued upon</w:t>
            </w:r>
          </w:p>
        </w:tc>
        <w:tc>
          <w:tcPr>
            <w:tcW w:w="120" w:type="dxa"/>
            <w:vAlign w:val="bottom"/>
            <w:shd w:val="clear" w:color="auto" w:fill="97AAD0"/>
          </w:tcPr>
          <w:p>
            <w:pPr>
              <w:spacing w:after="0"/>
              <w:rPr>
                <w:sz w:val="15"/>
                <w:szCs w:val="15"/>
                <w:color w:val="auto"/>
              </w:rPr>
            </w:pPr>
          </w:p>
        </w:tc>
        <w:tc>
          <w:tcPr>
            <w:tcW w:w="14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exercise price</w:t>
            </w:r>
          </w:p>
        </w:tc>
        <w:tc>
          <w:tcPr>
            <w:tcW w:w="162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9"/>
              </w:rPr>
              <w:t>average</w:t>
            </w:r>
          </w:p>
        </w:tc>
        <w:tc>
          <w:tcPr>
            <w:tcW w:w="188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w w:val="99"/>
              </w:rPr>
              <w:t>for future issuance</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exercise of</w:t>
            </w:r>
          </w:p>
        </w:tc>
        <w:tc>
          <w:tcPr>
            <w:tcW w:w="120" w:type="dxa"/>
            <w:vAlign w:val="bottom"/>
            <w:shd w:val="clear" w:color="auto" w:fill="97AAD0"/>
          </w:tcPr>
          <w:p>
            <w:pPr>
              <w:spacing w:after="0"/>
              <w:rPr>
                <w:sz w:val="15"/>
                <w:szCs w:val="15"/>
                <w:color w:val="auto"/>
              </w:rPr>
            </w:pPr>
          </w:p>
        </w:tc>
        <w:tc>
          <w:tcPr>
            <w:tcW w:w="14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of outstanding</w:t>
            </w:r>
          </w:p>
        </w:tc>
        <w:tc>
          <w:tcPr>
            <w:tcW w:w="162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rPr>
              <w:t>contractual term</w:t>
            </w:r>
          </w:p>
        </w:tc>
        <w:tc>
          <w:tcPr>
            <w:tcW w:w="188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w w:val="99"/>
              </w:rPr>
              <w:t>under equity</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outstanding</w:t>
            </w:r>
          </w:p>
        </w:tc>
        <w:tc>
          <w:tcPr>
            <w:tcW w:w="1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240" w:type="dxa"/>
            <w:vAlign w:val="bottom"/>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w w:val="99"/>
              </w:rPr>
              <w:t>options,</w:t>
            </w:r>
          </w:p>
        </w:tc>
        <w:tc>
          <w:tcPr>
            <w:tcW w:w="162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w w:val="98"/>
              </w:rPr>
              <w:t>of outstanding</w:t>
            </w: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9"/>
              </w:rPr>
              <w:t>compensation plans</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240" w:type="dxa"/>
            <w:vAlign w:val="bottom"/>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w w:val="98"/>
              </w:rPr>
              <w:t>warrants</w:t>
            </w:r>
          </w:p>
        </w:tc>
        <w:tc>
          <w:tcPr>
            <w:tcW w:w="162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w w:val="99"/>
              </w:rPr>
              <w:t>options,</w:t>
            </w: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8"/>
              </w:rPr>
              <w:t>warrants</w:t>
            </w:r>
          </w:p>
        </w:tc>
        <w:tc>
          <w:tcPr>
            <w:tcW w:w="1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240" w:type="dxa"/>
            <w:vAlign w:val="bottom"/>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w w:val="98"/>
              </w:rPr>
              <w:t>and rights as</w:t>
            </w:r>
          </w:p>
        </w:tc>
        <w:tc>
          <w:tcPr>
            <w:tcW w:w="1620" w:type="dxa"/>
            <w:vAlign w:val="bottom"/>
            <w:shd w:val="clear" w:color="auto" w:fill="97AAD0"/>
          </w:tcPr>
          <w:p>
            <w:pPr>
              <w:jc w:val="center"/>
              <w:ind w:right="38"/>
              <w:spacing w:after="0"/>
              <w:rPr>
                <w:sz w:val="20"/>
                <w:szCs w:val="20"/>
                <w:color w:val="auto"/>
              </w:rPr>
            </w:pPr>
            <w:r>
              <w:rPr>
                <w:rFonts w:ascii="Arial" w:cs="Arial" w:eastAsia="Arial" w:hAnsi="Arial"/>
                <w:sz w:val="16"/>
                <w:szCs w:val="16"/>
                <w:b w:val="1"/>
                <w:bCs w:val="1"/>
                <w:color w:val="auto"/>
                <w:w w:val="98"/>
              </w:rPr>
              <w:t>warrants</w:t>
            </w: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84"/>
        </w:trPr>
        <w:tc>
          <w:tcPr>
            <w:tcW w:w="4420" w:type="dxa"/>
            <w:vAlign w:val="bottom"/>
            <w:shd w:val="clear" w:color="auto" w:fill="97AAD0"/>
          </w:tcPr>
          <w:p>
            <w:pPr>
              <w:spacing w:after="0"/>
              <w:rPr>
                <w:sz w:val="15"/>
                <w:szCs w:val="15"/>
                <w:color w:val="auto"/>
              </w:rPr>
            </w:pP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and rights as</w:t>
            </w:r>
          </w:p>
        </w:tc>
        <w:tc>
          <w:tcPr>
            <w:tcW w:w="120" w:type="dxa"/>
            <w:vAlign w:val="bottom"/>
            <w:shd w:val="clear" w:color="auto" w:fill="97AAD0"/>
          </w:tcPr>
          <w:p>
            <w:pPr>
              <w:spacing w:after="0"/>
              <w:rPr>
                <w:sz w:val="15"/>
                <w:szCs w:val="15"/>
                <w:color w:val="auto"/>
              </w:rPr>
            </w:pPr>
          </w:p>
        </w:tc>
        <w:tc>
          <w:tcPr>
            <w:tcW w:w="220" w:type="dxa"/>
            <w:vAlign w:val="bottom"/>
            <w:shd w:val="clear" w:color="auto" w:fill="97AAD0"/>
          </w:tcPr>
          <w:p>
            <w:pPr>
              <w:spacing w:after="0"/>
              <w:rPr>
                <w:sz w:val="15"/>
                <w:szCs w:val="15"/>
                <w:color w:val="auto"/>
              </w:rPr>
            </w:pPr>
          </w:p>
        </w:tc>
        <w:tc>
          <w:tcPr>
            <w:tcW w:w="1240" w:type="dxa"/>
            <w:vAlign w:val="bottom"/>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w w:val="92"/>
              </w:rPr>
              <w:t>of</w:t>
            </w:r>
          </w:p>
        </w:tc>
        <w:tc>
          <w:tcPr>
            <w:tcW w:w="162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rPr>
              <w:t>and rights as</w:t>
            </w: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9"/>
              </w:rPr>
              <w:t>(excluding securities</w:t>
            </w:r>
          </w:p>
        </w:tc>
        <w:tc>
          <w:tcPr>
            <w:tcW w:w="0" w:type="dxa"/>
            <w:vAlign w:val="bottom"/>
          </w:tcPr>
          <w:p>
            <w:pPr>
              <w:spacing w:after="0"/>
              <w:rPr>
                <w:sz w:val="1"/>
                <w:szCs w:val="1"/>
                <w:color w:val="auto"/>
              </w:rPr>
            </w:pPr>
          </w:p>
        </w:tc>
      </w:tr>
      <w:tr>
        <w:trPr>
          <w:trHeight w:val="184"/>
        </w:trPr>
        <w:tc>
          <w:tcPr>
            <w:tcW w:w="4420" w:type="dxa"/>
            <w:vAlign w:val="bottom"/>
            <w:vMerge w:val="restart"/>
            <w:shd w:val="clear" w:color="auto" w:fill="97AAD0"/>
          </w:tcPr>
          <w:p>
            <w:pPr>
              <w:ind w:left="100"/>
              <w:spacing w:after="0"/>
              <w:rPr>
                <w:sz w:val="20"/>
                <w:szCs w:val="20"/>
                <w:color w:val="auto"/>
              </w:rPr>
            </w:pPr>
            <w:r>
              <w:rPr>
                <w:rFonts w:ascii="Arial" w:cs="Arial" w:eastAsia="Arial" w:hAnsi="Arial"/>
                <w:sz w:val="16"/>
                <w:szCs w:val="16"/>
                <w:b w:val="1"/>
                <w:bCs w:val="1"/>
                <w:color w:val="auto"/>
              </w:rPr>
              <w:t>Plan category</w:t>
            </w:r>
          </w:p>
        </w:tc>
        <w:tc>
          <w:tcPr>
            <w:tcW w:w="130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of December 31,</w:t>
            </w:r>
          </w:p>
        </w:tc>
        <w:tc>
          <w:tcPr>
            <w:tcW w:w="120" w:type="dxa"/>
            <w:vAlign w:val="bottom"/>
            <w:shd w:val="clear" w:color="auto" w:fill="97AAD0"/>
          </w:tcPr>
          <w:p>
            <w:pPr>
              <w:spacing w:after="0"/>
              <w:rPr>
                <w:sz w:val="15"/>
                <w:szCs w:val="15"/>
                <w:color w:val="auto"/>
              </w:rPr>
            </w:pPr>
          </w:p>
        </w:tc>
        <w:tc>
          <w:tcPr>
            <w:tcW w:w="1460" w:type="dxa"/>
            <w:vAlign w:val="bottom"/>
            <w:gridSpan w:val="2"/>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62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rPr>
              <w:t>of December 31,</w:t>
            </w:r>
          </w:p>
        </w:tc>
        <w:tc>
          <w:tcPr>
            <w:tcW w:w="1880" w:type="dxa"/>
            <w:vAlign w:val="bottom"/>
            <w:shd w:val="clear" w:color="auto" w:fill="97AAD0"/>
          </w:tcPr>
          <w:p>
            <w:pPr>
              <w:jc w:val="center"/>
              <w:ind w:right="58"/>
              <w:spacing w:after="0"/>
              <w:rPr>
                <w:sz w:val="20"/>
                <w:szCs w:val="20"/>
                <w:color w:val="auto"/>
              </w:rPr>
            </w:pPr>
            <w:r>
              <w:rPr>
                <w:rFonts w:ascii="Arial" w:cs="Arial" w:eastAsia="Arial" w:hAnsi="Arial"/>
                <w:sz w:val="16"/>
                <w:szCs w:val="16"/>
                <w:b w:val="1"/>
                <w:bCs w:val="1"/>
                <w:color w:val="auto"/>
              </w:rPr>
              <w:t>reflected in the first</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vMerge w:val="continue"/>
            <w:shd w:val="clear" w:color="auto" w:fill="97AAD0"/>
          </w:tcPr>
          <w:p>
            <w:pPr>
              <w:spacing w:after="0"/>
              <w:rPr>
                <w:sz w:val="17"/>
                <w:szCs w:val="17"/>
                <w:color w:val="auto"/>
              </w:rPr>
            </w:pPr>
          </w:p>
        </w:tc>
        <w:tc>
          <w:tcPr>
            <w:tcW w:w="1300" w:type="dxa"/>
            <w:vAlign w:val="bottom"/>
            <w:tcBorders>
              <w:bottom w:val="single" w:sz="8" w:color="auto"/>
            </w:tcBorders>
            <w:shd w:val="clear" w:color="auto" w:fill="97AAD0"/>
          </w:tcPr>
          <w:p>
            <w:pPr>
              <w:jc w:val="center"/>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10"/>
                <w:szCs w:val="10"/>
                <w:b w:val="1"/>
                <w:bCs w:val="1"/>
                <w:color w:val="auto"/>
              </w:rPr>
              <w:t>(a)</w:t>
            </w:r>
          </w:p>
        </w:tc>
        <w:tc>
          <w:tcPr>
            <w:tcW w:w="120" w:type="dxa"/>
            <w:vAlign w:val="bottom"/>
            <w:tcBorders>
              <w:bottom w:val="single" w:sz="8" w:color="auto"/>
            </w:tcBorders>
            <w:shd w:val="clear" w:color="auto" w:fill="97AAD0"/>
          </w:tcPr>
          <w:p>
            <w:pPr>
              <w:spacing w:after="0"/>
              <w:rPr>
                <w:sz w:val="17"/>
                <w:szCs w:val="17"/>
                <w:color w:val="auto"/>
              </w:rPr>
            </w:pPr>
          </w:p>
        </w:tc>
        <w:tc>
          <w:tcPr>
            <w:tcW w:w="220" w:type="dxa"/>
            <w:vAlign w:val="bottom"/>
            <w:tcBorders>
              <w:bottom w:val="single" w:sz="8" w:color="auto"/>
            </w:tcBorders>
            <w:shd w:val="clear" w:color="auto" w:fill="97AAD0"/>
          </w:tcPr>
          <w:p>
            <w:pPr>
              <w:spacing w:after="0"/>
              <w:rPr>
                <w:sz w:val="17"/>
                <w:szCs w:val="17"/>
                <w:color w:val="auto"/>
              </w:rPr>
            </w:pPr>
          </w:p>
        </w:tc>
        <w:tc>
          <w:tcPr>
            <w:tcW w:w="1240" w:type="dxa"/>
            <w:vAlign w:val="bottom"/>
            <w:tcBorders>
              <w:bottom w:val="single" w:sz="8" w:color="auto"/>
            </w:tcBorders>
            <w:shd w:val="clear" w:color="auto" w:fill="97AAD0"/>
          </w:tcPr>
          <w:p>
            <w:pPr>
              <w:jc w:val="center"/>
              <w:ind w:right="137"/>
              <w:spacing w:after="0"/>
              <w:rPr>
                <w:sz w:val="20"/>
                <w:szCs w:val="20"/>
                <w:color w:val="auto"/>
              </w:rPr>
            </w:pPr>
            <w:r>
              <w:rPr>
                <w:rFonts w:ascii="Arial" w:cs="Arial" w:eastAsia="Arial" w:hAnsi="Arial"/>
                <w:sz w:val="16"/>
                <w:szCs w:val="16"/>
                <w:b w:val="1"/>
                <w:bCs w:val="1"/>
                <w:color w:val="auto"/>
                <w:w w:val="97"/>
              </w:rPr>
              <w:t>2024 ($)</w:t>
            </w:r>
          </w:p>
        </w:tc>
        <w:tc>
          <w:tcPr>
            <w:tcW w:w="1620" w:type="dxa"/>
            <w:vAlign w:val="bottom"/>
            <w:tcBorders>
              <w:bottom w:val="single" w:sz="8" w:color="auto"/>
            </w:tcBorders>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9"/>
              </w:rPr>
              <w:t>2024 (years)</w:t>
            </w:r>
          </w:p>
        </w:tc>
        <w:tc>
          <w:tcPr>
            <w:tcW w:w="1880" w:type="dxa"/>
            <w:vAlign w:val="bottom"/>
            <w:tcBorders>
              <w:bottom w:val="single" w:sz="8" w:color="auto"/>
            </w:tcBorders>
            <w:shd w:val="clear" w:color="auto" w:fill="97AAD0"/>
          </w:tcPr>
          <w:p>
            <w:pPr>
              <w:jc w:val="center"/>
              <w:ind w:right="58"/>
              <w:spacing w:after="0"/>
              <w:rPr>
                <w:sz w:val="20"/>
                <w:szCs w:val="20"/>
                <w:color w:val="auto"/>
              </w:rPr>
            </w:pPr>
            <w:r>
              <w:rPr>
                <w:rFonts w:ascii="Arial" w:cs="Arial" w:eastAsia="Arial" w:hAnsi="Arial"/>
                <w:sz w:val="16"/>
                <w:szCs w:val="16"/>
                <w:b w:val="1"/>
                <w:bCs w:val="1"/>
                <w:color w:val="auto"/>
                <w:w w:val="98"/>
              </w:rPr>
              <w:t>column)</w:t>
            </w:r>
            <w:r>
              <w:rPr>
                <w:rFonts w:ascii="Arial" w:cs="Arial" w:eastAsia="Arial" w:hAnsi="Arial"/>
                <w:sz w:val="10"/>
                <w:szCs w:val="10"/>
                <w:b w:val="1"/>
                <w:bCs w:val="1"/>
                <w:color w:val="auto"/>
                <w:w w:val="98"/>
              </w:rPr>
              <w:t>(b)</w:t>
            </w:r>
          </w:p>
        </w:tc>
        <w:tc>
          <w:tcPr>
            <w:tcW w:w="0" w:type="dxa"/>
            <w:vAlign w:val="bottom"/>
          </w:tcPr>
          <w:p>
            <w:pPr>
              <w:spacing w:after="0"/>
              <w:rPr>
                <w:sz w:val="1"/>
                <w:szCs w:val="1"/>
                <w:color w:val="auto"/>
              </w:rPr>
            </w:pPr>
          </w:p>
        </w:tc>
      </w:tr>
      <w:tr>
        <w:trPr>
          <w:trHeight w:val="193"/>
        </w:trPr>
        <w:tc>
          <w:tcPr>
            <w:tcW w:w="4420" w:type="dxa"/>
            <w:vAlign w:val="bottom"/>
            <w:shd w:val="clear" w:color="auto" w:fill="E5E9F3"/>
          </w:tcPr>
          <w:p>
            <w:pPr>
              <w:ind w:left="100"/>
              <w:spacing w:after="0" w:line="193" w:lineRule="exact"/>
              <w:rPr>
                <w:sz w:val="20"/>
                <w:szCs w:val="20"/>
                <w:color w:val="auto"/>
              </w:rPr>
            </w:pPr>
            <w:r>
              <w:rPr>
                <w:rFonts w:ascii="Arial" w:cs="Arial" w:eastAsia="Arial" w:hAnsi="Arial"/>
                <w:sz w:val="18"/>
                <w:szCs w:val="18"/>
                <w:color w:val="auto"/>
              </w:rPr>
              <w:t>Equity compensation plans approved</w:t>
            </w:r>
          </w:p>
        </w:tc>
        <w:tc>
          <w:tcPr>
            <w:tcW w:w="1300" w:type="dxa"/>
            <w:vAlign w:val="bottom"/>
            <w:vMerge w:val="restart"/>
            <w:shd w:val="clear" w:color="auto" w:fill="E5E9F3"/>
          </w:tcPr>
          <w:p>
            <w:pPr>
              <w:jc w:val="right"/>
              <w:spacing w:after="0"/>
              <w:rPr>
                <w:sz w:val="20"/>
                <w:szCs w:val="20"/>
                <w:color w:val="auto"/>
              </w:rPr>
            </w:pPr>
            <w:r>
              <w:rPr>
                <w:rFonts w:ascii="Arial" w:cs="Arial" w:eastAsia="Arial" w:hAnsi="Arial"/>
                <w:sz w:val="18"/>
                <w:szCs w:val="18"/>
                <w:color w:val="auto"/>
              </w:rPr>
              <w:t>2,478,867</w:t>
            </w:r>
          </w:p>
        </w:tc>
        <w:tc>
          <w:tcPr>
            <w:tcW w:w="340" w:type="dxa"/>
            <w:vAlign w:val="bottom"/>
            <w:gridSpan w:val="2"/>
            <w:vMerge w:val="restart"/>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E5E9F3"/>
          </w:tcPr>
          <w:p>
            <w:pPr>
              <w:jc w:val="right"/>
              <w:ind w:right="37"/>
              <w:spacing w:after="0"/>
              <w:rPr>
                <w:sz w:val="20"/>
                <w:szCs w:val="20"/>
                <w:color w:val="auto"/>
              </w:rPr>
            </w:pPr>
            <w:r>
              <w:rPr>
                <w:rFonts w:ascii="Arial" w:cs="Arial" w:eastAsia="Arial" w:hAnsi="Arial"/>
                <w:sz w:val="18"/>
                <w:szCs w:val="18"/>
                <w:color w:val="auto"/>
              </w:rPr>
              <w:t>77.38</w:t>
            </w:r>
          </w:p>
        </w:tc>
        <w:tc>
          <w:tcPr>
            <w:tcW w:w="1620" w:type="dxa"/>
            <w:vAlign w:val="bottom"/>
            <w:vMerge w:val="restart"/>
            <w:shd w:val="clear" w:color="auto" w:fill="E5E9F3"/>
          </w:tcPr>
          <w:p>
            <w:pPr>
              <w:jc w:val="right"/>
              <w:ind w:right="158"/>
              <w:spacing w:after="0"/>
              <w:rPr>
                <w:sz w:val="20"/>
                <w:szCs w:val="20"/>
                <w:color w:val="auto"/>
              </w:rPr>
            </w:pPr>
            <w:r>
              <w:rPr>
                <w:rFonts w:ascii="Arial" w:cs="Arial" w:eastAsia="Arial" w:hAnsi="Arial"/>
                <w:sz w:val="18"/>
                <w:szCs w:val="18"/>
                <w:color w:val="auto"/>
              </w:rPr>
              <w:t>2.1</w:t>
            </w:r>
          </w:p>
        </w:tc>
        <w:tc>
          <w:tcPr>
            <w:tcW w:w="1880" w:type="dxa"/>
            <w:vAlign w:val="bottom"/>
            <w:vMerge w:val="restart"/>
            <w:shd w:val="clear" w:color="auto" w:fill="E5E9F3"/>
          </w:tcPr>
          <w:p>
            <w:pPr>
              <w:jc w:val="right"/>
              <w:ind w:right="58"/>
              <w:spacing w:after="0"/>
              <w:rPr>
                <w:sz w:val="20"/>
                <w:szCs w:val="20"/>
                <w:color w:val="auto"/>
              </w:rPr>
            </w:pPr>
            <w:r>
              <w:rPr>
                <w:rFonts w:ascii="Arial" w:cs="Arial" w:eastAsia="Arial" w:hAnsi="Arial"/>
                <w:sz w:val="18"/>
                <w:szCs w:val="18"/>
                <w:color w:val="auto"/>
              </w:rPr>
              <w:t>3,259,215</w:t>
            </w:r>
          </w:p>
        </w:tc>
        <w:tc>
          <w:tcPr>
            <w:tcW w:w="0" w:type="dxa"/>
            <w:vAlign w:val="bottom"/>
          </w:tcPr>
          <w:p>
            <w:pPr>
              <w:spacing w:after="0"/>
              <w:rPr>
                <w:sz w:val="1"/>
                <w:szCs w:val="1"/>
                <w:color w:val="auto"/>
              </w:rPr>
            </w:pPr>
          </w:p>
        </w:tc>
      </w:tr>
      <w:tr>
        <w:trPr>
          <w:trHeight w:val="225"/>
        </w:trPr>
        <w:tc>
          <w:tcPr>
            <w:tcW w:w="4420" w:type="dxa"/>
            <w:vAlign w:val="bottom"/>
            <w:shd w:val="clear" w:color="auto" w:fill="E5E9F3"/>
          </w:tcPr>
          <w:p>
            <w:pPr>
              <w:ind w:left="260"/>
              <w:spacing w:after="0"/>
              <w:rPr>
                <w:sz w:val="20"/>
                <w:szCs w:val="20"/>
                <w:color w:val="auto"/>
              </w:rPr>
            </w:pPr>
            <w:r>
              <w:rPr>
                <w:rFonts w:ascii="Arial" w:cs="Arial" w:eastAsia="Arial" w:hAnsi="Arial"/>
                <w:sz w:val="18"/>
                <w:szCs w:val="18"/>
                <w:color w:val="auto"/>
              </w:rPr>
              <w:t>by security holders</w:t>
            </w:r>
          </w:p>
        </w:tc>
        <w:tc>
          <w:tcPr>
            <w:tcW w:w="1300" w:type="dxa"/>
            <w:vAlign w:val="bottom"/>
            <w:vMerge w:val="continue"/>
            <w:shd w:val="clear" w:color="auto" w:fill="E5E9F3"/>
          </w:tcPr>
          <w:p>
            <w:pPr>
              <w:spacing w:after="0"/>
              <w:rPr>
                <w:sz w:val="19"/>
                <w:szCs w:val="19"/>
                <w:color w:val="auto"/>
              </w:rPr>
            </w:pPr>
          </w:p>
        </w:tc>
        <w:tc>
          <w:tcPr>
            <w:tcW w:w="340" w:type="dxa"/>
            <w:vAlign w:val="bottom"/>
            <w:gridSpan w:val="2"/>
            <w:vMerge w:val="continue"/>
            <w:shd w:val="clear" w:color="auto" w:fill="E5E9F3"/>
          </w:tcPr>
          <w:p>
            <w:pPr>
              <w:spacing w:after="0"/>
              <w:rPr>
                <w:sz w:val="19"/>
                <w:szCs w:val="19"/>
                <w:color w:val="auto"/>
              </w:rPr>
            </w:pPr>
          </w:p>
        </w:tc>
        <w:tc>
          <w:tcPr>
            <w:tcW w:w="1240" w:type="dxa"/>
            <w:vAlign w:val="bottom"/>
            <w:vMerge w:val="continue"/>
            <w:shd w:val="clear" w:color="auto" w:fill="E5E9F3"/>
          </w:tcPr>
          <w:p>
            <w:pPr>
              <w:spacing w:after="0"/>
              <w:rPr>
                <w:sz w:val="19"/>
                <w:szCs w:val="19"/>
                <w:color w:val="auto"/>
              </w:rPr>
            </w:pPr>
          </w:p>
        </w:tc>
        <w:tc>
          <w:tcPr>
            <w:tcW w:w="1620" w:type="dxa"/>
            <w:vAlign w:val="bottom"/>
            <w:vMerge w:val="continue"/>
            <w:shd w:val="clear" w:color="auto" w:fill="E5E9F3"/>
          </w:tcPr>
          <w:p>
            <w:pPr>
              <w:spacing w:after="0"/>
              <w:rPr>
                <w:sz w:val="19"/>
                <w:szCs w:val="19"/>
                <w:color w:val="auto"/>
              </w:rPr>
            </w:pPr>
          </w:p>
        </w:tc>
        <w:tc>
          <w:tcPr>
            <w:tcW w:w="1880" w:type="dxa"/>
            <w:vAlign w:val="bottom"/>
            <w:vMerge w:val="continue"/>
            <w:shd w:val="clear" w:color="auto" w:fill="E5E9F3"/>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00"/>
              <w:spacing w:after="0" w:line="203" w:lineRule="exact"/>
              <w:rPr>
                <w:sz w:val="20"/>
                <w:szCs w:val="20"/>
                <w:color w:val="auto"/>
              </w:rPr>
            </w:pPr>
            <w:r>
              <w:rPr>
                <w:rFonts w:ascii="Arial" w:cs="Arial" w:eastAsia="Arial" w:hAnsi="Arial"/>
                <w:sz w:val="18"/>
                <w:szCs w:val="18"/>
                <w:color w:val="auto"/>
              </w:rPr>
              <w:t>Equity compensation plans not approved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158"/>
              <w:spacing w:after="0"/>
              <w:rPr>
                <w:sz w:val="20"/>
                <w:szCs w:val="20"/>
                <w:color w:val="auto"/>
              </w:rPr>
            </w:pPr>
            <w:r>
              <w:rPr>
                <w:rFonts w:ascii="Arial" w:cs="Arial" w:eastAsia="Arial" w:hAnsi="Arial"/>
                <w:sz w:val="18"/>
                <w:szCs w:val="18"/>
                <w:color w:val="auto"/>
              </w:rPr>
              <w:t>—</w:t>
            </w:r>
          </w:p>
        </w:tc>
        <w:tc>
          <w:tcPr>
            <w:tcW w:w="1880" w:type="dxa"/>
            <w:vAlign w:val="bottom"/>
            <w:vMerge w:val="restart"/>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420" w:type="dxa"/>
            <w:vAlign w:val="bottom"/>
            <w:tcBorders>
              <w:bottom w:val="single" w:sz="8" w:color="E5E9F3"/>
            </w:tcBorders>
          </w:tcPr>
          <w:p>
            <w:pPr>
              <w:ind w:left="260"/>
              <w:spacing w:after="0"/>
              <w:rPr>
                <w:sz w:val="20"/>
                <w:szCs w:val="20"/>
                <w:color w:val="auto"/>
              </w:rPr>
            </w:pPr>
            <w:r>
              <w:rPr>
                <w:rFonts w:ascii="Arial" w:cs="Arial" w:eastAsia="Arial" w:hAnsi="Arial"/>
                <w:sz w:val="18"/>
                <w:szCs w:val="18"/>
                <w:color w:val="auto"/>
              </w:rPr>
              <w:t>by security holders</w:t>
            </w: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E5E9F3"/>
            </w:tcBorders>
          </w:tcPr>
          <w:p>
            <w:pPr>
              <w:spacing w:after="0"/>
              <w:rPr>
                <w:sz w:val="19"/>
                <w:szCs w:val="19"/>
                <w:color w:val="auto"/>
              </w:rPr>
            </w:pPr>
          </w:p>
        </w:tc>
        <w:tc>
          <w:tcPr>
            <w:tcW w:w="1240" w:type="dxa"/>
            <w:vAlign w:val="bottom"/>
            <w:tcBorders>
              <w:bottom w:val="single" w:sz="8" w:color="E5E9F3"/>
            </w:tcBorders>
            <w:vMerge w:val="continue"/>
          </w:tcPr>
          <w:p>
            <w:pPr>
              <w:spacing w:after="0"/>
              <w:rPr>
                <w:sz w:val="19"/>
                <w:szCs w:val="19"/>
                <w:color w:val="auto"/>
              </w:rPr>
            </w:pPr>
          </w:p>
        </w:tc>
        <w:tc>
          <w:tcPr>
            <w:tcW w:w="1620" w:type="dxa"/>
            <w:vAlign w:val="bottom"/>
            <w:tcBorders>
              <w:bottom w:val="single" w:sz="8" w:color="E5E9F3"/>
            </w:tcBorders>
            <w:vMerge w:val="continue"/>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auto"/>
            </w:tcBorders>
            <w:shd w:val="clear" w:color="auto" w:fill="E5E9F3"/>
          </w:tcPr>
          <w:p>
            <w:pPr>
              <w:ind w:left="10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2,478,867</w:t>
            </w:r>
          </w:p>
        </w:tc>
        <w:tc>
          <w:tcPr>
            <w:tcW w:w="120" w:type="dxa"/>
            <w:vAlign w:val="bottom"/>
            <w:tcBorders>
              <w:bottom w:val="single" w:sz="8" w:color="auto"/>
            </w:tcBorders>
            <w:shd w:val="clear" w:color="auto" w:fill="E5E9F3"/>
          </w:tcPr>
          <w:p>
            <w:pPr>
              <w:spacing w:after="0"/>
              <w:rPr>
                <w:sz w:val="22"/>
                <w:szCs w:val="22"/>
                <w:color w:val="auto"/>
              </w:rPr>
            </w:pPr>
          </w:p>
        </w:tc>
        <w:tc>
          <w:tcPr>
            <w:tcW w:w="220" w:type="dxa"/>
            <w:vAlign w:val="bottom"/>
            <w:tcBorders>
              <w:bottom w:val="single" w:sz="8" w:color="auto"/>
            </w:tcBorders>
            <w:shd w:val="clear" w:color="auto" w:fill="E5E9F3"/>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9F3"/>
          </w:tcPr>
          <w:p>
            <w:pPr>
              <w:jc w:val="right"/>
              <w:ind w:right="37"/>
              <w:spacing w:after="0"/>
              <w:rPr>
                <w:sz w:val="20"/>
                <w:szCs w:val="20"/>
                <w:color w:val="auto"/>
              </w:rPr>
            </w:pPr>
            <w:r>
              <w:rPr>
                <w:rFonts w:ascii="Arial" w:cs="Arial" w:eastAsia="Arial" w:hAnsi="Arial"/>
                <w:sz w:val="18"/>
                <w:szCs w:val="18"/>
                <w:color w:val="auto"/>
              </w:rPr>
              <w:t>77.38</w:t>
            </w:r>
          </w:p>
        </w:tc>
        <w:tc>
          <w:tcPr>
            <w:tcW w:w="1620" w:type="dxa"/>
            <w:vAlign w:val="bottom"/>
            <w:tcBorders>
              <w:bottom w:val="single" w:sz="8" w:color="auto"/>
            </w:tcBorders>
            <w:shd w:val="clear" w:color="auto" w:fill="E5E9F3"/>
          </w:tcPr>
          <w:p>
            <w:pPr>
              <w:jc w:val="right"/>
              <w:ind w:right="158"/>
              <w:spacing w:after="0"/>
              <w:rPr>
                <w:sz w:val="20"/>
                <w:szCs w:val="20"/>
                <w:color w:val="auto"/>
              </w:rPr>
            </w:pPr>
            <w:r>
              <w:rPr>
                <w:rFonts w:ascii="Arial" w:cs="Arial" w:eastAsia="Arial" w:hAnsi="Arial"/>
                <w:sz w:val="18"/>
                <w:szCs w:val="18"/>
                <w:color w:val="auto"/>
              </w:rPr>
              <w:t>2.1</w:t>
            </w:r>
          </w:p>
        </w:tc>
        <w:tc>
          <w:tcPr>
            <w:tcW w:w="1880" w:type="dxa"/>
            <w:vAlign w:val="bottom"/>
            <w:tcBorders>
              <w:bottom w:val="single" w:sz="8" w:color="auto"/>
            </w:tcBorders>
            <w:shd w:val="clear" w:color="auto" w:fill="E5E9F3"/>
          </w:tcPr>
          <w:p>
            <w:pPr>
              <w:jc w:val="right"/>
              <w:ind w:right="58"/>
              <w:spacing w:after="0"/>
              <w:rPr>
                <w:sz w:val="20"/>
                <w:szCs w:val="20"/>
                <w:color w:val="auto"/>
              </w:rPr>
            </w:pPr>
            <w:r>
              <w:rPr>
                <w:rFonts w:ascii="Arial" w:cs="Arial" w:eastAsia="Arial" w:hAnsi="Arial"/>
                <w:sz w:val="18"/>
                <w:szCs w:val="18"/>
                <w:color w:val="auto"/>
              </w:rPr>
              <w:t>3,259,215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right="100" w:hanging="320"/>
        <w:spacing w:after="0" w:line="282" w:lineRule="auto"/>
        <w:tabs>
          <w:tab w:leader="none" w:pos="320" w:val="left"/>
        </w:tabs>
        <w:numPr>
          <w:ilvl w:val="0"/>
          <w:numId w:val="66"/>
        </w:numPr>
        <w:rPr>
          <w:rFonts w:ascii="Arial" w:cs="Arial" w:eastAsia="Arial" w:hAnsi="Arial"/>
          <w:sz w:val="10"/>
          <w:szCs w:val="10"/>
          <w:color w:val="auto"/>
        </w:rPr>
      </w:pPr>
      <w:r>
        <w:rPr>
          <w:rFonts w:ascii="Arial" w:cs="Arial" w:eastAsia="Arial" w:hAnsi="Arial"/>
          <w:sz w:val="16"/>
          <w:szCs w:val="16"/>
          <w:color w:val="auto"/>
        </w:rPr>
        <w:t>Represents maximum number of shares to be awarded under best-case target, excluding dividend equivalents. Current estimate is 575,659 shares less than maximum.</w:t>
      </w:r>
    </w:p>
    <w:p>
      <w:pPr>
        <w:spacing w:after="0" w:line="55" w:lineRule="exact"/>
        <w:rPr>
          <w:rFonts w:ascii="Arial" w:cs="Arial" w:eastAsia="Arial" w:hAnsi="Arial"/>
          <w:sz w:val="10"/>
          <w:szCs w:val="10"/>
          <w:color w:val="auto"/>
        </w:rPr>
      </w:pPr>
    </w:p>
    <w:p>
      <w:pPr>
        <w:ind w:left="320" w:right="20" w:hanging="320"/>
        <w:spacing w:after="0" w:line="282" w:lineRule="auto"/>
        <w:tabs>
          <w:tab w:leader="none" w:pos="320" w:val="left"/>
        </w:tabs>
        <w:numPr>
          <w:ilvl w:val="0"/>
          <w:numId w:val="66"/>
        </w:numPr>
        <w:rPr>
          <w:rFonts w:ascii="Arial" w:cs="Arial" w:eastAsia="Arial" w:hAnsi="Arial"/>
          <w:sz w:val="10"/>
          <w:szCs w:val="10"/>
          <w:color w:val="auto"/>
        </w:rPr>
      </w:pPr>
      <w:r>
        <w:rPr>
          <w:rFonts w:ascii="Arial" w:cs="Arial" w:eastAsia="Arial" w:hAnsi="Arial"/>
          <w:sz w:val="16"/>
          <w:szCs w:val="16"/>
          <w:color w:val="auto"/>
        </w:rPr>
        <w:t>Includes the number of shares remaining available for future issuance under the following plans: 2011 Equity Incentive Plan - 2,721,487 shares; and Savings Related Share Option Scheme – 537,728 shares.</w:t>
      </w:r>
    </w:p>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28"/>
          <w:szCs w:val="28"/>
          <w:b w:val="1"/>
          <w:bCs w:val="1"/>
          <w:color w:val="537BB5"/>
        </w:rPr>
        <w:t>Item 13. Certain Relationships and Related Transactions, and Director Independence</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information required by this Item is set forth in our Proxy Statement for the Annual Meeting of Shareholders to be held on May 2, 2025, under the caption “Board Independence and Related Party Transactions” and “Meetings and Committees of the Board,” which information is hereby incorporated herein by reference.</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14. Principal Accounting Fees and Services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information required by this Item is set forth in our Proxy Statement for the Annual Meeting of Shareholders to be held on May 2, 2025, under the captions “Fees Billed by Deloitte” and “Independent Auditor Services Policy” in the Audit Committee Report, which information is hereby incorporated herein by reference.</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10800"/>
          </w:cols>
          <w:pgMar w:left="720" w:top="734" w:right="720" w:bottom="175" w:gutter="0" w:footer="0" w:header="0"/>
          <w:type w:val="continuous"/>
        </w:sectPr>
      </w:pPr>
    </w:p>
    <w:bookmarkStart w:id="96" w:name="page97"/>
    <w:bookmarkEnd w:id="96"/>
    <w:p>
      <w:pPr>
        <w:ind w:left="1010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4" o:spid="_x0000_s1149"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IV</w:t>
      </w:r>
    </w:p>
    <w:p>
      <w:pPr>
        <w:spacing w:after="0" w:line="102" w:lineRule="exact"/>
        <w:rPr>
          <w:sz w:val="20"/>
          <w:szCs w:val="20"/>
          <w:color w:val="auto"/>
        </w:rPr>
      </w:pPr>
    </w:p>
    <w:p>
      <w:pPr>
        <w:spacing w:after="0"/>
        <w:rPr>
          <w:sz w:val="20"/>
          <w:szCs w:val="20"/>
          <w:color w:val="auto"/>
        </w:rPr>
      </w:pPr>
      <w:r>
        <w:rPr>
          <w:rFonts w:ascii="Arial" w:cs="Arial" w:eastAsia="Arial" w:hAnsi="Arial"/>
          <w:sz w:val="46"/>
          <w:szCs w:val="46"/>
          <w:b w:val="1"/>
          <w:bCs w:val="1"/>
          <w:color w:val="537BB5"/>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28"/>
          <w:szCs w:val="28"/>
          <w:b w:val="1"/>
          <w:bCs w:val="1"/>
          <w:color w:val="537BB5"/>
        </w:rPr>
        <w:t>Item 15. Exhibits and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85"/>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Number</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537BB5"/>
            </w:tcBorders>
          </w:tcPr>
          <w:p>
            <w:pPr>
              <w:spacing w:after="0"/>
              <w:rPr>
                <w:sz w:val="17"/>
                <w:szCs w:val="17"/>
                <w:color w:val="auto"/>
              </w:rPr>
            </w:pPr>
          </w:p>
        </w:tc>
        <w:tc>
          <w:tcPr>
            <w:tcW w:w="140" w:type="dxa"/>
            <w:vAlign w:val="bottom"/>
            <w:tcBorders>
              <w:bottom w:val="single" w:sz="8" w:color="537BB5"/>
            </w:tcBorders>
          </w:tcPr>
          <w:p>
            <w:pPr>
              <w:spacing w:after="0"/>
              <w:rPr>
                <w:sz w:val="17"/>
                <w:szCs w:val="17"/>
                <w:color w:val="auto"/>
              </w:rPr>
            </w:pPr>
          </w:p>
        </w:tc>
        <w:tc>
          <w:tcPr>
            <w:tcW w:w="1100" w:type="dxa"/>
            <w:vAlign w:val="bottom"/>
            <w:tcBorders>
              <w:bottom w:val="single" w:sz="8" w:color="537BB5"/>
            </w:tcBorders>
          </w:tcPr>
          <w:p>
            <w:pPr>
              <w:spacing w:after="0"/>
              <w:rPr>
                <w:sz w:val="17"/>
                <w:szCs w:val="17"/>
                <w:color w:val="auto"/>
              </w:rPr>
            </w:pPr>
          </w:p>
        </w:tc>
        <w:tc>
          <w:tcPr>
            <w:tcW w:w="140" w:type="dxa"/>
            <w:vAlign w:val="bottom"/>
            <w:tcBorders>
              <w:bottom w:val="single" w:sz="8" w:color="537BB5"/>
            </w:tcBorders>
          </w:tcPr>
          <w:p>
            <w:pPr>
              <w:spacing w:after="0"/>
              <w:rPr>
                <w:sz w:val="17"/>
                <w:szCs w:val="17"/>
                <w:color w:val="auto"/>
              </w:rPr>
            </w:pPr>
          </w:p>
        </w:tc>
        <w:tc>
          <w:tcPr>
            <w:tcW w:w="1100" w:type="dxa"/>
            <w:vAlign w:val="bottom"/>
            <w:tcBorders>
              <w:bottom w:val="single" w:sz="8" w:color="537BB5"/>
            </w:tcBorders>
          </w:tcPr>
          <w:p>
            <w:pPr>
              <w:spacing w:after="0"/>
              <w:rPr>
                <w:sz w:val="17"/>
                <w:szCs w:val="17"/>
                <w:color w:val="auto"/>
              </w:rPr>
            </w:pPr>
          </w:p>
        </w:tc>
        <w:tc>
          <w:tcPr>
            <w:tcW w:w="1080" w:type="dxa"/>
            <w:vAlign w:val="bottom"/>
            <w:tcBorders>
              <w:bottom w:val="single" w:sz="8" w:color="537BB5"/>
            </w:tcBorders>
          </w:tcPr>
          <w:p>
            <w:pPr>
              <w:spacing w:after="0"/>
              <w:rPr>
                <w:sz w:val="17"/>
                <w:szCs w:val="17"/>
                <w:color w:val="auto"/>
              </w:rPr>
            </w:pPr>
          </w:p>
        </w:tc>
        <w:tc>
          <w:tcPr>
            <w:tcW w:w="520" w:type="dxa"/>
            <w:vAlign w:val="bottom"/>
            <w:tcBorders>
              <w:bottom w:val="single" w:sz="8" w:color="537BB5"/>
            </w:tcBorders>
          </w:tcPr>
          <w:p>
            <w:pPr>
              <w:spacing w:after="0"/>
              <w:rPr>
                <w:sz w:val="17"/>
                <w:szCs w:val="17"/>
                <w:color w:val="auto"/>
              </w:rPr>
            </w:pPr>
          </w:p>
        </w:tc>
        <w:tc>
          <w:tcPr>
            <w:tcW w:w="780" w:type="dxa"/>
            <w:vAlign w:val="bottom"/>
            <w:tcBorders>
              <w:bottom w:val="single" w:sz="8" w:color="537BB5"/>
            </w:tcBorders>
          </w:tcPr>
          <w:p>
            <w:pPr>
              <w:spacing w:after="0"/>
              <w:rPr>
                <w:sz w:val="17"/>
                <w:szCs w:val="17"/>
                <w:color w:val="auto"/>
              </w:rPr>
            </w:pPr>
          </w:p>
        </w:tc>
        <w:tc>
          <w:tcPr>
            <w:tcW w:w="260" w:type="dxa"/>
            <w:vAlign w:val="bottom"/>
            <w:tcBorders>
              <w:bottom w:val="single" w:sz="8" w:color="537BB5"/>
            </w:tcBorders>
          </w:tcPr>
          <w:p>
            <w:pPr>
              <w:spacing w:after="0"/>
              <w:rPr>
                <w:sz w:val="17"/>
                <w:szCs w:val="17"/>
                <w:color w:val="auto"/>
              </w:rPr>
            </w:pPr>
          </w:p>
        </w:tc>
        <w:tc>
          <w:tcPr>
            <w:tcW w:w="1160" w:type="dxa"/>
            <w:vAlign w:val="bottom"/>
            <w:tcBorders>
              <w:bottom w:val="single" w:sz="8" w:color="537BB5"/>
            </w:tcBorders>
          </w:tcPr>
          <w:p>
            <w:pPr>
              <w:spacing w:after="0"/>
              <w:rPr>
                <w:sz w:val="17"/>
                <w:szCs w:val="17"/>
                <w:color w:val="auto"/>
              </w:rPr>
            </w:pPr>
          </w:p>
        </w:tc>
        <w:tc>
          <w:tcPr>
            <w:tcW w:w="160" w:type="dxa"/>
            <w:vAlign w:val="bottom"/>
            <w:tcBorders>
              <w:bottom w:val="single" w:sz="8" w:color="537BB5"/>
            </w:tcBorders>
          </w:tcPr>
          <w:p>
            <w:pPr>
              <w:spacing w:after="0"/>
              <w:rPr>
                <w:sz w:val="17"/>
                <w:szCs w:val="17"/>
                <w:color w:val="auto"/>
              </w:rPr>
            </w:pPr>
          </w:p>
        </w:tc>
        <w:tc>
          <w:tcPr>
            <w:tcW w:w="1220" w:type="dxa"/>
            <w:vAlign w:val="bottom"/>
            <w:tcBorders>
              <w:bottom w:val="single" w:sz="8" w:color="537BB5"/>
            </w:tcBorders>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140" w:type="dxa"/>
            <w:vAlign w:val="bottom"/>
          </w:tcPr>
          <w:p>
            <w:pPr>
              <w:spacing w:after="0"/>
              <w:rPr>
                <w:sz w:val="20"/>
                <w:szCs w:val="20"/>
                <w:color w:val="auto"/>
              </w:rPr>
            </w:pPr>
            <w:r>
              <w:rPr>
                <w:rFonts w:ascii="Arial" w:cs="Arial" w:eastAsia="Arial" w:hAnsi="Arial"/>
                <w:sz w:val="20"/>
                <w:szCs w:val="20"/>
                <w:color w:val="auto"/>
                <w:w w:val="99"/>
              </w:rPr>
              <w:t>Consolidated Financial Statements: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5"/>
          </w:tcPr>
          <w:p>
            <w:pPr>
              <w:ind w:left="500"/>
              <w:spacing w:after="0"/>
              <w:rPr>
                <w:sz w:val="20"/>
                <w:szCs w:val="20"/>
                <w:color w:val="auto"/>
              </w:rPr>
            </w:pPr>
            <w:r>
              <w:rPr>
                <w:rFonts w:ascii="Arial" w:cs="Arial" w:eastAsia="Arial" w:hAnsi="Arial"/>
                <w:sz w:val="20"/>
                <w:szCs w:val="20"/>
                <w:color w:val="auto"/>
                <w:w w:val="99"/>
              </w:rPr>
              <w:t>Report of Independent Registered Public Accounting Firm</w:t>
            </w: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70"/>
        </w:trPr>
        <w:tc>
          <w:tcPr>
            <w:tcW w:w="9420" w:type="dxa"/>
            <w:vAlign w:val="bottom"/>
            <w:gridSpan w:val="10"/>
          </w:tcPr>
          <w:p>
            <w:pPr>
              <w:ind w:left="500"/>
              <w:spacing w:after="0"/>
              <w:rPr>
                <w:sz w:val="20"/>
                <w:szCs w:val="20"/>
                <w:color w:val="auto"/>
              </w:rPr>
            </w:pPr>
            <w:r>
              <w:rPr>
                <w:rFonts w:ascii="Arial" w:cs="Arial" w:eastAsia="Arial" w:hAnsi="Arial"/>
                <w:sz w:val="20"/>
                <w:szCs w:val="20"/>
                <w:color w:val="auto"/>
              </w:rPr>
              <w:t>Consolidated Statements of Operations for the years ended December 31, 2024, 2023 and 2022</w:t>
            </w: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30"/>
        </w:trPr>
        <w:tc>
          <w:tcPr>
            <w:tcW w:w="9420" w:type="dxa"/>
            <w:vAlign w:val="bottom"/>
            <w:gridSpan w:val="10"/>
          </w:tcPr>
          <w:p>
            <w:pPr>
              <w:ind w:left="500"/>
              <w:spacing w:after="0"/>
              <w:rPr>
                <w:sz w:val="20"/>
                <w:szCs w:val="20"/>
                <w:color w:val="auto"/>
              </w:rPr>
            </w:pPr>
            <w:r>
              <w:rPr>
                <w:rFonts w:ascii="Arial" w:cs="Arial" w:eastAsia="Arial" w:hAnsi="Arial"/>
                <w:sz w:val="20"/>
                <w:szCs w:val="20"/>
                <w:color w:val="auto"/>
              </w:rPr>
              <w:t>Consolidated Statements of Comprehensive Income for the years ended December 31, 2024, 2023</w:t>
            </w:r>
          </w:p>
        </w:tc>
        <w:tc>
          <w:tcPr>
            <w:tcW w:w="160" w:type="dxa"/>
            <w:vAlign w:val="bottom"/>
          </w:tcPr>
          <w:p>
            <w:pPr>
              <w:spacing w:after="0"/>
              <w:rPr>
                <w:sz w:val="19"/>
                <w:szCs w:val="19"/>
                <w:color w:val="auto"/>
              </w:rPr>
            </w:pPr>
          </w:p>
        </w:tc>
        <w:tc>
          <w:tcPr>
            <w:tcW w:w="1220" w:type="dxa"/>
            <w:vAlign w:val="bottom"/>
            <w:vMerge w:val="restart"/>
          </w:tcPr>
          <w:p>
            <w:pPr>
              <w:jc w:val="right"/>
              <w:ind w:right="409"/>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156"/>
        </w:trPr>
        <w:tc>
          <w:tcPr>
            <w:tcW w:w="3140" w:type="dxa"/>
            <w:vAlign w:val="bottom"/>
            <w:vMerge w:val="restart"/>
          </w:tcPr>
          <w:p>
            <w:pPr>
              <w:ind w:left="500"/>
              <w:spacing w:after="0"/>
              <w:rPr>
                <w:sz w:val="20"/>
                <w:szCs w:val="20"/>
                <w:color w:val="auto"/>
              </w:rPr>
            </w:pPr>
            <w:r>
              <w:rPr>
                <w:rFonts w:ascii="Arial" w:cs="Arial" w:eastAsia="Arial" w:hAnsi="Arial"/>
                <w:sz w:val="20"/>
                <w:szCs w:val="20"/>
                <w:color w:val="auto"/>
              </w:rPr>
              <w:t>and 2022</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700" w:type="dxa"/>
            <w:vAlign w:val="bottom"/>
            <w:gridSpan w:val="6"/>
          </w:tcPr>
          <w:p>
            <w:pPr>
              <w:ind w:left="500"/>
              <w:spacing w:after="0"/>
              <w:rPr>
                <w:sz w:val="20"/>
                <w:szCs w:val="20"/>
                <w:color w:val="auto"/>
              </w:rPr>
            </w:pPr>
            <w:r>
              <w:rPr>
                <w:rFonts w:ascii="Arial" w:cs="Arial" w:eastAsia="Arial" w:hAnsi="Arial"/>
                <w:sz w:val="20"/>
                <w:szCs w:val="20"/>
                <w:color w:val="auto"/>
              </w:rPr>
              <w:t>Consolidated Balance Sheets as of December 31, 2024 and 2023</w:t>
            </w: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0"/>
        </w:trPr>
        <w:tc>
          <w:tcPr>
            <w:tcW w:w="9420" w:type="dxa"/>
            <w:vAlign w:val="bottom"/>
            <w:gridSpan w:val="10"/>
          </w:tcPr>
          <w:p>
            <w:pPr>
              <w:ind w:left="500"/>
              <w:spacing w:after="0"/>
              <w:rPr>
                <w:sz w:val="20"/>
                <w:szCs w:val="20"/>
                <w:color w:val="auto"/>
              </w:rPr>
            </w:pPr>
            <w:r>
              <w:rPr>
                <w:rFonts w:ascii="Arial" w:cs="Arial" w:eastAsia="Arial" w:hAnsi="Arial"/>
                <w:sz w:val="20"/>
                <w:szCs w:val="20"/>
                <w:color w:val="auto"/>
              </w:rPr>
              <w:t>Consolidated Statements of Cash Flows for the years ended December 31, 2024, 2023 and 2022</w:t>
            </w: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30"/>
        </w:trPr>
        <w:tc>
          <w:tcPr>
            <w:tcW w:w="9420" w:type="dxa"/>
            <w:vAlign w:val="bottom"/>
            <w:gridSpan w:val="10"/>
          </w:tcPr>
          <w:p>
            <w:pPr>
              <w:ind w:left="500"/>
              <w:spacing w:after="0"/>
              <w:rPr>
                <w:sz w:val="20"/>
                <w:szCs w:val="20"/>
                <w:color w:val="auto"/>
              </w:rPr>
            </w:pPr>
            <w:r>
              <w:rPr>
                <w:rFonts w:ascii="Arial" w:cs="Arial" w:eastAsia="Arial" w:hAnsi="Arial"/>
                <w:sz w:val="20"/>
                <w:szCs w:val="20"/>
                <w:color w:val="auto"/>
              </w:rPr>
              <w:t>Consolidated Statements of Shareholders’ Equity for the years ended December 31, 2024, 2023 and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500"/>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71"/>
        </w:trPr>
        <w:tc>
          <w:tcPr>
            <w:tcW w:w="4380" w:type="dxa"/>
            <w:vAlign w:val="bottom"/>
            <w:gridSpan w:val="3"/>
          </w:tcPr>
          <w:p>
            <w:pPr>
              <w:ind w:left="500"/>
              <w:spacing w:after="0"/>
              <w:rPr>
                <w:sz w:val="20"/>
                <w:szCs w:val="20"/>
                <w:color w:val="auto"/>
              </w:rPr>
            </w:pPr>
            <w:r>
              <w:rPr>
                <w:rFonts w:ascii="Arial" w:cs="Arial" w:eastAsia="Arial" w:hAnsi="Arial"/>
                <w:sz w:val="20"/>
                <w:szCs w:val="20"/>
                <w:color w:val="auto"/>
                <w:w w:val="99"/>
              </w:rPr>
              <w:t>Notes to Consolidated Financial Statements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537BB5"/>
            </w:tcBorders>
            <w:gridSpan w:val="2"/>
          </w:tcPr>
          <w:p>
            <w:pPr>
              <w:spacing w:after="0"/>
              <w:rPr>
                <w:sz w:val="18"/>
                <w:szCs w:val="18"/>
                <w:color w:val="auto"/>
              </w:rPr>
            </w:pPr>
          </w:p>
        </w:tc>
        <w:tc>
          <w:tcPr>
            <w:tcW w:w="1100" w:type="dxa"/>
            <w:vAlign w:val="bottom"/>
            <w:tcBorders>
              <w:bottom w:val="single" w:sz="8" w:color="537BB5"/>
            </w:tcBorders>
          </w:tcPr>
          <w:p>
            <w:pPr>
              <w:spacing w:after="0"/>
              <w:rPr>
                <w:sz w:val="18"/>
                <w:szCs w:val="18"/>
                <w:color w:val="auto"/>
              </w:rPr>
            </w:pPr>
          </w:p>
        </w:tc>
        <w:tc>
          <w:tcPr>
            <w:tcW w:w="140" w:type="dxa"/>
            <w:vAlign w:val="bottom"/>
            <w:tcBorders>
              <w:bottom w:val="single" w:sz="8" w:color="537BB5"/>
            </w:tcBorders>
          </w:tcPr>
          <w:p>
            <w:pPr>
              <w:spacing w:after="0"/>
              <w:rPr>
                <w:sz w:val="18"/>
                <w:szCs w:val="18"/>
                <w:color w:val="auto"/>
              </w:rPr>
            </w:pPr>
          </w:p>
        </w:tc>
        <w:tc>
          <w:tcPr>
            <w:tcW w:w="1100" w:type="dxa"/>
            <w:vAlign w:val="bottom"/>
            <w:tcBorders>
              <w:bottom w:val="single" w:sz="8" w:color="537BB5"/>
            </w:tcBorders>
          </w:tcPr>
          <w:p>
            <w:pPr>
              <w:spacing w:after="0"/>
              <w:rPr>
                <w:sz w:val="18"/>
                <w:szCs w:val="18"/>
                <w:color w:val="auto"/>
              </w:rPr>
            </w:pPr>
          </w:p>
        </w:tc>
        <w:tc>
          <w:tcPr>
            <w:tcW w:w="1080" w:type="dxa"/>
            <w:vAlign w:val="bottom"/>
            <w:tcBorders>
              <w:bottom w:val="single" w:sz="8" w:color="537BB5"/>
            </w:tcBorders>
          </w:tcPr>
          <w:p>
            <w:pPr>
              <w:spacing w:after="0"/>
              <w:rPr>
                <w:sz w:val="18"/>
                <w:szCs w:val="18"/>
                <w:color w:val="auto"/>
              </w:rPr>
            </w:pPr>
          </w:p>
        </w:tc>
        <w:tc>
          <w:tcPr>
            <w:tcW w:w="520" w:type="dxa"/>
            <w:vAlign w:val="bottom"/>
            <w:tcBorders>
              <w:bottom w:val="single" w:sz="8" w:color="537BB5"/>
            </w:tcBorders>
          </w:tcPr>
          <w:p>
            <w:pPr>
              <w:spacing w:after="0"/>
              <w:rPr>
                <w:sz w:val="18"/>
                <w:szCs w:val="18"/>
                <w:color w:val="auto"/>
              </w:rPr>
            </w:pPr>
          </w:p>
        </w:tc>
        <w:tc>
          <w:tcPr>
            <w:tcW w:w="780" w:type="dxa"/>
            <w:vAlign w:val="bottom"/>
            <w:tcBorders>
              <w:bottom w:val="single" w:sz="8" w:color="537BB5"/>
            </w:tcBorders>
          </w:tcPr>
          <w:p>
            <w:pPr>
              <w:spacing w:after="0"/>
              <w:rPr>
                <w:sz w:val="18"/>
                <w:szCs w:val="18"/>
                <w:color w:val="auto"/>
              </w:rPr>
            </w:pPr>
          </w:p>
        </w:tc>
        <w:tc>
          <w:tcPr>
            <w:tcW w:w="260" w:type="dxa"/>
            <w:vAlign w:val="bottom"/>
            <w:tcBorders>
              <w:bottom w:val="single" w:sz="8" w:color="537BB5"/>
            </w:tcBorders>
          </w:tcPr>
          <w:p>
            <w:pPr>
              <w:spacing w:after="0"/>
              <w:rPr>
                <w:sz w:val="18"/>
                <w:szCs w:val="18"/>
                <w:color w:val="auto"/>
              </w:rPr>
            </w:pPr>
          </w:p>
        </w:tc>
        <w:tc>
          <w:tcPr>
            <w:tcW w:w="1160" w:type="dxa"/>
            <w:vAlign w:val="bottom"/>
            <w:tcBorders>
              <w:bottom w:val="single" w:sz="8" w:color="537BB5"/>
            </w:tcBorders>
          </w:tcPr>
          <w:p>
            <w:pPr>
              <w:spacing w:after="0"/>
              <w:rPr>
                <w:sz w:val="18"/>
                <w:szCs w:val="18"/>
                <w:color w:val="auto"/>
              </w:rPr>
            </w:pPr>
          </w:p>
        </w:tc>
        <w:tc>
          <w:tcPr>
            <w:tcW w:w="160" w:type="dxa"/>
            <w:vAlign w:val="bottom"/>
            <w:tcBorders>
              <w:bottom w:val="single" w:sz="8" w:color="537BB5"/>
            </w:tcBorders>
          </w:tcPr>
          <w:p>
            <w:pPr>
              <w:spacing w:after="0"/>
              <w:rPr>
                <w:sz w:val="18"/>
                <w:szCs w:val="18"/>
                <w:color w:val="auto"/>
              </w:rPr>
            </w:pPr>
          </w:p>
        </w:tc>
        <w:tc>
          <w:tcPr>
            <w:tcW w:w="1220" w:type="dxa"/>
            <w:vAlign w:val="bottom"/>
            <w:tcBorders>
              <w:bottom w:val="single" w:sz="8" w:color="537BB5"/>
            </w:tcBorders>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3280" w:type="dxa"/>
            <w:vAlign w:val="bottom"/>
            <w:gridSpan w:val="2"/>
          </w:tcPr>
          <w:p>
            <w:pPr>
              <w:spacing w:after="0"/>
              <w:rPr>
                <w:sz w:val="20"/>
                <w:szCs w:val="20"/>
                <w:color w:val="auto"/>
              </w:rPr>
            </w:pPr>
            <w:r>
              <w:rPr>
                <w:rFonts w:ascii="Arial" w:cs="Arial" w:eastAsia="Arial" w:hAnsi="Arial"/>
                <w:sz w:val="20"/>
                <w:szCs w:val="20"/>
                <w:color w:val="auto"/>
              </w:rPr>
              <w:t>(a)(2) Financial Statement Schedule.</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520" w:type="dxa"/>
            <w:vAlign w:val="bottom"/>
            <w:gridSpan w:val="4"/>
          </w:tcPr>
          <w:p>
            <w:pPr>
              <w:spacing w:after="0"/>
              <w:rPr>
                <w:sz w:val="20"/>
                <w:szCs w:val="20"/>
                <w:color w:val="auto"/>
              </w:rPr>
            </w:pPr>
            <w:r>
              <w:rPr>
                <w:rFonts w:ascii="Arial" w:cs="Arial" w:eastAsia="Arial" w:hAnsi="Arial"/>
                <w:sz w:val="20"/>
                <w:szCs w:val="20"/>
                <w:color w:val="auto"/>
                <w:w w:val="99"/>
              </w:rPr>
              <w:t>SCHEDULE II—Valuation and Qualifying Accounts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700" w:type="dxa"/>
            <w:vAlign w:val="bottom"/>
            <w:gridSpan w:val="6"/>
          </w:tcPr>
          <w:p>
            <w:pPr>
              <w:spacing w:after="0"/>
              <w:rPr>
                <w:sz w:val="20"/>
                <w:szCs w:val="20"/>
                <w:color w:val="auto"/>
              </w:rPr>
            </w:pPr>
            <w:r>
              <w:rPr>
                <w:rFonts w:ascii="Arial" w:cs="Arial" w:eastAsia="Arial" w:hAnsi="Arial"/>
                <w:sz w:val="20"/>
                <w:szCs w:val="20"/>
                <w:color w:val="auto"/>
              </w:rPr>
              <w:t>For the years ended December 31, 2024, 2023 and 2022, in millions:</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380" w:type="dxa"/>
            <w:vAlign w:val="bottom"/>
            <w:gridSpan w:val="3"/>
          </w:tcPr>
          <w:p>
            <w:pPr>
              <w:spacing w:after="0"/>
              <w:rPr>
                <w:sz w:val="20"/>
                <w:szCs w:val="20"/>
                <w:color w:val="auto"/>
              </w:rPr>
            </w:pPr>
            <w:r>
              <w:rPr>
                <w:rFonts w:ascii="Arial" w:cs="Arial" w:eastAsia="Arial" w:hAnsi="Arial"/>
                <w:sz w:val="20"/>
                <w:szCs w:val="20"/>
                <w:color w:val="auto"/>
              </w:rPr>
              <w:t>Allowance for Expected Credit Losses: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1100" w:type="dxa"/>
            <w:vAlign w:val="bottom"/>
            <w:shd w:val="clear" w:color="auto" w:fill="97AAD0"/>
          </w:tcPr>
          <w:p>
            <w:pPr>
              <w:jc w:val="center"/>
              <w:ind w:right="214"/>
              <w:spacing w:after="0" w:line="169" w:lineRule="exact"/>
              <w:rPr>
                <w:sz w:val="20"/>
                <w:szCs w:val="20"/>
                <w:color w:val="auto"/>
              </w:rPr>
            </w:pPr>
            <w:r>
              <w:rPr>
                <w:rFonts w:ascii="Arial" w:cs="Arial" w:eastAsia="Arial" w:hAnsi="Arial"/>
                <w:sz w:val="16"/>
                <w:szCs w:val="16"/>
                <w:b w:val="1"/>
                <w:bCs w:val="1"/>
                <w:color w:val="auto"/>
                <w:w w:val="99"/>
              </w:rPr>
              <w:t>Balance at</w:t>
            </w:r>
          </w:p>
        </w:tc>
        <w:tc>
          <w:tcPr>
            <w:tcW w:w="140" w:type="dxa"/>
            <w:vAlign w:val="bottom"/>
            <w:shd w:val="clear" w:color="auto" w:fill="97AAD0"/>
          </w:tcPr>
          <w:p>
            <w:pPr>
              <w:spacing w:after="0"/>
              <w:rPr>
                <w:sz w:val="14"/>
                <w:szCs w:val="14"/>
                <w:color w:val="auto"/>
              </w:rPr>
            </w:pPr>
          </w:p>
        </w:tc>
        <w:tc>
          <w:tcPr>
            <w:tcW w:w="1100" w:type="dxa"/>
            <w:vAlign w:val="bottom"/>
            <w:vMerge w:val="restart"/>
            <w:shd w:val="clear" w:color="auto" w:fill="97AAD0"/>
          </w:tcPr>
          <w:p>
            <w:pPr>
              <w:ind w:left="120"/>
              <w:spacing w:after="0"/>
              <w:rPr>
                <w:sz w:val="20"/>
                <w:szCs w:val="20"/>
                <w:color w:val="auto"/>
              </w:rPr>
            </w:pPr>
            <w:r>
              <w:rPr>
                <w:rFonts w:ascii="Arial" w:cs="Arial" w:eastAsia="Arial" w:hAnsi="Arial"/>
                <w:sz w:val="16"/>
                <w:szCs w:val="16"/>
                <w:b w:val="1"/>
                <w:bCs w:val="1"/>
                <w:color w:val="auto"/>
              </w:rPr>
              <w:t>Bad Debt</w:t>
            </w:r>
          </w:p>
        </w:tc>
        <w:tc>
          <w:tcPr>
            <w:tcW w:w="1080" w:type="dxa"/>
            <w:vAlign w:val="bottom"/>
            <w:shd w:val="clear" w:color="auto" w:fill="97AAD0"/>
          </w:tcPr>
          <w:p>
            <w:pPr>
              <w:spacing w:after="0"/>
              <w:rPr>
                <w:sz w:val="14"/>
                <w:szCs w:val="14"/>
                <w:color w:val="auto"/>
              </w:rPr>
            </w:pPr>
          </w:p>
        </w:tc>
        <w:tc>
          <w:tcPr>
            <w:tcW w:w="1300" w:type="dxa"/>
            <w:vAlign w:val="bottom"/>
            <w:gridSpan w:val="2"/>
            <w:vMerge w:val="restart"/>
            <w:shd w:val="clear" w:color="auto" w:fill="97AAD0"/>
          </w:tcPr>
          <w:p>
            <w:pPr>
              <w:jc w:val="right"/>
              <w:ind w:right="32"/>
              <w:spacing w:after="0"/>
              <w:rPr>
                <w:sz w:val="20"/>
                <w:szCs w:val="20"/>
                <w:color w:val="auto"/>
              </w:rPr>
            </w:pPr>
            <w:r>
              <w:rPr>
                <w:rFonts w:ascii="Arial" w:cs="Arial" w:eastAsia="Arial" w:hAnsi="Arial"/>
                <w:sz w:val="16"/>
                <w:szCs w:val="16"/>
                <w:b w:val="1"/>
                <w:bCs w:val="1"/>
                <w:color w:val="auto"/>
              </w:rPr>
              <w:t>Translation</w:t>
            </w:r>
          </w:p>
        </w:tc>
        <w:tc>
          <w:tcPr>
            <w:tcW w:w="1420" w:type="dxa"/>
            <w:vAlign w:val="bottom"/>
            <w:gridSpan w:val="2"/>
            <w:vMerge w:val="restart"/>
            <w:shd w:val="clear" w:color="auto" w:fill="97AAD0"/>
          </w:tcPr>
          <w:p>
            <w:pPr>
              <w:ind w:left="120"/>
              <w:spacing w:after="0"/>
              <w:rPr>
                <w:sz w:val="20"/>
                <w:szCs w:val="20"/>
                <w:color w:val="auto"/>
              </w:rPr>
            </w:pPr>
            <w:r>
              <w:rPr>
                <w:rFonts w:ascii="Arial" w:cs="Arial" w:eastAsia="Arial" w:hAnsi="Arial"/>
                <w:sz w:val="16"/>
                <w:szCs w:val="16"/>
                <w:b w:val="1"/>
                <w:bCs w:val="1"/>
                <w:color w:val="auto"/>
                <w:w w:val="97"/>
              </w:rPr>
              <w:t>Reclassifications</w:t>
            </w:r>
          </w:p>
        </w:tc>
        <w:tc>
          <w:tcPr>
            <w:tcW w:w="160" w:type="dxa"/>
            <w:vAlign w:val="bottom"/>
            <w:shd w:val="clear" w:color="auto" w:fill="97AAD0"/>
          </w:tcPr>
          <w:p>
            <w:pPr>
              <w:spacing w:after="0"/>
              <w:rPr>
                <w:sz w:val="14"/>
                <w:szCs w:val="14"/>
                <w:color w:val="auto"/>
              </w:rPr>
            </w:pPr>
          </w:p>
        </w:tc>
        <w:tc>
          <w:tcPr>
            <w:tcW w:w="1220" w:type="dxa"/>
            <w:vAlign w:val="bottom"/>
            <w:shd w:val="clear" w:color="auto" w:fill="97AAD0"/>
          </w:tcPr>
          <w:p>
            <w:pPr>
              <w:jc w:val="center"/>
              <w:spacing w:after="0" w:line="169"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84"/>
        </w:trPr>
        <w:tc>
          <w:tcPr>
            <w:tcW w:w="314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100" w:type="dxa"/>
            <w:vAlign w:val="bottom"/>
            <w:shd w:val="clear" w:color="auto" w:fill="97AAD0"/>
          </w:tcPr>
          <w:p>
            <w:pPr>
              <w:jc w:val="center"/>
              <w:ind w:right="194"/>
              <w:spacing w:after="0"/>
              <w:rPr>
                <w:sz w:val="20"/>
                <w:szCs w:val="20"/>
                <w:color w:val="auto"/>
              </w:rPr>
            </w:pPr>
            <w:r>
              <w:rPr>
                <w:rFonts w:ascii="Arial" w:cs="Arial" w:eastAsia="Arial" w:hAnsi="Arial"/>
                <w:sz w:val="16"/>
                <w:szCs w:val="16"/>
                <w:b w:val="1"/>
                <w:bCs w:val="1"/>
                <w:color w:val="auto"/>
                <w:w w:val="99"/>
              </w:rPr>
              <w:t>Beginning</w:t>
            </w:r>
          </w:p>
        </w:tc>
        <w:tc>
          <w:tcPr>
            <w:tcW w:w="140" w:type="dxa"/>
            <w:vAlign w:val="bottom"/>
            <w:shd w:val="clear" w:color="auto" w:fill="97AAD0"/>
          </w:tcPr>
          <w:p>
            <w:pPr>
              <w:spacing w:after="0"/>
              <w:rPr>
                <w:sz w:val="15"/>
                <w:szCs w:val="15"/>
                <w:color w:val="auto"/>
              </w:rPr>
            </w:pPr>
          </w:p>
        </w:tc>
        <w:tc>
          <w:tcPr>
            <w:tcW w:w="1100" w:type="dxa"/>
            <w:vAlign w:val="bottom"/>
            <w:vMerge w:val="continue"/>
            <w:shd w:val="clear" w:color="auto" w:fill="97AAD0"/>
          </w:tcPr>
          <w:p>
            <w:pPr>
              <w:spacing w:after="0"/>
              <w:rPr>
                <w:sz w:val="15"/>
                <w:szCs w:val="15"/>
                <w:color w:val="auto"/>
              </w:rPr>
            </w:pPr>
          </w:p>
        </w:tc>
        <w:tc>
          <w:tcPr>
            <w:tcW w:w="1080" w:type="dxa"/>
            <w:vAlign w:val="bottom"/>
            <w:vMerge w:val="restart"/>
            <w:shd w:val="clear" w:color="auto" w:fill="97AAD0"/>
          </w:tcPr>
          <w:p>
            <w:pPr>
              <w:jc w:val="right"/>
              <w:spacing w:after="0"/>
              <w:rPr>
                <w:sz w:val="20"/>
                <w:szCs w:val="20"/>
                <w:color w:val="auto"/>
              </w:rPr>
            </w:pPr>
            <w:r>
              <w:rPr>
                <w:rFonts w:ascii="Arial" w:cs="Arial" w:eastAsia="Arial" w:hAnsi="Arial"/>
                <w:sz w:val="16"/>
                <w:szCs w:val="16"/>
                <w:b w:val="1"/>
                <w:bCs w:val="1"/>
                <w:color w:val="auto"/>
              </w:rPr>
              <w:t>Write-Offs</w:t>
            </w:r>
          </w:p>
        </w:tc>
        <w:tc>
          <w:tcPr>
            <w:tcW w:w="1300" w:type="dxa"/>
            <w:vAlign w:val="bottom"/>
            <w:gridSpan w:val="2"/>
            <w:vMerge w:val="continue"/>
            <w:shd w:val="clear" w:color="auto" w:fill="97AAD0"/>
          </w:tcPr>
          <w:p>
            <w:pPr>
              <w:spacing w:after="0"/>
              <w:rPr>
                <w:sz w:val="15"/>
                <w:szCs w:val="15"/>
                <w:color w:val="auto"/>
              </w:rPr>
            </w:pPr>
          </w:p>
        </w:tc>
        <w:tc>
          <w:tcPr>
            <w:tcW w:w="1420" w:type="dxa"/>
            <w:vAlign w:val="bottom"/>
            <w:gridSpan w:val="2"/>
            <w:vMerge w:val="continue"/>
            <w:shd w:val="clear" w:color="auto" w:fill="97AAD0"/>
          </w:tcPr>
          <w:p>
            <w:pPr>
              <w:spacing w:after="0"/>
              <w:rPr>
                <w:sz w:val="15"/>
                <w:szCs w:val="15"/>
                <w:color w:val="auto"/>
              </w:rPr>
            </w:pPr>
          </w:p>
        </w:tc>
        <w:tc>
          <w:tcPr>
            <w:tcW w:w="160" w:type="dxa"/>
            <w:vAlign w:val="bottom"/>
            <w:shd w:val="clear" w:color="auto" w:fill="97AAD0"/>
          </w:tcPr>
          <w:p>
            <w:pPr>
              <w:spacing w:after="0"/>
              <w:rPr>
                <w:sz w:val="15"/>
                <w:szCs w:val="15"/>
                <w:color w:val="auto"/>
              </w:rPr>
            </w:pPr>
          </w:p>
        </w:tc>
        <w:tc>
          <w:tcPr>
            <w:tcW w:w="122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03"/>
        </w:trPr>
        <w:tc>
          <w:tcPr>
            <w:tcW w:w="3140" w:type="dxa"/>
            <w:vAlign w:val="bottom"/>
            <w:shd w:val="clear" w:color="auto" w:fill="97AAD0"/>
          </w:tcPr>
          <w:p>
            <w:pPr>
              <w:spacing w:after="0"/>
              <w:rPr>
                <w:sz w:val="17"/>
                <w:szCs w:val="17"/>
                <w:color w:val="auto"/>
              </w:rPr>
            </w:pPr>
          </w:p>
        </w:tc>
        <w:tc>
          <w:tcPr>
            <w:tcW w:w="140" w:type="dxa"/>
            <w:vAlign w:val="bottom"/>
            <w:shd w:val="clear" w:color="auto" w:fill="97AAD0"/>
          </w:tcPr>
          <w:p>
            <w:pPr>
              <w:spacing w:after="0"/>
              <w:rPr>
                <w:sz w:val="17"/>
                <w:szCs w:val="17"/>
                <w:color w:val="auto"/>
              </w:rPr>
            </w:pPr>
          </w:p>
        </w:tc>
        <w:tc>
          <w:tcPr>
            <w:tcW w:w="1100" w:type="dxa"/>
            <w:vAlign w:val="bottom"/>
            <w:shd w:val="clear" w:color="auto" w:fill="97AAD0"/>
          </w:tcPr>
          <w:p>
            <w:pPr>
              <w:jc w:val="center"/>
              <w:ind w:right="194"/>
              <w:spacing w:after="0"/>
              <w:rPr>
                <w:sz w:val="20"/>
                <w:szCs w:val="20"/>
                <w:color w:val="auto"/>
              </w:rPr>
            </w:pPr>
            <w:r>
              <w:rPr>
                <w:rFonts w:ascii="Arial" w:cs="Arial" w:eastAsia="Arial" w:hAnsi="Arial"/>
                <w:sz w:val="16"/>
                <w:szCs w:val="16"/>
                <w:b w:val="1"/>
                <w:bCs w:val="1"/>
                <w:color w:val="auto"/>
                <w:w w:val="99"/>
              </w:rPr>
              <w:t>of Year</w:t>
            </w:r>
          </w:p>
        </w:tc>
        <w:tc>
          <w:tcPr>
            <w:tcW w:w="140" w:type="dxa"/>
            <w:vAlign w:val="bottom"/>
            <w:shd w:val="clear" w:color="auto" w:fill="97AAD0"/>
          </w:tcPr>
          <w:p>
            <w:pPr>
              <w:spacing w:after="0"/>
              <w:rPr>
                <w:sz w:val="17"/>
                <w:szCs w:val="17"/>
                <w:color w:val="auto"/>
              </w:rPr>
            </w:pPr>
          </w:p>
        </w:tc>
        <w:tc>
          <w:tcPr>
            <w:tcW w:w="1100" w:type="dxa"/>
            <w:vAlign w:val="bottom"/>
            <w:shd w:val="clear" w:color="auto" w:fill="97AAD0"/>
          </w:tcPr>
          <w:p>
            <w:pPr>
              <w:ind w:left="140"/>
              <w:spacing w:after="0"/>
              <w:rPr>
                <w:sz w:val="20"/>
                <w:szCs w:val="20"/>
                <w:color w:val="auto"/>
              </w:rPr>
            </w:pPr>
            <w:r>
              <w:rPr>
                <w:rFonts w:ascii="Arial" w:cs="Arial" w:eastAsia="Arial" w:hAnsi="Arial"/>
                <w:sz w:val="16"/>
                <w:szCs w:val="16"/>
                <w:b w:val="1"/>
                <w:bCs w:val="1"/>
                <w:color w:val="auto"/>
              </w:rPr>
              <w:t>Expense</w:t>
            </w:r>
          </w:p>
        </w:tc>
        <w:tc>
          <w:tcPr>
            <w:tcW w:w="1080" w:type="dxa"/>
            <w:vAlign w:val="bottom"/>
            <w:vMerge w:val="continue"/>
            <w:shd w:val="clear" w:color="auto" w:fill="97AAD0"/>
          </w:tcPr>
          <w:p>
            <w:pPr>
              <w:spacing w:after="0"/>
              <w:rPr>
                <w:sz w:val="17"/>
                <w:szCs w:val="17"/>
                <w:color w:val="auto"/>
              </w:rPr>
            </w:pPr>
          </w:p>
        </w:tc>
        <w:tc>
          <w:tcPr>
            <w:tcW w:w="1300" w:type="dxa"/>
            <w:vAlign w:val="bottom"/>
            <w:gridSpan w:val="2"/>
            <w:shd w:val="clear" w:color="auto" w:fill="97AAD0"/>
          </w:tcPr>
          <w:p>
            <w:pPr>
              <w:jc w:val="right"/>
              <w:spacing w:after="0"/>
              <w:rPr>
                <w:sz w:val="20"/>
                <w:szCs w:val="20"/>
                <w:color w:val="auto"/>
              </w:rPr>
            </w:pPr>
            <w:r>
              <w:rPr>
                <w:rFonts w:ascii="Arial" w:cs="Arial" w:eastAsia="Arial" w:hAnsi="Arial"/>
                <w:sz w:val="16"/>
                <w:szCs w:val="16"/>
                <w:b w:val="1"/>
                <w:bCs w:val="1"/>
                <w:color w:val="auto"/>
              </w:rPr>
              <w:t>Adjustments</w:t>
            </w:r>
          </w:p>
        </w:tc>
        <w:tc>
          <w:tcPr>
            <w:tcW w:w="260" w:type="dxa"/>
            <w:vAlign w:val="bottom"/>
            <w:shd w:val="clear" w:color="auto" w:fill="97AAD0"/>
          </w:tcPr>
          <w:p>
            <w:pPr>
              <w:spacing w:after="0"/>
              <w:rPr>
                <w:sz w:val="17"/>
                <w:szCs w:val="17"/>
                <w:color w:val="auto"/>
              </w:rPr>
            </w:pPr>
          </w:p>
        </w:tc>
        <w:tc>
          <w:tcPr>
            <w:tcW w:w="1160" w:type="dxa"/>
            <w:vAlign w:val="bottom"/>
            <w:shd w:val="clear" w:color="auto" w:fill="97AAD0"/>
          </w:tcPr>
          <w:p>
            <w:pPr>
              <w:jc w:val="right"/>
              <w:ind w:right="171"/>
              <w:spacing w:after="0"/>
              <w:rPr>
                <w:sz w:val="20"/>
                <w:szCs w:val="20"/>
                <w:color w:val="auto"/>
              </w:rPr>
            </w:pPr>
            <w:r>
              <w:rPr>
                <w:rFonts w:ascii="Arial" w:cs="Arial" w:eastAsia="Arial" w:hAnsi="Arial"/>
                <w:sz w:val="16"/>
                <w:szCs w:val="16"/>
                <w:b w:val="1"/>
                <w:bCs w:val="1"/>
                <w:color w:val="auto"/>
              </w:rPr>
              <w:t>and Other</w:t>
            </w:r>
          </w:p>
        </w:tc>
        <w:tc>
          <w:tcPr>
            <w:tcW w:w="160" w:type="dxa"/>
            <w:vAlign w:val="bottom"/>
            <w:shd w:val="clear" w:color="auto" w:fill="97AAD0"/>
          </w:tcPr>
          <w:p>
            <w:pPr>
              <w:spacing w:after="0"/>
              <w:rPr>
                <w:sz w:val="17"/>
                <w:szCs w:val="17"/>
                <w:color w:val="auto"/>
              </w:rPr>
            </w:pPr>
          </w:p>
        </w:tc>
        <w:tc>
          <w:tcPr>
            <w:tcW w:w="1220" w:type="dxa"/>
            <w:vAlign w:val="bottom"/>
            <w:shd w:val="clear" w:color="auto" w:fill="97AAD0"/>
          </w:tcPr>
          <w:p>
            <w:pPr>
              <w:jc w:val="center"/>
              <w:spacing w:after="0"/>
              <w:rPr>
                <w:sz w:val="20"/>
                <w:szCs w:val="20"/>
                <w:color w:val="auto"/>
              </w:rPr>
            </w:pPr>
            <w:r>
              <w:rPr>
                <w:rFonts w:ascii="Arial" w:cs="Arial" w:eastAsia="Arial" w:hAnsi="Arial"/>
                <w:sz w:val="16"/>
                <w:szCs w:val="16"/>
                <w:b w:val="1"/>
                <w:bCs w:val="1"/>
                <w:color w:val="auto"/>
                <w:w w:val="99"/>
              </w:rPr>
              <w:t>of Year</w:t>
            </w:r>
          </w:p>
        </w:tc>
        <w:tc>
          <w:tcPr>
            <w:tcW w:w="0" w:type="dxa"/>
            <w:vAlign w:val="bottom"/>
          </w:tcPr>
          <w:p>
            <w:pPr>
              <w:spacing w:after="0"/>
              <w:rPr>
                <w:sz w:val="1"/>
                <w:szCs w:val="1"/>
                <w:color w:val="auto"/>
              </w:rPr>
            </w:pPr>
          </w:p>
        </w:tc>
      </w:tr>
      <w:tr>
        <w:trPr>
          <w:trHeight w:val="267"/>
        </w:trPr>
        <w:tc>
          <w:tcPr>
            <w:tcW w:w="3140" w:type="dxa"/>
            <w:vAlign w:val="bottom"/>
            <w:shd w:val="clear" w:color="auto" w:fill="E5E9F3"/>
          </w:tcPr>
          <w:p>
            <w:pPr>
              <w:ind w:left="128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E5E9F3"/>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9F3"/>
          </w:tcPr>
          <w:p>
            <w:pPr>
              <w:jc w:val="right"/>
              <w:ind w:right="454"/>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9F3"/>
          </w:tcPr>
          <w:p>
            <w:pPr>
              <w:jc w:val="right"/>
              <w:ind w:right="335"/>
              <w:spacing w:after="0"/>
              <w:rPr>
                <w:sz w:val="20"/>
                <w:szCs w:val="20"/>
                <w:color w:val="auto"/>
              </w:rPr>
            </w:pPr>
            <w:r>
              <w:rPr>
                <w:rFonts w:ascii="Arial" w:cs="Arial" w:eastAsia="Arial" w:hAnsi="Arial"/>
                <w:sz w:val="18"/>
                <w:szCs w:val="18"/>
                <w:color w:val="auto"/>
              </w:rPr>
              <w:t>9.0</w:t>
            </w:r>
          </w:p>
        </w:tc>
        <w:tc>
          <w:tcPr>
            <w:tcW w:w="1080" w:type="dxa"/>
            <w:vAlign w:val="bottom"/>
            <w:shd w:val="clear" w:color="auto" w:fill="E5E9F3"/>
          </w:tcPr>
          <w:p>
            <w:pPr>
              <w:jc w:val="right"/>
              <w:ind w:right="115"/>
              <w:spacing w:after="0"/>
              <w:rPr>
                <w:sz w:val="20"/>
                <w:szCs w:val="20"/>
                <w:color w:val="auto"/>
              </w:rPr>
            </w:pPr>
            <w:r>
              <w:rPr>
                <w:rFonts w:ascii="Arial" w:cs="Arial" w:eastAsia="Arial" w:hAnsi="Arial"/>
                <w:sz w:val="18"/>
                <w:szCs w:val="18"/>
                <w:color w:val="auto"/>
              </w:rPr>
              <w:t>$  (35.6 )</w:t>
            </w:r>
          </w:p>
        </w:tc>
        <w:tc>
          <w:tcPr>
            <w:tcW w:w="520" w:type="dxa"/>
            <w:vAlign w:val="bottom"/>
            <w:shd w:val="clear" w:color="auto" w:fill="E5E9F3"/>
          </w:tcPr>
          <w:p>
            <w:pPr>
              <w:jc w:val="right"/>
              <w:ind w:right="73"/>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9F3"/>
          </w:tcPr>
          <w:p>
            <w:pPr>
              <w:jc w:val="right"/>
              <w:ind w:right="272"/>
              <w:spacing w:after="0"/>
              <w:rPr>
                <w:sz w:val="20"/>
                <w:szCs w:val="20"/>
                <w:color w:val="auto"/>
              </w:rPr>
            </w:pPr>
            <w:r>
              <w:rPr>
                <w:rFonts w:ascii="Arial" w:cs="Arial" w:eastAsia="Arial" w:hAnsi="Arial"/>
                <w:sz w:val="18"/>
                <w:szCs w:val="18"/>
                <w:color w:val="auto"/>
                <w:w w:val="95"/>
              </w:rPr>
              <w:t>(5.0 )</w:t>
            </w:r>
          </w:p>
        </w:tc>
        <w:tc>
          <w:tcPr>
            <w:tcW w:w="260" w:type="dxa"/>
            <w:vAlign w:val="bottom"/>
            <w:shd w:val="clear" w:color="auto" w:fill="E5E9F3"/>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9F3"/>
          </w:tcPr>
          <w:p>
            <w:pPr>
              <w:jc w:val="right"/>
              <w:ind w:right="491"/>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9F3"/>
          </w:tcPr>
          <w:p>
            <w:pPr>
              <w:spacing w:after="0"/>
              <w:rPr>
                <w:sz w:val="23"/>
                <w:szCs w:val="23"/>
                <w:color w:val="auto"/>
              </w:rPr>
            </w:pPr>
          </w:p>
        </w:tc>
        <w:tc>
          <w:tcPr>
            <w:tcW w:w="1220" w:type="dxa"/>
            <w:vAlign w:val="bottom"/>
            <w:shd w:val="clear" w:color="auto" w:fill="E5E9F3"/>
          </w:tcPr>
          <w:p>
            <w:pPr>
              <w:jc w:val="right"/>
              <w:ind w:right="329"/>
              <w:spacing w:after="0"/>
              <w:rPr>
                <w:sz w:val="20"/>
                <w:szCs w:val="20"/>
                <w:color w:val="auto"/>
              </w:rPr>
            </w:pPr>
            <w:r>
              <w:rPr>
                <w:rFonts w:ascii="Arial" w:cs="Arial" w:eastAsia="Arial" w:hAnsi="Arial"/>
                <w:sz w:val="18"/>
                <w:szCs w:val="18"/>
                <w:color w:val="auto"/>
              </w:rPr>
              <w:t>$    67.6</w:t>
            </w:r>
          </w:p>
        </w:tc>
        <w:tc>
          <w:tcPr>
            <w:tcW w:w="0" w:type="dxa"/>
            <w:vAlign w:val="bottom"/>
          </w:tcPr>
          <w:p>
            <w:pPr>
              <w:spacing w:after="0"/>
              <w:rPr>
                <w:sz w:val="1"/>
                <w:szCs w:val="1"/>
                <w:color w:val="auto"/>
              </w:rPr>
            </w:pPr>
          </w:p>
        </w:tc>
      </w:tr>
      <w:tr>
        <w:trPr>
          <w:trHeight w:val="265"/>
        </w:trPr>
        <w:tc>
          <w:tcPr>
            <w:tcW w:w="3140" w:type="dxa"/>
            <w:vAlign w:val="bottom"/>
          </w:tcPr>
          <w:p>
            <w:pPr>
              <w:ind w:left="128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3"/>
                <w:szCs w:val="23"/>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(18.2 )</w:t>
            </w:r>
          </w:p>
        </w:tc>
        <w:tc>
          <w:tcPr>
            <w:tcW w:w="520" w:type="dxa"/>
            <w:vAlign w:val="bottom"/>
          </w:tcPr>
          <w:p>
            <w:pPr>
              <w:spacing w:after="0"/>
              <w:rPr>
                <w:sz w:val="23"/>
                <w:szCs w:val="23"/>
                <w:color w:val="auto"/>
              </w:rPr>
            </w:pPr>
          </w:p>
        </w:tc>
        <w:tc>
          <w:tcPr>
            <w:tcW w:w="780" w:type="dxa"/>
            <w:vAlign w:val="bottom"/>
          </w:tcPr>
          <w:p>
            <w:pPr>
              <w:jc w:val="right"/>
              <w:ind w:right="37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3"/>
                <w:szCs w:val="23"/>
                <w:color w:val="auto"/>
              </w:rPr>
            </w:pPr>
          </w:p>
        </w:tc>
        <w:tc>
          <w:tcPr>
            <w:tcW w:w="11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329"/>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67"/>
        </w:trPr>
        <w:tc>
          <w:tcPr>
            <w:tcW w:w="3140" w:type="dxa"/>
            <w:vAlign w:val="bottom"/>
            <w:tcBorders>
              <w:bottom w:val="single" w:sz="8" w:color="auto"/>
            </w:tcBorders>
            <w:shd w:val="clear" w:color="auto" w:fill="E5E9F3"/>
          </w:tcPr>
          <w:p>
            <w:pPr>
              <w:ind w:left="128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shd w:val="clear" w:color="auto" w:fill="E5E9F3"/>
          </w:tcPr>
          <w:p>
            <w:pPr>
              <w:spacing w:after="0"/>
              <w:rPr>
                <w:sz w:val="23"/>
                <w:szCs w:val="23"/>
                <w:color w:val="auto"/>
              </w:rPr>
            </w:pPr>
          </w:p>
        </w:tc>
        <w:tc>
          <w:tcPr>
            <w:tcW w:w="1100" w:type="dxa"/>
            <w:vAlign w:val="bottom"/>
            <w:tcBorders>
              <w:bottom w:val="single" w:sz="8" w:color="auto"/>
            </w:tcBorders>
            <w:shd w:val="clear" w:color="auto" w:fill="E5E9F3"/>
          </w:tcPr>
          <w:p>
            <w:pPr>
              <w:jc w:val="right"/>
              <w:ind w:right="454"/>
              <w:spacing w:after="0"/>
              <w:rPr>
                <w:sz w:val="20"/>
                <w:szCs w:val="20"/>
                <w:color w:val="auto"/>
              </w:rPr>
            </w:pPr>
            <w:r>
              <w:rPr>
                <w:rFonts w:ascii="Arial" w:cs="Arial" w:eastAsia="Arial" w:hAnsi="Arial"/>
                <w:sz w:val="18"/>
                <w:szCs w:val="18"/>
                <w:color w:val="auto"/>
              </w:rPr>
              <w:t>121.6</w:t>
            </w:r>
          </w:p>
        </w:tc>
        <w:tc>
          <w:tcPr>
            <w:tcW w:w="140" w:type="dxa"/>
            <w:vAlign w:val="bottom"/>
            <w:tcBorders>
              <w:bottom w:val="single" w:sz="8" w:color="auto"/>
            </w:tcBorders>
            <w:shd w:val="clear" w:color="auto" w:fill="E5E9F3"/>
          </w:tcPr>
          <w:p>
            <w:pPr>
              <w:spacing w:after="0"/>
              <w:rPr>
                <w:sz w:val="23"/>
                <w:szCs w:val="23"/>
                <w:color w:val="auto"/>
              </w:rPr>
            </w:pPr>
          </w:p>
        </w:tc>
        <w:tc>
          <w:tcPr>
            <w:tcW w:w="1100" w:type="dxa"/>
            <w:vAlign w:val="bottom"/>
            <w:tcBorders>
              <w:bottom w:val="single" w:sz="8" w:color="auto"/>
            </w:tcBorders>
            <w:shd w:val="clear" w:color="auto" w:fill="E5E9F3"/>
          </w:tcPr>
          <w:p>
            <w:pPr>
              <w:jc w:val="right"/>
              <w:ind w:right="335"/>
              <w:spacing w:after="0"/>
              <w:rPr>
                <w:sz w:val="20"/>
                <w:szCs w:val="20"/>
                <w:color w:val="auto"/>
              </w:rPr>
            </w:pPr>
            <w:r>
              <w:rPr>
                <w:rFonts w:ascii="Arial" w:cs="Arial" w:eastAsia="Arial" w:hAnsi="Arial"/>
                <w:sz w:val="18"/>
                <w:szCs w:val="18"/>
                <w:color w:val="auto"/>
              </w:rPr>
              <w:t>6.2</w:t>
            </w:r>
          </w:p>
        </w:tc>
        <w:tc>
          <w:tcPr>
            <w:tcW w:w="1080" w:type="dxa"/>
            <w:vAlign w:val="bottom"/>
            <w:tcBorders>
              <w:bottom w:val="single" w:sz="8" w:color="auto"/>
            </w:tcBorders>
            <w:shd w:val="clear" w:color="auto" w:fill="E5E9F3"/>
          </w:tcPr>
          <w:p>
            <w:pPr>
              <w:jc w:val="right"/>
              <w:ind w:right="115"/>
              <w:spacing w:after="0"/>
              <w:rPr>
                <w:sz w:val="20"/>
                <w:szCs w:val="20"/>
                <w:color w:val="auto"/>
              </w:rPr>
            </w:pPr>
            <w:r>
              <w:rPr>
                <w:rFonts w:ascii="Arial" w:cs="Arial" w:eastAsia="Arial" w:hAnsi="Arial"/>
                <w:sz w:val="18"/>
                <w:szCs w:val="18"/>
                <w:color w:val="auto"/>
              </w:rPr>
              <w:t>(12.4 )</w:t>
            </w:r>
          </w:p>
        </w:tc>
        <w:tc>
          <w:tcPr>
            <w:tcW w:w="520" w:type="dxa"/>
            <w:vAlign w:val="bottom"/>
            <w:tcBorders>
              <w:bottom w:val="single" w:sz="8" w:color="auto"/>
            </w:tcBorders>
            <w:shd w:val="clear" w:color="auto" w:fill="E5E9F3"/>
          </w:tcPr>
          <w:p>
            <w:pPr>
              <w:spacing w:after="0"/>
              <w:rPr>
                <w:sz w:val="23"/>
                <w:szCs w:val="23"/>
                <w:color w:val="auto"/>
              </w:rPr>
            </w:pPr>
          </w:p>
        </w:tc>
        <w:tc>
          <w:tcPr>
            <w:tcW w:w="780" w:type="dxa"/>
            <w:vAlign w:val="bottom"/>
            <w:tcBorders>
              <w:bottom w:val="single" w:sz="8" w:color="auto"/>
            </w:tcBorders>
            <w:shd w:val="clear" w:color="auto" w:fill="E5E9F3"/>
          </w:tcPr>
          <w:p>
            <w:pPr>
              <w:jc w:val="right"/>
              <w:ind w:right="272"/>
              <w:spacing w:after="0"/>
              <w:rPr>
                <w:sz w:val="20"/>
                <w:szCs w:val="20"/>
                <w:color w:val="auto"/>
              </w:rPr>
            </w:pPr>
            <w:r>
              <w:rPr>
                <w:rFonts w:ascii="Arial" w:cs="Arial" w:eastAsia="Arial" w:hAnsi="Arial"/>
                <w:sz w:val="18"/>
                <w:szCs w:val="18"/>
                <w:color w:val="auto"/>
                <w:w w:val="95"/>
              </w:rPr>
              <w:t>(5.8 )</w:t>
            </w:r>
          </w:p>
        </w:tc>
        <w:tc>
          <w:tcPr>
            <w:tcW w:w="260" w:type="dxa"/>
            <w:vAlign w:val="bottom"/>
            <w:tcBorders>
              <w:bottom w:val="single" w:sz="8" w:color="auto"/>
            </w:tcBorders>
            <w:shd w:val="clear" w:color="auto" w:fill="E5E9F3"/>
          </w:tcPr>
          <w:p>
            <w:pPr>
              <w:spacing w:after="0"/>
              <w:rPr>
                <w:sz w:val="23"/>
                <w:szCs w:val="23"/>
                <w:color w:val="auto"/>
              </w:rPr>
            </w:pPr>
          </w:p>
        </w:tc>
        <w:tc>
          <w:tcPr>
            <w:tcW w:w="1160" w:type="dxa"/>
            <w:vAlign w:val="bottom"/>
            <w:tcBorders>
              <w:bottom w:val="single" w:sz="8" w:color="auto"/>
            </w:tcBorders>
            <w:shd w:val="clear" w:color="auto" w:fill="E5E9F3"/>
          </w:tcPr>
          <w:p>
            <w:pPr>
              <w:jc w:val="right"/>
              <w:ind w:right="411"/>
              <w:spacing w:after="0"/>
              <w:rPr>
                <w:sz w:val="20"/>
                <w:szCs w:val="20"/>
                <w:color w:val="auto"/>
              </w:rPr>
            </w:pPr>
            <w:r>
              <w:rPr>
                <w:rFonts w:ascii="Arial" w:cs="Arial" w:eastAsia="Arial" w:hAnsi="Arial"/>
                <w:sz w:val="18"/>
                <w:szCs w:val="18"/>
                <w:color w:val="auto"/>
              </w:rPr>
              <w:t>(0.3 )</w:t>
            </w:r>
          </w:p>
        </w:tc>
        <w:tc>
          <w:tcPr>
            <w:tcW w:w="160" w:type="dxa"/>
            <w:vAlign w:val="bottom"/>
            <w:tcBorders>
              <w:bottom w:val="single" w:sz="8" w:color="auto"/>
            </w:tcBorders>
            <w:shd w:val="clear" w:color="auto" w:fill="E5E9F3"/>
          </w:tcPr>
          <w:p>
            <w:pPr>
              <w:spacing w:after="0"/>
              <w:rPr>
                <w:sz w:val="23"/>
                <w:szCs w:val="23"/>
                <w:color w:val="auto"/>
              </w:rPr>
            </w:pPr>
          </w:p>
        </w:tc>
        <w:tc>
          <w:tcPr>
            <w:tcW w:w="1220" w:type="dxa"/>
            <w:vAlign w:val="bottom"/>
            <w:tcBorders>
              <w:bottom w:val="single" w:sz="8" w:color="auto"/>
            </w:tcBorders>
            <w:shd w:val="clear" w:color="auto" w:fill="E5E9F3"/>
          </w:tcPr>
          <w:p>
            <w:pPr>
              <w:jc w:val="right"/>
              <w:ind w:right="329"/>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363"/>
        </w:trPr>
        <w:tc>
          <w:tcPr>
            <w:tcW w:w="4380" w:type="dxa"/>
            <w:vAlign w:val="bottom"/>
            <w:gridSpan w:val="3"/>
          </w:tcPr>
          <w:p>
            <w:pPr>
              <w:spacing w:after="0"/>
              <w:rPr>
                <w:sz w:val="20"/>
                <w:szCs w:val="20"/>
                <w:color w:val="auto"/>
              </w:rPr>
            </w:pPr>
            <w:r>
              <w:rPr>
                <w:rFonts w:ascii="Arial" w:cs="Arial" w:eastAsia="Arial" w:hAnsi="Arial"/>
                <w:sz w:val="20"/>
                <w:szCs w:val="20"/>
                <w:color w:val="auto"/>
              </w:rPr>
              <w:t>Valuation Allowance for Deferred Tax Assets: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1100" w:type="dxa"/>
            <w:vAlign w:val="bottom"/>
            <w:shd w:val="clear" w:color="auto" w:fill="97AAD0"/>
          </w:tcPr>
          <w:p>
            <w:pPr>
              <w:spacing w:after="0"/>
              <w:rPr>
                <w:sz w:val="14"/>
                <w:szCs w:val="14"/>
                <w:color w:val="auto"/>
              </w:rPr>
            </w:pPr>
          </w:p>
        </w:tc>
        <w:tc>
          <w:tcPr>
            <w:tcW w:w="140" w:type="dxa"/>
            <w:vAlign w:val="bottom"/>
            <w:shd w:val="clear" w:color="auto" w:fill="97AAD0"/>
          </w:tcPr>
          <w:p>
            <w:pPr>
              <w:spacing w:after="0"/>
              <w:rPr>
                <w:sz w:val="14"/>
                <w:szCs w:val="14"/>
                <w:color w:val="auto"/>
              </w:rPr>
            </w:pPr>
          </w:p>
        </w:tc>
        <w:tc>
          <w:tcPr>
            <w:tcW w:w="1100" w:type="dxa"/>
            <w:vAlign w:val="bottom"/>
            <w:shd w:val="clear" w:color="auto" w:fill="97AAD0"/>
          </w:tcPr>
          <w:p>
            <w:pPr>
              <w:jc w:val="right"/>
              <w:ind w:right="195"/>
              <w:spacing w:after="0" w:line="169" w:lineRule="exact"/>
              <w:rPr>
                <w:sz w:val="20"/>
                <w:szCs w:val="20"/>
                <w:color w:val="auto"/>
              </w:rPr>
            </w:pPr>
            <w:r>
              <w:rPr>
                <w:rFonts w:ascii="Arial" w:cs="Arial" w:eastAsia="Arial" w:hAnsi="Arial"/>
                <w:sz w:val="16"/>
                <w:szCs w:val="16"/>
                <w:b w:val="1"/>
                <w:bCs w:val="1"/>
                <w:color w:val="auto"/>
                <w:w w:val="99"/>
              </w:rPr>
              <w:t>Balance at</w:t>
            </w:r>
          </w:p>
        </w:tc>
        <w:tc>
          <w:tcPr>
            <w:tcW w:w="2380" w:type="dxa"/>
            <w:vAlign w:val="bottom"/>
            <w:gridSpan w:val="3"/>
            <w:shd w:val="clear" w:color="auto" w:fill="97AAD0"/>
          </w:tcPr>
          <w:p>
            <w:pPr>
              <w:jc w:val="center"/>
              <w:ind w:right="72"/>
              <w:spacing w:after="0" w:line="169" w:lineRule="exact"/>
              <w:rPr>
                <w:sz w:val="20"/>
                <w:szCs w:val="20"/>
                <w:color w:val="auto"/>
              </w:rPr>
            </w:pPr>
            <w:r>
              <w:rPr>
                <w:rFonts w:ascii="Arial" w:cs="Arial" w:eastAsia="Arial" w:hAnsi="Arial"/>
                <w:sz w:val="16"/>
                <w:szCs w:val="16"/>
                <w:b w:val="1"/>
                <w:bCs w:val="1"/>
                <w:color w:val="auto"/>
              </w:rPr>
              <w:t>Charged to Income</w:t>
            </w:r>
          </w:p>
        </w:tc>
        <w:tc>
          <w:tcPr>
            <w:tcW w:w="260" w:type="dxa"/>
            <w:vAlign w:val="bottom"/>
            <w:shd w:val="clear" w:color="auto" w:fill="97AAD0"/>
          </w:tcPr>
          <w:p>
            <w:pPr>
              <w:spacing w:after="0"/>
              <w:rPr>
                <w:sz w:val="14"/>
                <w:szCs w:val="14"/>
                <w:color w:val="auto"/>
              </w:rPr>
            </w:pPr>
          </w:p>
        </w:tc>
        <w:tc>
          <w:tcPr>
            <w:tcW w:w="1160" w:type="dxa"/>
            <w:vAlign w:val="bottom"/>
            <w:shd w:val="clear" w:color="auto" w:fill="97AAD0"/>
          </w:tcPr>
          <w:p>
            <w:pPr>
              <w:spacing w:after="0"/>
              <w:rPr>
                <w:sz w:val="14"/>
                <w:szCs w:val="14"/>
                <w:color w:val="auto"/>
              </w:rPr>
            </w:pPr>
          </w:p>
        </w:tc>
        <w:tc>
          <w:tcPr>
            <w:tcW w:w="160" w:type="dxa"/>
            <w:vAlign w:val="bottom"/>
            <w:shd w:val="clear" w:color="auto" w:fill="97AAD0"/>
          </w:tcPr>
          <w:p>
            <w:pPr>
              <w:spacing w:after="0"/>
              <w:rPr>
                <w:sz w:val="14"/>
                <w:szCs w:val="14"/>
                <w:color w:val="auto"/>
              </w:rPr>
            </w:pPr>
          </w:p>
        </w:tc>
        <w:tc>
          <w:tcPr>
            <w:tcW w:w="1220" w:type="dxa"/>
            <w:vAlign w:val="bottom"/>
            <w:shd w:val="clear" w:color="auto" w:fill="97AAD0"/>
          </w:tcPr>
          <w:p>
            <w:pPr>
              <w:jc w:val="center"/>
              <w:ind w:right="89"/>
              <w:spacing w:after="0" w:line="169" w:lineRule="exact"/>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184"/>
        </w:trPr>
        <w:tc>
          <w:tcPr>
            <w:tcW w:w="314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100" w:type="dxa"/>
            <w:vAlign w:val="bottom"/>
            <w:shd w:val="clear" w:color="auto" w:fill="97AAD0"/>
          </w:tcPr>
          <w:p>
            <w:pPr>
              <w:spacing w:after="0"/>
              <w:rPr>
                <w:sz w:val="15"/>
                <w:szCs w:val="15"/>
                <w:color w:val="auto"/>
              </w:rPr>
            </w:pPr>
          </w:p>
        </w:tc>
        <w:tc>
          <w:tcPr>
            <w:tcW w:w="140" w:type="dxa"/>
            <w:vAlign w:val="bottom"/>
            <w:shd w:val="clear" w:color="auto" w:fill="97AAD0"/>
          </w:tcPr>
          <w:p>
            <w:pPr>
              <w:spacing w:after="0"/>
              <w:rPr>
                <w:sz w:val="15"/>
                <w:szCs w:val="15"/>
                <w:color w:val="auto"/>
              </w:rPr>
            </w:pPr>
          </w:p>
        </w:tc>
        <w:tc>
          <w:tcPr>
            <w:tcW w:w="1100" w:type="dxa"/>
            <w:vAlign w:val="bottom"/>
            <w:shd w:val="clear" w:color="auto" w:fill="97AAD0"/>
          </w:tcPr>
          <w:p>
            <w:pPr>
              <w:jc w:val="right"/>
              <w:ind w:right="215"/>
              <w:spacing w:after="0"/>
              <w:rPr>
                <w:sz w:val="20"/>
                <w:szCs w:val="20"/>
                <w:color w:val="auto"/>
              </w:rPr>
            </w:pPr>
            <w:r>
              <w:rPr>
                <w:rFonts w:ascii="Arial" w:cs="Arial" w:eastAsia="Arial" w:hAnsi="Arial"/>
                <w:sz w:val="16"/>
                <w:szCs w:val="16"/>
                <w:b w:val="1"/>
                <w:bCs w:val="1"/>
                <w:color w:val="auto"/>
                <w:w w:val="99"/>
              </w:rPr>
              <w:t>Beginning</w:t>
            </w:r>
          </w:p>
        </w:tc>
        <w:tc>
          <w:tcPr>
            <w:tcW w:w="1600" w:type="dxa"/>
            <w:vAlign w:val="bottom"/>
            <w:gridSpan w:val="2"/>
            <w:shd w:val="clear" w:color="auto" w:fill="97AAD0"/>
          </w:tcPr>
          <w:p>
            <w:pPr>
              <w:jc w:val="center"/>
              <w:ind w:left="535"/>
              <w:spacing w:after="0"/>
              <w:rPr>
                <w:sz w:val="20"/>
                <w:szCs w:val="20"/>
                <w:color w:val="auto"/>
              </w:rPr>
            </w:pPr>
            <w:r>
              <w:rPr>
                <w:rFonts w:ascii="Arial" w:cs="Arial" w:eastAsia="Arial" w:hAnsi="Arial"/>
                <w:sz w:val="16"/>
                <w:szCs w:val="16"/>
                <w:b w:val="1"/>
                <w:bCs w:val="1"/>
                <w:color w:val="auto"/>
              </w:rPr>
              <w:t>Tax Expense</w:t>
            </w:r>
          </w:p>
        </w:tc>
        <w:tc>
          <w:tcPr>
            <w:tcW w:w="2200" w:type="dxa"/>
            <w:vAlign w:val="bottom"/>
            <w:gridSpan w:val="3"/>
            <w:shd w:val="clear" w:color="auto" w:fill="97AAD0"/>
          </w:tcPr>
          <w:p>
            <w:pPr>
              <w:jc w:val="right"/>
              <w:ind w:right="171"/>
              <w:spacing w:after="0"/>
              <w:rPr>
                <w:sz w:val="20"/>
                <w:szCs w:val="20"/>
                <w:color w:val="auto"/>
              </w:rPr>
            </w:pPr>
            <w:r>
              <w:rPr>
                <w:rFonts w:ascii="Arial" w:cs="Arial" w:eastAsia="Arial" w:hAnsi="Arial"/>
                <w:sz w:val="16"/>
                <w:szCs w:val="16"/>
                <w:b w:val="1"/>
                <w:bCs w:val="1"/>
                <w:color w:val="auto"/>
              </w:rPr>
              <w:t>Charged to Other</w:t>
            </w:r>
          </w:p>
        </w:tc>
        <w:tc>
          <w:tcPr>
            <w:tcW w:w="160" w:type="dxa"/>
            <w:vAlign w:val="bottom"/>
            <w:shd w:val="clear" w:color="auto" w:fill="97AAD0"/>
          </w:tcPr>
          <w:p>
            <w:pPr>
              <w:spacing w:after="0"/>
              <w:rPr>
                <w:sz w:val="15"/>
                <w:szCs w:val="15"/>
                <w:color w:val="auto"/>
              </w:rPr>
            </w:pPr>
          </w:p>
        </w:tc>
        <w:tc>
          <w:tcPr>
            <w:tcW w:w="1220" w:type="dxa"/>
            <w:vAlign w:val="bottom"/>
            <w:shd w:val="clear" w:color="auto" w:fill="97AAD0"/>
          </w:tcPr>
          <w:p>
            <w:pPr>
              <w:jc w:val="center"/>
              <w:ind w:right="89"/>
              <w:spacing w:after="0"/>
              <w:rPr>
                <w:sz w:val="20"/>
                <w:szCs w:val="20"/>
                <w:color w:val="auto"/>
              </w:rPr>
            </w:pPr>
            <w:r>
              <w:rPr>
                <w:rFonts w:ascii="Arial" w:cs="Arial" w:eastAsia="Arial" w:hAnsi="Arial"/>
                <w:sz w:val="16"/>
                <w:szCs w:val="16"/>
                <w:b w:val="1"/>
                <w:bCs w:val="1"/>
                <w:color w:val="auto"/>
                <w:w w:val="98"/>
              </w:rPr>
              <w:t>at End</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auto"/>
            </w:tcBorders>
            <w:shd w:val="clear" w:color="auto" w:fill="97AAD0"/>
          </w:tcPr>
          <w:p>
            <w:pPr>
              <w:spacing w:after="0"/>
              <w:rPr>
                <w:sz w:val="17"/>
                <w:szCs w:val="17"/>
                <w:color w:val="auto"/>
              </w:rPr>
            </w:pPr>
          </w:p>
        </w:tc>
        <w:tc>
          <w:tcPr>
            <w:tcW w:w="140" w:type="dxa"/>
            <w:vAlign w:val="bottom"/>
            <w:tcBorders>
              <w:bottom w:val="single" w:sz="8" w:color="auto"/>
            </w:tcBorders>
            <w:shd w:val="clear" w:color="auto" w:fill="97AAD0"/>
          </w:tcPr>
          <w:p>
            <w:pPr>
              <w:spacing w:after="0"/>
              <w:rPr>
                <w:sz w:val="17"/>
                <w:szCs w:val="17"/>
                <w:color w:val="auto"/>
              </w:rPr>
            </w:pPr>
          </w:p>
        </w:tc>
        <w:tc>
          <w:tcPr>
            <w:tcW w:w="1100" w:type="dxa"/>
            <w:vAlign w:val="bottom"/>
            <w:tcBorders>
              <w:bottom w:val="single" w:sz="8" w:color="auto"/>
            </w:tcBorders>
            <w:shd w:val="clear" w:color="auto" w:fill="97AAD0"/>
          </w:tcPr>
          <w:p>
            <w:pPr>
              <w:spacing w:after="0"/>
              <w:rPr>
                <w:sz w:val="17"/>
                <w:szCs w:val="17"/>
                <w:color w:val="auto"/>
              </w:rPr>
            </w:pPr>
          </w:p>
        </w:tc>
        <w:tc>
          <w:tcPr>
            <w:tcW w:w="140" w:type="dxa"/>
            <w:vAlign w:val="bottom"/>
            <w:tcBorders>
              <w:bottom w:val="single" w:sz="8" w:color="auto"/>
            </w:tcBorders>
            <w:shd w:val="clear" w:color="auto" w:fill="97AAD0"/>
          </w:tcPr>
          <w:p>
            <w:pPr>
              <w:spacing w:after="0"/>
              <w:rPr>
                <w:sz w:val="17"/>
                <w:szCs w:val="17"/>
                <w:color w:val="auto"/>
              </w:rPr>
            </w:pPr>
          </w:p>
        </w:tc>
        <w:tc>
          <w:tcPr>
            <w:tcW w:w="1100" w:type="dxa"/>
            <w:vAlign w:val="bottom"/>
            <w:tcBorders>
              <w:bottom w:val="single" w:sz="8" w:color="auto"/>
            </w:tcBorders>
            <w:shd w:val="clear" w:color="auto" w:fill="97AAD0"/>
          </w:tcPr>
          <w:p>
            <w:pPr>
              <w:ind w:left="140"/>
              <w:spacing w:after="0"/>
              <w:rPr>
                <w:sz w:val="20"/>
                <w:szCs w:val="20"/>
                <w:color w:val="auto"/>
              </w:rPr>
            </w:pPr>
            <w:r>
              <w:rPr>
                <w:rFonts w:ascii="Arial" w:cs="Arial" w:eastAsia="Arial" w:hAnsi="Arial"/>
                <w:sz w:val="16"/>
                <w:szCs w:val="16"/>
                <w:b w:val="1"/>
                <w:bCs w:val="1"/>
                <w:color w:val="auto"/>
              </w:rPr>
              <w:t>of Year</w:t>
            </w:r>
          </w:p>
        </w:tc>
        <w:tc>
          <w:tcPr>
            <w:tcW w:w="1600" w:type="dxa"/>
            <w:vAlign w:val="bottom"/>
            <w:tcBorders>
              <w:bottom w:val="single" w:sz="8" w:color="auto"/>
            </w:tcBorders>
            <w:gridSpan w:val="2"/>
            <w:shd w:val="clear" w:color="auto" w:fill="97AAD0"/>
          </w:tcPr>
          <w:p>
            <w:pPr>
              <w:jc w:val="center"/>
              <w:ind w:left="535"/>
              <w:spacing w:after="0"/>
              <w:rPr>
                <w:sz w:val="20"/>
                <w:szCs w:val="20"/>
                <w:color w:val="auto"/>
              </w:rPr>
            </w:pPr>
            <w:r>
              <w:rPr>
                <w:rFonts w:ascii="Arial" w:cs="Arial" w:eastAsia="Arial" w:hAnsi="Arial"/>
                <w:sz w:val="16"/>
                <w:szCs w:val="16"/>
                <w:b w:val="1"/>
                <w:bCs w:val="1"/>
                <w:color w:val="auto"/>
              </w:rPr>
              <w:t>(Benefit)</w:t>
            </w:r>
          </w:p>
        </w:tc>
        <w:tc>
          <w:tcPr>
            <w:tcW w:w="780" w:type="dxa"/>
            <w:vAlign w:val="bottom"/>
            <w:tcBorders>
              <w:bottom w:val="single" w:sz="8" w:color="auto"/>
            </w:tcBorders>
            <w:shd w:val="clear" w:color="auto" w:fill="97AAD0"/>
          </w:tcPr>
          <w:p>
            <w:pPr>
              <w:spacing w:after="0"/>
              <w:rPr>
                <w:sz w:val="17"/>
                <w:szCs w:val="17"/>
                <w:color w:val="auto"/>
              </w:rPr>
            </w:pPr>
          </w:p>
        </w:tc>
        <w:tc>
          <w:tcPr>
            <w:tcW w:w="1420" w:type="dxa"/>
            <w:vAlign w:val="bottom"/>
            <w:tcBorders>
              <w:bottom w:val="single" w:sz="8" w:color="auto"/>
            </w:tcBorders>
            <w:gridSpan w:val="2"/>
            <w:shd w:val="clear" w:color="auto" w:fill="97AAD0"/>
          </w:tcPr>
          <w:p>
            <w:pPr>
              <w:jc w:val="right"/>
              <w:ind w:right="391"/>
              <w:spacing w:after="0"/>
              <w:rPr>
                <w:sz w:val="20"/>
                <w:szCs w:val="20"/>
                <w:color w:val="auto"/>
              </w:rPr>
            </w:pPr>
            <w:r>
              <w:rPr>
                <w:rFonts w:ascii="Arial" w:cs="Arial" w:eastAsia="Arial" w:hAnsi="Arial"/>
                <w:sz w:val="16"/>
                <w:szCs w:val="16"/>
                <w:b w:val="1"/>
                <w:bCs w:val="1"/>
                <w:color w:val="auto"/>
              </w:rPr>
              <w:t xml:space="preserve">Accounts </w:t>
            </w:r>
            <w:r>
              <w:rPr>
                <w:rFonts w:ascii="Arial" w:cs="Arial" w:eastAsia="Arial" w:hAnsi="Arial"/>
                <w:sz w:val="10"/>
                <w:szCs w:val="10"/>
                <w:b w:val="1"/>
                <w:bCs w:val="1"/>
                <w:color w:val="auto"/>
              </w:rPr>
              <w:t>(a)</w:t>
            </w:r>
          </w:p>
        </w:tc>
        <w:tc>
          <w:tcPr>
            <w:tcW w:w="160" w:type="dxa"/>
            <w:vAlign w:val="bottom"/>
            <w:tcBorders>
              <w:bottom w:val="single" w:sz="8" w:color="auto"/>
            </w:tcBorders>
            <w:shd w:val="clear" w:color="auto" w:fill="97AAD0"/>
          </w:tcPr>
          <w:p>
            <w:pPr>
              <w:spacing w:after="0"/>
              <w:rPr>
                <w:sz w:val="17"/>
                <w:szCs w:val="17"/>
                <w:color w:val="auto"/>
              </w:rPr>
            </w:pPr>
          </w:p>
        </w:tc>
        <w:tc>
          <w:tcPr>
            <w:tcW w:w="1220" w:type="dxa"/>
            <w:vAlign w:val="bottom"/>
            <w:tcBorders>
              <w:bottom w:val="single" w:sz="8" w:color="auto"/>
            </w:tcBorders>
            <w:shd w:val="clear" w:color="auto" w:fill="97AAD0"/>
          </w:tcPr>
          <w:p>
            <w:pPr>
              <w:jc w:val="center"/>
              <w:ind w:right="89"/>
              <w:spacing w:after="0"/>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247"/>
        </w:trPr>
        <w:tc>
          <w:tcPr>
            <w:tcW w:w="3140" w:type="dxa"/>
            <w:vAlign w:val="bottom"/>
            <w:shd w:val="clear" w:color="auto" w:fill="E5E9F3"/>
          </w:tcPr>
          <w:p>
            <w:pPr>
              <w:ind w:left="124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E5E9F3"/>
          </w:tcPr>
          <w:p>
            <w:pPr>
              <w:spacing w:after="0"/>
              <w:rPr>
                <w:sz w:val="21"/>
                <w:szCs w:val="21"/>
                <w:color w:val="auto"/>
              </w:rPr>
            </w:pPr>
          </w:p>
        </w:tc>
        <w:tc>
          <w:tcPr>
            <w:tcW w:w="1100" w:type="dxa"/>
            <w:vAlign w:val="bottom"/>
            <w:shd w:val="clear" w:color="auto" w:fill="E5E9F3"/>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9F3"/>
          </w:tcPr>
          <w:p>
            <w:pPr>
              <w:spacing w:after="0"/>
              <w:rPr>
                <w:sz w:val="21"/>
                <w:szCs w:val="21"/>
                <w:color w:val="auto"/>
              </w:rPr>
            </w:pPr>
          </w:p>
        </w:tc>
        <w:tc>
          <w:tcPr>
            <w:tcW w:w="1100" w:type="dxa"/>
            <w:vAlign w:val="bottom"/>
            <w:shd w:val="clear" w:color="auto" w:fill="E5E9F3"/>
          </w:tcPr>
          <w:p>
            <w:pPr>
              <w:jc w:val="right"/>
              <w:ind w:right="335"/>
              <w:spacing w:after="0"/>
              <w:rPr>
                <w:sz w:val="20"/>
                <w:szCs w:val="20"/>
                <w:color w:val="auto"/>
              </w:rPr>
            </w:pPr>
            <w:r>
              <w:rPr>
                <w:rFonts w:ascii="Arial" w:cs="Arial" w:eastAsia="Arial" w:hAnsi="Arial"/>
                <w:sz w:val="18"/>
                <w:szCs w:val="18"/>
                <w:color w:val="auto"/>
              </w:rPr>
              <w:t>219.8</w:t>
            </w:r>
          </w:p>
        </w:tc>
        <w:tc>
          <w:tcPr>
            <w:tcW w:w="1080" w:type="dxa"/>
            <w:vAlign w:val="bottom"/>
            <w:shd w:val="clear" w:color="auto" w:fill="E5E9F3"/>
          </w:tcPr>
          <w:p>
            <w:pPr>
              <w:jc w:val="right"/>
              <w:ind w:right="615"/>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9F3"/>
          </w:tcPr>
          <w:p>
            <w:pPr>
              <w:jc w:val="right"/>
              <w:ind w:right="53"/>
              <w:spacing w:after="0"/>
              <w:rPr>
                <w:sz w:val="20"/>
                <w:szCs w:val="20"/>
                <w:color w:val="auto"/>
              </w:rPr>
            </w:pPr>
            <w:r>
              <w:rPr>
                <w:rFonts w:ascii="Arial" w:cs="Arial" w:eastAsia="Arial" w:hAnsi="Arial"/>
                <w:sz w:val="18"/>
                <w:szCs w:val="18"/>
                <w:color w:val="auto"/>
              </w:rPr>
              <w:t>34.1</w:t>
            </w:r>
          </w:p>
        </w:tc>
        <w:tc>
          <w:tcPr>
            <w:tcW w:w="780" w:type="dxa"/>
            <w:vAlign w:val="bottom"/>
            <w:shd w:val="clear" w:color="auto" w:fill="E5E9F3"/>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9F3"/>
          </w:tcPr>
          <w:p>
            <w:pPr>
              <w:spacing w:after="0"/>
              <w:rPr>
                <w:sz w:val="21"/>
                <w:szCs w:val="21"/>
                <w:color w:val="auto"/>
              </w:rPr>
            </w:pPr>
          </w:p>
        </w:tc>
        <w:tc>
          <w:tcPr>
            <w:tcW w:w="1160" w:type="dxa"/>
            <w:vAlign w:val="bottom"/>
            <w:shd w:val="clear" w:color="auto" w:fill="E5E9F3"/>
          </w:tcPr>
          <w:p>
            <w:pPr>
              <w:jc w:val="right"/>
              <w:ind w:right="511"/>
              <w:spacing w:after="0"/>
              <w:rPr>
                <w:sz w:val="20"/>
                <w:szCs w:val="20"/>
                <w:color w:val="auto"/>
              </w:rPr>
            </w:pPr>
            <w:r>
              <w:rPr>
                <w:rFonts w:ascii="Arial" w:cs="Arial" w:eastAsia="Arial" w:hAnsi="Arial"/>
                <w:sz w:val="18"/>
                <w:szCs w:val="18"/>
                <w:color w:val="auto"/>
              </w:rPr>
              <w:t>(31.0 )</w:t>
            </w:r>
          </w:p>
        </w:tc>
        <w:tc>
          <w:tcPr>
            <w:tcW w:w="160" w:type="dxa"/>
            <w:vAlign w:val="bottom"/>
            <w:shd w:val="clear" w:color="auto" w:fill="E5E9F3"/>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9F3"/>
          </w:tcPr>
          <w:p>
            <w:pPr>
              <w:jc w:val="right"/>
              <w:ind w:right="409"/>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65"/>
        </w:trPr>
        <w:tc>
          <w:tcPr>
            <w:tcW w:w="3140" w:type="dxa"/>
            <w:vAlign w:val="bottom"/>
          </w:tcPr>
          <w:p>
            <w:pPr>
              <w:ind w:left="12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161.1</w:t>
            </w:r>
          </w:p>
        </w:tc>
        <w:tc>
          <w:tcPr>
            <w:tcW w:w="1080" w:type="dxa"/>
            <w:vAlign w:val="bottom"/>
          </w:tcPr>
          <w:p>
            <w:pPr>
              <w:spacing w:after="0"/>
              <w:rPr>
                <w:sz w:val="23"/>
                <w:szCs w:val="23"/>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53.5</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591"/>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3"/>
                <w:szCs w:val="23"/>
                <w:color w:val="auto"/>
              </w:rPr>
            </w:pPr>
          </w:p>
        </w:tc>
        <w:tc>
          <w:tcPr>
            <w:tcW w:w="1220" w:type="dxa"/>
            <w:vAlign w:val="bottom"/>
          </w:tcPr>
          <w:p>
            <w:pPr>
              <w:jc w:val="right"/>
              <w:ind w:right="409"/>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67"/>
        </w:trPr>
        <w:tc>
          <w:tcPr>
            <w:tcW w:w="3140" w:type="dxa"/>
            <w:vAlign w:val="bottom"/>
            <w:tcBorders>
              <w:bottom w:val="single" w:sz="8" w:color="auto"/>
            </w:tcBorders>
            <w:shd w:val="clear" w:color="auto" w:fill="E5E9F3"/>
          </w:tcPr>
          <w:p>
            <w:pPr>
              <w:ind w:left="12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shd w:val="clear" w:color="auto" w:fill="E5E9F3"/>
          </w:tcPr>
          <w:p>
            <w:pPr>
              <w:spacing w:after="0"/>
              <w:rPr>
                <w:sz w:val="23"/>
                <w:szCs w:val="23"/>
                <w:color w:val="auto"/>
              </w:rPr>
            </w:pPr>
          </w:p>
        </w:tc>
        <w:tc>
          <w:tcPr>
            <w:tcW w:w="1100" w:type="dxa"/>
            <w:vAlign w:val="bottom"/>
            <w:tcBorders>
              <w:bottom w:val="single" w:sz="8" w:color="auto"/>
            </w:tcBorders>
            <w:shd w:val="clear" w:color="auto" w:fill="E5E9F3"/>
          </w:tcPr>
          <w:p>
            <w:pPr>
              <w:spacing w:after="0"/>
              <w:rPr>
                <w:sz w:val="23"/>
                <w:szCs w:val="23"/>
                <w:color w:val="auto"/>
              </w:rPr>
            </w:pPr>
          </w:p>
        </w:tc>
        <w:tc>
          <w:tcPr>
            <w:tcW w:w="140" w:type="dxa"/>
            <w:vAlign w:val="bottom"/>
            <w:tcBorders>
              <w:bottom w:val="single" w:sz="8" w:color="auto"/>
            </w:tcBorders>
            <w:shd w:val="clear" w:color="auto" w:fill="E5E9F3"/>
          </w:tcPr>
          <w:p>
            <w:pPr>
              <w:spacing w:after="0"/>
              <w:rPr>
                <w:sz w:val="23"/>
                <w:szCs w:val="23"/>
                <w:color w:val="auto"/>
              </w:rPr>
            </w:pPr>
          </w:p>
        </w:tc>
        <w:tc>
          <w:tcPr>
            <w:tcW w:w="1100" w:type="dxa"/>
            <w:vAlign w:val="bottom"/>
            <w:tcBorders>
              <w:bottom w:val="single" w:sz="8" w:color="auto"/>
            </w:tcBorders>
            <w:shd w:val="clear" w:color="auto" w:fill="E5E9F3"/>
          </w:tcPr>
          <w:p>
            <w:pPr>
              <w:jc w:val="right"/>
              <w:ind w:right="335"/>
              <w:spacing w:after="0"/>
              <w:rPr>
                <w:sz w:val="20"/>
                <w:szCs w:val="20"/>
                <w:color w:val="auto"/>
              </w:rPr>
            </w:pPr>
            <w:r>
              <w:rPr>
                <w:rFonts w:ascii="Arial" w:cs="Arial" w:eastAsia="Arial" w:hAnsi="Arial"/>
                <w:sz w:val="18"/>
                <w:szCs w:val="18"/>
                <w:color w:val="auto"/>
              </w:rPr>
              <w:t>167.1</w:t>
            </w:r>
          </w:p>
        </w:tc>
        <w:tc>
          <w:tcPr>
            <w:tcW w:w="1080" w:type="dxa"/>
            <w:vAlign w:val="bottom"/>
            <w:tcBorders>
              <w:bottom w:val="single" w:sz="8" w:color="auto"/>
            </w:tcBorders>
            <w:shd w:val="clear" w:color="auto" w:fill="E5E9F3"/>
          </w:tcPr>
          <w:p>
            <w:pPr>
              <w:spacing w:after="0"/>
              <w:rPr>
                <w:sz w:val="23"/>
                <w:szCs w:val="23"/>
                <w:color w:val="auto"/>
              </w:rPr>
            </w:pPr>
          </w:p>
        </w:tc>
        <w:tc>
          <w:tcPr>
            <w:tcW w:w="520" w:type="dxa"/>
            <w:vAlign w:val="bottom"/>
            <w:tcBorders>
              <w:bottom w:val="single" w:sz="8" w:color="auto"/>
            </w:tcBorders>
            <w:shd w:val="clear" w:color="auto" w:fill="E5E9F3"/>
          </w:tcPr>
          <w:p>
            <w:pPr>
              <w:jc w:val="right"/>
              <w:ind w:right="53"/>
              <w:spacing w:after="0"/>
              <w:rPr>
                <w:sz w:val="20"/>
                <w:szCs w:val="20"/>
                <w:color w:val="auto"/>
              </w:rPr>
            </w:pPr>
            <w:r>
              <w:rPr>
                <w:rFonts w:ascii="Arial" w:cs="Arial" w:eastAsia="Arial" w:hAnsi="Arial"/>
                <w:sz w:val="18"/>
                <w:szCs w:val="18"/>
                <w:color w:val="auto"/>
              </w:rPr>
              <w:t>13.7</w:t>
            </w:r>
          </w:p>
        </w:tc>
        <w:tc>
          <w:tcPr>
            <w:tcW w:w="780" w:type="dxa"/>
            <w:vAlign w:val="bottom"/>
            <w:tcBorders>
              <w:bottom w:val="single" w:sz="8" w:color="auto"/>
            </w:tcBorders>
            <w:shd w:val="clear" w:color="auto" w:fill="E5E9F3"/>
          </w:tcPr>
          <w:p>
            <w:pPr>
              <w:spacing w:after="0"/>
              <w:rPr>
                <w:sz w:val="23"/>
                <w:szCs w:val="23"/>
                <w:color w:val="auto"/>
              </w:rPr>
            </w:pPr>
          </w:p>
        </w:tc>
        <w:tc>
          <w:tcPr>
            <w:tcW w:w="260" w:type="dxa"/>
            <w:vAlign w:val="bottom"/>
            <w:tcBorders>
              <w:bottom w:val="single" w:sz="8" w:color="auto"/>
            </w:tcBorders>
            <w:shd w:val="clear" w:color="auto" w:fill="E5E9F3"/>
          </w:tcPr>
          <w:p>
            <w:pPr>
              <w:spacing w:after="0"/>
              <w:rPr>
                <w:sz w:val="23"/>
                <w:szCs w:val="23"/>
                <w:color w:val="auto"/>
              </w:rPr>
            </w:pPr>
          </w:p>
        </w:tc>
        <w:tc>
          <w:tcPr>
            <w:tcW w:w="1160" w:type="dxa"/>
            <w:vAlign w:val="bottom"/>
            <w:tcBorders>
              <w:bottom w:val="single" w:sz="8" w:color="auto"/>
            </w:tcBorders>
            <w:shd w:val="clear" w:color="auto" w:fill="E5E9F3"/>
          </w:tcPr>
          <w:p>
            <w:pPr>
              <w:jc w:val="right"/>
              <w:ind w:right="511"/>
              <w:spacing w:after="0"/>
              <w:rPr>
                <w:sz w:val="20"/>
                <w:szCs w:val="20"/>
                <w:color w:val="auto"/>
              </w:rPr>
            </w:pPr>
            <w:r>
              <w:rPr>
                <w:rFonts w:ascii="Arial" w:cs="Arial" w:eastAsia="Arial" w:hAnsi="Arial"/>
                <w:sz w:val="18"/>
                <w:szCs w:val="18"/>
                <w:color w:val="auto"/>
              </w:rPr>
              <w:t>(19.7 )</w:t>
            </w:r>
          </w:p>
        </w:tc>
        <w:tc>
          <w:tcPr>
            <w:tcW w:w="160" w:type="dxa"/>
            <w:vAlign w:val="bottom"/>
            <w:tcBorders>
              <w:bottom w:val="single" w:sz="8" w:color="auto"/>
            </w:tcBorders>
            <w:shd w:val="clear" w:color="auto" w:fill="E5E9F3"/>
          </w:tcPr>
          <w:p>
            <w:pPr>
              <w:spacing w:after="0"/>
              <w:rPr>
                <w:sz w:val="23"/>
                <w:szCs w:val="23"/>
                <w:color w:val="auto"/>
              </w:rPr>
            </w:pPr>
          </w:p>
        </w:tc>
        <w:tc>
          <w:tcPr>
            <w:tcW w:w="1220" w:type="dxa"/>
            <w:vAlign w:val="bottom"/>
            <w:tcBorders>
              <w:bottom w:val="single" w:sz="8" w:color="auto"/>
            </w:tcBorders>
            <w:shd w:val="clear" w:color="auto" w:fill="E5E9F3"/>
          </w:tcPr>
          <w:p>
            <w:pPr>
              <w:jc w:val="right"/>
              <w:ind w:right="409"/>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right="320" w:hanging="320"/>
        <w:spacing w:after="0" w:line="280" w:lineRule="auto"/>
        <w:tabs>
          <w:tab w:leader="none" w:pos="320" w:val="left"/>
        </w:tabs>
        <w:numPr>
          <w:ilvl w:val="0"/>
          <w:numId w:val="67"/>
        </w:numPr>
        <w:rPr>
          <w:rFonts w:ascii="Arial" w:cs="Arial" w:eastAsia="Arial" w:hAnsi="Arial"/>
          <w:sz w:val="10"/>
          <w:szCs w:val="10"/>
          <w:color w:val="auto"/>
        </w:rPr>
      </w:pPr>
      <w:r>
        <w:rPr>
          <w:rFonts w:ascii="Arial" w:cs="Arial" w:eastAsia="Arial" w:hAnsi="Arial"/>
          <w:sz w:val="16"/>
          <w:szCs w:val="16"/>
          <w:color w:val="auto"/>
        </w:rPr>
        <w:t>Reflects other increases (decreases) to our valuation allowance that did not impact total tax expense, including the effects of currency and other comprehensive income (loss).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See (c) below.</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10800"/>
          </w:cols>
          <w:pgMar w:left="720" w:top="734" w:right="720" w:bottom="175" w:gutter="0" w:footer="0" w:header="0"/>
          <w:type w:val="continuous"/>
        </w:sectPr>
      </w:pPr>
    </w:p>
    <w:bookmarkStart w:id="97" w:name="page98"/>
    <w:bookmarkEnd w:id="97"/>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5" o:spid="_x0000_s1150"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IV</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(c) Exhibits.</w:t>
      </w:r>
    </w:p>
    <w:p>
      <w:pPr>
        <w:spacing w:after="0" w:line="134" w:lineRule="exact"/>
        <w:rPr>
          <w:sz w:val="20"/>
          <w:szCs w:val="20"/>
          <w:color w:val="auto"/>
        </w:rPr>
      </w:pPr>
    </w:p>
    <w:p>
      <w:pPr>
        <w:ind w:left="860" w:right="580" w:hanging="863"/>
        <w:spacing w:after="0" w:line="282" w:lineRule="auto"/>
        <w:tabs>
          <w:tab w:leader="none" w:pos="8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Amended and Restated Articles of Incorporation of ManpowerGroup Inc., incorporated by reference to the Quarterly Report on Form 10-Q for the quarter ended June 30, 2013.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20"/>
                <w:szCs w:val="20"/>
                <w:color w:val="auto"/>
              </w:rPr>
              <w:t>3.2</w:t>
            </w:r>
          </w:p>
        </w:tc>
        <w:tc>
          <w:tcPr>
            <w:tcW w:w="10060" w:type="dxa"/>
            <w:vAlign w:val="bottom"/>
          </w:tcPr>
          <w:p>
            <w:pPr>
              <w:ind w:left="120"/>
              <w:spacing w:after="0"/>
              <w:rPr>
                <w:sz w:val="20"/>
                <w:szCs w:val="20"/>
                <w:color w:val="auto"/>
              </w:rPr>
            </w:pPr>
            <w:r>
              <w:rPr>
                <w:rFonts w:ascii="Arial" w:cs="Arial" w:eastAsia="Arial" w:hAnsi="Arial"/>
                <w:sz w:val="20"/>
                <w:szCs w:val="20"/>
                <w:color w:val="auto"/>
              </w:rPr>
              <w:t>Amended and Restated By-laws of ManpowerGroup Inc., incorporated by reference to the Company's Current</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Report on Form 8-K dated August 5, 2022.</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4.1</w:t>
            </w:r>
          </w:p>
        </w:tc>
        <w:tc>
          <w:tcPr>
            <w:tcW w:w="10060" w:type="dxa"/>
            <w:vAlign w:val="bottom"/>
          </w:tcPr>
          <w:p>
            <w:pPr>
              <w:ind w:left="120"/>
              <w:spacing w:after="0"/>
              <w:rPr>
                <w:sz w:val="20"/>
                <w:szCs w:val="20"/>
                <w:color w:val="auto"/>
              </w:rPr>
            </w:pPr>
            <w:r>
              <w:rPr>
                <w:rFonts w:ascii="Arial" w:cs="Arial" w:eastAsia="Arial" w:hAnsi="Arial"/>
                <w:sz w:val="20"/>
                <w:szCs w:val="20"/>
                <w:color w:val="auto"/>
              </w:rPr>
              <w:t>Fiscal and Paying Agency Agreement between the Company and Citibank, N.A., London Branch as Fiscal</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Agent, Principal Paying Agent and Registrar and Transfer Agent, dated as of June 22, 2018 (including the form</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of Note attached thereto as Schedule I), incorporated by reference to the Company’s Current Report on Form 8-</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K dated June 22, 2018.</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4.2</w:t>
            </w:r>
          </w:p>
        </w:tc>
        <w:tc>
          <w:tcPr>
            <w:tcW w:w="10060" w:type="dxa"/>
            <w:vAlign w:val="bottom"/>
          </w:tcPr>
          <w:p>
            <w:pPr>
              <w:ind w:left="120"/>
              <w:spacing w:after="0"/>
              <w:rPr>
                <w:sz w:val="20"/>
                <w:szCs w:val="20"/>
                <w:color w:val="auto"/>
              </w:rPr>
            </w:pPr>
            <w:r>
              <w:rPr>
                <w:rFonts w:ascii="Arial" w:cs="Arial" w:eastAsia="Arial" w:hAnsi="Arial"/>
                <w:sz w:val="20"/>
                <w:szCs w:val="20"/>
                <w:color w:val="auto"/>
              </w:rPr>
              <w:t>Fiscal and Paying Agency Agreement between the Company and Citibank, N.A., as Fiscal Agent, Principal</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Paying Agent and Registrar and Transfer Agent, dated as of June 30, 2022 (including the form of Note attached</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thereto as Schedule I), incorporated by reference to the Company’s Current Report on Form 8-K dated June 30,</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413"/>
        </w:trPr>
        <w:tc>
          <w:tcPr>
            <w:tcW w:w="740" w:type="dxa"/>
            <w:vAlign w:val="bottom"/>
            <w:vMerge w:val="restart"/>
          </w:tcPr>
          <w:p>
            <w:pPr>
              <w:spacing w:after="0"/>
              <w:rPr>
                <w:sz w:val="20"/>
                <w:szCs w:val="20"/>
                <w:color w:val="auto"/>
              </w:rPr>
            </w:pPr>
            <w:r>
              <w:rPr>
                <w:rFonts w:ascii="Arial" w:cs="Arial" w:eastAsia="Arial" w:hAnsi="Arial"/>
                <w:sz w:val="20"/>
                <w:szCs w:val="20"/>
                <w:color w:val="auto"/>
              </w:rPr>
              <w:t>4.3</w:t>
            </w:r>
          </w:p>
        </w:tc>
        <w:tc>
          <w:tcPr>
            <w:tcW w:w="10060" w:type="dxa"/>
            <w:vAlign w:val="bottom"/>
          </w:tcPr>
          <w:p>
            <w:pPr>
              <w:ind w:left="120"/>
              <w:spacing w:after="0"/>
              <w:rPr>
                <w:sz w:val="20"/>
                <w:szCs w:val="20"/>
                <w:color w:val="auto"/>
              </w:rPr>
            </w:pPr>
            <w:r>
              <w:rPr>
                <w:rFonts w:ascii="Arial" w:cs="Arial" w:eastAsia="Arial" w:hAnsi="Arial"/>
                <w:sz w:val="20"/>
                <w:szCs w:val="20"/>
                <w:color w:val="auto"/>
                <w:w w:val="99"/>
              </w:rPr>
              <w:t>Description of Securities Registered Pursuant to Section 12 of the Securities Exchange Act of 1934 incorporated</w:t>
            </w:r>
          </w:p>
        </w:tc>
        <w:tc>
          <w:tcPr>
            <w:tcW w:w="0" w:type="dxa"/>
            <w:vAlign w:val="bottom"/>
          </w:tcPr>
          <w:p>
            <w:pPr>
              <w:spacing w:after="0"/>
              <w:rPr>
                <w:sz w:val="1"/>
                <w:szCs w:val="1"/>
                <w:color w:val="auto"/>
              </w:rPr>
            </w:pPr>
          </w:p>
        </w:tc>
      </w:tr>
      <w:tr>
        <w:trPr>
          <w:trHeight w:val="155"/>
        </w:trPr>
        <w:tc>
          <w:tcPr>
            <w:tcW w:w="740" w:type="dxa"/>
            <w:vAlign w:val="bottom"/>
            <w:vMerge w:val="continue"/>
          </w:tcPr>
          <w:p>
            <w:pPr>
              <w:spacing w:after="0"/>
              <w:rPr>
                <w:sz w:val="13"/>
                <w:szCs w:val="13"/>
                <w:color w:val="auto"/>
              </w:rPr>
            </w:pPr>
          </w:p>
        </w:tc>
        <w:tc>
          <w:tcPr>
            <w:tcW w:w="10060" w:type="dxa"/>
            <w:vAlign w:val="bottom"/>
            <w:vMerge w:val="restart"/>
          </w:tcPr>
          <w:p>
            <w:pPr>
              <w:ind w:left="120"/>
              <w:spacing w:after="0"/>
              <w:rPr>
                <w:sz w:val="20"/>
                <w:szCs w:val="20"/>
                <w:color w:val="auto"/>
              </w:rPr>
            </w:pPr>
            <w:r>
              <w:rPr>
                <w:rFonts w:ascii="Arial" w:cs="Arial" w:eastAsia="Arial" w:hAnsi="Arial"/>
                <w:sz w:val="20"/>
                <w:szCs w:val="20"/>
                <w:color w:val="auto"/>
              </w:rPr>
              <w:t>by reference to the Company’s Annual Report on Form 10-K for the year ended December 31, 2020.</w:t>
            </w: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10.1</w:t>
            </w:r>
          </w:p>
        </w:tc>
        <w:tc>
          <w:tcPr>
            <w:tcW w:w="10060" w:type="dxa"/>
            <w:vAlign w:val="bottom"/>
          </w:tcPr>
          <w:p>
            <w:pPr>
              <w:ind w:left="120"/>
              <w:spacing w:after="0"/>
              <w:rPr>
                <w:sz w:val="20"/>
                <w:szCs w:val="20"/>
                <w:color w:val="auto"/>
              </w:rPr>
            </w:pPr>
            <w:r>
              <w:rPr>
                <w:rFonts w:ascii="Arial" w:cs="Arial" w:eastAsia="Arial" w:hAnsi="Arial"/>
                <w:sz w:val="20"/>
                <w:szCs w:val="20"/>
                <w:color w:val="auto"/>
              </w:rPr>
              <w:t>Credit Agreement dated as of May 27, 2022 among the Company, a syndicate of lenders and JPMorgan Chase</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Bank, N.A., as Administrative Agent, incorporated by reference to the Company’s Current Report on Form 8-K</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dated May 27, 2022.</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10.2</w:t>
            </w:r>
          </w:p>
        </w:tc>
        <w:tc>
          <w:tcPr>
            <w:tcW w:w="10060" w:type="dxa"/>
            <w:vAlign w:val="bottom"/>
          </w:tcPr>
          <w:p>
            <w:pPr>
              <w:ind w:left="120"/>
              <w:spacing w:after="0"/>
              <w:rPr>
                <w:sz w:val="20"/>
                <w:szCs w:val="20"/>
                <w:color w:val="auto"/>
              </w:rPr>
            </w:pPr>
            <w:r>
              <w:rPr>
                <w:rFonts w:ascii="Arial" w:cs="Arial" w:eastAsia="Arial" w:hAnsi="Arial"/>
                <w:sz w:val="20"/>
                <w:szCs w:val="20"/>
                <w:color w:val="auto"/>
              </w:rPr>
              <w:t>Manpower Savings Related Share Option Scheme incorporated by reference to the Company’s Annual Report</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on Form 10-K for the year ended December 31, 2010. **</w:t>
            </w:r>
          </w:p>
        </w:tc>
        <w:tc>
          <w:tcPr>
            <w:tcW w:w="0" w:type="dxa"/>
            <w:vAlign w:val="bottom"/>
          </w:tcPr>
          <w:p>
            <w:pPr>
              <w:spacing w:after="0"/>
              <w:rPr>
                <w:sz w:val="1"/>
                <w:szCs w:val="1"/>
                <w:color w:val="auto"/>
              </w:rPr>
            </w:pPr>
          </w:p>
        </w:tc>
      </w:tr>
      <w:tr>
        <w:trPr>
          <w:trHeight w:val="413"/>
        </w:trPr>
        <w:tc>
          <w:tcPr>
            <w:tcW w:w="740" w:type="dxa"/>
            <w:vAlign w:val="bottom"/>
          </w:tcPr>
          <w:p>
            <w:pPr>
              <w:spacing w:after="0"/>
              <w:rPr>
                <w:sz w:val="20"/>
                <w:szCs w:val="20"/>
                <w:color w:val="auto"/>
              </w:rPr>
            </w:pPr>
            <w:r>
              <w:rPr>
                <w:rFonts w:ascii="Arial" w:cs="Arial" w:eastAsia="Arial" w:hAnsi="Arial"/>
                <w:sz w:val="20"/>
                <w:szCs w:val="20"/>
                <w:color w:val="auto"/>
              </w:rPr>
              <w:t>10.3</w:t>
            </w:r>
          </w:p>
        </w:tc>
        <w:tc>
          <w:tcPr>
            <w:tcW w:w="10060" w:type="dxa"/>
            <w:vAlign w:val="bottom"/>
          </w:tcPr>
          <w:p>
            <w:pPr>
              <w:ind w:left="120"/>
              <w:spacing w:after="0"/>
              <w:rPr>
                <w:sz w:val="20"/>
                <w:szCs w:val="20"/>
                <w:color w:val="auto"/>
              </w:rPr>
            </w:pPr>
            <w:r>
              <w:rPr>
                <w:rFonts w:ascii="Arial" w:cs="Arial" w:eastAsia="Arial" w:hAnsi="Arial"/>
                <w:sz w:val="20"/>
                <w:szCs w:val="20"/>
                <w:color w:val="auto"/>
              </w:rPr>
              <w:t>Manpower 1990 Employee Stock Purchase Plan (Amended and Restated effective April 26, 2005), incorporated</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by reference to the Company’s Proxy Statement for the 2005 Annual Meeting of Shareholders.**</w:t>
            </w:r>
          </w:p>
        </w:tc>
        <w:tc>
          <w:tcPr>
            <w:tcW w:w="0" w:type="dxa"/>
            <w:vAlign w:val="bottom"/>
          </w:tcPr>
          <w:p>
            <w:pPr>
              <w:spacing w:after="0"/>
              <w:rPr>
                <w:sz w:val="1"/>
                <w:szCs w:val="1"/>
                <w:color w:val="auto"/>
              </w:rPr>
            </w:pPr>
          </w:p>
        </w:tc>
      </w:tr>
      <w:tr>
        <w:trPr>
          <w:trHeight w:val="410"/>
        </w:trPr>
        <w:tc>
          <w:tcPr>
            <w:tcW w:w="740" w:type="dxa"/>
            <w:vAlign w:val="bottom"/>
          </w:tcPr>
          <w:p>
            <w:pPr>
              <w:spacing w:after="0"/>
              <w:rPr>
                <w:sz w:val="20"/>
                <w:szCs w:val="20"/>
                <w:color w:val="auto"/>
              </w:rPr>
            </w:pPr>
            <w:r>
              <w:rPr>
                <w:rFonts w:ascii="Arial" w:cs="Arial" w:eastAsia="Arial" w:hAnsi="Arial"/>
                <w:sz w:val="20"/>
                <w:szCs w:val="20"/>
                <w:color w:val="auto"/>
              </w:rPr>
              <w:t>10.6(a)</w:t>
            </w:r>
          </w:p>
        </w:tc>
        <w:tc>
          <w:tcPr>
            <w:tcW w:w="10060" w:type="dxa"/>
            <w:vAlign w:val="bottom"/>
          </w:tcPr>
          <w:p>
            <w:pPr>
              <w:ind w:left="120"/>
              <w:spacing w:after="0"/>
              <w:rPr>
                <w:sz w:val="20"/>
                <w:szCs w:val="20"/>
                <w:color w:val="auto"/>
              </w:rPr>
            </w:pPr>
            <w:r>
              <w:rPr>
                <w:rFonts w:ascii="Arial" w:cs="Arial" w:eastAsia="Arial" w:hAnsi="Arial"/>
                <w:sz w:val="20"/>
                <w:szCs w:val="20"/>
                <w:color w:val="auto"/>
              </w:rPr>
              <w:t>Terms and Conditions Regarding the Grant of Awards to Non-Employee Directors Under the 2011 Equity</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0060" w:type="dxa"/>
            <w:vAlign w:val="bottom"/>
          </w:tcPr>
          <w:p>
            <w:pPr>
              <w:ind w:left="120"/>
              <w:spacing w:after="0" w:line="226" w:lineRule="exact"/>
              <w:rPr>
                <w:sz w:val="20"/>
                <w:szCs w:val="20"/>
                <w:color w:val="auto"/>
              </w:rPr>
            </w:pPr>
            <w:r>
              <w:rPr>
                <w:rFonts w:ascii="Arial" w:cs="Arial" w:eastAsia="Arial" w:hAnsi="Arial"/>
                <w:sz w:val="20"/>
                <w:szCs w:val="20"/>
                <w:color w:val="auto"/>
              </w:rPr>
              <w:t>Incentive Plan (Amended and Restated January 1, 2024), incorporated by reference to Exhibit 10.6(a) of the</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Company's Annual Report on Form 10-K for the year ended December 31, 2023. **</w:t>
            </w:r>
          </w:p>
        </w:tc>
        <w:tc>
          <w:tcPr>
            <w:tcW w:w="0" w:type="dxa"/>
            <w:vAlign w:val="bottom"/>
          </w:tcPr>
          <w:p>
            <w:pPr>
              <w:spacing w:after="0"/>
              <w:rPr>
                <w:sz w:val="1"/>
                <w:szCs w:val="1"/>
                <w:color w:val="auto"/>
              </w:rPr>
            </w:pPr>
          </w:p>
        </w:tc>
      </w:tr>
      <w:tr>
        <w:trPr>
          <w:trHeight w:val="418"/>
        </w:trPr>
        <w:tc>
          <w:tcPr>
            <w:tcW w:w="740" w:type="dxa"/>
            <w:vAlign w:val="bottom"/>
            <w:vMerge w:val="restart"/>
          </w:tcPr>
          <w:p>
            <w:pPr>
              <w:spacing w:after="0"/>
              <w:rPr>
                <w:sz w:val="20"/>
                <w:szCs w:val="20"/>
                <w:color w:val="auto"/>
              </w:rPr>
            </w:pPr>
            <w:r>
              <w:rPr>
                <w:rFonts w:ascii="Arial" w:cs="Arial" w:eastAsia="Arial" w:hAnsi="Arial"/>
                <w:sz w:val="20"/>
                <w:szCs w:val="20"/>
                <w:color w:val="auto"/>
              </w:rPr>
              <w:t>10.6(b)</w:t>
            </w:r>
          </w:p>
        </w:tc>
        <w:tc>
          <w:tcPr>
            <w:tcW w:w="10060" w:type="dxa"/>
            <w:vAlign w:val="bottom"/>
          </w:tcPr>
          <w:p>
            <w:pPr>
              <w:ind w:left="120"/>
              <w:spacing w:after="0"/>
              <w:rPr>
                <w:sz w:val="20"/>
                <w:szCs w:val="20"/>
                <w:color w:val="auto"/>
              </w:rPr>
            </w:pPr>
            <w:r>
              <w:rPr>
                <w:rFonts w:ascii="Arial" w:cs="Arial" w:eastAsia="Arial" w:hAnsi="Arial"/>
                <w:sz w:val="20"/>
                <w:szCs w:val="20"/>
                <w:color w:val="auto"/>
              </w:rPr>
              <w:t>ManpowerGroup Inc. Compensation for Non-Employee Directors (Amended and Restated Effective January 1,</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19"/>
                <w:szCs w:val="19"/>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2024). incorporate by reference to Exhibit 10.6(b) of the Company's Annual Report on Form 10-K for the year</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ended December 31, 2023.**</w:t>
            </w:r>
          </w:p>
        </w:tc>
        <w:tc>
          <w:tcPr>
            <w:tcW w:w="0" w:type="dxa"/>
            <w:vAlign w:val="bottom"/>
          </w:tcPr>
          <w:p>
            <w:pPr>
              <w:spacing w:after="0"/>
              <w:rPr>
                <w:sz w:val="1"/>
                <w:szCs w:val="1"/>
                <w:color w:val="auto"/>
              </w:rPr>
            </w:pPr>
          </w:p>
        </w:tc>
      </w:tr>
      <w:tr>
        <w:trPr>
          <w:trHeight w:val="410"/>
        </w:trPr>
        <w:tc>
          <w:tcPr>
            <w:tcW w:w="740" w:type="dxa"/>
            <w:vAlign w:val="bottom"/>
          </w:tcPr>
          <w:p>
            <w:pPr>
              <w:spacing w:after="0"/>
              <w:rPr>
                <w:sz w:val="20"/>
                <w:szCs w:val="20"/>
                <w:color w:val="auto"/>
              </w:rPr>
            </w:pPr>
            <w:r>
              <w:rPr>
                <w:rFonts w:ascii="Arial" w:cs="Arial" w:eastAsia="Arial" w:hAnsi="Arial"/>
                <w:sz w:val="20"/>
                <w:szCs w:val="20"/>
                <w:color w:val="auto"/>
              </w:rPr>
              <w:t>10.6(c)</w:t>
            </w:r>
          </w:p>
        </w:tc>
        <w:tc>
          <w:tcPr>
            <w:tcW w:w="10060" w:type="dxa"/>
            <w:vAlign w:val="bottom"/>
          </w:tcPr>
          <w:p>
            <w:pPr>
              <w:ind w:left="120"/>
              <w:spacing w:after="0"/>
              <w:rPr>
                <w:sz w:val="20"/>
                <w:szCs w:val="20"/>
                <w:color w:val="auto"/>
              </w:rPr>
            </w:pPr>
            <w:r>
              <w:rPr>
                <w:rFonts w:ascii="Arial" w:cs="Arial" w:eastAsia="Arial" w:hAnsi="Arial"/>
                <w:sz w:val="20"/>
                <w:szCs w:val="20"/>
                <w:color w:val="auto"/>
              </w:rPr>
              <w:t>Letter Agreement between Jonas Prising and the Company dated as of February 17, 2023, incorporated by</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reference to the Company's Annual Report on Form 10-K for the year ended December 31, 2022. **</w:t>
            </w:r>
          </w:p>
        </w:tc>
        <w:tc>
          <w:tcPr>
            <w:tcW w:w="0" w:type="dxa"/>
            <w:vAlign w:val="bottom"/>
          </w:tcPr>
          <w:p>
            <w:pPr>
              <w:spacing w:after="0"/>
              <w:rPr>
                <w:sz w:val="1"/>
                <w:szCs w:val="1"/>
                <w:color w:val="auto"/>
              </w:rPr>
            </w:pPr>
          </w:p>
        </w:tc>
      </w:tr>
      <w:tr>
        <w:trPr>
          <w:trHeight w:val="454"/>
        </w:trPr>
        <w:tc>
          <w:tcPr>
            <w:tcW w:w="740" w:type="dxa"/>
            <w:vAlign w:val="bottom"/>
          </w:tcPr>
          <w:p>
            <w:pPr>
              <w:spacing w:after="0"/>
              <w:rPr>
                <w:sz w:val="20"/>
                <w:szCs w:val="20"/>
                <w:color w:val="auto"/>
              </w:rPr>
            </w:pPr>
            <w:r>
              <w:rPr>
                <w:rFonts w:ascii="Arial" w:cs="Arial" w:eastAsia="Arial" w:hAnsi="Arial"/>
                <w:sz w:val="20"/>
                <w:szCs w:val="20"/>
                <w:color w:val="auto"/>
              </w:rPr>
              <w:t>10.6(d)</w:t>
            </w:r>
          </w:p>
        </w:tc>
        <w:tc>
          <w:tcPr>
            <w:tcW w:w="10060" w:type="dxa"/>
            <w:vAlign w:val="bottom"/>
          </w:tcPr>
          <w:p>
            <w:pPr>
              <w:ind w:left="120"/>
              <w:spacing w:after="0"/>
              <w:rPr>
                <w:sz w:val="20"/>
                <w:szCs w:val="20"/>
                <w:color w:val="auto"/>
              </w:rPr>
            </w:pPr>
            <w:r>
              <w:rPr>
                <w:rFonts w:ascii="Arial" w:cs="Arial" w:eastAsia="Arial" w:hAnsi="Arial"/>
                <w:sz w:val="20"/>
                <w:szCs w:val="20"/>
                <w:color w:val="auto"/>
              </w:rPr>
              <w:t>Transition Agreement between Richard Buchband and the Company as of December 17, 2024. **</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10.6(e)</w:t>
            </w:r>
          </w:p>
        </w:tc>
        <w:tc>
          <w:tcPr>
            <w:tcW w:w="10060" w:type="dxa"/>
            <w:vAlign w:val="bottom"/>
          </w:tcPr>
          <w:p>
            <w:pPr>
              <w:ind w:left="120"/>
              <w:spacing w:after="0"/>
              <w:rPr>
                <w:sz w:val="20"/>
                <w:szCs w:val="20"/>
                <w:color w:val="auto"/>
              </w:rPr>
            </w:pPr>
            <w:r>
              <w:rPr>
                <w:rFonts w:ascii="Arial" w:cs="Arial" w:eastAsia="Arial" w:hAnsi="Arial"/>
                <w:sz w:val="20"/>
                <w:szCs w:val="20"/>
                <w:color w:val="auto"/>
              </w:rPr>
              <w:t>2011 Equity Incentive Plan of Manpower Inc. (Amended and Restated Effective May 8, 2020), incorporated by</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reference to the Company’s Registration Statement on Form S-8 dated May 29, 2020. **</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20"/>
                <w:szCs w:val="20"/>
                <w:color w:val="auto"/>
              </w:rPr>
              <w:t>10.6(f)</w:t>
            </w:r>
          </w:p>
        </w:tc>
        <w:tc>
          <w:tcPr>
            <w:tcW w:w="10060" w:type="dxa"/>
            <w:vAlign w:val="bottom"/>
          </w:tcPr>
          <w:p>
            <w:pPr>
              <w:ind w:left="120"/>
              <w:spacing w:after="0"/>
              <w:rPr>
                <w:sz w:val="20"/>
                <w:szCs w:val="20"/>
                <w:color w:val="auto"/>
              </w:rPr>
            </w:pPr>
            <w:r>
              <w:rPr>
                <w:rFonts w:ascii="Arial" w:cs="Arial" w:eastAsia="Arial" w:hAnsi="Arial"/>
                <w:sz w:val="20"/>
                <w:szCs w:val="20"/>
                <w:color w:val="auto"/>
              </w:rPr>
              <w:t>Form of Indemnification Agreement, incorporated by reference to the Company’s Current Report on Form 8-K</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dated October 31, 2006.</w:t>
            </w:r>
          </w:p>
        </w:tc>
        <w:tc>
          <w:tcPr>
            <w:tcW w:w="0" w:type="dxa"/>
            <w:vAlign w:val="bottom"/>
          </w:tcPr>
          <w:p>
            <w:pPr>
              <w:spacing w:after="0"/>
              <w:rPr>
                <w:sz w:val="1"/>
                <w:szCs w:val="1"/>
                <w:color w:val="auto"/>
              </w:rPr>
            </w:pPr>
          </w:p>
        </w:tc>
      </w:tr>
      <w:tr>
        <w:trPr>
          <w:trHeight w:val="317"/>
        </w:trPr>
        <w:tc>
          <w:tcPr>
            <w:tcW w:w="740" w:type="dxa"/>
            <w:vAlign w:val="bottom"/>
          </w:tcPr>
          <w:p>
            <w:pPr>
              <w:spacing w:after="0"/>
              <w:rPr>
                <w:sz w:val="20"/>
                <w:szCs w:val="20"/>
                <w:color w:val="auto"/>
              </w:rPr>
            </w:pPr>
            <w:r>
              <w:rPr>
                <w:rFonts w:ascii="Arial" w:cs="Arial" w:eastAsia="Arial" w:hAnsi="Arial"/>
                <w:sz w:val="20"/>
                <w:szCs w:val="20"/>
                <w:color w:val="auto"/>
              </w:rPr>
              <w:t>10.7(a)</w:t>
            </w:r>
          </w:p>
        </w:tc>
        <w:tc>
          <w:tcPr>
            <w:tcW w:w="10060" w:type="dxa"/>
            <w:vAlign w:val="bottom"/>
          </w:tcPr>
          <w:p>
            <w:pPr>
              <w:ind w:left="120"/>
              <w:spacing w:after="0"/>
              <w:rPr>
                <w:sz w:val="20"/>
                <w:szCs w:val="20"/>
                <w:color w:val="auto"/>
              </w:rPr>
            </w:pPr>
            <w:r>
              <w:rPr>
                <w:rFonts w:ascii="Arial" w:cs="Arial" w:eastAsia="Arial" w:hAnsi="Arial"/>
                <w:sz w:val="20"/>
                <w:szCs w:val="20"/>
                <w:color w:val="auto"/>
              </w:rPr>
              <w:t>Form of Stock Option Agreement under 2011 Equity Incentive Plan, incorporated by reference to the Company’s</w:t>
            </w:r>
          </w:p>
        </w:tc>
        <w:tc>
          <w:tcPr>
            <w:tcW w:w="0" w:type="dxa"/>
            <w:vAlign w:val="bottom"/>
          </w:tcPr>
          <w:p>
            <w:pPr>
              <w:spacing w:after="0"/>
              <w:rPr>
                <w:sz w:val="1"/>
                <w:szCs w:val="1"/>
                <w:color w:val="auto"/>
              </w:rPr>
            </w:pPr>
          </w:p>
        </w:tc>
      </w:tr>
      <w:tr>
        <w:trPr>
          <w:trHeight w:val="271"/>
        </w:trPr>
        <w:tc>
          <w:tcPr>
            <w:tcW w:w="740" w:type="dxa"/>
            <w:vAlign w:val="bottom"/>
          </w:tcPr>
          <w:p>
            <w:pPr>
              <w:spacing w:after="0"/>
              <w:rPr>
                <w:sz w:val="23"/>
                <w:szCs w:val="23"/>
                <w:color w:val="auto"/>
              </w:rPr>
            </w:pPr>
          </w:p>
        </w:tc>
        <w:tc>
          <w:tcPr>
            <w:tcW w:w="10060" w:type="dxa"/>
            <w:vAlign w:val="bottom"/>
          </w:tcPr>
          <w:p>
            <w:pPr>
              <w:ind w:left="120"/>
              <w:spacing w:after="0"/>
              <w:rPr>
                <w:sz w:val="20"/>
                <w:szCs w:val="20"/>
                <w:color w:val="auto"/>
              </w:rPr>
            </w:pPr>
            <w:r>
              <w:rPr>
                <w:rFonts w:ascii="Arial" w:cs="Arial" w:eastAsia="Arial" w:hAnsi="Arial"/>
                <w:sz w:val="20"/>
                <w:szCs w:val="20"/>
                <w:color w:val="auto"/>
              </w:rPr>
              <w:t>Quarterly Report on Form 10-Q for the quarter ended March 31, 2019.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10800"/>
          </w:cols>
          <w:pgMar w:left="720" w:top="734" w:right="720" w:bottom="175" w:gutter="0" w:footer="0" w:header="0"/>
          <w:type w:val="continuous"/>
        </w:sectPr>
      </w:pPr>
    </w:p>
    <w:bookmarkStart w:id="98" w:name="page99"/>
    <w:bookmarkEnd w:id="98"/>
    <w:p>
      <w:pPr>
        <w:ind w:left="1010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6" o:spid="_x0000_s1151"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IV</w:t>
      </w:r>
    </w:p>
    <w:p>
      <w:pPr>
        <w:spacing w:after="0" w:line="131" w:lineRule="exact"/>
        <w:rPr>
          <w:sz w:val="20"/>
          <w:szCs w:val="20"/>
          <w:color w:val="auto"/>
        </w:rPr>
      </w:pPr>
    </w:p>
    <w:p>
      <w:pPr>
        <w:ind w:left="860" w:right="360" w:hanging="863"/>
        <w:spacing w:after="0" w:line="277" w:lineRule="auto"/>
        <w:tabs>
          <w:tab w:leader="none" w:pos="840" w:val="left"/>
        </w:tabs>
        <w:rPr>
          <w:sz w:val="20"/>
          <w:szCs w:val="20"/>
          <w:color w:val="auto"/>
        </w:rPr>
      </w:pPr>
      <w:r>
        <w:rPr>
          <w:rFonts w:ascii="Arial" w:cs="Arial" w:eastAsia="Arial" w:hAnsi="Arial"/>
          <w:sz w:val="20"/>
          <w:szCs w:val="20"/>
          <w:color w:val="auto"/>
        </w:rPr>
        <w:t>10.7(b)</w:t>
        <w:tab/>
        <w:t>Form of Restricted Stock Unit Agreement under 2011 Equity Incentive Plan, incorporated by reference to the Company’s Quarterly Report on Form 10-Q for the quarter ended March 31, 2012. **</w:t>
      </w:r>
    </w:p>
    <w:p>
      <w:pPr>
        <w:spacing w:after="0" w:line="145" w:lineRule="exact"/>
        <w:rPr>
          <w:sz w:val="20"/>
          <w:szCs w:val="20"/>
          <w:color w:val="auto"/>
        </w:rPr>
      </w:pPr>
    </w:p>
    <w:p>
      <w:pPr>
        <w:ind w:left="860" w:right="180" w:hanging="863"/>
        <w:spacing w:after="0" w:line="277" w:lineRule="auto"/>
        <w:tabs>
          <w:tab w:leader="none" w:pos="840" w:val="left"/>
        </w:tabs>
        <w:rPr>
          <w:sz w:val="20"/>
          <w:szCs w:val="20"/>
          <w:color w:val="auto"/>
        </w:rPr>
      </w:pPr>
      <w:r>
        <w:rPr>
          <w:rFonts w:ascii="Arial" w:cs="Arial" w:eastAsia="Arial" w:hAnsi="Arial"/>
          <w:sz w:val="20"/>
          <w:szCs w:val="20"/>
          <w:color w:val="auto"/>
        </w:rPr>
        <w:t>10.7(c)</w:t>
        <w:tab/>
        <w:t>Form of 2014 Career Share Agreement under the 2011 Equity Incentive Plan, incorporated by reference to the Company’s Quarterly Report on Form 10-Q for the quarter ended March 31, 2014. **</w:t>
      </w:r>
    </w:p>
    <w:p>
      <w:pPr>
        <w:spacing w:after="0" w:line="145" w:lineRule="exact"/>
        <w:rPr>
          <w:sz w:val="20"/>
          <w:szCs w:val="20"/>
          <w:color w:val="auto"/>
        </w:rPr>
      </w:pPr>
    </w:p>
    <w:p>
      <w:pPr>
        <w:ind w:left="860" w:right="200" w:hanging="863"/>
        <w:spacing w:after="0" w:line="256" w:lineRule="auto"/>
        <w:tabs>
          <w:tab w:leader="none" w:pos="840" w:val="left"/>
        </w:tabs>
        <w:rPr>
          <w:sz w:val="20"/>
          <w:szCs w:val="20"/>
          <w:color w:val="auto"/>
        </w:rPr>
      </w:pPr>
      <w:r>
        <w:rPr>
          <w:rFonts w:ascii="Arial" w:cs="Arial" w:eastAsia="Arial" w:hAnsi="Arial"/>
          <w:sz w:val="20"/>
          <w:szCs w:val="20"/>
          <w:color w:val="auto"/>
        </w:rPr>
        <w:t>10.7(d)</w:t>
        <w:tab/>
        <w:t>Form of 2021 Performance Share Unit Agreement Under the 2011 Equity Incentive Plan of ManpowerGroup Inc., incorporated by reference to the Company’s Quarterly Report on Form 10-Q for the Quarter ended March 31, 2021.</w:t>
      </w:r>
    </w:p>
    <w:p>
      <w:pPr>
        <w:spacing w:after="0" w:line="165" w:lineRule="exact"/>
        <w:rPr>
          <w:sz w:val="20"/>
          <w:szCs w:val="20"/>
          <w:color w:val="auto"/>
        </w:rPr>
      </w:pPr>
    </w:p>
    <w:p>
      <w:pPr>
        <w:ind w:left="860" w:right="200" w:hanging="863"/>
        <w:spacing w:after="0" w:line="256" w:lineRule="auto"/>
        <w:tabs>
          <w:tab w:leader="none" w:pos="840" w:val="left"/>
        </w:tabs>
        <w:rPr>
          <w:sz w:val="20"/>
          <w:szCs w:val="20"/>
          <w:color w:val="auto"/>
        </w:rPr>
      </w:pPr>
      <w:r>
        <w:rPr>
          <w:rFonts w:ascii="Arial" w:cs="Arial" w:eastAsia="Arial" w:hAnsi="Arial"/>
          <w:sz w:val="20"/>
          <w:szCs w:val="20"/>
          <w:color w:val="auto"/>
        </w:rPr>
        <w:t>10.7(e)</w:t>
        <w:tab/>
        <w:t>Form of 2022 Performance Share Unit Agreement Under the 2011 Equity Inventive Plan of ManpowerGroup Inc., incorporated by reference to the Company's Quarterly Report on Form 10-Q for the Quarter ended March 31, 2022.</w:t>
      </w:r>
    </w:p>
    <w:p>
      <w:pPr>
        <w:spacing w:after="0" w:line="165" w:lineRule="exact"/>
        <w:rPr>
          <w:sz w:val="20"/>
          <w:szCs w:val="20"/>
          <w:color w:val="auto"/>
        </w:rPr>
      </w:pPr>
    </w:p>
    <w:p>
      <w:pPr>
        <w:ind w:left="860" w:right="200" w:hanging="863"/>
        <w:spacing w:after="0" w:line="256" w:lineRule="auto"/>
        <w:tabs>
          <w:tab w:leader="none" w:pos="840" w:val="left"/>
        </w:tabs>
        <w:rPr>
          <w:sz w:val="20"/>
          <w:szCs w:val="20"/>
          <w:color w:val="auto"/>
        </w:rPr>
      </w:pPr>
      <w:r>
        <w:rPr>
          <w:rFonts w:ascii="Arial" w:cs="Arial" w:eastAsia="Arial" w:hAnsi="Arial"/>
          <w:sz w:val="20"/>
          <w:szCs w:val="20"/>
          <w:color w:val="auto"/>
        </w:rPr>
        <w:t>10.7(f)</w:t>
        <w:tab/>
        <w:t>Form of 2024 Performance Share Unit Agreement Under the 2011 Equity Inventive Plan of ManpowerGroup Inc., incorporated by reference to the Company's Quarterly Report on Form 10-Q for the Quarter ended March 31, 2024.</w:t>
      </w:r>
    </w:p>
    <w:p>
      <w:pPr>
        <w:spacing w:after="0" w:line="165" w:lineRule="exact"/>
        <w:rPr>
          <w:sz w:val="20"/>
          <w:szCs w:val="20"/>
          <w:color w:val="auto"/>
        </w:rPr>
      </w:pPr>
    </w:p>
    <w:p>
      <w:pPr>
        <w:ind w:left="860" w:hanging="863"/>
        <w:spacing w:after="0" w:line="282" w:lineRule="auto"/>
        <w:tabs>
          <w:tab w:leader="none" w:pos="840" w:val="left"/>
        </w:tabs>
        <w:rPr>
          <w:sz w:val="20"/>
          <w:szCs w:val="20"/>
          <w:color w:val="auto"/>
        </w:rPr>
      </w:pPr>
      <w:r>
        <w:rPr>
          <w:rFonts w:ascii="Arial" w:cs="Arial" w:eastAsia="Arial" w:hAnsi="Arial"/>
          <w:sz w:val="20"/>
          <w:szCs w:val="20"/>
          <w:color w:val="auto"/>
        </w:rPr>
        <w:t>10.8(a)</w:t>
        <w:tab/>
        <w:t>Letter Agreement between Michelle S. Nettles and the Company dated as of February 17, 2023, incorporated by reference to the Company's Annual Report on Form 10-K for the year ended December 31, 2022. **</w:t>
      </w:r>
    </w:p>
    <w:p>
      <w:pPr>
        <w:spacing w:after="0" w:line="145" w:lineRule="exact"/>
        <w:rPr>
          <w:sz w:val="20"/>
          <w:szCs w:val="20"/>
          <w:color w:val="auto"/>
        </w:rPr>
      </w:pPr>
    </w:p>
    <w:p>
      <w:pPr>
        <w:ind w:left="860" w:right="600" w:hanging="863"/>
        <w:spacing w:after="0" w:line="282" w:lineRule="auto"/>
        <w:tabs>
          <w:tab w:leader="none" w:pos="840" w:val="left"/>
        </w:tabs>
        <w:rPr>
          <w:sz w:val="20"/>
          <w:szCs w:val="20"/>
          <w:color w:val="auto"/>
        </w:rPr>
      </w:pPr>
      <w:r>
        <w:rPr>
          <w:rFonts w:ascii="Arial" w:cs="Arial" w:eastAsia="Arial" w:hAnsi="Arial"/>
          <w:sz w:val="20"/>
          <w:szCs w:val="20"/>
          <w:color w:val="auto"/>
        </w:rPr>
        <w:t>10.8(b)</w:t>
        <w:tab/>
        <w:t>Letter Agreement between John T. McGinnis and the Company dated February 17, 2023, incorporated by reference to the Company's Annual Report on Form 10-K for the year ended December 31, 2022. **</w:t>
      </w:r>
    </w:p>
    <w:p>
      <w:pPr>
        <w:spacing w:after="0" w:line="149" w:lineRule="exact"/>
        <w:rPr>
          <w:sz w:val="20"/>
          <w:szCs w:val="20"/>
          <w:color w:val="auto"/>
        </w:rPr>
      </w:pPr>
    </w:p>
    <w:p>
      <w:pPr>
        <w:ind w:left="860" w:right="420" w:hanging="863"/>
        <w:spacing w:after="0" w:line="277" w:lineRule="auto"/>
        <w:tabs>
          <w:tab w:leader="none" w:pos="84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ManpowerGroup Inc. Annual Incentive Plan, incorporated by reference to the Company's Current Report on Form 8-K dated February 15, 2018. **</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20"/>
          <w:szCs w:val="20"/>
          <w:color w:val="auto"/>
        </w:rPr>
        <w:t>Insider Trading Policy.</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Subsidiaries of the Company.</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color w:val="auto"/>
        </w:rPr>
        <w:t>Consent of Deloitte &amp; Touche LLP.</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Power of Attorney.</w:t>
      </w:r>
    </w:p>
    <w:p>
      <w:pPr>
        <w:spacing w:after="0" w:line="225" w:lineRule="exact"/>
        <w:rPr>
          <w:sz w:val="20"/>
          <w:szCs w:val="20"/>
          <w:color w:val="auto"/>
        </w:rPr>
      </w:pPr>
    </w:p>
    <w:p>
      <w:pPr>
        <w:ind w:left="860" w:right="60" w:hanging="863"/>
        <w:spacing w:after="0" w:line="277" w:lineRule="auto"/>
        <w:tabs>
          <w:tab w:leader="none" w:pos="8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Certification of Jonas Prising, Chief Executive Officer, pursuant to Section 13a-14(a) of the Securities Exchange Act of 1934.</w:t>
      </w:r>
    </w:p>
    <w:p>
      <w:pPr>
        <w:spacing w:after="0" w:line="150" w:lineRule="exact"/>
        <w:rPr>
          <w:sz w:val="20"/>
          <w:szCs w:val="20"/>
          <w:color w:val="auto"/>
        </w:rPr>
      </w:pPr>
    </w:p>
    <w:p>
      <w:pPr>
        <w:ind w:left="860" w:right="20" w:hanging="863"/>
        <w:spacing w:after="0" w:line="277" w:lineRule="auto"/>
        <w:tabs>
          <w:tab w:leader="none" w:pos="8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color w:val="auto"/>
        </w:rPr>
        <w:t>Certification of John T. McGinnis, Executive Vice President and Chief Financial Officer, pursuant to Section 13a-14(a) of the Securities Exchange Act of 1934.</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color w:val="auto"/>
        </w:rPr>
        <w:t>Statement of Jonas Prising, Chief Executive Officer, pursuant to 18 U.S.C. ss. 1350.</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color w:val="auto"/>
        </w:rPr>
        <w:t>Statement of John T. McGinnis, Executive Vice President and Chief Financial Officer, pursuant to 18 U.S.C. ss.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1350.</w:t>
      </w:r>
    </w:p>
    <w:p>
      <w:pPr>
        <w:spacing w:after="0" w:line="203" w:lineRule="exact"/>
        <w:rPr>
          <w:sz w:val="20"/>
          <w:szCs w:val="20"/>
          <w:color w:val="auto"/>
        </w:rPr>
      </w:pPr>
    </w:p>
    <w:p>
      <w:pPr>
        <w:ind w:left="860" w:right="440" w:hanging="860"/>
        <w:spacing w:after="0" w:line="282" w:lineRule="auto"/>
        <w:tabs>
          <w:tab w:leader="none" w:pos="8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Senior Executive Compensation Recovery Policy, incorporated by reference to Exhibit 97 of the Company's Annual Report on Form 10-K for the year ended December 31, 2024. **</w:t>
      </w:r>
    </w:p>
    <w:p>
      <w:pPr>
        <w:spacing w:after="0" w:line="149" w:lineRule="exact"/>
        <w:rPr>
          <w:sz w:val="20"/>
          <w:szCs w:val="20"/>
          <w:color w:val="auto"/>
        </w:rPr>
      </w:pPr>
    </w:p>
    <w:p>
      <w:pPr>
        <w:ind w:left="860" w:right="220" w:hanging="863"/>
        <w:spacing w:after="0" w:line="282" w:lineRule="auto"/>
        <w:rPr>
          <w:sz w:val="20"/>
          <w:szCs w:val="20"/>
          <w:color w:val="auto"/>
        </w:rPr>
      </w:pPr>
      <w:r>
        <w:rPr>
          <w:rFonts w:ascii="Arial" w:cs="Arial" w:eastAsia="Arial" w:hAnsi="Arial"/>
          <w:sz w:val="20"/>
          <w:szCs w:val="20"/>
          <w:color w:val="auto"/>
        </w:rPr>
        <w:t>101.INS Inline XBRL Instance Document - the instance document does not appear in the Interactive Data File because its XBRL tags are embedded within the Inline XBRL document.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101.SCH Inline XBRL Taxonomy Extension Schema With Embedded Linkbase Documents</w:t>
      </w:r>
    </w:p>
    <w:p>
      <w:pPr>
        <w:spacing w:after="0" w:line="230" w:lineRule="exact"/>
        <w:rPr>
          <w:sz w:val="20"/>
          <w:szCs w:val="20"/>
          <w:color w:val="auto"/>
        </w:rPr>
      </w:pPr>
    </w:p>
    <w:p>
      <w:pPr>
        <w:ind w:left="860" w:hanging="860"/>
        <w:spacing w:after="0" w:line="282" w:lineRule="auto"/>
        <w:tabs>
          <w:tab w:leader="none" w:pos="8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cover page from the Company’s Annual Report on Form 10-K for the fiscal year ended December 31, 2024 has been formatted in Inline XBRL (Inline Extensible Business Reporting Language).</w:t>
      </w:r>
    </w:p>
    <w:p>
      <w:pPr>
        <w:spacing w:after="0" w:line="97" w:lineRule="exact"/>
        <w:rPr>
          <w:sz w:val="20"/>
          <w:szCs w:val="20"/>
          <w:color w:val="auto"/>
        </w:rPr>
      </w:pPr>
    </w:p>
    <w:p>
      <w:pPr>
        <w:ind w:left="380" w:hanging="380"/>
        <w:spacing w:after="0"/>
        <w:tabs>
          <w:tab w:leader="none" w:pos="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Management contract or compensatory plan or arrangement.</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10800"/>
          </w:cols>
          <w:pgMar w:left="720" w:top="734" w:right="720" w:bottom="175" w:gutter="0" w:footer="0" w:header="0"/>
          <w:type w:val="continuous"/>
        </w:sectPr>
      </w:pPr>
    </w:p>
    <w:bookmarkStart w:id="99" w:name="page100"/>
    <w:bookmarkEnd w:id="99"/>
    <w:p>
      <w:pPr>
        <w:ind w:left="8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7" o:spid="_x0000_s1152"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IV</w:t>
      </w:r>
    </w:p>
    <w:p>
      <w:pPr>
        <w:spacing w:after="0" w:line="122" w:lineRule="exact"/>
        <w:rPr>
          <w:sz w:val="20"/>
          <w:szCs w:val="20"/>
          <w:color w:val="auto"/>
        </w:rPr>
      </w:pPr>
    </w:p>
    <w:p>
      <w:pPr>
        <w:spacing w:after="0"/>
        <w:rPr>
          <w:sz w:val="20"/>
          <w:szCs w:val="20"/>
          <w:color w:val="auto"/>
        </w:rPr>
      </w:pPr>
      <w:r>
        <w:rPr>
          <w:rFonts w:ascii="Arial" w:cs="Arial" w:eastAsia="Arial" w:hAnsi="Arial"/>
          <w:sz w:val="27"/>
          <w:szCs w:val="27"/>
          <w:b w:val="1"/>
          <w:bCs w:val="1"/>
          <w:color w:val="537BB5"/>
        </w:rPr>
        <w:t>Item 16. Form 10-K summary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080"/>
          </w:cols>
          <w:pgMar w:left="720" w:top="7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10080"/>
          </w:cols>
          <w:pgMar w:left="720" w:top="734" w:right="1440" w:bottom="175" w:gutter="0" w:footer="0" w:header="0"/>
          <w:type w:val="continuous"/>
        </w:sectPr>
      </w:pPr>
    </w:p>
    <w:bookmarkStart w:id="100" w:name="page101"/>
    <w:bookmarkEnd w:id="100"/>
    <w:p>
      <w:pPr>
        <w:ind w:left="10100"/>
        <w:spacing w:after="0"/>
        <w:rPr>
          <w:sz w:val="20"/>
          <w:szCs w:val="20"/>
          <w:color w:val="auto"/>
        </w:rPr>
      </w:pPr>
      <w:r>
        <w:rPr>
          <w:rFonts w:ascii="Arial" w:cs="Arial" w:eastAsia="Arial" w:hAnsi="Arial"/>
          <w:sz w:val="20"/>
          <w:szCs w:val="20"/>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18034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80340"/>
                        </a:xfrm>
                        <a:prstGeom prst="rect">
                          <a:avLst/>
                        </a:prstGeom>
                        <a:solidFill>
                          <a:srgbClr val="537BB5"/>
                        </a:solidFill>
                      </wps:spPr>
                      <wps:bodyPr/>
                    </wps:wsp>
                  </a:graphicData>
                </a:graphic>
              </wp:anchor>
            </w:drawing>
          </mc:Choice>
          <mc:Fallback>
            <w:pict>
              <v:rect id="Shape 128" o:spid="_x0000_s1153" style="position:absolute;margin-left:36pt;margin-top:36pt;width:540pt;height:14.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37BB5" stroked="f">
                <w10:wrap anchorx="page" anchory="page"/>
              </v:rect>
            </w:pict>
          </mc:Fallback>
        </mc:AlternateContent>
        <w:t>Part IV</w:t>
      </w:r>
    </w:p>
    <w:p>
      <w:pPr>
        <w:spacing w:after="0" w:line="108" w:lineRule="exact"/>
        <w:rPr>
          <w:sz w:val="20"/>
          <w:szCs w:val="20"/>
          <w:color w:val="auto"/>
        </w:rPr>
      </w:pPr>
    </w:p>
    <w:p>
      <w:pPr>
        <w:spacing w:after="0"/>
        <w:rPr>
          <w:sz w:val="20"/>
          <w:szCs w:val="20"/>
          <w:color w:val="auto"/>
        </w:rPr>
      </w:pPr>
      <w:r>
        <w:rPr>
          <w:rFonts w:ascii="Arial" w:cs="Arial" w:eastAsia="Arial" w:hAnsi="Arial"/>
          <w:sz w:val="46"/>
          <w:szCs w:val="46"/>
          <w:color w:val="537BB5"/>
        </w:rPr>
        <w:t>SIGNATURES</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MANPOWERGROUP INC.</w:t>
      </w:r>
    </w:p>
    <w:p>
      <w:pPr>
        <w:spacing w:after="0" w:line="346" w:lineRule="exact"/>
        <w:rPr>
          <w:sz w:val="20"/>
          <w:szCs w:val="20"/>
          <w:color w:val="auto"/>
        </w:rPr>
      </w:pPr>
    </w:p>
    <w:p>
      <w:pPr>
        <w:ind w:left="6720"/>
        <w:spacing w:after="0"/>
        <w:tabs>
          <w:tab w:leader="none" w:pos="7240" w:val="left"/>
        </w:tabs>
        <w:rPr>
          <w:sz w:val="20"/>
          <w:szCs w:val="20"/>
          <w:color w:val="auto"/>
        </w:rPr>
      </w:pPr>
      <w:r>
        <w:rPr>
          <w:rFonts w:ascii="Arial" w:cs="Arial" w:eastAsia="Arial" w:hAnsi="Arial"/>
          <w:sz w:val="20"/>
          <w:szCs w:val="20"/>
          <w:color w:val="auto"/>
        </w:rPr>
        <w:t>By:</w:t>
        <w:tab/>
        <w:t>/s/ Jonas Prising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4611370</wp:posOffset>
                </wp:positionH>
                <wp:positionV relativeFrom="paragraph">
                  <wp:posOffset>15240</wp:posOffset>
                </wp:positionV>
                <wp:extent cx="224663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6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1pt,1.2pt" to="540pt,1.2pt" o:allowincell="f" strokecolor="#000000" strokeweight="0.5pt"/>
            </w:pict>
          </mc:Fallback>
        </mc:AlternateContent>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20"/>
          <w:szCs w:val="20"/>
          <w:color w:val="auto"/>
        </w:rPr>
        <w:t>Jonas Prising</w:t>
      </w:r>
    </w:p>
    <w:p>
      <w:pPr>
        <w:ind w:left="7260"/>
        <w:spacing w:after="0"/>
        <w:rPr>
          <w:sz w:val="20"/>
          <w:szCs w:val="20"/>
          <w:color w:val="auto"/>
        </w:rPr>
      </w:pPr>
      <w:r>
        <w:rPr>
          <w:rFonts w:ascii="Arial" w:cs="Arial" w:eastAsia="Arial" w:hAnsi="Arial"/>
          <w:sz w:val="20"/>
          <w:szCs w:val="20"/>
          <w:color w:val="auto"/>
        </w:rPr>
        <w:t>Chairman and Chief Executive Officer</w:t>
      </w:r>
    </w:p>
    <w:p>
      <w:pPr>
        <w:spacing w:after="0" w:line="364"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Date: February 19, 2025</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5160" w:type="dxa"/>
            <w:vAlign w:val="bottom"/>
            <w:gridSpan w:val="3"/>
          </w:tcPr>
          <w:p>
            <w:pPr>
              <w:ind w:left="2580"/>
              <w:spacing w:after="0"/>
              <w:rPr>
                <w:sz w:val="20"/>
                <w:szCs w:val="20"/>
                <w:color w:val="auto"/>
              </w:rPr>
            </w:pPr>
            <w:r>
              <w:rPr>
                <w:rFonts w:ascii="Arial" w:cs="Arial" w:eastAsia="Arial" w:hAnsi="Arial"/>
                <w:sz w:val="20"/>
                <w:szCs w:val="20"/>
                <w:b w:val="1"/>
                <w:bCs w:val="1"/>
                <w:color w:val="auto"/>
              </w:rPr>
              <w:t>Title</w:t>
            </w:r>
          </w:p>
        </w:tc>
        <w:tc>
          <w:tcPr>
            <w:tcW w:w="2080" w:type="dxa"/>
            <w:vAlign w:val="bottom"/>
            <w:gridSpan w:val="3"/>
          </w:tcPr>
          <w:p>
            <w:pPr>
              <w:ind w:left="1520"/>
              <w:spacing w:after="0"/>
              <w:rPr>
                <w:sz w:val="20"/>
                <w:szCs w:val="20"/>
                <w:color w:val="auto"/>
              </w:rPr>
            </w:pPr>
            <w:r>
              <w:rPr>
                <w:rFonts w:ascii="Arial" w:cs="Arial" w:eastAsia="Arial" w:hAnsi="Arial"/>
                <w:sz w:val="20"/>
                <w:szCs w:val="20"/>
                <w:b w:val="1"/>
                <w:bCs w:val="1"/>
                <w:color w:val="auto"/>
              </w:rPr>
              <w:t>Date</w:t>
            </w:r>
          </w:p>
        </w:tc>
      </w:tr>
      <w:tr>
        <w:trPr>
          <w:trHeight w:val="21"/>
        </w:trPr>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8"/>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Jonas Prising</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Chairman, Chief Executive Officer and a Director</w:t>
            </w:r>
          </w:p>
        </w:tc>
        <w:tc>
          <w:tcPr>
            <w:tcW w:w="2080" w:type="dxa"/>
            <w:vAlign w:val="bottom"/>
            <w:gridSpan w:val="3"/>
          </w:tcPr>
          <w:p>
            <w:pPr>
              <w:ind w:left="440"/>
              <w:spacing w:after="0"/>
              <w:rPr>
                <w:sz w:val="20"/>
                <w:szCs w:val="20"/>
                <w:color w:val="auto"/>
              </w:rPr>
            </w:pPr>
            <w:r>
              <w:rPr>
                <w:rFonts w:ascii="Arial" w:cs="Arial" w:eastAsia="Arial" w:hAnsi="Arial"/>
                <w:sz w:val="20"/>
                <w:szCs w:val="20"/>
                <w:color w:val="auto"/>
                <w:w w:val="99"/>
              </w:rPr>
              <w:t>February 19, 2025</w:t>
            </w:r>
          </w:p>
        </w:tc>
      </w:tr>
      <w:tr>
        <w:trPr>
          <w:trHeight w:val="261"/>
        </w:trPr>
        <w:tc>
          <w:tcPr>
            <w:tcW w:w="2600" w:type="dxa"/>
            <w:vAlign w:val="bottom"/>
            <w:gridSpan w:val="3"/>
          </w:tcPr>
          <w:p>
            <w:pPr>
              <w:spacing w:after="0"/>
              <w:rPr>
                <w:sz w:val="20"/>
                <w:szCs w:val="20"/>
                <w:color w:val="auto"/>
              </w:rPr>
            </w:pPr>
            <w:r>
              <w:rPr>
                <w:rFonts w:ascii="Arial" w:cs="Arial" w:eastAsia="Arial" w:hAnsi="Arial"/>
                <w:sz w:val="20"/>
                <w:szCs w:val="20"/>
                <w:color w:val="auto"/>
              </w:rPr>
              <w:t>Jonas Prising</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(Principal Executive Officer)</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1"/>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John T. McGinnis</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Executive Vice President and Chief Financial Officer</w:t>
            </w:r>
          </w:p>
        </w:tc>
        <w:tc>
          <w:tcPr>
            <w:tcW w:w="2080" w:type="dxa"/>
            <w:vAlign w:val="bottom"/>
            <w:gridSpan w:val="3"/>
          </w:tcPr>
          <w:p>
            <w:pPr>
              <w:ind w:left="440"/>
              <w:spacing w:after="0"/>
              <w:rPr>
                <w:sz w:val="20"/>
                <w:szCs w:val="20"/>
                <w:color w:val="auto"/>
              </w:rPr>
            </w:pPr>
            <w:r>
              <w:rPr>
                <w:rFonts w:ascii="Arial" w:cs="Arial" w:eastAsia="Arial" w:hAnsi="Arial"/>
                <w:sz w:val="20"/>
                <w:szCs w:val="20"/>
                <w:color w:val="auto"/>
                <w:w w:val="99"/>
              </w:rPr>
              <w:t>February 19, 2025</w:t>
            </w:r>
          </w:p>
        </w:tc>
      </w:tr>
      <w:tr>
        <w:trPr>
          <w:trHeight w:val="261"/>
        </w:trPr>
        <w:tc>
          <w:tcPr>
            <w:tcW w:w="2600" w:type="dxa"/>
            <w:vAlign w:val="bottom"/>
            <w:gridSpan w:val="3"/>
          </w:tcPr>
          <w:p>
            <w:pPr>
              <w:spacing w:after="0"/>
              <w:rPr>
                <w:sz w:val="20"/>
                <w:szCs w:val="20"/>
                <w:color w:val="auto"/>
              </w:rPr>
            </w:pPr>
            <w:r>
              <w:rPr>
                <w:rFonts w:ascii="Arial" w:cs="Arial" w:eastAsia="Arial" w:hAnsi="Arial"/>
                <w:sz w:val="20"/>
                <w:szCs w:val="20"/>
                <w:color w:val="auto"/>
              </w:rPr>
              <w:t>John T. McGinnis</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(Principal Financial Officer)</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61"/>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Eric Rozek</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Vice President and Global Controller</w:t>
            </w:r>
          </w:p>
        </w:tc>
        <w:tc>
          <w:tcPr>
            <w:tcW w:w="2080" w:type="dxa"/>
            <w:vAlign w:val="bottom"/>
            <w:gridSpan w:val="3"/>
          </w:tcPr>
          <w:p>
            <w:pPr>
              <w:ind w:left="440"/>
              <w:spacing w:after="0"/>
              <w:rPr>
                <w:sz w:val="20"/>
                <w:szCs w:val="20"/>
                <w:color w:val="auto"/>
              </w:rPr>
            </w:pPr>
            <w:r>
              <w:rPr>
                <w:rFonts w:ascii="Arial" w:cs="Arial" w:eastAsia="Arial" w:hAnsi="Arial"/>
                <w:sz w:val="20"/>
                <w:szCs w:val="20"/>
                <w:color w:val="auto"/>
                <w:w w:val="99"/>
              </w:rPr>
              <w:t>February 19, 2025</w:t>
            </w:r>
          </w:p>
        </w:tc>
      </w:tr>
      <w:tr>
        <w:trPr>
          <w:trHeight w:val="261"/>
        </w:trPr>
        <w:tc>
          <w:tcPr>
            <w:tcW w:w="2600" w:type="dxa"/>
            <w:vAlign w:val="bottom"/>
            <w:gridSpan w:val="3"/>
          </w:tcPr>
          <w:p>
            <w:pPr>
              <w:spacing w:after="0"/>
              <w:rPr>
                <w:sz w:val="20"/>
                <w:szCs w:val="20"/>
                <w:color w:val="auto"/>
              </w:rPr>
            </w:pPr>
            <w:r>
              <w:rPr>
                <w:rFonts w:ascii="Arial" w:cs="Arial" w:eastAsia="Arial" w:hAnsi="Arial"/>
                <w:sz w:val="20"/>
                <w:szCs w:val="20"/>
                <w:color w:val="auto"/>
              </w:rPr>
              <w:t>Eric Rozek</w:t>
            </w:r>
          </w:p>
        </w:tc>
        <w:tc>
          <w:tcPr>
            <w:tcW w:w="5160" w:type="dxa"/>
            <w:vAlign w:val="bottom"/>
            <w:gridSpan w:val="3"/>
          </w:tcPr>
          <w:p>
            <w:pPr>
              <w:ind w:left="100"/>
              <w:spacing w:after="0"/>
              <w:rPr>
                <w:sz w:val="20"/>
                <w:szCs w:val="20"/>
                <w:color w:val="auto"/>
              </w:rPr>
            </w:pPr>
            <w:r>
              <w:rPr>
                <w:rFonts w:ascii="Arial" w:cs="Arial" w:eastAsia="Arial" w:hAnsi="Arial"/>
                <w:sz w:val="20"/>
                <w:szCs w:val="20"/>
                <w:color w:val="auto"/>
              </w:rPr>
              <w:t>(Principal Accounting Officer)</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138"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Directors: Jean-Philippe Courtois, John F. Ferraro, William P. Gipson, Patricia A. Hemingway Hall, Julie M. Howard, Muriel Pénicaud, Ulice Payne, Jr., Paul Read, Elizabeth P. Sartain, and Michael J. Van Handel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T. McGinnis</w:t>
            </w:r>
          </w:p>
        </w:tc>
      </w:tr>
      <w:tr>
        <w:trPr>
          <w:trHeight w:val="216"/>
        </w:trPr>
        <w:tc>
          <w:tcPr>
            <w:tcW w:w="660" w:type="dxa"/>
            <w:vAlign w:val="bottom"/>
          </w:tcPr>
          <w:p>
            <w:pPr>
              <w:spacing w:after="0"/>
              <w:rPr>
                <w:sz w:val="18"/>
                <w:szCs w:val="18"/>
                <w:color w:val="auto"/>
              </w:rPr>
            </w:pPr>
          </w:p>
        </w:tc>
        <w:tc>
          <w:tcPr>
            <w:tcW w:w="4740" w:type="dxa"/>
            <w:vAlign w:val="bottom"/>
          </w:tcPr>
          <w:p>
            <w:pPr>
              <w:spacing w:after="0" w:line="216" w:lineRule="exact"/>
              <w:rPr>
                <w:sz w:val="20"/>
                <w:szCs w:val="20"/>
                <w:color w:val="auto"/>
              </w:rPr>
            </w:pPr>
            <w:r>
              <w:rPr>
                <w:rFonts w:ascii="Arial" w:cs="Arial" w:eastAsia="Arial" w:hAnsi="Arial"/>
                <w:sz w:val="20"/>
                <w:szCs w:val="20"/>
                <w:color w:val="auto"/>
              </w:rPr>
              <w:t>John McGinnis</w:t>
            </w:r>
          </w:p>
        </w:tc>
      </w:tr>
      <w:tr>
        <w:trPr>
          <w:trHeight w:val="271"/>
        </w:trPr>
        <w:tc>
          <w:tcPr>
            <w:tcW w:w="66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Attorney-In-Fact*</w:t>
            </w:r>
          </w:p>
        </w:tc>
      </w:tr>
    </w:tbl>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February 19, 2025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 Pursuant to authority granted by powers of attorney, copies of which are filed herewith.</w:t>
      </w:r>
    </w:p>
    <w:p>
      <w:pPr>
        <w:sectPr>
          <w:pgSz w:w="12240" w:h="15840" w:orient="portrait"/>
          <w:cols w:equalWidth="0" w:num="1">
            <w:col w:w="10800"/>
          </w:cols>
          <w:pgMar w:left="720" w:top="73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sectPr>
      <w:pgSz w:w="12240" w:h="15840" w:orient="portrait"/>
      <w:cols w:equalWidth="0" w:num="1">
        <w:col w:w="10800"/>
      </w:cols>
      <w:pgMar w:left="720" w:top="734" w:right="72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amp;"/>
      <w:numFmt w:val="bullet"/>
      <w:start w:val="1"/>
    </w:lvl>
  </w:abstractNum>
  <w:abstractNum w:abstractNumId="25">
    <w:nsid w:val="7644A45C"/>
    <w:multiLevelType w:val="hybridMultilevel"/>
    <w:lvl w:ilvl="0">
      <w:lvlJc w:val="left"/>
      <w:lvlText w:val="%1."/>
      <w:numFmt w:val="decimal"/>
      <w:start w:val="7"/>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
      <w:numFmt w:val="bullet"/>
      <w:start w:val="1"/>
    </w:lvl>
    <w:lvl w:ilvl="1">
      <w:lvlJc w:val="left"/>
      <w:lvlText w:val="ο"/>
      <w:numFmt w:val="bullet"/>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decimal"/>
      <w:start w:val="2"/>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4"/>
    </w:lvl>
  </w:abstractNum>
  <w:abstractNum w:abstractNumId="45">
    <w:nsid w:val="235BA861"/>
    <w:multiLevelType w:val="hybridMultilevel"/>
    <w:lvl w:ilvl="0">
      <w:lvlJc w:val="left"/>
      <w:lvlText w:val="(%1)"/>
      <w:numFmt w:val="decimal"/>
      <w:start w:val="5"/>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decimal"/>
      <w:start w:val="6"/>
    </w:lvl>
  </w:abstractNum>
  <w:abstractNum w:abstractNumId="48">
    <w:nsid w:val="15B5AF5C"/>
    <w:multiLevelType w:val="hybridMultilevel"/>
    <w:lvl w:ilvl="0">
      <w:lvlJc w:val="left"/>
      <w:lvlText w:val="(%1)"/>
      <w:numFmt w:val="decimal"/>
      <w:start w:val="7"/>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decimal"/>
      <w:start w:val="8"/>
    </w:lvl>
  </w:abstractNum>
  <w:abstractNum w:abstractNumId="51">
    <w:nsid w:val="10233C99"/>
    <w:multiLevelType w:val="hybridMultilevel"/>
    <w:lvl w:ilvl="0">
      <w:lvlJc w:val="left"/>
      <w:lvlText w:val="(%1)"/>
      <w:numFmt w:val="decimal"/>
      <w:start w:val="9"/>
    </w:lvl>
  </w:abstractNum>
  <w:abstractNum w:abstractNumId="52">
    <w:nsid w:val="3F6AB60F"/>
    <w:multiLevelType w:val="hybridMultilevel"/>
    <w:lvl w:ilvl="0">
      <w:lvlJc w:val="left"/>
      <w:lvlText w:val="(%1)"/>
      <w:numFmt w:val="decimal"/>
      <w:start w:val="10"/>
    </w:lvl>
  </w:abstractNum>
  <w:abstractNum w:abstractNumId="53">
    <w:nsid w:val="61574095"/>
    <w:multiLevelType w:val="hybridMultilevel"/>
    <w:lvl w:ilvl="0">
      <w:lvlJc w:val="left"/>
      <w:lvlText w:val="(%1)"/>
      <w:numFmt w:val="decimal"/>
      <w:start w:val="11"/>
    </w:lvl>
  </w:abstractNum>
  <w:abstractNum w:abstractNumId="54">
    <w:nsid w:val="7E0C57B1"/>
    <w:multiLevelType w:val="hybridMultilevel"/>
    <w:lvl w:ilvl="0">
      <w:lvlJc w:val="left"/>
      <w:lvlText w:val="(%1)"/>
      <w:numFmt w:val="decimal"/>
      <w:start w:val="12"/>
    </w:lvl>
  </w:abstractNum>
  <w:abstractNum w:abstractNumId="55">
    <w:nsid w:val="77AE35EB"/>
    <w:multiLevelType w:val="hybridMultilevel"/>
    <w:lvl w:ilvl="0">
      <w:lvlJc w:val="left"/>
      <w:lvlText w:val="(%1)"/>
      <w:numFmt w:val="decimal"/>
      <w:start w:val="13"/>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14"/>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15"/>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Letter"/>
      <w:start w:val="3"/>
    </w:lvl>
  </w:abstractNum>
  <w:abstractNum w:abstractNumId="67">
    <w:nsid w:val="6590700B"/>
    <w:multiLevelType w:val="hybridMultilevel"/>
    <w:lvl w:ilvl="0">
      <w:lvlJc w:val="left"/>
      <w:lvlText w:val="%1"/>
      <w:numFmt w:val="decimal"/>
      <w:start w:val="97"/>
    </w:lvl>
  </w:abstractNum>
  <w:abstractNum w:abstractNumId="68">
    <w:nsid w:val="15014ACB"/>
    <w:multiLevelType w:val="hybridMultilevel"/>
    <w:lvl w:ilvl="0">
      <w:lvlJc w:val="left"/>
      <w:lvlText w:val="%1"/>
      <w:numFmt w:val="decimal"/>
      <w:start w:val="104"/>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2025-03-07T15:46:50Z</dcterms:created>
  <dcterms:modified xsi:type="dcterms:W3CDTF">2025-03-07T15:46:50Z</dcterms:modified>
</cp:coreProperties>
</file>