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April 21, 2017</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MANPOWERGROUP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8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Wisconsin</w:t>
            </w:r>
          </w:p>
        </w:tc>
        <w:tc>
          <w:tcPr>
            <w:tcW w:w="2960" w:type="dxa"/>
            <w:vAlign w:val="bottom"/>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660" w:type="dxa"/>
            <w:vAlign w:val="bottom"/>
          </w:tcPr>
          <w:p>
            <w:pPr>
              <w:jc w:val="right"/>
              <w:ind w:right="1360"/>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w:t>
            </w:r>
          </w:p>
        </w:tc>
        <w:tc>
          <w:tcPr>
            <w:tcW w:w="296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748"/>
        </w:trPr>
        <w:tc>
          <w:tcPr>
            <w:tcW w:w="4820" w:type="dxa"/>
            <w:vAlign w:val="bottom"/>
          </w:tcPr>
          <w:p>
            <w:pPr>
              <w:jc w:val="center"/>
              <w:ind w:left="1160"/>
              <w:spacing w:after="0"/>
              <w:rPr>
                <w:sz w:val="20"/>
                <w:szCs w:val="20"/>
                <w:color w:val="auto"/>
              </w:rPr>
            </w:pPr>
            <w:r>
              <w:rPr>
                <w:rFonts w:ascii="Times New Roman" w:cs="Times New Roman" w:eastAsia="Times New Roman" w:hAnsi="Times New Roman"/>
                <w:sz w:val="16"/>
                <w:szCs w:val="16"/>
                <w:b w:val="1"/>
                <w:bCs w:val="1"/>
                <w:color w:val="auto"/>
                <w:w w:val="99"/>
              </w:rPr>
              <w:t>100 Manpower Place</w:t>
            </w:r>
          </w:p>
        </w:tc>
        <w:tc>
          <w:tcPr>
            <w:tcW w:w="29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41"/>
        </w:trPr>
        <w:tc>
          <w:tcPr>
            <w:tcW w:w="4820" w:type="dxa"/>
            <w:vAlign w:val="bottom"/>
          </w:tcPr>
          <w:p>
            <w:pPr>
              <w:jc w:val="center"/>
              <w:ind w:left="1160"/>
              <w:spacing w:after="0"/>
              <w:rPr>
                <w:sz w:val="20"/>
                <w:szCs w:val="20"/>
                <w:color w:val="auto"/>
              </w:rPr>
            </w:pPr>
            <w:r>
              <w:rPr>
                <w:rFonts w:ascii="Times New Roman" w:cs="Times New Roman" w:eastAsia="Times New Roman" w:hAnsi="Times New Roman"/>
                <w:sz w:val="16"/>
                <w:szCs w:val="16"/>
                <w:b w:val="1"/>
                <w:bCs w:val="1"/>
                <w:color w:val="auto"/>
              </w:rPr>
              <w:t>Milwaukee, Wisconsin</w:t>
            </w:r>
          </w:p>
        </w:tc>
        <w:tc>
          <w:tcPr>
            <w:tcW w:w="2960" w:type="dxa"/>
            <w:vAlign w:val="bottom"/>
          </w:tcPr>
          <w:p>
            <w:pPr>
              <w:spacing w:after="0"/>
              <w:rPr>
                <w:sz w:val="20"/>
                <w:szCs w:val="20"/>
                <w:color w:val="auto"/>
              </w:rPr>
            </w:pPr>
          </w:p>
        </w:tc>
        <w:tc>
          <w:tcPr>
            <w:tcW w:w="3660" w:type="dxa"/>
            <w:vAlign w:val="bottom"/>
          </w:tcPr>
          <w:p>
            <w:pPr>
              <w:jc w:val="right"/>
              <w:ind w:right="2420"/>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left="116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60" w:type="dxa"/>
            <w:vAlign w:val="bottom"/>
          </w:tcPr>
          <w:p>
            <w:pPr>
              <w:spacing w:after="0"/>
              <w:rPr>
                <w:sz w:val="18"/>
                <w:szCs w:val="18"/>
                <w:color w:val="auto"/>
              </w:rPr>
            </w:pPr>
          </w:p>
        </w:tc>
        <w:tc>
          <w:tcPr>
            <w:tcW w:w="3660" w:type="dxa"/>
            <w:vAlign w:val="bottom"/>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4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Securities Act (17 CFR 240.14a-12)</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62" w:lineRule="exact"/>
        <w:rPr>
          <w:sz w:val="24"/>
          <w:szCs w:val="24"/>
          <w:color w:val="auto"/>
        </w:rPr>
      </w:pPr>
    </w:p>
    <w:p>
      <w:pPr>
        <w:ind w:right="200"/>
        <w:spacing w:after="0" w:line="28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ind w:right="28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40"/>
          </w:cols>
          <w:pgMar w:left="240" w:top="1002" w:right="2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02"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55"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6"/>
          <w:szCs w:val="16"/>
          <w:color w:val="auto"/>
        </w:rPr>
        <w:t>On April 21, 2017, we issued a press release announcing our results of operations for the three months ended March 31, 2017. A copy of the press release is attached hereto as Exhibit 99.1 and is incorporated herein by reference.</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26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Exhibits</w:t>
            </w:r>
            <w:r>
              <w:rPr>
                <w:rFonts w:ascii="Times New Roman" w:cs="Times New Roman" w:eastAsia="Times New Roman" w:hAnsi="Times New Roman"/>
                <w:sz w:val="16"/>
                <w:szCs w:val="16"/>
                <w:color w:val="auto"/>
              </w:rPr>
              <w:t>.</w:t>
            </w:r>
          </w:p>
        </w:tc>
      </w:tr>
      <w:tr>
        <w:trPr>
          <w:trHeight w:val="531"/>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260" w:type="dxa"/>
            <w:vAlign w:val="bottom"/>
          </w:tcPr>
          <w:p>
            <w:pPr>
              <w:ind w:left="11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
        </w:trPr>
        <w:tc>
          <w:tcPr>
            <w:tcW w:w="1180" w:type="dxa"/>
            <w:vAlign w:val="bottom"/>
            <w:tcBorders>
              <w:bottom w:val="single" w:sz="8" w:color="auto"/>
            </w:tcBorders>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102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Press Release dated April 21, 2017</w:t>
            </w:r>
          </w:p>
        </w:tc>
      </w:tr>
      <w:tr>
        <w:trPr>
          <w:trHeight w:val="241"/>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99.2</w:t>
            </w:r>
          </w:p>
        </w:tc>
        <w:tc>
          <w:tcPr>
            <w:tcW w:w="102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Presentation materials for April 21, 2017 conference call</w:t>
            </w:r>
          </w:p>
        </w:tc>
      </w:tr>
    </w:tbl>
    <w:p>
      <w:pPr>
        <w:sectPr>
          <w:pgSz w:w="11900" w:h="16838" w:orient="portrait"/>
          <w:cols w:equalWidth="0" w:num="1">
            <w:col w:w="11440"/>
          </w:cols>
          <w:pgMar w:left="240" w:top="724" w:right="21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4" w:lineRule="exact"/>
        <w:rPr>
          <w:sz w:val="20"/>
          <w:szCs w:val="20"/>
          <w:color w:val="auto"/>
        </w:rPr>
      </w:pPr>
    </w:p>
    <w:p>
      <w:pPr>
        <w:ind w:firstLine="579"/>
        <w:spacing w:after="0" w:line="284"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MANPOWERGROUP INC.</w:t>
      </w:r>
    </w:p>
    <w:p>
      <w:pPr>
        <w:spacing w:after="0" w:line="299" w:lineRule="exact"/>
        <w:rPr>
          <w:sz w:val="20"/>
          <w:szCs w:val="20"/>
          <w:color w:val="auto"/>
        </w:rPr>
      </w:pPr>
    </w:p>
    <w:p>
      <w:pPr>
        <w:ind w:left="20"/>
        <w:spacing w:after="0"/>
        <w:tabs>
          <w:tab w:leader="none" w:pos="3700" w:val="left"/>
          <w:tab w:leader="none" w:pos="4360" w:val="left"/>
        </w:tabs>
        <w:rPr>
          <w:sz w:val="20"/>
          <w:szCs w:val="20"/>
          <w:color w:val="auto"/>
        </w:rPr>
      </w:pPr>
      <w:r>
        <w:rPr>
          <w:rFonts w:ascii="Times New Roman" w:cs="Times New Roman" w:eastAsia="Times New Roman" w:hAnsi="Times New Roman"/>
          <w:sz w:val="16"/>
          <w:szCs w:val="16"/>
          <w:color w:val="auto"/>
        </w:rPr>
        <w:t>Dated: April 21, 2017</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31750</wp:posOffset>
            </wp:positionV>
            <wp:extent cx="19532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3260" cy="7620"/>
                    </a:xfrm>
                    <a:prstGeom prst="rect">
                      <a:avLst/>
                    </a:prstGeom>
                    <a:noFill/>
                  </pic:spPr>
                </pic:pic>
              </a:graphicData>
            </a:graphic>
          </wp:anchor>
        </w:drawing>
      </w:r>
    </w:p>
    <w:p>
      <w:pPr>
        <w:spacing w:after="0" w:line="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John T. McGinnis</w:t>
      </w:r>
    </w:p>
    <w:p>
      <w:pPr>
        <w:spacing w:after="0" w:line="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Executive Vice President and</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300"/>
          </w:cols>
          <w:pgMar w:left="240" w:top="917"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1"/>
        </w:trPr>
        <w:tc>
          <w:tcPr>
            <w:tcW w:w="1560" w:type="dxa"/>
            <w:vAlign w:val="bottom"/>
          </w:tcPr>
          <w:p>
            <w:pPr>
              <w:spacing w:after="0"/>
              <w:rPr>
                <w:sz w:val="18"/>
                <w:szCs w:val="18"/>
                <w:color w:val="auto"/>
              </w:rPr>
            </w:pPr>
          </w:p>
        </w:tc>
        <w:tc>
          <w:tcPr>
            <w:tcW w:w="9880" w:type="dxa"/>
            <w:vAlign w:val="bottom"/>
          </w:tcPr>
          <w:p>
            <w:pPr>
              <w:ind w:left="354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531"/>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88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
        </w:trPr>
        <w:tc>
          <w:tcPr>
            <w:tcW w:w="1560" w:type="dxa"/>
            <w:vAlign w:val="bottom"/>
            <w:tcBorders>
              <w:bottom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209"/>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98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Press Release dated April 21, 2017</w:t>
            </w:r>
          </w:p>
        </w:tc>
      </w:tr>
      <w:tr>
        <w:trPr>
          <w:trHeight w:val="241"/>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99.2</w:t>
            </w:r>
          </w:p>
        </w:tc>
        <w:tc>
          <w:tcPr>
            <w:tcW w:w="98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Presentation materials for April 21, 2017 conference call</w:t>
            </w:r>
          </w:p>
        </w:tc>
      </w:tr>
    </w:tbl>
    <w:p>
      <w:pPr>
        <w:sectPr>
          <w:pgSz w:w="11900" w:h="16838" w:orient="portrait"/>
          <w:cols w:equalWidth="0" w:num="1">
            <w:col w:w="11440"/>
          </w:cols>
          <w:pgMar w:left="240" w:top="917" w:right="2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080135" cy="589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135" cy="58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0"/>
        <w:spacing w:after="0"/>
        <w:tabs>
          <w:tab w:leader="none" w:pos="328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5"/>
          <w:szCs w:val="15"/>
          <w:b w:val="1"/>
          <w:bCs w:val="1"/>
          <w:color w:val="auto"/>
        </w:rPr>
        <w:t>Contact:</w:t>
      </w:r>
    </w:p>
    <w:p>
      <w:pPr>
        <w:spacing w:after="0" w:line="83"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Jack McGinnis</w:t>
      </w:r>
    </w:p>
    <w:p>
      <w:pPr>
        <w:spacing w:after="0" w:line="2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+1.414.906.7977</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jack.mcginnis@manpowergroup.com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ManpowerGroup Reports 1</w:t>
      </w:r>
      <w:r>
        <w:rPr>
          <w:rFonts w:ascii="Arial" w:cs="Arial" w:eastAsia="Arial" w:hAnsi="Arial"/>
          <w:sz w:val="25"/>
          <w:szCs w:val="25"/>
          <w:b w:val="1"/>
          <w:bCs w:val="1"/>
          <w:color w:val="auto"/>
          <w:vertAlign w:val="superscript"/>
        </w:rPr>
        <w:t>st</w:t>
      </w:r>
      <w:r>
        <w:rPr>
          <w:rFonts w:ascii="Arial" w:cs="Arial" w:eastAsia="Arial" w:hAnsi="Arial"/>
          <w:sz w:val="19"/>
          <w:szCs w:val="19"/>
          <w:b w:val="1"/>
          <w:bCs w:val="1"/>
          <w:color w:val="auto"/>
        </w:rPr>
        <w:t xml:space="preserve"> Quarter 2017 Results</w:t>
      </w:r>
    </w:p>
    <w:p>
      <w:pPr>
        <w:spacing w:after="0" w:line="175" w:lineRule="exact"/>
        <w:rPr>
          <w:sz w:val="20"/>
          <w:szCs w:val="20"/>
          <w:color w:val="auto"/>
        </w:rPr>
      </w:pPr>
    </w:p>
    <w:p>
      <w:pPr>
        <w:jc w:val="both"/>
        <w:ind w:right="20"/>
        <w:spacing w:after="0" w:line="350" w:lineRule="auto"/>
        <w:rPr>
          <w:sz w:val="20"/>
          <w:szCs w:val="20"/>
          <w:color w:val="auto"/>
        </w:rPr>
      </w:pPr>
      <w:r>
        <w:rPr>
          <w:rFonts w:ascii="Arial" w:cs="Arial" w:eastAsia="Arial" w:hAnsi="Arial"/>
          <w:sz w:val="18"/>
          <w:szCs w:val="18"/>
          <w:b w:val="1"/>
          <w:bCs w:val="1"/>
          <w:color w:val="auto"/>
        </w:rPr>
        <w:t xml:space="preserve">MILWAUKEE, April 21, 2017 -- </w:t>
      </w:r>
      <w:r>
        <w:rPr>
          <w:rFonts w:ascii="Arial" w:cs="Arial" w:eastAsia="Arial" w:hAnsi="Arial"/>
          <w:sz w:val="18"/>
          <w:szCs w:val="18"/>
          <w:color w:val="auto"/>
        </w:rPr>
        <w:t>ManpowerGroup (NYSE: MAN) today reported that net earnings for the three months ended March 31, 2017 were</w:t>
      </w:r>
      <w:r>
        <w:rPr>
          <w:rFonts w:ascii="Arial" w:cs="Arial" w:eastAsia="Arial" w:hAnsi="Arial"/>
          <w:sz w:val="18"/>
          <w:szCs w:val="18"/>
          <w:b w:val="1"/>
          <w:bCs w:val="1"/>
          <w:color w:val="auto"/>
        </w:rPr>
        <w:t xml:space="preserve"> </w:t>
      </w:r>
      <w:r>
        <w:rPr>
          <w:rFonts w:ascii="Arial" w:cs="Arial" w:eastAsia="Arial" w:hAnsi="Arial"/>
          <w:sz w:val="18"/>
          <w:szCs w:val="18"/>
          <w:color w:val="auto"/>
        </w:rPr>
        <w:t>$74.4 million, or $1.09 per diluted share, compared to net earnings of $71.7 million, or 98 cents per diluted share, a year earlier. Revenues for the first quarter were $4.8 billion, an increase of 4% from the prior year period.</w:t>
      </w:r>
    </w:p>
    <w:p>
      <w:pPr>
        <w:spacing w:after="0" w:line="1" w:lineRule="exact"/>
        <w:rPr>
          <w:sz w:val="20"/>
          <w:szCs w:val="20"/>
          <w:color w:val="auto"/>
        </w:rPr>
      </w:pPr>
    </w:p>
    <w:p>
      <w:pPr>
        <w:ind w:right="160" w:firstLine="579"/>
        <w:spacing w:after="0" w:line="349" w:lineRule="auto"/>
        <w:rPr>
          <w:sz w:val="20"/>
          <w:szCs w:val="20"/>
          <w:color w:val="auto"/>
        </w:rPr>
      </w:pPr>
      <w:r>
        <w:rPr>
          <w:rFonts w:ascii="Arial" w:cs="Arial" w:eastAsia="Arial" w:hAnsi="Arial"/>
          <w:sz w:val="18"/>
          <w:szCs w:val="18"/>
          <w:color w:val="auto"/>
        </w:rPr>
        <w:t>The current year quarter included restructuring charges which reduced earnings per share by 30 cents and a lower income tax rate which increased earnings per share by 20 cents primarily due to discrete items.</w:t>
      </w:r>
    </w:p>
    <w:p>
      <w:pPr>
        <w:spacing w:after="0" w:line="1" w:lineRule="exact"/>
        <w:rPr>
          <w:sz w:val="20"/>
          <w:szCs w:val="20"/>
          <w:color w:val="auto"/>
        </w:rPr>
      </w:pPr>
    </w:p>
    <w:p>
      <w:pPr>
        <w:ind w:right="320" w:firstLine="555"/>
        <w:spacing w:after="0" w:line="349" w:lineRule="auto"/>
        <w:rPr>
          <w:sz w:val="20"/>
          <w:szCs w:val="20"/>
          <w:color w:val="auto"/>
        </w:rPr>
      </w:pPr>
      <w:r>
        <w:rPr>
          <w:rFonts w:ascii="Arial" w:cs="Arial" w:eastAsia="Arial" w:hAnsi="Arial"/>
          <w:sz w:val="18"/>
          <w:szCs w:val="18"/>
          <w:color w:val="auto"/>
        </w:rPr>
        <w:t>Financial results in the quarter were also impacted by the stronger US dollar relative to several foreign currencies compared to the prior year period. On a constant currency basis, revenues increased 7% and earnings per diluted share increased 14%. Earnings per share in the quarter were negatively impacted 3 cents by changes in foreign currencies compared to the prior year, or 5 cents excluding the restructuring charges.</w:t>
      </w:r>
    </w:p>
    <w:p>
      <w:pPr>
        <w:spacing w:after="0" w:line="2" w:lineRule="exact"/>
        <w:rPr>
          <w:sz w:val="20"/>
          <w:szCs w:val="20"/>
          <w:color w:val="auto"/>
        </w:rPr>
      </w:pPr>
    </w:p>
    <w:p>
      <w:pPr>
        <w:ind w:right="240" w:firstLine="579"/>
        <w:spacing w:after="0" w:line="349" w:lineRule="auto"/>
        <w:rPr>
          <w:sz w:val="20"/>
          <w:szCs w:val="20"/>
          <w:color w:val="auto"/>
        </w:rPr>
      </w:pPr>
      <w:r>
        <w:rPr>
          <w:rFonts w:ascii="Arial" w:cs="Arial" w:eastAsia="Arial" w:hAnsi="Arial"/>
          <w:sz w:val="18"/>
          <w:szCs w:val="18"/>
          <w:color w:val="auto"/>
        </w:rPr>
        <w:t>Jonas Prising, ManpowerGroup Chairman &amp; CEO, said, “The strong first quarter results are very encouraging, and build on the progress we made last year. We are seeing further broad-based improvement in Europe, setting the stage for what we believe could be a slow but sustained labor market recovery in that region.</w:t>
      </w:r>
    </w:p>
    <w:p>
      <w:pPr>
        <w:spacing w:after="0" w:line="2" w:lineRule="exact"/>
        <w:rPr>
          <w:sz w:val="20"/>
          <w:szCs w:val="20"/>
          <w:color w:val="auto"/>
        </w:rPr>
      </w:pPr>
    </w:p>
    <w:p>
      <w:pPr>
        <w:ind w:right="380" w:firstLine="555"/>
        <w:spacing w:after="0" w:line="349" w:lineRule="auto"/>
        <w:rPr>
          <w:sz w:val="20"/>
          <w:szCs w:val="20"/>
          <w:color w:val="auto"/>
        </w:rPr>
      </w:pPr>
      <w:r>
        <w:rPr>
          <w:rFonts w:ascii="Arial" w:cs="Arial" w:eastAsia="Arial" w:hAnsi="Arial"/>
          <w:sz w:val="18"/>
          <w:szCs w:val="18"/>
          <w:color w:val="auto"/>
        </w:rPr>
        <w:t>“Our workforce services and solutions are resonating with our clients and candidates, which gives us the confidence that we are on the right track and well placed to seize further opportunities during 2017.</w:t>
      </w:r>
    </w:p>
    <w:p>
      <w:pPr>
        <w:spacing w:after="0" w:line="1" w:lineRule="exact"/>
        <w:rPr>
          <w:sz w:val="20"/>
          <w:szCs w:val="20"/>
          <w:color w:val="auto"/>
        </w:rPr>
      </w:pPr>
    </w:p>
    <w:p>
      <w:pPr>
        <w:ind w:right="420" w:firstLine="555"/>
        <w:spacing w:after="0" w:line="385" w:lineRule="auto"/>
        <w:rPr>
          <w:sz w:val="20"/>
          <w:szCs w:val="20"/>
          <w:color w:val="auto"/>
        </w:rPr>
      </w:pPr>
      <w:r>
        <w:rPr>
          <w:rFonts w:ascii="Arial" w:cs="Arial" w:eastAsia="Arial" w:hAnsi="Arial"/>
          <w:sz w:val="18"/>
          <w:szCs w:val="18"/>
          <w:color w:val="auto"/>
        </w:rPr>
        <w:t>“We anticipate second quarter earnings per share will be between $1.67 and $1.75, which includes an estimated unfavorable currency impact of 8 cents and excludes restructuring charges.”</w:t>
      </w:r>
    </w:p>
    <w:p>
      <w:pPr>
        <w:sectPr>
          <w:pgSz w:w="11900" w:h="16838" w:orient="portrait"/>
          <w:cols w:equalWidth="0" w:num="1">
            <w:col w:w="11440"/>
          </w:cols>
          <w:pgMar w:left="240" w:top="531" w:right="219" w:bottom="1440" w:gutter="0" w:footer="0" w:header="0"/>
        </w:sectPr>
      </w:pPr>
    </w:p>
    <w:bookmarkStart w:id="5" w:name="page6"/>
    <w:bookmarkEnd w:id="5"/>
    <w:p>
      <w:pPr>
        <w:ind w:right="180" w:firstLine="579"/>
        <w:spacing w:after="0" w:line="349" w:lineRule="auto"/>
        <w:rPr>
          <w:sz w:val="20"/>
          <w:szCs w:val="20"/>
          <w:color w:val="auto"/>
        </w:rPr>
      </w:pPr>
      <w:r>
        <w:rPr>
          <w:rFonts w:ascii="Arial" w:cs="Arial" w:eastAsia="Arial" w:hAnsi="Arial"/>
          <w:sz w:val="18"/>
          <w:szCs w:val="18"/>
          <w:color w:val="auto"/>
        </w:rPr>
        <w:t xml:space="preserve">In conjunction with its first quarter earnings release, ManpowerGroup will broadcast its conference call live over the Internet on April 21, 2017 at 7:30 a.m. CDT (8:30 a.m. EDT). Interested parties are invited to listen to the webcast and view the presentation by logging on to </w:t>
      </w:r>
      <w:r>
        <w:rPr>
          <w:rFonts w:ascii="Arial" w:cs="Arial" w:eastAsia="Arial" w:hAnsi="Arial"/>
          <w:sz w:val="18"/>
          <w:szCs w:val="18"/>
          <w:u w:val="single" w:color="auto"/>
          <w:color w:val="0000FF"/>
        </w:rPr>
        <w:t>http://www.manpowergroup.com</w:t>
      </w:r>
      <w:r>
        <w:rPr>
          <w:rFonts w:ascii="Arial" w:cs="Arial" w:eastAsia="Arial" w:hAnsi="Arial"/>
          <w:sz w:val="18"/>
          <w:szCs w:val="18"/>
          <w:color w:val="0000FF"/>
        </w:rPr>
        <w:t xml:space="preserve"> </w:t>
      </w:r>
      <w:r>
        <w:rPr>
          <w:rFonts w:ascii="Arial" w:cs="Arial" w:eastAsia="Arial" w:hAnsi="Arial"/>
          <w:sz w:val="18"/>
          <w:szCs w:val="18"/>
          <w:color w:val="000000"/>
        </w:rPr>
        <w:t>in the section titled “Investor Relations.”</w:t>
      </w:r>
    </w:p>
    <w:p>
      <w:pPr>
        <w:spacing w:after="0" w:line="2" w:lineRule="exact"/>
        <w:rPr>
          <w:sz w:val="20"/>
          <w:szCs w:val="20"/>
          <w:color w:val="auto"/>
        </w:rPr>
      </w:pPr>
    </w:p>
    <w:p>
      <w:pPr>
        <w:ind w:right="80" w:firstLine="579"/>
        <w:spacing w:after="0" w:line="385" w:lineRule="auto"/>
        <w:rPr>
          <w:sz w:val="20"/>
          <w:szCs w:val="20"/>
          <w:color w:val="auto"/>
        </w:rPr>
      </w:pPr>
      <w:r>
        <w:rPr>
          <w:rFonts w:ascii="Arial" w:cs="Arial" w:eastAsia="Arial" w:hAnsi="Arial"/>
          <w:sz w:val="18"/>
          <w:szCs w:val="18"/>
          <w:color w:val="auto"/>
        </w:rPr>
        <w:t xml:space="preserve">Supplemental financial information referenced in the conference call can be found at </w:t>
      </w:r>
      <w:r>
        <w:rPr>
          <w:rFonts w:ascii="Arial" w:cs="Arial" w:eastAsia="Arial" w:hAnsi="Arial"/>
          <w:sz w:val="18"/>
          <w:szCs w:val="18"/>
          <w:u w:val="single" w:color="auto"/>
          <w:color w:val="0000FF"/>
        </w:rPr>
        <w:t>http://www.manpowergroup.com</w:t>
      </w:r>
      <w:r>
        <w:rPr>
          <w:rFonts w:ascii="Arial" w:cs="Arial" w:eastAsia="Arial" w:hAnsi="Arial"/>
          <w:sz w:val="18"/>
          <w:szCs w:val="18"/>
          <w:color w:val="auto"/>
        </w:rPr>
        <w:t xml:space="preserve"> in the section titled “Investor Relations.”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 xml:space="preserve">ManpowerGroup® (NYSE: MAN) is the world’s workforce expert, creating innovative workforce solutions for nearly 70 years. We connect more than 600,000 people to meaningful work across a wide range of skills and industries every day. Through our ManpowerGroup family of brands - Manpower®, Experis®, Right Management® and ManpowerGroup® Solutions - we help more than 400,000 clients in 80 countries and territories address their critical talent needs, providing comprehensive solutions to resource, manage and develop talent. In 2017, ManpowerGroup was named one of the World’s Most Ethical Companies for the seventh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16"/>
          <w:szCs w:val="16"/>
          <w:u w:val="single" w:color="auto"/>
          <w:color w:val="0000FF"/>
        </w:rPr>
        <w:t>www.manpowergroup.com</w:t>
      </w: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4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2016, which information is incorporated herein by reference.</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320"/>
          </w:cols>
          <w:pgMar w:left="240" w:top="573"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3"/>
          <w:szCs w:val="23"/>
          <w:color w:val="auto"/>
        </w:rPr>
        <w:t>ManpowerGroup</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9"/>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920" w:type="dxa"/>
            <w:vAlign w:val="bottom"/>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6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7"/>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gridSpan w:val="3"/>
          </w:tcPr>
          <w:p>
            <w:pPr>
              <w:jc w:val="right"/>
              <w:ind w:right="1400"/>
              <w:spacing w:after="0"/>
              <w:rPr>
                <w:sz w:val="20"/>
                <w:szCs w:val="20"/>
                <w:color w:val="auto"/>
              </w:rPr>
            </w:pPr>
            <w:r>
              <w:rPr>
                <w:rFonts w:ascii="Times New Roman" w:cs="Times New Roman" w:eastAsia="Times New Roman" w:hAnsi="Times New Roman"/>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4,757.2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4,587.7</w:t>
            </w:r>
          </w:p>
        </w:tc>
        <w:tc>
          <w:tcPr>
            <w:tcW w:w="2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3,969.4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3,813.9</w:t>
            </w:r>
          </w:p>
        </w:tc>
        <w:tc>
          <w:tcPr>
            <w:tcW w:w="204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4.1 %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787.8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773.8</w:t>
            </w:r>
          </w:p>
        </w:tc>
        <w:tc>
          <w:tcPr>
            <w:tcW w:w="2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660.8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642.1</w:t>
            </w:r>
          </w:p>
        </w:tc>
        <w:tc>
          <w:tcPr>
            <w:tcW w:w="204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2.9 %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131.7</w:t>
            </w:r>
          </w:p>
        </w:tc>
        <w:tc>
          <w:tcPr>
            <w:tcW w:w="2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12.7</w:t>
            </w:r>
          </w:p>
        </w:tc>
        <w:tc>
          <w:tcPr>
            <w:tcW w:w="204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17.0 %</w:t>
            </w: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119.0</w:t>
            </w:r>
          </w:p>
        </w:tc>
        <w:tc>
          <w:tcPr>
            <w:tcW w:w="2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-5.8 %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47.3</w:t>
            </w:r>
          </w:p>
        </w:tc>
        <w:tc>
          <w:tcPr>
            <w:tcW w:w="204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-20.3 %</w:t>
            </w: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71.7</w:t>
            </w:r>
          </w:p>
        </w:tc>
        <w:tc>
          <w:tcPr>
            <w:tcW w:w="2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0.98</w:t>
            </w:r>
          </w:p>
        </w:tc>
        <w:tc>
          <w:tcPr>
            <w:tcW w:w="204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12.2 %</w:t>
            </w:r>
          </w:p>
        </w:tc>
        <w:tc>
          <w:tcPr>
            <w:tcW w:w="106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0.98</w:t>
            </w:r>
          </w:p>
        </w:tc>
        <w:tc>
          <w:tcPr>
            <w:tcW w:w="2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11.2 %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67.7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72.8</w:t>
            </w:r>
          </w:p>
        </w:tc>
        <w:tc>
          <w:tcPr>
            <w:tcW w:w="204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-7.0 %</w:t>
            </w:r>
          </w:p>
        </w:tc>
        <w:tc>
          <w:tcPr>
            <w:tcW w:w="106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73.5</w:t>
            </w:r>
          </w:p>
        </w:tc>
        <w:tc>
          <w:tcPr>
            <w:tcW w:w="2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-6.9 %</w:t>
            </w:r>
          </w:p>
        </w:tc>
        <w:tc>
          <w:tcPr>
            <w:tcW w:w="1060" w:type="dxa"/>
            <w:vAlign w:val="bottom"/>
            <w:tcBorders>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61" w:lineRule="exact"/>
        <w:rPr>
          <w:sz w:val="20"/>
          <w:szCs w:val="20"/>
          <w:color w:val="auto"/>
        </w:rPr>
      </w:pPr>
    </w:p>
    <w:p>
      <w:pPr>
        <w:ind w:left="20" w:right="120" w:firstLine="2"/>
        <w:spacing w:after="0" w:line="268" w:lineRule="auto"/>
        <w:tabs>
          <w:tab w:leader="none" w:pos="238"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$5.3 million and $5.2 million for the three months ended March 31, 2017 and 2016, respectively. These fees are primarily based on revenues generated by the franchise offices, which were $239.1 million and $227.8 million for the three months ended March 31, 2017 and 2016, respectively.</w:t>
      </w:r>
    </w:p>
    <w:p>
      <w:pPr>
        <w:sectPr>
          <w:pgSz w:w="11900" w:h="16838" w:orient="portrait"/>
          <w:cols w:equalWidth="0" w:num="1">
            <w:col w:w="11260"/>
          </w:cols>
          <w:pgMar w:left="420" w:top="673" w:right="2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3"/>
          <w:szCs w:val="23"/>
          <w:color w:val="auto"/>
        </w:rPr>
        <w:t>ManpowerGroup</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gridSpan w:val="3"/>
          </w:tcPr>
          <w:p>
            <w:pPr>
              <w:jc w:val="right"/>
              <w:ind w:right="1380"/>
              <w:spacing w:after="0"/>
              <w:rPr>
                <w:sz w:val="20"/>
                <w:szCs w:val="20"/>
                <w:color w:val="auto"/>
              </w:rPr>
            </w:pPr>
            <w:r>
              <w:rPr>
                <w:rFonts w:ascii="Times New Roman" w:cs="Times New Roman" w:eastAsia="Times New Roman" w:hAnsi="Times New Roman"/>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661.5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703.1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-5.9 %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342.8</w:t>
            </w:r>
          </w:p>
        </w:tc>
        <w:tc>
          <w:tcPr>
            <w:tcW w:w="200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6.4 %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1,045.9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07"/>
        </w:trPr>
        <w:tc>
          <w:tcPr>
            <w:tcW w:w="5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1,137.5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1,078.8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5.4 %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r>
      <w:tr>
        <w:trPr>
          <w:trHeight w:val="217"/>
        </w:trPr>
        <w:tc>
          <w:tcPr>
            <w:tcW w:w="5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263.1</w:t>
            </w: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11.9 %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345.8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7.6 %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1,803.9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1,687.7</w:t>
            </w:r>
          </w:p>
        </w:tc>
        <w:tc>
          <w:tcPr>
            <w:tcW w:w="200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6.9 %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1,238.7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1,213.9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r>
      <w:tr>
        <w:trPr>
          <w:trHeight w:val="217"/>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632.4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576.2</w:t>
            </w: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9.7 %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-12.5 %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4,757.2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4,587.7</w:t>
            </w:r>
          </w:p>
        </w:tc>
        <w:tc>
          <w:tcPr>
            <w:tcW w:w="200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3.7 %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6.7 %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16.1 %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11.6</w:t>
            </w:r>
          </w:p>
        </w:tc>
        <w:tc>
          <w:tcPr>
            <w:tcW w:w="200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6.3 %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10.7 %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12.8 %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r>
      <w:tr>
        <w:trPr>
          <w:trHeight w:val="207"/>
        </w:trPr>
        <w:tc>
          <w:tcPr>
            <w:tcW w:w="5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r>
      <w:tr>
        <w:trPr>
          <w:trHeight w:val="217"/>
        </w:trPr>
        <w:tc>
          <w:tcPr>
            <w:tcW w:w="5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16.1</w:t>
            </w: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13.0 %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50.6 %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71.7</w:t>
            </w:r>
          </w:p>
        </w:tc>
        <w:tc>
          <w:tcPr>
            <w:tcW w:w="200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12.9 %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16.9 %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-65.1 %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-64.3 %</w:t>
            </w:r>
          </w:p>
        </w:tc>
      </w:tr>
      <w:tr>
        <w:trPr>
          <w:trHeight w:val="217"/>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19.3</w:t>
            </w: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4.4 %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-7.4 %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167.4</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131.7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1" w:lineRule="exact"/>
        <w:rPr>
          <w:sz w:val="20"/>
          <w:szCs w:val="20"/>
          <w:color w:val="auto"/>
        </w:rPr>
      </w:pPr>
    </w:p>
    <w:p>
      <w:pPr>
        <w:ind w:left="20" w:right="140" w:hanging="9"/>
        <w:spacing w:after="0" w:line="268" w:lineRule="auto"/>
        <w:tabs>
          <w:tab w:leader="none" w:pos="23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$3.5 million and $3.4 million for the three months ended March 31, 2017 and 2016, respectively. These fees are primarily based on revenues generated by the franchise offices, which were $167.7 million and $160.8 million for the three months ended March 31, 2017 and 2016, respectively.</w:t>
      </w:r>
    </w:p>
    <w:p>
      <w:pPr>
        <w:spacing w:after="0" w:line="131" w:lineRule="exact"/>
        <w:rPr>
          <w:rFonts w:ascii="Times New Roman" w:cs="Times New Roman" w:eastAsia="Times New Roman" w:hAnsi="Times New Roman"/>
          <w:sz w:val="16"/>
          <w:szCs w:val="16"/>
          <w:color w:val="auto"/>
        </w:rPr>
      </w:pPr>
    </w:p>
    <w:p>
      <w:pPr>
        <w:ind w:left="240" w:hanging="229"/>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were: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exchange losses</w:t>
            </w:r>
          </w:p>
        </w:tc>
        <w:tc>
          <w:tcPr>
            <w:tcW w:w="8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0.9</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Miscellaneous expenses, net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3"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3"/>
          <w:szCs w:val="23"/>
          <w:color w:val="auto"/>
        </w:rPr>
        <w:t>ManpowerGroup</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340" w:type="dxa"/>
            <w:vAlign w:val="bottom"/>
          </w:tcPr>
          <w:p>
            <w:pPr>
              <w:spacing w:after="0"/>
              <w:rPr>
                <w:sz w:val="18"/>
                <w:szCs w:val="18"/>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 31</w:t>
            </w:r>
          </w:p>
        </w:tc>
      </w:tr>
      <w:tr>
        <w:trPr>
          <w:trHeight w:val="241"/>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8"/>
        </w:trPr>
        <w:tc>
          <w:tcPr>
            <w:tcW w:w="8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(Unaudited)</w:t>
            </w: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598.5</w:t>
            </w:r>
          </w:p>
        </w:tc>
      </w:tr>
      <w:tr>
        <w:trPr>
          <w:trHeight w:val="217"/>
        </w:trPr>
        <w:tc>
          <w:tcPr>
            <w:tcW w:w="8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4,430.6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4,413.1</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121.3</w:t>
            </w:r>
          </w:p>
        </w:tc>
      </w:tr>
      <w:tr>
        <w:trPr>
          <w:trHeight w:val="217"/>
        </w:trPr>
        <w:tc>
          <w:tcPr>
            <w:tcW w:w="8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5,300.8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5,132.9</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1,256.3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1,239.9</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287.3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294.4</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687.3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759.7</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2,230.9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2,294.0</w:t>
            </w:r>
          </w:p>
        </w:tc>
      </w:tr>
      <w:tr>
        <w:trPr>
          <w:trHeight w:val="21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46290" cy="153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153035"/>
                    </a:xfrm>
                    <a:prstGeom prst="rect">
                      <a:avLst/>
                    </a:prstGeom>
                    <a:noFill/>
                  </pic:spPr>
                </pic:pic>
              </a:graphicData>
            </a:graphic>
          </wp:anchor>
        </w:drawing>
      </w:r>
    </w:p>
    <w:p>
      <w:pPr>
        <w:sectPr>
          <w:pgSz w:w="11900" w:h="16838" w:orient="portrait"/>
          <w:cols w:equalWidth="0" w:num="1">
            <w:col w:w="11240"/>
          </w:cols>
          <w:pgMar w:left="340" w:top="673" w:right="319" w:bottom="1440" w:gutter="0" w:footer="0" w:header="0"/>
        </w:sectPr>
      </w:pP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Land, buildings, leasehold improvements and equipment</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46290" cy="168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Net property and equipment</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46290" cy="168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8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572.0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567.0</w:t>
            </w:r>
          </w:p>
        </w:tc>
      </w:tr>
      <w:tr>
        <w:trPr>
          <w:trHeight w:val="241"/>
        </w:trPr>
        <w:tc>
          <w:tcPr>
            <w:tcW w:w="3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419.7</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147.3</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7,678.9</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7,574.2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6389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8935" cy="7620"/>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7940" w:space="720"/>
            <w:col w:w="2580"/>
          </w:cols>
          <w:pgMar w:left="340" w:top="673"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2,025.6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1,914.4</w:t>
            </w:r>
          </w:p>
        </w:tc>
      </w:tr>
      <w:tr>
        <w:trPr>
          <w:trHeight w:val="217"/>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Employee compensation payable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208.1</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Accrued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398.6</w:t>
            </w:r>
          </w:p>
        </w:tc>
      </w:tr>
      <w:tr>
        <w:trPr>
          <w:trHeight w:val="217"/>
        </w:trPr>
        <w:tc>
          <w:tcPr>
            <w:tcW w:w="8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payroll taxes and insurance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567.5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649.2</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Value added taxes payable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448.7</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39.8</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3,647.2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3,658.8</w:t>
            </w:r>
          </w:p>
        </w:tc>
      </w:tr>
      <w:tr>
        <w:trPr>
          <w:trHeight w:val="21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796.0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785.6</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703.6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683.4</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1,499.6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1,469.0</w:t>
            </w:r>
          </w:p>
        </w:tc>
      </w:tr>
      <w:tr>
        <w:trPr>
          <w:trHeight w:val="21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ManpowerGroup shareholders' equity</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3,268.3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3,227.2</w:t>
            </w:r>
          </w:p>
        </w:tc>
      </w:tr>
      <w:tr>
        <w:trPr>
          <w:trHeight w:val="217"/>
        </w:trPr>
        <w:tc>
          <w:tcPr>
            <w:tcW w:w="8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2,365.7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2,291.3</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w:t>
            </w:r>
          </w:p>
        </w:tc>
      </w:tr>
      <w:tr>
        <w:trPr>
          <w:trHeight w:val="245"/>
        </w:trPr>
        <w:tc>
          <w:tcPr>
            <w:tcW w:w="8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Treasury stock, at cost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(2,804.4)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(2,731.7)</w:t>
            </w:r>
          </w:p>
        </w:tc>
      </w:tr>
      <w:tr>
        <w:trPr>
          <w:trHeight w:val="245"/>
        </w:trPr>
        <w:tc>
          <w:tcPr>
            <w:tcW w:w="8660" w:type="dxa"/>
            <w:vAlign w:val="bottom"/>
            <w:tcBorders>
              <w:bottom w:val="single" w:sz="8" w:color="CCEEFF"/>
            </w:tcBorders>
            <w:shd w:val="clear" w:color="auto" w:fill="CCEEFF"/>
          </w:tcPr>
          <w:p>
            <w:pPr>
              <w:jc w:val="right"/>
              <w:ind w:right="5460"/>
              <w:spacing w:after="0"/>
              <w:rPr>
                <w:sz w:val="20"/>
                <w:szCs w:val="20"/>
                <w:color w:val="auto"/>
              </w:rPr>
            </w:pPr>
            <w:r>
              <w:rPr>
                <w:rFonts w:ascii="Times New Roman" w:cs="Times New Roman" w:eastAsia="Times New Roman" w:hAnsi="Times New Roman"/>
                <w:sz w:val="16"/>
                <w:szCs w:val="16"/>
                <w:color w:val="auto"/>
              </w:rPr>
              <w:t>Total ManpowerGroup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2,445.4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2,361.9</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84.5</w:t>
            </w:r>
          </w:p>
        </w:tc>
      </w:tr>
      <w:tr>
        <w:trPr>
          <w:trHeight w:val="245"/>
        </w:trPr>
        <w:tc>
          <w:tcPr>
            <w:tcW w:w="8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2,532.1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2,446.4</w:t>
            </w:r>
          </w:p>
        </w:tc>
      </w:tr>
      <w:tr>
        <w:trPr>
          <w:trHeight w:val="235"/>
        </w:trPr>
        <w:tc>
          <w:tcPr>
            <w:tcW w:w="8660" w:type="dxa"/>
            <w:vAlign w:val="bottom"/>
          </w:tcPr>
          <w:p>
            <w:pPr>
              <w:jc w:val="right"/>
              <w:ind w:right="544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7,678.9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7,574.2</w:t>
            </w:r>
          </w:p>
        </w:tc>
      </w:tr>
      <w:tr>
        <w:trPr>
          <w:trHeight w:val="20"/>
        </w:trPr>
        <w:tc>
          <w:tcPr>
            <w:tcW w:w="8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40" w:top="673" w:right="31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3"/>
          <w:szCs w:val="23"/>
          <w:color w:val="auto"/>
        </w:rPr>
        <w:t>ManpowerGroup</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00" w:type="dxa"/>
            <w:vAlign w:val="bottom"/>
          </w:tcPr>
          <w:p>
            <w:pPr>
              <w:spacing w:after="0"/>
              <w:rPr>
                <w:sz w:val="18"/>
                <w:szCs w:val="18"/>
                <w:color w:val="auto"/>
              </w:rPr>
            </w:pPr>
          </w:p>
        </w:tc>
        <w:tc>
          <w:tcPr>
            <w:tcW w:w="26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41"/>
        </w:trPr>
        <w:tc>
          <w:tcPr>
            <w:tcW w:w="8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840" w:type="dxa"/>
            <w:vAlign w:val="bottom"/>
          </w:tcPr>
          <w:p>
            <w:pPr>
              <w:spacing w:after="0"/>
              <w:rPr>
                <w:sz w:val="20"/>
                <w:szCs w:val="20"/>
                <w:color w:val="auto"/>
              </w:rPr>
            </w:pPr>
          </w:p>
        </w:tc>
      </w:tr>
      <w:tr>
        <w:trPr>
          <w:trHeight w:val="28"/>
        </w:trPr>
        <w:tc>
          <w:tcPr>
            <w:tcW w:w="88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8"/>
        </w:trPr>
        <w:tc>
          <w:tcPr>
            <w:tcW w:w="88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(Unaudited)</w:t>
            </w:r>
          </w:p>
        </w:tc>
        <w:tc>
          <w:tcPr>
            <w:tcW w:w="84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earnings</w:t>
            </w:r>
          </w:p>
        </w:tc>
        <w:tc>
          <w:tcPr>
            <w:tcW w:w="80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74.4</w:t>
            </w:r>
          </w:p>
        </w:tc>
        <w:tc>
          <w:tcPr>
            <w:tcW w:w="120" w:type="dxa"/>
            <w:vAlign w:val="bottom"/>
          </w:tcPr>
          <w:p>
            <w:pPr>
              <w:spacing w:after="0"/>
              <w:rPr>
                <w:sz w:val="18"/>
                <w:szCs w:val="18"/>
                <w:color w:val="auto"/>
              </w:rPr>
            </w:pP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71.7</w:t>
            </w:r>
          </w:p>
        </w:tc>
      </w:tr>
      <w:tr>
        <w:trPr>
          <w:trHeight w:val="24"/>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8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21.3</w:t>
            </w:r>
          </w:p>
        </w:tc>
      </w:tr>
      <w:tr>
        <w:trPr>
          <w:trHeight w:val="24"/>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income taxes</w:t>
            </w:r>
          </w:p>
        </w:tc>
        <w:tc>
          <w:tcPr>
            <w:tcW w:w="8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14.4</w:t>
            </w:r>
          </w:p>
        </w:tc>
      </w:tr>
      <w:tr>
        <w:trPr>
          <w:trHeight w:val="21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80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r>
      <w:tr>
        <w:trPr>
          <w:trHeight w:val="24"/>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Share-based compensation</w:t>
            </w:r>
          </w:p>
        </w:tc>
        <w:tc>
          <w:tcPr>
            <w:tcW w:w="8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r>
      <w:tr>
        <w:trPr>
          <w:trHeight w:val="21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Excess tax benefit on exercise of share-based awards</w:t>
            </w:r>
          </w:p>
        </w:tc>
        <w:tc>
          <w:tcPr>
            <w:tcW w:w="8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4"/>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 excluding the impact of acquisitions:</w:t>
            </w:r>
          </w:p>
        </w:tc>
        <w:tc>
          <w:tcPr>
            <w:tcW w:w="8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80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44.2</w:t>
            </w:r>
          </w:p>
        </w:tc>
      </w:tr>
      <w:tr>
        <w:trPr>
          <w:trHeight w:val="24"/>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8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90.0</w:t>
            </w:r>
          </w:p>
        </w:tc>
      </w:tr>
      <w:tr>
        <w:trPr>
          <w:trHeight w:val="245"/>
        </w:trPr>
        <w:tc>
          <w:tcPr>
            <w:tcW w:w="8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Other liabilities</w:t>
            </w:r>
          </w:p>
        </w:tc>
        <w:tc>
          <w:tcPr>
            <w:tcW w:w="8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w:t>
            </w:r>
          </w:p>
        </w:tc>
      </w:tr>
      <w:tr>
        <w:trPr>
          <w:trHeight w:val="255"/>
        </w:trPr>
        <w:tc>
          <w:tcPr>
            <w:tcW w:w="8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8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4"/>
              </w:rPr>
              <w:t>191.0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164.6</w:t>
            </w:r>
          </w:p>
        </w:tc>
      </w:tr>
      <w:tr>
        <w:trPr>
          <w:trHeight w:val="20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8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7"/>
        </w:trPr>
        <w:tc>
          <w:tcPr>
            <w:tcW w:w="8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4"/>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the sale of investments, property and equipment</w:t>
            </w:r>
          </w:p>
        </w:tc>
        <w:tc>
          <w:tcPr>
            <w:tcW w:w="8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8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change in short-term borrowings</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4"/>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8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7"/>
        </w:trPr>
        <w:tc>
          <w:tcPr>
            <w:tcW w:w="8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of contingent consideration for acquisitions</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4"/>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share-based awards and other equity transactions</w:t>
            </w:r>
          </w:p>
        </w:tc>
        <w:tc>
          <w:tcPr>
            <w:tcW w:w="8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r>
      <w:tr>
        <w:trPr>
          <w:trHeight w:val="217"/>
        </w:trPr>
        <w:tc>
          <w:tcPr>
            <w:tcW w:w="8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share-based award transactions</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4"/>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8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8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24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8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16.8</w:t>
            </w:r>
          </w:p>
        </w:tc>
      </w:tr>
      <w:tr>
        <w:trPr>
          <w:trHeight w:val="21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80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4"/>
              </w:rPr>
              <w:t>125.9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17.1</w:t>
            </w:r>
          </w:p>
        </w:tc>
      </w:tr>
      <w:tr>
        <w:trPr>
          <w:trHeight w:val="24"/>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8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4"/>
              </w:rPr>
              <w:t>598.5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730.5</w:t>
            </w:r>
          </w:p>
        </w:tc>
      </w:tr>
      <w:tr>
        <w:trPr>
          <w:trHeight w:val="235"/>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8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4"/>
              </w:rPr>
              <w:t>724.4</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747.6</w:t>
            </w:r>
          </w:p>
        </w:tc>
      </w:tr>
      <w:tr>
        <w:trPr>
          <w:trHeight w:val="20"/>
        </w:trPr>
        <w:tc>
          <w:tcPr>
            <w:tcW w:w="8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73" w:right="2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2019-12-05T18:29:06Z</dcterms:created>
  <dcterms:modified xsi:type="dcterms:W3CDTF">2019-12-05T18:29:06Z</dcterms:modified>
</cp:coreProperties>
</file>