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1997</w:t>
      </w:r>
    </w:p>
    <w:p>
      <w:pPr>
        <w:spacing w:after="0" w:line="17" w:lineRule="exact"/>
        <w:rPr>
          <w:sz w:val="24"/>
          <w:szCs w:val="24"/>
          <w:color w:val="auto"/>
        </w:rPr>
      </w:pPr>
    </w:p>
    <w:p>
      <w:pPr>
        <w:sectPr>
          <w:pgSz w:w="11900" w:h="16838" w:orient="portrait"/>
          <w:cols w:equalWidth="0" w:num="2">
            <w:col w:w="6660" w:space="720"/>
            <w:col w:w="3160"/>
          </w:cols>
          <w:pgMar w:left="240" w:top="649" w:right="1119" w:bottom="0" w:gutter="0" w:footer="0" w:header="0"/>
        </w:sectPr>
      </w:pPr>
    </w:p>
    <w:p>
      <w:pPr>
        <w:ind w:left="7380"/>
        <w:spacing w:after="0" w:line="238" w:lineRule="auto"/>
        <w:rPr>
          <w:sz w:val="20"/>
          <w:szCs w:val="20"/>
          <w:color w:val="auto"/>
        </w:rPr>
      </w:pPr>
      <w:r>
        <w:rPr>
          <w:rFonts w:ascii="Courier New" w:cs="Courier New" w:eastAsia="Courier New" w:hAnsi="Courier New"/>
          <w:sz w:val="18"/>
          <w:szCs w:val="18"/>
          <w:color w:val="auto"/>
        </w:rPr>
        <w:t>Estimated average burden</w:t>
      </w:r>
    </w:p>
    <w:p>
      <w:pPr>
        <w:spacing w:after="0" w:line="5" w:lineRule="exact"/>
        <w:rPr>
          <w:sz w:val="24"/>
          <w:szCs w:val="24"/>
          <w:color w:val="auto"/>
        </w:rPr>
      </w:pPr>
    </w:p>
    <w:p>
      <w:pPr>
        <w:ind w:left="7380"/>
        <w:spacing w:after="0"/>
        <w:rPr>
          <w:sz w:val="20"/>
          <w:szCs w:val="20"/>
          <w:color w:val="auto"/>
        </w:rPr>
      </w:pPr>
      <w:r>
        <w:rPr>
          <w:rFonts w:ascii="Courier New" w:cs="Courier New" w:eastAsia="Courier New" w:hAnsi="Courier New"/>
          <w:sz w:val="16"/>
          <w:szCs w:val="16"/>
          <w:color w:val="auto"/>
        </w:rPr>
        <w:t>hours per response...14.90</w:t>
      </w:r>
    </w:p>
    <w:p>
      <w:pPr>
        <w:spacing w:after="0" w:line="16"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Manpower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Common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56418H100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49" w:right="11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4</w:t>
      </w:r>
    </w:p>
    <w:p>
      <w:pPr>
        <w:spacing w:after="0" w:line="419" w:lineRule="exact"/>
        <w:rPr>
          <w:sz w:val="24"/>
          <w:szCs w:val="24"/>
          <w:color w:val="auto"/>
        </w:rPr>
      </w:pPr>
    </w:p>
    <w:p>
      <w:pPr>
        <w:sectPr>
          <w:pgSz w:w="11900" w:h="16838" w:orient="portrait"/>
          <w:cols w:equalWidth="0" w:num="2">
            <w:col w:w="2660" w:space="720"/>
            <w:col w:w="7160"/>
          </w:cols>
          <w:pgMar w:left="240" w:top="649" w:right="1119"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56418H100</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4"/>
          <w:szCs w:val="24"/>
          <w:color w:val="auto"/>
        </w:rPr>
      </w:pPr>
    </w:p>
    <w:p>
      <w:pPr>
        <w:sectPr>
          <w:pgSz w:w="11900" w:h="16838" w:orient="portrait"/>
          <w:cols w:equalWidth="0" w:num="3">
            <w:col w:w="3080" w:space="720"/>
            <w:col w:w="2220" w:space="720"/>
            <w:col w:w="3800"/>
          </w:cols>
          <w:pgMar w:left="240" w:top="649"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7" w:lineRule="auto"/>
        <w:rPr>
          <w:sz w:val="20"/>
          <w:szCs w:val="20"/>
          <w:color w:val="auto"/>
        </w:rPr>
      </w:pPr>
      <w:r>
        <w:rPr>
          <w:rFonts w:ascii="Courier New" w:cs="Courier New" w:eastAsia="Courier New" w:hAnsi="Courier New"/>
          <w:sz w:val="18"/>
          <w:szCs w:val="18"/>
          <w:color w:val="auto"/>
        </w:rPr>
        <w:t>86-0206507</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884,500</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7"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49" w:right="1119"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1" w:lineRule="exact"/>
        <w:rPr>
          <w:sz w:val="20"/>
          <w:szCs w:val="20"/>
          <w:color w:val="auto"/>
        </w:rPr>
      </w:pPr>
    </w:p>
    <w:p>
      <w:pPr>
        <w:sectPr>
          <w:pgSz w:w="11900" w:h="16838" w:orient="portrait"/>
          <w:cols w:equalWidth="0" w:num="2">
            <w:col w:w="2860" w:space="720"/>
            <w:col w:w="6639"/>
          </w:cols>
          <w:pgMar w:left="240" w:top="344" w:right="1440" w:bottom="1440" w:gutter="0" w:footer="0" w:header="0"/>
        </w:sect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5,598,500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PERSON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jc w:val="center"/>
        <w:ind w:right="261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5,598,500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7.4%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44" w:right="1440" w:bottom="1440" w:gutter="0" w:footer="0" w:header="0"/>
          <w:type w:val="continuous"/>
        </w:sectPr>
      </w:pPr>
    </w:p>
    <w:bookmarkStart w:id="2" w:name="page3"/>
    <w:bookmarkEnd w:id="2"/>
    <w:p>
      <w:pPr>
        <w:spacing w:after="0"/>
        <w:tabs>
          <w:tab w:leader="none" w:pos="3780" w:val="left"/>
          <w:tab w:leader="none" w:pos="6720" w:val="left"/>
        </w:tabs>
        <w:rPr>
          <w:sz w:val="20"/>
          <w:szCs w:val="20"/>
          <w:color w:val="auto"/>
        </w:rPr>
      </w:pPr>
      <w:r>
        <w:rPr>
          <w:rFonts w:ascii="Courier New" w:cs="Courier New" w:eastAsia="Courier New" w:hAnsi="Courier New"/>
          <w:sz w:val="18"/>
          <w:szCs w:val="18"/>
          <w:color w:val="auto"/>
        </w:rPr>
        <w:t>CUSIP No. 56418H100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420" w:right="4619" w:hanging="307"/>
        <w:spacing w:after="0" w:line="23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EACH</w:t>
            </w: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4,630,000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WITH</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4,630,000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6.2%</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514" w:right="1440" w:bottom="1440" w:gutter="0" w:footer="0" w:header="0"/>
        </w:sectPr>
      </w:pPr>
    </w:p>
    <w:bookmarkStart w:id="3" w:name="page4"/>
    <w:bookmarkEnd w:id="3"/>
    <w:p>
      <w:pPr>
        <w:jc w:val="right"/>
        <w:ind w:right="2199"/>
        <w:spacing w:after="0"/>
        <w:rPr>
          <w:sz w:val="20"/>
          <w:szCs w:val="20"/>
          <w:color w:val="auto"/>
        </w:rPr>
      </w:pPr>
      <w:r>
        <w:rPr>
          <w:rFonts w:ascii="Courier New" w:cs="Courier New" w:eastAsia="Courier New" w:hAnsi="Courier New"/>
          <w:sz w:val="18"/>
          <w:szCs w:val="18"/>
          <w:color w:val="auto"/>
        </w:rPr>
        <w:t>Page 4</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Schedule 13G</w:t>
      </w:r>
    </w:p>
    <w:p>
      <w:pPr>
        <w:jc w:val="center"/>
        <w:ind w:right="21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 enclosed [X] or Amendment No.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5301 North Ironwood Road</w:t>
      </w:r>
    </w:p>
    <w:p>
      <w:pPr>
        <w:ind w:left="1060"/>
        <w:spacing w:after="0"/>
        <w:rPr>
          <w:sz w:val="20"/>
          <w:szCs w:val="20"/>
          <w:color w:val="auto"/>
        </w:rPr>
      </w:pPr>
      <w:r>
        <w:rPr>
          <w:rFonts w:ascii="Courier New" w:cs="Courier New" w:eastAsia="Courier New" w:hAnsi="Courier New"/>
          <w:sz w:val="18"/>
          <w:szCs w:val="18"/>
          <w:color w:val="auto"/>
        </w:rPr>
        <w:t>Milwaukee, WI 53217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0"/>
          <w:szCs w:val="20"/>
          <w:color w:val="auto"/>
        </w:rPr>
      </w:pPr>
    </w:p>
    <w:p>
      <w:pPr>
        <w:ind w:right="2739" w:firstLine="1053"/>
        <w:spacing w:after="0" w:line="235" w:lineRule="auto"/>
        <w:rPr>
          <w:sz w:val="20"/>
          <w:szCs w:val="20"/>
          <w:color w:val="auto"/>
        </w:rPr>
      </w:pPr>
      <w:r>
        <w:rPr>
          <w:rFonts w:ascii="Courier New" w:cs="Courier New" w:eastAsia="Courier New" w:hAnsi="Courier New"/>
          <w:sz w:val="18"/>
          <w:szCs w:val="18"/>
          <w:color w:val="auto"/>
        </w:rPr>
        <w:t>The Capital Group Companies, Inc. and Capital Research and Management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1060"/>
        <w:spacing w:after="0"/>
        <w:tabs>
          <w:tab w:leader="none" w:pos="2820" w:val="left"/>
        </w:tabs>
        <w:rPr>
          <w:sz w:val="20"/>
          <w:szCs w:val="20"/>
          <w:color w:val="auto"/>
        </w:rPr>
      </w:pPr>
      <w:r>
        <w:rPr>
          <w:rFonts w:ascii="Courier New" w:cs="Courier New" w:eastAsia="Courier New" w:hAnsi="Courier New"/>
          <w:sz w:val="18"/>
          <w:szCs w:val="18"/>
          <w:color w:val="auto"/>
        </w:rPr>
        <w:t>Los Angeles, CA</w:t>
        <w:tab/>
        <w:t>90071</w:t>
      </w:r>
    </w:p>
    <w:p>
      <w:pPr>
        <w:spacing w:after="0" w:line="20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of Securities:  Common</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w:t>
            </w:r>
          </w:p>
        </w:tc>
        <w:tc>
          <w:tcPr>
            <w:tcW w:w="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Number:</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56418H100</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person(s)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filing is(are):</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Bank</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as defined in Section 3(a)(6) of the Act.</w:t>
            </w:r>
          </w:p>
        </w:tc>
      </w:tr>
    </w:tbl>
    <w:p>
      <w:pPr>
        <w:spacing w:after="0" w:line="4" w:lineRule="exact"/>
        <w:rPr>
          <w:sz w:val="20"/>
          <w:szCs w:val="20"/>
          <w:color w:val="auto"/>
        </w:rPr>
      </w:pPr>
    </w:p>
    <w:p>
      <w:pPr>
        <w:ind w:left="2000" w:right="2619" w:hanging="943"/>
        <w:spacing w:after="0" w:line="235" w:lineRule="auto"/>
        <w:tabs>
          <w:tab w:leader="none" w:pos="147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6" w:lineRule="exact"/>
        <w:rPr>
          <w:sz w:val="20"/>
          <w:szCs w:val="20"/>
          <w:color w:val="auto"/>
        </w:rPr>
      </w:pPr>
    </w:p>
    <w:p>
      <w:pPr>
        <w:ind w:left="2000" w:right="2739" w:hanging="943"/>
        <w:spacing w:after="0" w:line="235" w:lineRule="auto"/>
        <w:tabs>
          <w:tab w:leader="none" w:pos="14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480" w:right="5679" w:hanging="423"/>
        <w:spacing w:after="0" w:line="268" w:lineRule="auto"/>
        <w:tabs>
          <w:tab w:leader="none" w:pos="1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Class:  See item 11,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pg.2 and 3</w:t>
      </w:r>
    </w:p>
    <w:p>
      <w:pPr>
        <w:spacing w:after="0" w:line="5" w:lineRule="exact"/>
        <w:rPr>
          <w:rFonts w:ascii="Courier New" w:cs="Courier New" w:eastAsia="Courier New" w:hAnsi="Courier New"/>
          <w:sz w:val="18"/>
          <w:szCs w:val="18"/>
          <w:color w:val="auto"/>
        </w:rPr>
      </w:pPr>
    </w:p>
    <w:p>
      <w:pPr>
        <w:ind w:left="2000" w:right="347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5"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pg.2 and 3</w:t>
      </w:r>
    </w:p>
    <w:p>
      <w:pPr>
        <w:spacing w:after="0" w:line="5" w:lineRule="exact"/>
        <w:rPr>
          <w:rFonts w:ascii="Courier New" w:cs="Courier New" w:eastAsia="Courier New" w:hAnsi="Courier New"/>
          <w:sz w:val="18"/>
          <w:szCs w:val="18"/>
          <w:color w:val="auto"/>
        </w:rPr>
      </w:pPr>
    </w:p>
    <w:p>
      <w:pPr>
        <w:ind w:left="2000" w:right="2319" w:hanging="521"/>
        <w:spacing w:after="0" w:line="236"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3" w:lineRule="exact"/>
        <w:rPr>
          <w:sz w:val="20"/>
          <w:szCs w:val="20"/>
          <w:color w:val="auto"/>
        </w:rPr>
      </w:pPr>
    </w:p>
    <w:p>
      <w:pPr>
        <w:spacing w:after="0"/>
        <w:tabs>
          <w:tab w:leader="none" w:pos="1040" w:val="left"/>
          <w:tab w:leader="none" w:pos="4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1060" w:right="24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ectPr>
          <w:pgSz w:w="11900" w:h="16838" w:orient="portrait"/>
          <w:cols w:equalWidth="0" w:num="1">
            <w:col w:w="9899"/>
          </w:cols>
          <w:pgMar w:left="560" w:top="514" w:right="1440" w:bottom="1440" w:gutter="0" w:footer="0" w:header="0"/>
        </w:sectPr>
      </w:pPr>
    </w:p>
    <w:bookmarkStart w:id="4" w:name="page5"/>
    <w:bookmarkEnd w:id="4"/>
    <w:p>
      <w:pPr>
        <w:ind w:left="1480" w:right="2519" w:hanging="423"/>
        <w:spacing w:after="0" w:line="23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7" w:lineRule="exact"/>
        <w:rPr>
          <w:rFonts w:ascii="Courier New" w:cs="Courier New" w:eastAsia="Courier New" w:hAnsi="Courier New"/>
          <w:sz w:val="18"/>
          <w:szCs w:val="18"/>
          <w:color w:val="auto"/>
        </w:rPr>
      </w:pPr>
    </w:p>
    <w:p>
      <w:pPr>
        <w:ind w:left="1480" w:right="2519" w:hanging="423"/>
        <w:spacing w:after="0" w:line="236"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8" w:lineRule="exact"/>
        <w:rPr>
          <w:rFonts w:ascii="Courier New" w:cs="Courier New" w:eastAsia="Courier New" w:hAnsi="Courier New"/>
          <w:sz w:val="18"/>
          <w:szCs w:val="18"/>
          <w:color w:val="auto"/>
        </w:rPr>
      </w:pPr>
    </w:p>
    <w:p>
      <w:pPr>
        <w:ind w:left="1480" w:right="2319" w:hanging="423"/>
        <w:spacing w:after="0" w:line="23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The Capital Group Companies, Inc.</w:t>
      </w:r>
    </w:p>
    <w:p>
      <w:pPr>
        <w:spacing w:after="0" w:line="212" w:lineRule="exact"/>
        <w:rPr>
          <w:rFonts w:ascii="Courier New" w:cs="Courier New" w:eastAsia="Courier New" w:hAnsi="Courier New"/>
          <w:sz w:val="18"/>
          <w:szCs w:val="18"/>
          <w:color w:val="auto"/>
        </w:rPr>
      </w:pPr>
    </w:p>
    <w:p>
      <w:pPr>
        <w:ind w:left="1480" w:right="2319" w:hanging="423"/>
        <w:spacing w:after="0" w:line="268" w:lineRule="auto"/>
        <w:tabs>
          <w:tab w:leader="none" w:pos="1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International S.A. (CISA) does not fall within any of the categories described in Rule 13d-1-(b)(ii)(A-F) but its holdings of any reported securities come within the five percent limitation as set forth in a December 15,</w:t>
      </w:r>
    </w:p>
    <w:p>
      <w:pPr>
        <w:ind w:left="1480"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1986 no-action letter from the Staff of the Securities and Exchange Commission to The Capital Group Companies, Inc. CISA is a wholly owned subsidiary of The Capital Group Companies, Inc.</w:t>
      </w:r>
    </w:p>
    <w:p>
      <w:pPr>
        <w:spacing w:after="0" w:line="202"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61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2"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1996</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Solomon M. Kamm</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Name/Title: Solomon M. Kamm, Vice President, Secretary and General Counsel</w:t>
      </w:r>
    </w:p>
    <w:p>
      <w:pPr>
        <w:ind w:left="1480"/>
        <w:spacing w:after="0"/>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1996</w:t>
      </w:r>
    </w:p>
    <w:p>
      <w:pPr>
        <w:sectPr>
          <w:pgSz w:w="11900" w:h="16838" w:orient="portrait"/>
          <w:cols w:equalWidth="0" w:num="1">
            <w:col w:w="9899"/>
          </w:cols>
          <w:pgMar w:left="560" w:top="520" w:right="1440" w:bottom="1440" w:gutter="0" w:footer="0" w:header="0"/>
        </w:sectPr>
      </w:pPr>
    </w:p>
    <w:bookmarkStart w:id="5" w:name="page6"/>
    <w:bookmarkEnd w:id="5"/>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Michael J. Downer</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Michael J. Downer, Secretary</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514" w:right="1440" w:bottom="1440" w:gutter="0" w:footer="0" w:header="0"/>
        </w:sectPr>
      </w:pPr>
    </w:p>
    <w:bookmarkStart w:id="6" w:name="page7"/>
    <w:bookmarkEnd w:id="6"/>
    <w:p>
      <w:pPr>
        <w:ind w:left="348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Los Angeles, California</w:t>
      </w:r>
    </w:p>
    <w:p>
      <w:pPr>
        <w:ind w:left="3160"/>
        <w:spacing w:after="0" w:line="238" w:lineRule="auto"/>
        <w:rPr>
          <w:sz w:val="20"/>
          <w:szCs w:val="20"/>
          <w:color w:val="auto"/>
        </w:rPr>
      </w:pPr>
      <w:r>
        <w:rPr>
          <w:rFonts w:ascii="Courier New" w:cs="Courier New" w:eastAsia="Courier New" w:hAnsi="Courier New"/>
          <w:sz w:val="18"/>
          <w:szCs w:val="18"/>
          <w:color w:val="auto"/>
        </w:rPr>
        <w:t>February 9, 1996</w:t>
      </w:r>
    </w:p>
    <w:p>
      <w:pPr>
        <w:spacing w:after="0" w:line="200" w:lineRule="exact"/>
        <w:rPr>
          <w:sz w:val="20"/>
          <w:szCs w:val="20"/>
          <w:color w:val="auto"/>
        </w:rPr>
      </w:pPr>
    </w:p>
    <w:p>
      <w:pPr>
        <w:spacing w:after="0" w:line="210"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Capital Research and Management Company ("CRMC") and The Capital Group Companies, Inc. ("CGC") hereby agree to file a joint statement on Schedule 13G under the Securities Exchange Act of 1934 (the "Act") in connection with their beneficial ownership of Common stock issued by Manpower Inc..</w:t>
      </w:r>
    </w:p>
    <w:p>
      <w:pPr>
        <w:spacing w:after="0" w:line="209"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CRMC and CGC state that they are both entitled to individually use Schedule 13G pursuant to Rule 13d-1(c) of the Act.</w:t>
      </w:r>
    </w:p>
    <w:p>
      <w:pPr>
        <w:spacing w:after="0" w:line="208"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Both CRMC and CGC are responsible for the timely filing of the statement and any amendments thereto, and for the completeness and accuracy of the information concerning each of them contained therein but neither is responsible for the completeness or accuracy of the information concerning the other.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/s/ Michael J. Downer</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Michael J. Downer</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/s/ Solomon M. Kamm</w:t>
      </w:r>
    </w:p>
    <w:p>
      <w:pPr>
        <w:sectPr>
          <w:pgSz w:w="11900" w:h="16838" w:orient="portrait"/>
          <w:cols w:equalWidth="0" w:num="1">
            <w:col w:w="10219"/>
          </w:cols>
          <w:pgMar w:left="240" w:top="514"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Solomon M. Kamm</w:t>
      </w: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Vice President, Secretary and General Counsel</w:t>
      </w:r>
    </w:p>
    <w:p>
      <w:pPr>
        <w:sectPr>
          <w:pgSz w:w="11900" w:h="16838" w:orient="portrait"/>
          <w:cols w:equalWidth="0" w:num="1">
            <w:col w:w="9019"/>
          </w:cols>
          <w:pgMar w:left="1440" w:top="717"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7"/>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2019-12-12T08:10:49Z</dcterms:created>
  <dcterms:modified xsi:type="dcterms:W3CDTF">2019-12-12T08:10:49Z</dcterms:modified>
</cp:coreProperties>
</file>